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200"/>
    <w:p>
      <w:pPr>
        <w:pStyle w:val="Heading1"/>
      </w:pPr>
      <w:r>
        <w:t xml:space="preserve">KMOS-0200</w:t>
      </w:r>
    </w:p>
    <w:bookmarkEnd w:id="20"/>
    <w:bookmarkStart w:id="21" w:name="platform-service-architecture"/>
    <w:p>
      <w:pPr>
        <w:pStyle w:val="Heading1"/>
      </w:pPr>
      <w:r>
        <w:t xml:space="preserve">Platform Service Architecture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the Platform Service Architecture (PSA) of the Knowledge &amp; Media Operating System (KMOS).</w:t>
      </w:r>
    </w:p>
    <w:p>
      <w:pPr>
        <w:pStyle w:val="BodyText"/>
      </w:pPr>
      <w:r>
        <w:t xml:space="preserve">The Platform Service Architecture translates the conceptual architecture defined in KMOS-0001 through KMOS-0190 into a deployable collection of platform services.</w:t>
      </w:r>
    </w:p>
    <w:p>
      <w:pPr>
        <w:pStyle w:val="BodyText"/>
      </w:pPr>
      <w:r>
        <w:t xml:space="preserve">Unlike previous specifications, this document is implementation-oriented.</w:t>
      </w:r>
    </w:p>
    <w:p>
      <w:pPr>
        <w:pStyle w:val="BodyText"/>
      </w:pPr>
      <w:r>
        <w:t xml:space="preserve">Every service described herein is expected to become a real, independently deployable component of a KMOS implementation.</w:t>
      </w:r>
    </w:p>
    <w:p>
      <w:r>
        <w:pict>
          <v:rect style="width:0;height:1.5pt" o:hralign="center" o:hrstd="t" o:hr="t"/>
        </w:pict>
      </w:r>
    </w:p>
    <w:bookmarkEnd w:id="22"/>
    <w:bookmarkStart w:id="23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This specification defines:</w:t>
      </w:r>
    </w:p>
    <w:p>
      <w:pPr>
        <w:pStyle w:val="Compact"/>
        <w:numPr>
          <w:ilvl w:val="0"/>
          <w:numId w:val="1001"/>
        </w:numPr>
      </w:pPr>
      <w:r>
        <w:t xml:space="preserve">Platform service decomposition</w:t>
      </w:r>
    </w:p>
    <w:p>
      <w:pPr>
        <w:pStyle w:val="Compact"/>
        <w:numPr>
          <w:ilvl w:val="0"/>
          <w:numId w:val="1001"/>
        </w:numPr>
      </w:pPr>
      <w:r>
        <w:t xml:space="preserve">Service ownership</w:t>
      </w:r>
    </w:p>
    <w:p>
      <w:pPr>
        <w:pStyle w:val="Compact"/>
        <w:numPr>
          <w:ilvl w:val="0"/>
          <w:numId w:val="1001"/>
        </w:numPr>
      </w:pPr>
      <w:r>
        <w:t xml:space="preserve">Service boundaries</w:t>
      </w:r>
    </w:p>
    <w:p>
      <w:pPr>
        <w:pStyle w:val="Compact"/>
        <w:numPr>
          <w:ilvl w:val="0"/>
          <w:numId w:val="1001"/>
        </w:numPr>
      </w:pPr>
      <w:r>
        <w:t xml:space="preserve">Canonical responsibilities</w:t>
      </w:r>
    </w:p>
    <w:p>
      <w:pPr>
        <w:pStyle w:val="Compact"/>
        <w:numPr>
          <w:ilvl w:val="0"/>
          <w:numId w:val="1001"/>
        </w:numPr>
      </w:pPr>
      <w:r>
        <w:t xml:space="preserve">Inter-service communication</w:t>
      </w:r>
    </w:p>
    <w:p>
      <w:pPr>
        <w:pStyle w:val="Compact"/>
        <w:numPr>
          <w:ilvl w:val="0"/>
          <w:numId w:val="1001"/>
        </w:numPr>
      </w:pPr>
      <w:r>
        <w:t xml:space="preserve">Service contracts</w:t>
      </w:r>
    </w:p>
    <w:p>
      <w:pPr>
        <w:pStyle w:val="Compact"/>
        <w:numPr>
          <w:ilvl w:val="0"/>
          <w:numId w:val="1001"/>
        </w:numPr>
      </w:pPr>
      <w:r>
        <w:t xml:space="preserve">Deployment principles</w:t>
      </w:r>
    </w:p>
    <w:p>
      <w:pPr>
        <w:pStyle w:val="Compact"/>
        <w:numPr>
          <w:ilvl w:val="0"/>
          <w:numId w:val="1001"/>
        </w:numPr>
      </w:pPr>
      <w:r>
        <w:t xml:space="preserve">Operational responsibilities</w:t>
      </w:r>
    </w:p>
    <w:p>
      <w:pPr>
        <w:pStyle w:val="Compact"/>
        <w:numPr>
          <w:ilvl w:val="0"/>
          <w:numId w:val="1001"/>
        </w:numPr>
      </w:pPr>
      <w:r>
        <w:t xml:space="preserve">Scalability model</w:t>
      </w:r>
    </w:p>
    <w:p>
      <w:pPr>
        <w:pStyle w:val="Compact"/>
        <w:numPr>
          <w:ilvl w:val="0"/>
          <w:numId w:val="1001"/>
        </w:numPr>
      </w:pPr>
      <w:r>
        <w:t xml:space="preserve">Conformance requirements</w:t>
      </w:r>
    </w:p>
    <w:p>
      <w:pPr>
        <w:pStyle w:val="FirstParagraph"/>
      </w:pPr>
      <w:r>
        <w:t xml:space="preserve">Subsequent specifications (KMOS-0201 onward) define each service individually.</w:t>
      </w:r>
    </w:p>
    <w:p>
      <w:r>
        <w:pict>
          <v:rect style="width:0;height:1.5pt" o:hralign="center" o:hrstd="t" o:hr="t"/>
        </w:pict>
      </w:r>
    </w:p>
    <w:bookmarkEnd w:id="23"/>
    <w:bookmarkStart w:id="24" w:name="architectural-philosophy"/>
    <w:p>
      <w:pPr>
        <w:pStyle w:val="Heading1"/>
      </w:pPr>
      <w:r>
        <w:t xml:space="preserve">3. Architectural Philosophy</w:t>
      </w:r>
    </w:p>
    <w:p>
      <w:pPr>
        <w:pStyle w:val="FirstParagraph"/>
      </w:pPr>
      <w:r>
        <w:t xml:space="preserve">Services are implementation units.</w:t>
      </w:r>
    </w:p>
    <w:p>
      <w:pPr>
        <w:pStyle w:val="BodyText"/>
      </w:pPr>
      <w:r>
        <w:t xml:space="preserve">Domains own business concepts.</w:t>
      </w:r>
    </w:p>
    <w:p>
      <w:pPr>
        <w:pStyle w:val="BodyText"/>
      </w:pPr>
      <w:r>
        <w:t xml:space="preserve">Capabilities perform work.</w:t>
      </w:r>
    </w:p>
    <w:p>
      <w:pPr>
        <w:pStyle w:val="BodyText"/>
      </w:pPr>
      <w:r>
        <w:t xml:space="preserve">Services provide execution environments for capabilities.</w:t>
      </w:r>
    </w:p>
    <w:p>
      <w:pPr>
        <w:pStyle w:val="BodyText"/>
      </w:pPr>
      <w:r>
        <w:t xml:space="preserve">Services SHALL own business data.</w:t>
      </w:r>
    </w:p>
    <w:p>
      <w:pPr>
        <w:pStyle w:val="BodyText"/>
      </w:pPr>
      <w:r>
        <w:t xml:space="preserve">Services SHALL publish business events.</w:t>
      </w:r>
    </w:p>
    <w:p>
      <w:pPr>
        <w:pStyle w:val="BodyText"/>
      </w:pPr>
      <w:r>
        <w:t xml:space="preserve">Services SHALL expose business APIs.</w:t>
      </w:r>
    </w:p>
    <w:p>
      <w:pPr>
        <w:pStyle w:val="BodyText"/>
      </w:pPr>
      <w:r>
        <w:t xml:space="preserve">Applications SHALL never bypass platform services.</w:t>
      </w:r>
    </w:p>
    <w:p>
      <w:r>
        <w:pict>
          <v:rect style="width:0;height:1.5pt" o:hralign="center" o:hrstd="t" o:hr="t"/>
        </w:pict>
      </w:r>
    </w:p>
    <w:bookmarkEnd w:id="24"/>
    <w:bookmarkStart w:id="30" w:name="platform-layers"/>
    <w:p>
      <w:pPr>
        <w:pStyle w:val="Heading1"/>
      </w:pPr>
      <w:r>
        <w:t xml:space="preserve">4. Platform Layers</w:t>
      </w:r>
    </w:p>
    <w:p>
      <w:pPr>
        <w:pStyle w:val="FirstParagraph"/>
      </w:pPr>
      <w:r>
        <w:t xml:space="preserve">KMOS SHALL be organized into five logical layers.</w:t>
      </w:r>
    </w:p>
    <w:bookmarkStart w:id="25" w:name="layer-1-institutional-records"/>
    <w:p>
      <w:pPr>
        <w:pStyle w:val="Heading2"/>
      </w:pPr>
      <w:r>
        <w:t xml:space="preserve">Layer 1 — Institutional Records</w:t>
      </w:r>
    </w:p>
    <w:p>
      <w:pPr>
        <w:pStyle w:val="FirstParagraph"/>
      </w:pPr>
      <w:r>
        <w:t xml:space="preserve">Permanent system of record.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These services preserve institutional memory.</w:t>
      </w:r>
    </w:p>
    <w:p>
      <w:r>
        <w:pict>
          <v:rect style="width:0;height:1.5pt" o:hralign="center" o:hrstd="t" o:hr="t"/>
        </w:pict>
      </w:r>
    </w:p>
    <w:bookmarkEnd w:id="25"/>
    <w:bookmarkStart w:id="26" w:name="layer-2-business-execution"/>
    <w:p>
      <w:pPr>
        <w:pStyle w:val="Heading2"/>
      </w:pPr>
      <w:r>
        <w:t xml:space="preserve">Layer 2 — Business Execution</w:t>
      </w:r>
    </w:p>
    <w:p>
      <w:pPr>
        <w:pStyle w:val="FirstParagraph"/>
      </w:pPr>
      <w:r>
        <w:t xml:space="preserve">Performs work.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Capability Runtime</w:t>
      </w:r>
    </w:p>
    <w:p>
      <w:pPr>
        <w:pStyle w:val="BodyText"/>
      </w:pPr>
      <w:r>
        <w:t xml:space="preserve">AI Workers</w:t>
      </w:r>
    </w:p>
    <w:p>
      <w:pPr>
        <w:pStyle w:val="BodyText"/>
      </w:pPr>
      <w:r>
        <w:t xml:space="preserve">Connectors</w:t>
      </w:r>
    </w:p>
    <w:p>
      <w:pPr>
        <w:pStyle w:val="BodyText"/>
      </w:pPr>
      <w:r>
        <w:t xml:space="preserve">Business Processing</w:t>
      </w:r>
    </w:p>
    <w:p>
      <w:pPr>
        <w:pStyle w:val="BodyText"/>
      </w:pPr>
      <w:r>
        <w:t xml:space="preserve">Execution produces institutional knowledge.</w:t>
      </w:r>
    </w:p>
    <w:p>
      <w:r>
        <w:pict>
          <v:rect style="width:0;height:1.5pt" o:hralign="center" o:hrstd="t" o:hr="t"/>
        </w:pict>
      </w:r>
    </w:p>
    <w:bookmarkEnd w:id="26"/>
    <w:bookmarkStart w:id="27" w:name="layer-3-coordination"/>
    <w:p>
      <w:pPr>
        <w:pStyle w:val="Heading2"/>
      </w:pPr>
      <w:r>
        <w:t xml:space="preserve">Layer 3 — Coordination</w:t>
      </w:r>
    </w:p>
    <w:p>
      <w:pPr>
        <w:pStyle w:val="FirstParagraph"/>
      </w:pPr>
      <w:r>
        <w:t xml:space="preserve">Coordinates business execution.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Workflow Engine</w:t>
      </w:r>
    </w:p>
    <w:p>
      <w:pPr>
        <w:pStyle w:val="BodyText"/>
      </w:pPr>
      <w:r>
        <w:t xml:space="preserve">Scheduling</w:t>
      </w:r>
    </w:p>
    <w:p>
      <w:pPr>
        <w:pStyle w:val="BodyText"/>
      </w:pPr>
      <w:r>
        <w:t xml:space="preserve">Policy Engine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Approval Coordination</w:t>
      </w:r>
    </w:p>
    <w:p>
      <w:pPr>
        <w:pStyle w:val="BodyText"/>
      </w:pPr>
      <w:r>
        <w:t xml:space="preserve">Coordination SHALL NOT contain business logic.</w:t>
      </w:r>
    </w:p>
    <w:p>
      <w:r>
        <w:pict>
          <v:rect style="width:0;height:1.5pt" o:hralign="center" o:hrstd="t" o:hr="t"/>
        </w:pict>
      </w:r>
    </w:p>
    <w:bookmarkEnd w:id="27"/>
    <w:bookmarkStart w:id="28" w:name="layer-4-experience"/>
    <w:p>
      <w:pPr>
        <w:pStyle w:val="Heading2"/>
      </w:pPr>
      <w:r>
        <w:t xml:space="preserve">Layer 4 — Experience</w:t>
      </w:r>
    </w:p>
    <w:p>
      <w:pPr>
        <w:pStyle w:val="FirstParagraph"/>
      </w:pPr>
      <w:r>
        <w:t xml:space="preserve">Provides user experiences.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Studio Applications</w:t>
      </w:r>
    </w:p>
    <w:p>
      <w:pPr>
        <w:pStyle w:val="BodyText"/>
      </w:pPr>
      <w:r>
        <w:t xml:space="preserve">Research Portal</w:t>
      </w:r>
    </w:p>
    <w:p>
      <w:pPr>
        <w:pStyle w:val="BodyText"/>
      </w:pPr>
      <w:r>
        <w:t xml:space="preserve">Publishing Studio</w:t>
      </w:r>
    </w:p>
    <w:p>
      <w:pPr>
        <w:pStyle w:val="BodyText"/>
      </w:pPr>
      <w:r>
        <w:t xml:space="preserve">Archive Explorer</w:t>
      </w:r>
    </w:p>
    <w:p>
      <w:pPr>
        <w:pStyle w:val="BodyText"/>
      </w:pPr>
      <w:r>
        <w:t xml:space="preserve">Learning Platform</w:t>
      </w:r>
    </w:p>
    <w:p>
      <w:pPr>
        <w:pStyle w:val="BodyText"/>
      </w:pPr>
      <w:r>
        <w:t xml:space="preserve">Mobile Applications</w:t>
      </w:r>
    </w:p>
    <w:p>
      <w:pPr>
        <w:pStyle w:val="BodyText"/>
      </w:pPr>
      <w:r>
        <w:t xml:space="preserve">Applications remain stateless where practical.</w:t>
      </w:r>
    </w:p>
    <w:p>
      <w:r>
        <w:pict>
          <v:rect style="width:0;height:1.5pt" o:hralign="center" o:hrstd="t" o:hr="t"/>
        </w:pict>
      </w:r>
    </w:p>
    <w:bookmarkEnd w:id="28"/>
    <w:bookmarkStart w:id="29" w:name="layer-5-infrastructure"/>
    <w:p>
      <w:pPr>
        <w:pStyle w:val="Heading2"/>
      </w:pPr>
      <w:r>
        <w:t xml:space="preserve">Layer 5 — Infrastructure</w:t>
      </w:r>
    </w:p>
    <w:p>
      <w:pPr>
        <w:pStyle w:val="FirstParagraph"/>
      </w:pPr>
      <w:r>
        <w:t xml:space="preserve">Provides technical capabilities.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Networking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Messaging</w:t>
      </w:r>
    </w:p>
    <w:p>
      <w:pPr>
        <w:pStyle w:val="BodyText"/>
      </w:pPr>
      <w:r>
        <w:t xml:space="preserve">Secrets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Compute</w:t>
      </w:r>
    </w:p>
    <w:p>
      <w:pPr>
        <w:pStyle w:val="BodyText"/>
      </w:pPr>
      <w:r>
        <w:t xml:space="preserve">Infrastructure remains replaceable.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re-platform-services"/>
    <w:p>
      <w:pPr>
        <w:pStyle w:val="Heading1"/>
      </w:pPr>
      <w:r>
        <w:t xml:space="preserve">5. Core Platform Services</w:t>
      </w:r>
    </w:p>
    <w:p>
      <w:pPr>
        <w:pStyle w:val="FirstParagraph"/>
      </w:pPr>
      <w:r>
        <w:t xml:space="preserve">The reference KMOS implementation SHALL include the following platform services.</w:t>
      </w:r>
    </w:p>
    <w:p>
      <w:pPr>
        <w:pStyle w:val="BodyText"/>
      </w:pPr>
      <w:r>
        <w:t xml:space="preserve">0201 Knowledge Service</w:t>
      </w:r>
    </w:p>
    <w:p>
      <w:pPr>
        <w:pStyle w:val="BodyText"/>
      </w:pPr>
      <w:r>
        <w:t xml:space="preserve">0202 Asset Registry Service</w:t>
      </w:r>
    </w:p>
    <w:p>
      <w:pPr>
        <w:pStyle w:val="BodyText"/>
      </w:pPr>
      <w:r>
        <w:t xml:space="preserve">0203 Event Service</w:t>
      </w:r>
    </w:p>
    <w:p>
      <w:pPr>
        <w:pStyle w:val="BodyText"/>
      </w:pPr>
      <w:r>
        <w:t xml:space="preserve">0204 Workflow Service</w:t>
      </w:r>
    </w:p>
    <w:p>
      <w:pPr>
        <w:pStyle w:val="BodyText"/>
      </w:pPr>
      <w:r>
        <w:t xml:space="preserve">0205 Capability Registry Service</w:t>
      </w:r>
    </w:p>
    <w:p>
      <w:pPr>
        <w:pStyle w:val="BodyText"/>
      </w:pPr>
      <w:r>
        <w:t xml:space="preserve">0206 Identity Service</w:t>
      </w:r>
    </w:p>
    <w:p>
      <w:pPr>
        <w:pStyle w:val="BodyText"/>
      </w:pPr>
      <w:r>
        <w:t xml:space="preserve">0207 Governance Service</w:t>
      </w:r>
    </w:p>
    <w:p>
      <w:pPr>
        <w:pStyle w:val="BodyText"/>
      </w:pPr>
      <w:r>
        <w:t xml:space="preserve">0208 Search Service</w:t>
      </w:r>
    </w:p>
    <w:p>
      <w:pPr>
        <w:pStyle w:val="BodyText"/>
      </w:pPr>
      <w:r>
        <w:t xml:space="preserve">0209 Configuration Service</w:t>
      </w:r>
    </w:p>
    <w:p>
      <w:pPr>
        <w:pStyle w:val="BodyText"/>
      </w:pPr>
      <w:r>
        <w:t xml:space="preserve">These services constitute the minimum viable KMOS platform.</w:t>
      </w:r>
    </w:p>
    <w:p>
      <w:r>
        <w:pict>
          <v:rect style="width:0;height:1.5pt" o:hralign="center" o:hrstd="t" o:hr="t"/>
        </w:pict>
      </w:r>
    </w:p>
    <w:bookmarkEnd w:id="31"/>
    <w:bookmarkStart w:id="32" w:name="service-ownership"/>
    <w:p>
      <w:pPr>
        <w:pStyle w:val="Heading1"/>
      </w:pPr>
      <w:r>
        <w:t xml:space="preserve">6. Service Ownership</w:t>
      </w:r>
    </w:p>
    <w:p>
      <w:pPr>
        <w:pStyle w:val="FirstParagraph"/>
      </w:pPr>
      <w:r>
        <w:t xml:space="preserve">Each service SHALL own exactly one canonical business responsibility.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Knowledge Service</w:t>
      </w:r>
    </w:p>
    <w:p>
      <w:pPr>
        <w:pStyle w:val="BodyText"/>
      </w:pPr>
      <w:r>
        <w:t xml:space="preserve">Owns Knowledge Objects.</w:t>
      </w:r>
    </w:p>
    <w:p>
      <w:pPr>
        <w:pStyle w:val="BodyText"/>
      </w:pPr>
      <w:r>
        <w:t xml:space="preserve">Asset Registry</w:t>
      </w:r>
    </w:p>
    <w:p>
      <w:pPr>
        <w:pStyle w:val="BodyText"/>
      </w:pPr>
      <w:r>
        <w:t xml:space="preserve">Owns Assets.</w:t>
      </w:r>
    </w:p>
    <w:p>
      <w:pPr>
        <w:pStyle w:val="BodyText"/>
      </w:pPr>
      <w:r>
        <w:t xml:space="preserve">Identity Service</w:t>
      </w:r>
    </w:p>
    <w:p>
      <w:pPr>
        <w:pStyle w:val="BodyText"/>
      </w:pPr>
      <w:r>
        <w:t xml:space="preserve">Owns Identities.</w:t>
      </w:r>
    </w:p>
    <w:p>
      <w:pPr>
        <w:pStyle w:val="BodyText"/>
      </w:pPr>
      <w:r>
        <w:t xml:space="preserve">Workflow Service</w:t>
      </w:r>
    </w:p>
    <w:p>
      <w:pPr>
        <w:pStyle w:val="BodyText"/>
      </w:pPr>
      <w:r>
        <w:t xml:space="preserve">Owns Workflow Definitions and Executions.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Owns Capability Metadata.</w:t>
      </w:r>
    </w:p>
    <w:p>
      <w:pPr>
        <w:pStyle w:val="BodyText"/>
      </w:pPr>
      <w:r>
        <w:t xml:space="preserve">Ownership SHALL be explicit.</w:t>
      </w:r>
    </w:p>
    <w:p>
      <w:r>
        <w:pict>
          <v:rect style="width:0;height:1.5pt" o:hralign="center" o:hrstd="t" o:hr="t"/>
        </w:pict>
      </w:r>
    </w:p>
    <w:bookmarkEnd w:id="32"/>
    <w:bookmarkStart w:id="33" w:name="service-communication"/>
    <w:p>
      <w:pPr>
        <w:pStyle w:val="Heading1"/>
      </w:pPr>
      <w:r>
        <w:t xml:space="preserve">7. Service Communication</w:t>
      </w:r>
    </w:p>
    <w:p>
      <w:pPr>
        <w:pStyle w:val="FirstParagraph"/>
      </w:pPr>
      <w:r>
        <w:t xml:space="preserve">Services SHALL communicate using:</w:t>
      </w:r>
    </w:p>
    <w:p>
      <w:pPr>
        <w:pStyle w:val="BodyText"/>
      </w:pPr>
      <w:r>
        <w:t xml:space="preserve">Canonical Events</w:t>
      </w:r>
    </w:p>
    <w:p>
      <w:pPr>
        <w:pStyle w:val="BodyText"/>
      </w:pPr>
      <w:r>
        <w:t xml:space="preserve">Business APIs</w:t>
      </w:r>
    </w:p>
    <w:p>
      <w:pPr>
        <w:pStyle w:val="BodyText"/>
      </w:pPr>
      <w:r>
        <w:t xml:space="preserve">Canonical Object References</w:t>
      </w:r>
    </w:p>
    <w:p>
      <w:pPr>
        <w:pStyle w:val="BodyText"/>
      </w:pPr>
      <w:r>
        <w:t xml:space="preserve">Direct database sharing between services SHALL NOT occur.</w:t>
      </w:r>
    </w:p>
    <w:p>
      <w:pPr>
        <w:pStyle w:val="BodyText"/>
      </w:pPr>
      <w:r>
        <w:t xml:space="preserve">Shared databases SHALL NOT establish ownership.</w:t>
      </w:r>
    </w:p>
    <w:p>
      <w:r>
        <w:pict>
          <v:rect style="width:0;height:1.5pt" o:hralign="center" o:hrstd="t" o:hr="t"/>
        </w:pict>
      </w:r>
    </w:p>
    <w:bookmarkEnd w:id="33"/>
    <w:bookmarkStart w:id="34" w:name="data-ownership"/>
    <w:p>
      <w:pPr>
        <w:pStyle w:val="Heading1"/>
      </w:pPr>
      <w:r>
        <w:t xml:space="preserve">8. Data Ownership</w:t>
      </w:r>
    </w:p>
    <w:p>
      <w:pPr>
        <w:pStyle w:val="FirstParagraph"/>
      </w:pPr>
      <w:r>
        <w:t xml:space="preserve">Every canonical object SHALL have one authoritative service owner.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Knowledge Objects</w:t>
      </w:r>
    </w:p>
    <w:p>
      <w:pPr>
        <w:pStyle w:val="BodyText"/>
      </w:pPr>
      <w:r>
        <w:t xml:space="preserve">Knowledge Service.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Asset Registry.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Capability Registry.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Event Service.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Identity Service.</w:t>
      </w:r>
    </w:p>
    <w:p>
      <w:pPr>
        <w:pStyle w:val="BodyText"/>
      </w:pPr>
      <w:r>
        <w:t xml:space="preserve">Governance Records</w:t>
      </w:r>
    </w:p>
    <w:p>
      <w:pPr>
        <w:pStyle w:val="BodyText"/>
      </w:pPr>
      <w:r>
        <w:t xml:space="preserve">Governance Service.</w:t>
      </w:r>
    </w:p>
    <w:p>
      <w:pPr>
        <w:pStyle w:val="BodyText"/>
      </w:pPr>
      <w:r>
        <w:t xml:space="preserve">No service SHALL directly modify another service’s authoritative data.</w:t>
      </w:r>
    </w:p>
    <w:p>
      <w:r>
        <w:pict>
          <v:rect style="width:0;height:1.5pt" o:hralign="center" o:hrstd="t" o:hr="t"/>
        </w:pict>
      </w:r>
    </w:p>
    <w:bookmarkEnd w:id="34"/>
    <w:bookmarkStart w:id="35" w:name="service-contracts"/>
    <w:p>
      <w:pPr>
        <w:pStyle w:val="Heading1"/>
      </w:pPr>
      <w:r>
        <w:t xml:space="preserve">9. Service Contracts</w:t>
      </w:r>
    </w:p>
    <w:p>
      <w:pPr>
        <w:pStyle w:val="FirstParagraph"/>
      </w:pPr>
      <w:r>
        <w:t xml:space="preserve">Every platform service SHALL publish:</w:t>
      </w:r>
    </w:p>
    <w:p>
      <w:pPr>
        <w:pStyle w:val="BodyText"/>
      </w:pPr>
      <w:r>
        <w:t xml:space="preserve">Business APIs</w:t>
      </w:r>
    </w:p>
    <w:p>
      <w:pPr>
        <w:pStyle w:val="BodyText"/>
      </w:pPr>
      <w:r>
        <w:t xml:space="preserve">Consumed Events</w:t>
      </w:r>
    </w:p>
    <w:p>
      <w:pPr>
        <w:pStyle w:val="BodyText"/>
      </w:pPr>
      <w:r>
        <w:t xml:space="preserve">Published Events</w:t>
      </w:r>
    </w:p>
    <w:p>
      <w:pPr>
        <w:pStyle w:val="BodyText"/>
      </w:pPr>
      <w:r>
        <w:t xml:space="preserve">Canonical Objects</w:t>
      </w:r>
    </w:p>
    <w:p>
      <w:pPr>
        <w:pStyle w:val="BodyText"/>
      </w:pPr>
      <w:r>
        <w:t xml:space="preserve">Supported Operations</w:t>
      </w:r>
    </w:p>
    <w:p>
      <w:pPr>
        <w:pStyle w:val="BodyText"/>
      </w:pPr>
      <w:r>
        <w:t xml:space="preserve">Health Information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Contracts SHALL remain implementation independent.</w:t>
      </w:r>
    </w:p>
    <w:p>
      <w:r>
        <w:pict>
          <v:rect style="width:0;height:1.5pt" o:hralign="center" o:hrstd="t" o:hr="t"/>
        </w:pict>
      </w:r>
    </w:p>
    <w:bookmarkEnd w:id="35"/>
    <w:bookmarkStart w:id="36" w:name="runtime-independence"/>
    <w:p>
      <w:pPr>
        <w:pStyle w:val="Heading1"/>
      </w:pPr>
      <w:r>
        <w:t xml:space="preserve">10. Runtime Independence</w:t>
      </w:r>
    </w:p>
    <w:p>
      <w:pPr>
        <w:pStyle w:val="FirstParagraph"/>
      </w:pPr>
      <w:r>
        <w:t xml:space="preserve">Every service SHALL support:</w:t>
      </w:r>
    </w:p>
    <w:p>
      <w:pPr>
        <w:pStyle w:val="BodyText"/>
      </w:pPr>
      <w:r>
        <w:t xml:space="preserve">Independent Deployment</w:t>
      </w:r>
    </w:p>
    <w:p>
      <w:pPr>
        <w:pStyle w:val="BodyText"/>
      </w:pPr>
      <w:r>
        <w:t xml:space="preserve">Independent Scaling</w:t>
      </w:r>
    </w:p>
    <w:p>
      <w:pPr>
        <w:pStyle w:val="BodyText"/>
      </w:pPr>
      <w:r>
        <w:t xml:space="preserve">Independent Recovery</w:t>
      </w:r>
    </w:p>
    <w:p>
      <w:pPr>
        <w:pStyle w:val="BodyText"/>
      </w:pPr>
      <w:r>
        <w:t xml:space="preserve">Independent Versioning</w:t>
      </w:r>
    </w:p>
    <w:p>
      <w:pPr>
        <w:pStyle w:val="BodyText"/>
      </w:pPr>
      <w:r>
        <w:t xml:space="preserve">Independent Monitoring</w:t>
      </w:r>
    </w:p>
    <w:p>
      <w:pPr>
        <w:pStyle w:val="BodyText"/>
      </w:pPr>
      <w:r>
        <w:t xml:space="preserve">Independent Testing</w:t>
      </w:r>
    </w:p>
    <w:p>
      <w:pPr>
        <w:pStyle w:val="BodyText"/>
      </w:pPr>
      <w:r>
        <w:t xml:space="preserve">Service independence improves platform resilience.</w:t>
      </w:r>
    </w:p>
    <w:p>
      <w:r>
        <w:pict>
          <v:rect style="width:0;height:1.5pt" o:hralign="center" o:hrstd="t" o:hr="t"/>
        </w:pict>
      </w:r>
    </w:p>
    <w:bookmarkEnd w:id="36"/>
    <w:bookmarkStart w:id="37" w:name="event-participation"/>
    <w:p>
      <w:pPr>
        <w:pStyle w:val="Heading1"/>
      </w:pPr>
      <w:r>
        <w:t xml:space="preserve">11. Event Participation</w:t>
      </w:r>
    </w:p>
    <w:p>
      <w:pPr>
        <w:pStyle w:val="FirstParagraph"/>
      </w:pPr>
      <w:r>
        <w:t xml:space="preserve">Every service SHALL:</w:t>
      </w:r>
    </w:p>
    <w:p>
      <w:pPr>
        <w:pStyle w:val="BodyText"/>
      </w:pPr>
      <w:r>
        <w:t xml:space="preserve">Publish Events</w:t>
      </w:r>
    </w:p>
    <w:p>
      <w:pPr>
        <w:pStyle w:val="BodyText"/>
      </w:pPr>
      <w:r>
        <w:t xml:space="preserve">Consume Events</w:t>
      </w:r>
    </w:p>
    <w:p>
      <w:pPr>
        <w:pStyle w:val="BodyText"/>
      </w:pPr>
      <w:r>
        <w:t xml:space="preserve">Record Event Lineage</w:t>
      </w:r>
    </w:p>
    <w:p>
      <w:pPr>
        <w:pStyle w:val="BodyText"/>
      </w:pPr>
      <w:r>
        <w:t xml:space="preserve">Support Replay</w:t>
      </w:r>
    </w:p>
    <w:p>
      <w:pPr>
        <w:pStyle w:val="BodyText"/>
      </w:pPr>
      <w:r>
        <w:t xml:space="preserve">Support Observability</w:t>
      </w:r>
    </w:p>
    <w:p>
      <w:pPr>
        <w:pStyle w:val="BodyText"/>
      </w:pPr>
      <w:r>
        <w:t xml:space="preserve">Events remain the primary coordination mechanism.</w:t>
      </w:r>
    </w:p>
    <w:p>
      <w:r>
        <w:pict>
          <v:rect style="width:0;height:1.5pt" o:hralign="center" o:hrstd="t" o:hr="t"/>
        </w:pict>
      </w:r>
    </w:p>
    <w:bookmarkEnd w:id="37"/>
    <w:bookmarkStart w:id="38" w:name="security-responsibilities"/>
    <w:p>
      <w:pPr>
        <w:pStyle w:val="Heading1"/>
      </w:pPr>
      <w:r>
        <w:t xml:space="preserve">12. Security Responsibilities</w:t>
      </w:r>
    </w:p>
    <w:p>
      <w:pPr>
        <w:pStyle w:val="FirstParagraph"/>
      </w:pPr>
      <w:r>
        <w:t xml:space="preserve">Every service SHALL support: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Policy Enforcement</w:t>
      </w:r>
    </w:p>
    <w:p>
      <w:pPr>
        <w:pStyle w:val="BodyText"/>
      </w:pPr>
      <w:r>
        <w:t xml:space="preserve">Secret Management</w:t>
      </w:r>
    </w:p>
    <w:p>
      <w:pPr>
        <w:pStyle w:val="BodyText"/>
      </w:pPr>
      <w:r>
        <w:t xml:space="preserve">Security SHALL integrate with KMOS-0190.</w:t>
      </w:r>
    </w:p>
    <w:p>
      <w:r>
        <w:pict>
          <v:rect style="width:0;height:1.5pt" o:hralign="center" o:hrstd="t" o:hr="t"/>
        </w:pict>
      </w:r>
    </w:p>
    <w:bookmarkEnd w:id="38"/>
    <w:bookmarkStart w:id="39" w:name="observability"/>
    <w:p>
      <w:pPr>
        <w:pStyle w:val="Heading1"/>
      </w:pPr>
      <w:r>
        <w:t xml:space="preserve">13. Observability</w:t>
      </w:r>
    </w:p>
    <w:p>
      <w:pPr>
        <w:pStyle w:val="FirstParagraph"/>
      </w:pPr>
      <w:r>
        <w:t xml:space="preserve">Every service SHALL publish:</w:t>
      </w:r>
    </w:p>
    <w:p>
      <w:pPr>
        <w:pStyle w:val="BodyText"/>
      </w:pPr>
      <w:r>
        <w:t xml:space="preserve">Health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Structured Logs</w:t>
      </w:r>
    </w:p>
    <w:p>
      <w:pPr>
        <w:pStyle w:val="BodyText"/>
      </w:pPr>
      <w:r>
        <w:t xml:space="preserve">Distributed Traces</w:t>
      </w:r>
    </w:p>
    <w:p>
      <w:pPr>
        <w:pStyle w:val="BodyText"/>
      </w:pPr>
      <w:r>
        <w:t xml:space="preserve">Business Events</w:t>
      </w:r>
    </w:p>
    <w:p>
      <w:pPr>
        <w:pStyle w:val="BodyText"/>
      </w:pPr>
      <w:r>
        <w:t xml:space="preserve">Operational Events</w:t>
      </w:r>
    </w:p>
    <w:p>
      <w:pPr>
        <w:pStyle w:val="BodyText"/>
      </w:pPr>
      <w:r>
        <w:t xml:space="preserve">Resource Usage</w:t>
      </w:r>
    </w:p>
    <w:p>
      <w:pPr>
        <w:pStyle w:val="BodyText"/>
      </w:pPr>
      <w:r>
        <w:t xml:space="preserve">Observability SHALL support platform-wide diagnostics.</w:t>
      </w:r>
    </w:p>
    <w:p>
      <w:r>
        <w:pict>
          <v:rect style="width:0;height:1.5pt" o:hralign="center" o:hrstd="t" o:hr="t"/>
        </w:pict>
      </w:r>
    </w:p>
    <w:bookmarkEnd w:id="39"/>
    <w:bookmarkStart w:id="40" w:name="scalability"/>
    <w:p>
      <w:pPr>
        <w:pStyle w:val="Heading1"/>
      </w:pPr>
      <w:r>
        <w:t xml:space="preserve">14. Scalability</w:t>
      </w:r>
    </w:p>
    <w:p>
      <w:pPr>
        <w:pStyle w:val="FirstParagraph"/>
      </w:pPr>
      <w:r>
        <w:t xml:space="preserve">Services SHALL scale independently.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Knowledge Service</w:t>
      </w:r>
    </w:p>
    <w:p>
      <w:pPr>
        <w:pStyle w:val="BodyText"/>
      </w:pPr>
      <w:r>
        <w:t xml:space="preserve">Scales with semantic workload.</w:t>
      </w:r>
    </w:p>
    <w:p>
      <w:pPr>
        <w:pStyle w:val="BodyText"/>
      </w:pPr>
      <w:r>
        <w:t xml:space="preserve">Workflow Service</w:t>
      </w:r>
    </w:p>
    <w:p>
      <w:pPr>
        <w:pStyle w:val="BodyText"/>
      </w:pPr>
      <w:r>
        <w:t xml:space="preserve">Scales with orchestration workload.</w:t>
      </w:r>
    </w:p>
    <w:p>
      <w:pPr>
        <w:pStyle w:val="BodyText"/>
      </w:pPr>
      <w:r>
        <w:t xml:space="preserve">Search Service</w:t>
      </w:r>
    </w:p>
    <w:p>
      <w:pPr>
        <w:pStyle w:val="BodyText"/>
      </w:pPr>
      <w:r>
        <w:t xml:space="preserve">Scales with query workload.</w:t>
      </w:r>
    </w:p>
    <w:p>
      <w:pPr>
        <w:pStyle w:val="BodyText"/>
      </w:pPr>
      <w:r>
        <w:t xml:space="preserve">Capability Runtime</w:t>
      </w:r>
    </w:p>
    <w:p>
      <w:pPr>
        <w:pStyle w:val="BodyText"/>
      </w:pPr>
      <w:r>
        <w:t xml:space="preserve">Scales with processing workload.</w:t>
      </w:r>
    </w:p>
    <w:p>
      <w:pPr>
        <w:pStyle w:val="BodyText"/>
      </w:pPr>
      <w:r>
        <w:t xml:space="preserve">Scaling SHALL follow business demand.</w:t>
      </w:r>
    </w:p>
    <w:p>
      <w:r>
        <w:pict>
          <v:rect style="width:0;height:1.5pt" o:hralign="center" o:hrstd="t" o:hr="t"/>
        </w:pict>
      </w:r>
    </w:p>
    <w:bookmarkEnd w:id="40"/>
    <w:bookmarkStart w:id="41" w:name="high-availability"/>
    <w:p>
      <w:pPr>
        <w:pStyle w:val="Heading1"/>
      </w:pPr>
      <w:r>
        <w:t xml:space="preserve">15. High Availability</w:t>
      </w:r>
    </w:p>
    <w:p>
      <w:pPr>
        <w:pStyle w:val="FirstParagraph"/>
      </w:pPr>
      <w:r>
        <w:t xml:space="preserve">Reference implementations SHOULD support:</w:t>
      </w:r>
    </w:p>
    <w:p>
      <w:pPr>
        <w:pStyle w:val="BodyText"/>
      </w:pPr>
      <w:r>
        <w:t xml:space="preserve">Redundancy</w:t>
      </w:r>
    </w:p>
    <w:p>
      <w:pPr>
        <w:pStyle w:val="BodyText"/>
      </w:pPr>
      <w:r>
        <w:t xml:space="preserve">Automatic Recovery</w:t>
      </w:r>
    </w:p>
    <w:p>
      <w:pPr>
        <w:pStyle w:val="BodyText"/>
      </w:pPr>
      <w:r>
        <w:t xml:space="preserve">Health Monitoring</w:t>
      </w:r>
    </w:p>
    <w:p>
      <w:pPr>
        <w:pStyle w:val="BodyText"/>
      </w:pPr>
      <w:r>
        <w:t xml:space="preserve">Graceful Degradation</w:t>
      </w:r>
    </w:p>
    <w:p>
      <w:pPr>
        <w:pStyle w:val="BodyText"/>
      </w:pPr>
      <w:r>
        <w:t xml:space="preserve">Rolling Upgrades</w:t>
      </w:r>
    </w:p>
    <w:p>
      <w:pPr>
        <w:pStyle w:val="BodyText"/>
      </w:pPr>
      <w:r>
        <w:t xml:space="preserve">Failure Isolation</w:t>
      </w:r>
    </w:p>
    <w:p>
      <w:pPr>
        <w:pStyle w:val="BodyText"/>
      </w:pPr>
      <w:r>
        <w:t xml:space="preserve">Business continuity SHALL take precedence over infrastructure optimization.</w:t>
      </w:r>
    </w:p>
    <w:p>
      <w:r>
        <w:pict>
          <v:rect style="width:0;height:1.5pt" o:hralign="center" o:hrstd="t" o:hr="t"/>
        </w:pict>
      </w:r>
    </w:p>
    <w:bookmarkEnd w:id="41"/>
    <w:bookmarkStart w:id="42" w:name="failure-boundaries"/>
    <w:p>
      <w:pPr>
        <w:pStyle w:val="Heading1"/>
      </w:pPr>
      <w:r>
        <w:t xml:space="preserve">16. Failure Boundaries</w:t>
      </w:r>
    </w:p>
    <w:p>
      <w:pPr>
        <w:pStyle w:val="FirstParagraph"/>
      </w:pPr>
      <w:r>
        <w:t xml:space="preserve">Failures SHALL remain localized.</w:t>
      </w:r>
    </w:p>
    <w:p>
      <w:pPr>
        <w:pStyle w:val="BodyText"/>
      </w:pPr>
      <w:r>
        <w:t xml:space="preserve">Failure of:</w:t>
      </w:r>
    </w:p>
    <w:p>
      <w:pPr>
        <w:pStyle w:val="BodyText"/>
      </w:pPr>
      <w:r>
        <w:t xml:space="preserve">Rendering</w:t>
      </w:r>
    </w:p>
    <w:p>
      <w:pPr>
        <w:pStyle w:val="BodyText"/>
      </w:pPr>
      <w:r>
        <w:t xml:space="preserve">SHALL NOT interrupt</w:t>
      </w:r>
    </w:p>
    <w:p>
      <w:pPr>
        <w:pStyle w:val="BodyText"/>
      </w:pPr>
      <w:r>
        <w:t xml:space="preserve">Knowledge Management.</w:t>
      </w:r>
    </w:p>
    <w:p>
      <w:pPr>
        <w:pStyle w:val="BodyText"/>
      </w:pPr>
      <w:r>
        <w:t xml:space="preserve">Failure of: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SHALL NOT interrupt</w:t>
      </w:r>
    </w:p>
    <w:p>
      <w:pPr>
        <w:pStyle w:val="BodyText"/>
      </w:pPr>
      <w:r>
        <w:t xml:space="preserve">Workflow Execution.</w:t>
      </w:r>
    </w:p>
    <w:p>
      <w:pPr>
        <w:pStyle w:val="BodyText"/>
      </w:pPr>
      <w:r>
        <w:t xml:space="preserve">Service isolation SHALL minimize cascading failures.</w:t>
      </w:r>
    </w:p>
    <w:p>
      <w:r>
        <w:pict>
          <v:rect style="width:0;height:1.5pt" o:hralign="center" o:hrstd="t" o:hr="t"/>
        </w:pict>
      </w:r>
    </w:p>
    <w:bookmarkEnd w:id="42"/>
    <w:bookmarkStart w:id="43" w:name="deployment-model"/>
    <w:p>
      <w:pPr>
        <w:pStyle w:val="Heading1"/>
      </w:pPr>
      <w:r>
        <w:t xml:space="preserve">17. Deployment Model</w:t>
      </w:r>
    </w:p>
    <w:p>
      <w:pPr>
        <w:pStyle w:val="FirstParagraph"/>
      </w:pPr>
      <w:r>
        <w:t xml:space="preserve">Services MAY be deployed:</w:t>
      </w:r>
    </w:p>
    <w:p>
      <w:pPr>
        <w:pStyle w:val="BodyText"/>
      </w:pPr>
      <w:r>
        <w:t xml:space="preserve">Monolith (Development)</w:t>
      </w:r>
    </w:p>
    <w:p>
      <w:pPr>
        <w:pStyle w:val="BodyText"/>
      </w:pPr>
      <w:r>
        <w:t xml:space="preserve">Modular Monolith</w:t>
      </w:r>
    </w:p>
    <w:p>
      <w:pPr>
        <w:pStyle w:val="BodyText"/>
      </w:pPr>
      <w:r>
        <w:t xml:space="preserve">Containers</w:t>
      </w:r>
    </w:p>
    <w:p>
      <w:pPr>
        <w:pStyle w:val="BodyText"/>
      </w:pPr>
      <w:r>
        <w:t xml:space="preserve">Kubernetes</w:t>
      </w:r>
    </w:p>
    <w:p>
      <w:pPr>
        <w:pStyle w:val="BodyText"/>
      </w:pPr>
      <w:r>
        <w:t xml:space="preserve">Edge</w:t>
      </w:r>
    </w:p>
    <w:p>
      <w:pPr>
        <w:pStyle w:val="BodyText"/>
      </w:pPr>
      <w:r>
        <w:t xml:space="preserve">Cloud</w:t>
      </w:r>
    </w:p>
    <w:p>
      <w:pPr>
        <w:pStyle w:val="BodyText"/>
      </w:pPr>
      <w:r>
        <w:t xml:space="preserve">Hybrid</w:t>
      </w:r>
    </w:p>
    <w:p>
      <w:pPr>
        <w:pStyle w:val="BodyText"/>
      </w:pPr>
      <w:r>
        <w:t xml:space="preserve">Federated</w:t>
      </w:r>
    </w:p>
    <w:p>
      <w:pPr>
        <w:pStyle w:val="BodyText"/>
      </w:pPr>
      <w:r>
        <w:t xml:space="preserve">Logical architecture SHALL remain unchanged.</w:t>
      </w:r>
    </w:p>
    <w:p>
      <w:r>
        <w:pict>
          <v:rect style="width:0;height:1.5pt" o:hralign="center" o:hrstd="t" o:hr="t"/>
        </w:pict>
      </w:r>
    </w:p>
    <w:bookmarkEnd w:id="43"/>
    <w:bookmarkStart w:id="44" w:name="platform-conformance"/>
    <w:p>
      <w:pPr>
        <w:pStyle w:val="Heading1"/>
      </w:pPr>
      <w:r>
        <w:t xml:space="preserve">18. Platform Conformance</w:t>
      </w:r>
    </w:p>
    <w:p>
      <w:pPr>
        <w:pStyle w:val="FirstParagraph"/>
      </w:pPr>
      <w:r>
        <w:t xml:space="preserve">A platform claiming KMOS compliance SHALL implement:</w:t>
      </w:r>
    </w:p>
    <w:p>
      <w:pPr>
        <w:pStyle w:val="BodyText"/>
      </w:pPr>
      <w:r>
        <w:t xml:space="preserve">Knowledge Service</w:t>
      </w:r>
    </w:p>
    <w:p>
      <w:pPr>
        <w:pStyle w:val="BodyText"/>
      </w:pPr>
      <w:r>
        <w:t xml:space="preserve">Asset Registry</w:t>
      </w:r>
    </w:p>
    <w:p>
      <w:pPr>
        <w:pStyle w:val="BodyText"/>
      </w:pPr>
      <w:r>
        <w:t xml:space="preserve">Workflow Service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Identity Service</w:t>
      </w:r>
    </w:p>
    <w:p>
      <w:pPr>
        <w:pStyle w:val="BodyText"/>
      </w:pPr>
      <w:r>
        <w:t xml:space="preserve">Governance Service</w:t>
      </w:r>
    </w:p>
    <w:p>
      <w:pPr>
        <w:pStyle w:val="BodyText"/>
      </w:pPr>
      <w:r>
        <w:t xml:space="preserve">Configuration Service</w:t>
      </w:r>
    </w:p>
    <w:p>
      <w:pPr>
        <w:pStyle w:val="BodyText"/>
      </w:pPr>
      <w:r>
        <w:t xml:space="preserve">Event Service</w:t>
      </w:r>
    </w:p>
    <w:p>
      <w:pPr>
        <w:pStyle w:val="BodyText"/>
      </w:pPr>
      <w:r>
        <w:t xml:space="preserve">These services constitute the canonical platform core.</w:t>
      </w:r>
    </w:p>
    <w:p>
      <w:pPr>
        <w:pStyle w:val="BodyText"/>
      </w:pPr>
      <w:r>
        <w:t xml:space="preserve">Additional services MAY be introduced.</w:t>
      </w:r>
    </w:p>
    <w:p>
      <w:r>
        <w:pict>
          <v:rect style="width:0;height:1.5pt" o:hralign="center" o:hrstd="t" o:hr="t"/>
        </w:pict>
      </w:r>
    </w:p>
    <w:bookmarkEnd w:id="44"/>
    <w:bookmarkStart w:id="45" w:name="reality-check"/>
    <w:p>
      <w:pPr>
        <w:pStyle w:val="Heading1"/>
      </w:pPr>
      <w:r>
        <w:t xml:space="preserve">19. Reality Check</w:t>
      </w:r>
    </w:p>
    <w:p>
      <w:pPr>
        <w:pStyle w:val="FirstParagraph"/>
      </w:pPr>
      <w:r>
        <w:t xml:space="preserve">This section documents implementation maturity.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560"/>
        <w:gridCol w:w="22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 Service</w:t>
            </w:r>
          </w:p>
        </w:tc>
        <w:tc>
          <w:tcPr/>
          <w:p>
            <w:pPr>
              <w:pStyle w:val="Compact"/>
            </w:pPr>
            <w:r>
              <w:t xml:space="preserve">Proven Today</w:t>
            </w:r>
          </w:p>
        </w:tc>
        <w:tc>
          <w:tcPr/>
          <w:p>
            <w:pPr>
              <w:pStyle w:val="Compact"/>
            </w:pPr>
            <w:r>
              <w:t xml:space="preserve">Existing Evidence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Registry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Media Pipeline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Orchestration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Media Pipeline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Composition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AIMPOS / Media Pipeline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Existing governance phases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Transcript-centric processing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Service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Existing pipeline events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Registry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Capability catalog concepts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Service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Existing authentication patterns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Service</w:t>
            </w:r>
          </w:p>
        </w:tc>
        <w:tc>
          <w:tcPr/>
          <w:p>
            <w:pPr>
              <w:pStyle w:val="Compact"/>
            </w:pPr>
            <w:r>
              <w:t xml:space="preserve">Early</w:t>
            </w:r>
          </w:p>
        </w:tc>
        <w:tc>
          <w:tcPr/>
          <w:p>
            <w:pPr>
              <w:pStyle w:val="Compact"/>
            </w:pPr>
            <w:r>
              <w:t xml:space="preserve">Catalog-first work</w:t>
            </w:r>
          </w:p>
        </w:tc>
        <w:tc>
          <w:tcPr/>
          <w:p>
            <w:pPr>
              <w:pStyle w:val="Compact"/>
            </w:pPr>
            <w:r>
              <w:t xml:space="preserve">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Service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Existing configuration management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</w:tbl>
    <w:p>
      <w:pPr>
        <w:pStyle w:val="BodyText"/>
      </w:pPr>
      <w:r>
        <w:t xml:space="preserve">This table SHALL be maintained throughout implementation to ensure that KMOS evolves from validated engineering practices rather than theoretical assumptions.</w:t>
      </w:r>
    </w:p>
    <w:p>
      <w:r>
        <w:pict>
          <v:rect style="width:0;height:1.5pt" o:hralign="center" o:hrstd="t" o:hr="t"/>
        </w:pict>
      </w:r>
    </w:p>
    <w:bookmarkEnd w:id="45"/>
    <w:bookmarkStart w:id="46" w:name="relationship-to-previous-specifications"/>
    <w:p>
      <w:pPr>
        <w:pStyle w:val="Heading1"/>
      </w:pPr>
      <w:r>
        <w:t xml:space="preserve">20. Relationship to Previous Specifications</w:t>
      </w:r>
    </w:p>
    <w:p>
      <w:pPr>
        <w:pStyle w:val="FirstParagraph"/>
      </w:pPr>
      <w:r>
        <w:t xml:space="preserve">KMOS-0001 through KMOS-0010 defined the architectural vision.</w:t>
      </w:r>
    </w:p>
    <w:p>
      <w:pPr>
        <w:pStyle w:val="BodyText"/>
      </w:pPr>
      <w:r>
        <w:t xml:space="preserve">KMOS-0100 through KMOS-0190 defined the engineering standards.</w:t>
      </w:r>
    </w:p>
    <w:p>
      <w:pPr>
        <w:pStyle w:val="BodyText"/>
      </w:pPr>
      <w:r>
        <w:t xml:space="preserve">KMOS-0200 establishes the concrete platform service architecture through which those standards are implemented.</w:t>
      </w:r>
    </w:p>
    <w:p>
      <w:pPr>
        <w:pStyle w:val="BodyText"/>
      </w:pPr>
      <w:r>
        <w:t xml:space="preserve">Every subsequent service specification SHALL conform to this architecture.</w:t>
      </w:r>
    </w:p>
    <w:p>
      <w:r>
        <w:pict>
          <v:rect style="width:0;height:1.5pt" o:hralign="center" o:hrstd="t" o:hr="t"/>
        </w:pict>
      </w:r>
    </w:p>
    <w:bookmarkEnd w:id="46"/>
    <w:bookmarkStart w:id="47" w:name="architectural-consequences"/>
    <w:p>
      <w:pPr>
        <w:pStyle w:val="Heading1"/>
      </w:pPr>
      <w:r>
        <w:t xml:space="preserve">21. Architectural Consequences</w:t>
      </w:r>
    </w:p>
    <w:p>
      <w:pPr>
        <w:pStyle w:val="FirstParagraph"/>
      </w:pPr>
      <w:r>
        <w:t xml:space="preserve">Because responsibilities are divided into well-defined services:</w:t>
      </w:r>
    </w:p>
    <w:p>
      <w:pPr>
        <w:pStyle w:val="BodyText"/>
      </w:pPr>
      <w:r>
        <w:t xml:space="preserve">Business ownership remains explicit.</w:t>
      </w:r>
    </w:p>
    <w:p>
      <w:pPr>
        <w:pStyle w:val="BodyText"/>
      </w:pPr>
      <w:r>
        <w:t xml:space="preserve">Knowledge remains authoritative.</w:t>
      </w:r>
    </w:p>
    <w:p>
      <w:pPr>
        <w:pStyle w:val="BodyText"/>
      </w:pPr>
      <w:r>
        <w:t xml:space="preserve">Assets remain traceable.</w:t>
      </w:r>
    </w:p>
    <w:p>
      <w:pPr>
        <w:pStyle w:val="BodyText"/>
      </w:pPr>
      <w:r>
        <w:t xml:space="preserve">Capabilities remain reusable.</w:t>
      </w:r>
    </w:p>
    <w:p>
      <w:pPr>
        <w:pStyle w:val="BodyText"/>
      </w:pPr>
      <w:r>
        <w:t xml:space="preserve">Workflows remain declarative.</w:t>
      </w:r>
    </w:p>
    <w:p>
      <w:pPr>
        <w:pStyle w:val="BodyText"/>
      </w:pPr>
      <w:r>
        <w:t xml:space="preserve">Applications remain lightweight.</w:t>
      </w:r>
    </w:p>
    <w:p>
      <w:pPr>
        <w:pStyle w:val="BodyText"/>
      </w:pPr>
      <w:r>
        <w:t xml:space="preserve">Technology remains replaceable.</w:t>
      </w:r>
    </w:p>
    <w:p>
      <w:pPr>
        <w:pStyle w:val="BodyText"/>
      </w:pPr>
      <w:r>
        <w:t xml:space="preserve">Institutional knowledge remains durable.</w:t>
      </w:r>
    </w:p>
    <w:p>
      <w:pPr>
        <w:pStyle w:val="BodyText"/>
      </w:pPr>
      <w:r>
        <w:t xml:space="preserve">The platform evolves through the addition and refinement of services rather than redesigning the architecture.</w:t>
      </w:r>
    </w:p>
    <w:p>
      <w:r>
        <w:pict>
          <v:rect style="width:0;height:1.5pt" o:hralign="center" o:hrstd="t" o:hr="t"/>
        </w:pict>
      </w:r>
    </w:p>
    <w:bookmarkEnd w:id="47"/>
    <w:bookmarkStart w:id="48" w:name="implementation-readiness"/>
    <w:p>
      <w:pPr>
        <w:pStyle w:val="Heading1"/>
      </w:pPr>
      <w:r>
        <w:t xml:space="preserve">22. Implementation Readiness</w:t>
      </w:r>
    </w:p>
    <w:p>
      <w:pPr>
        <w:pStyle w:val="FirstParagraph"/>
      </w:pPr>
      <w:r>
        <w:t xml:space="preserve">A service specification SHALL be considered implementation-ready when it defines:</w:t>
      </w:r>
    </w:p>
    <w:p>
      <w:pPr>
        <w:pStyle w:val="BodyText"/>
      </w:pPr>
      <w:r>
        <w:t xml:space="preserve">Business Responsibilities</w:t>
      </w:r>
    </w:p>
    <w:p>
      <w:pPr>
        <w:pStyle w:val="BodyText"/>
      </w:pPr>
      <w:r>
        <w:t xml:space="preserve">Canonical Objects</w:t>
      </w:r>
    </w:p>
    <w:p>
      <w:pPr>
        <w:pStyle w:val="BodyText"/>
      </w:pPr>
      <w:r>
        <w:t xml:space="preserve">Business APIs</w:t>
      </w:r>
    </w:p>
    <w:p>
      <w:pPr>
        <w:pStyle w:val="BodyText"/>
      </w:pPr>
      <w:r>
        <w:t xml:space="preserve">Published Events</w:t>
      </w:r>
    </w:p>
    <w:p>
      <w:pPr>
        <w:pStyle w:val="BodyText"/>
      </w:pPr>
      <w:r>
        <w:t xml:space="preserve">Consumed Events</w:t>
      </w:r>
    </w:p>
    <w:p>
      <w:pPr>
        <w:pStyle w:val="BodyText"/>
      </w:pPr>
      <w:r>
        <w:t xml:space="preserve">Persistence Model</w:t>
      </w:r>
    </w:p>
    <w:p>
      <w:pPr>
        <w:pStyle w:val="BodyText"/>
      </w:pPr>
      <w:r>
        <w:t xml:space="preserve">Security Requirements</w:t>
      </w:r>
    </w:p>
    <w:p>
      <w:pPr>
        <w:pStyle w:val="BodyText"/>
      </w:pPr>
      <w:r>
        <w:t xml:space="preserve">Operational Requirements</w:t>
      </w:r>
    </w:p>
    <w:p>
      <w:pPr>
        <w:pStyle w:val="BodyText"/>
      </w:pPr>
      <w:r>
        <w:t xml:space="preserve">Scalability Strategy</w:t>
      </w:r>
    </w:p>
    <w:p>
      <w:pPr>
        <w:pStyle w:val="BodyText"/>
      </w:pPr>
      <w:r>
        <w:t xml:space="preserve">Failure Strategy</w:t>
      </w:r>
    </w:p>
    <w:p>
      <w:pPr>
        <w:pStyle w:val="BodyText"/>
      </w:pPr>
      <w:r>
        <w:t xml:space="preserve">Testing Strategy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Reference Implementation Guidance</w:t>
      </w:r>
    </w:p>
    <w:p>
      <w:pPr>
        <w:pStyle w:val="BodyText"/>
      </w:pPr>
      <w:r>
        <w:t xml:space="preserve">Every specification after KMOS-0200 SHALL satisfy these requirements.</w:t>
      </w:r>
    </w:p>
    <w:p>
      <w:r>
        <w:pict>
          <v:rect style="width:0;height:1.5pt" o:hralign="center" o:hrstd="t" o:hr="t"/>
        </w:pict>
      </w:r>
    </w:p>
    <w:bookmarkEnd w:id="48"/>
    <w:bookmarkStart w:id="49" w:name="next-specification"/>
    <w:p>
      <w:pPr>
        <w:pStyle w:val="Heading1"/>
      </w:pPr>
      <w:r>
        <w:t xml:space="preserve">23. Next Specification</w:t>
      </w:r>
    </w:p>
    <w:p>
      <w:pPr>
        <w:pStyle w:val="FirstParagraph"/>
      </w:pPr>
      <w:r>
        <w:t xml:space="preserve">KMOS-0201 defines the</w:t>
      </w:r>
      <w:r>
        <w:t xml:space="preserve"> </w:t>
      </w:r>
      <w:r>
        <w:rPr>
          <w:b/>
          <w:bCs/>
        </w:rPr>
        <w:t xml:space="preserve">Knowledge Service</w:t>
      </w:r>
      <w:r>
        <w:t xml:space="preserve">.</w:t>
      </w:r>
    </w:p>
    <w:p>
      <w:pPr>
        <w:pStyle w:val="BodyText"/>
      </w:pPr>
      <w:r>
        <w:t xml:space="preserve">The Knowledge Service is the semantic core of KMOS.</w:t>
      </w:r>
    </w:p>
    <w:p>
      <w:pPr>
        <w:pStyle w:val="BodyText"/>
      </w:pPr>
      <w:r>
        <w:t xml:space="preserve">It owns all canonical Knowledge Objects, manages relationships, preserves institutional meaning, maintains the Knowledge Graph, and provides the authoritative semantic foundation upon which every other platform service depends.</w:t>
      </w:r>
    </w:p>
    <w:p>
      <w:pPr>
        <w:pStyle w:val="BodyText"/>
      </w:pPr>
      <w:r>
        <w:t xml:space="preserve">KMOS-0201 will be the first service specification intended to be directly implementable by engineering teams and long-running AI coding agents.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2026-06-30T09:05:48Z</dcterms:created>
  <dcterms:modified xsi:type="dcterms:W3CDTF">2026-06-30T09:05:48Z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