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203"/>
    <w:p>
      <w:pPr>
        <w:pStyle w:val="Heading1"/>
      </w:pPr>
      <w:r>
        <w:t xml:space="preserve">KMOS-0203</w:t>
      </w:r>
    </w:p>
    <w:bookmarkEnd w:id="20"/>
    <w:bookmarkStart w:id="21" w:name="Xc2a283431c025783198544b7fc3250fae831b6a"/>
    <w:p>
      <w:pPr>
        <w:pStyle w:val="Heading1"/>
      </w:pPr>
      <w:r>
        <w:t xml:space="preserve">Event Service (Institutional Communication Engine)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Event Service is the authoritative communication engine of the Knowledge &amp; Media Operating System (KMOS).</w:t>
      </w:r>
    </w:p>
    <w:p>
      <w:pPr>
        <w:pStyle w:val="BodyText"/>
      </w:pPr>
      <w:r>
        <w:t xml:space="preserve">Its responsibility is to govern, publish, validate, route, preserve, and replay canonical business events.</w:t>
      </w:r>
    </w:p>
    <w:p>
      <w:pPr>
        <w:pStyle w:val="BodyText"/>
      </w:pPr>
      <w:r>
        <w:t xml:space="preserve">The Event Service SHALL preserve the institutional history of all business activity occurring within KMOS.</w:t>
      </w:r>
    </w:p>
    <w:p>
      <w:pPr>
        <w:pStyle w:val="BodyText"/>
      </w:pPr>
      <w:r>
        <w:t xml:space="preserve">It SHALL NOT be confused with a messaging broker.</w:t>
      </w:r>
    </w:p>
    <w:p>
      <w:pPr>
        <w:pStyle w:val="BodyText"/>
      </w:pPr>
      <w:r>
        <w:t xml:space="preserve">A broker transports messages.</w:t>
      </w:r>
    </w:p>
    <w:p>
      <w:pPr>
        <w:pStyle w:val="BodyText"/>
      </w:pPr>
      <w:r>
        <w:t xml:space="preserve">The Event Service governs institutional communication.</w:t>
      </w:r>
    </w:p>
    <w:p>
      <w:r>
        <w:pict>
          <v:rect style="width:0;height:1.5pt" o:hralign="center" o:hrstd="t" o:hr="t"/>
        </w:pict>
      </w:r>
    </w:p>
    <w:bookmarkEnd w:id="22"/>
    <w:bookmarkStart w:id="23" w:name="mission"/>
    <w:p>
      <w:pPr>
        <w:pStyle w:val="Heading1"/>
      </w:pPr>
      <w:r>
        <w:t xml:space="preserve">2. Mission</w:t>
      </w:r>
    </w:p>
    <w:p>
      <w:pPr>
        <w:pStyle w:val="FirstParagraph"/>
      </w:pPr>
      <w:r>
        <w:t xml:space="preserve">Record every significant business fact that occurs within KMOS.</w:t>
      </w:r>
    </w:p>
    <w:p>
      <w:pPr>
        <w:pStyle w:val="BodyText"/>
      </w:pPr>
      <w:r>
        <w:t xml:space="preserve">Events answer the question:</w:t>
      </w:r>
    </w:p>
    <w:p>
      <w:pPr>
        <w:pStyle w:val="BlockText"/>
      </w:pPr>
      <w:r>
        <w:rPr>
          <w:b/>
          <w:bCs/>
        </w:rPr>
        <w:t xml:space="preserve">“What happened, when did it happen, why did it happen, and what happened because of it?”</w:t>
      </w:r>
    </w:p>
    <w:p>
      <w:r>
        <w:pict>
          <v:rect style="width:0;height:1.5pt" o:hralign="center" o:hrstd="t" o:hr="t"/>
        </w:pict>
      </w:r>
    </w:p>
    <w:bookmarkEnd w:id="23"/>
    <w:bookmarkStart w:id="24" w:name="responsibilities"/>
    <w:p>
      <w:pPr>
        <w:pStyle w:val="Heading1"/>
      </w:pPr>
      <w:r>
        <w:t xml:space="preserve">3. Responsibilities</w:t>
      </w:r>
    </w:p>
    <w:p>
      <w:pPr>
        <w:pStyle w:val="FirstParagraph"/>
      </w:pPr>
      <w:r>
        <w:t xml:space="preserve">The Event Service SHALL own:</w:t>
      </w:r>
    </w:p>
    <w:p>
      <w:pPr>
        <w:pStyle w:val="BodyText"/>
      </w:pPr>
      <w:r>
        <w:t xml:space="preserve">Canonical Event Registry</w:t>
      </w:r>
    </w:p>
    <w:p>
      <w:pPr>
        <w:pStyle w:val="BodyText"/>
      </w:pPr>
      <w:r>
        <w:t xml:space="preserve">Event Schemas</w:t>
      </w:r>
    </w:p>
    <w:p>
      <w:pPr>
        <w:pStyle w:val="BodyText"/>
      </w:pPr>
      <w:r>
        <w:t xml:space="preserve">Event Validation</w:t>
      </w:r>
    </w:p>
    <w:p>
      <w:pPr>
        <w:pStyle w:val="BodyText"/>
      </w:pPr>
      <w:r>
        <w:t xml:space="preserve">Event Publication</w:t>
      </w:r>
    </w:p>
    <w:p>
      <w:pPr>
        <w:pStyle w:val="BodyText"/>
      </w:pPr>
      <w:r>
        <w:t xml:space="preserve">Event Routing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Replay</w:t>
      </w:r>
    </w:p>
    <w:p>
      <w:pPr>
        <w:pStyle w:val="BodyText"/>
      </w:pPr>
      <w:r>
        <w:t xml:space="preserve">Event History</w:t>
      </w:r>
    </w:p>
    <w:p>
      <w:pPr>
        <w:pStyle w:val="BodyText"/>
      </w:pPr>
      <w:r>
        <w:t xml:space="preserve">Correlation</w:t>
      </w:r>
    </w:p>
    <w:p>
      <w:pPr>
        <w:pStyle w:val="BodyText"/>
      </w:pPr>
      <w:r>
        <w:t xml:space="preserve">Causation</w:t>
      </w:r>
    </w:p>
    <w:p>
      <w:pPr>
        <w:pStyle w:val="BodyText"/>
      </w:pPr>
      <w:r>
        <w:t xml:space="preserve">Event Retention</w:t>
      </w:r>
    </w:p>
    <w:p>
      <w:pPr>
        <w:pStyle w:val="BodyText"/>
      </w:pPr>
      <w:r>
        <w:t xml:space="preserve">Dead Letter Processing</w:t>
      </w:r>
    </w:p>
    <w:p>
      <w:pPr>
        <w:pStyle w:val="BodyText"/>
      </w:pPr>
      <w:r>
        <w:t xml:space="preserve">Event Governance</w:t>
      </w:r>
    </w:p>
    <w:p>
      <w:pPr>
        <w:pStyle w:val="BodyText"/>
      </w:pPr>
      <w:r>
        <w:t xml:space="preserve">Event Lineage</w:t>
      </w:r>
    </w:p>
    <w:p>
      <w:pPr>
        <w:pStyle w:val="BodyText"/>
      </w:pPr>
      <w:r>
        <w:t xml:space="preserve">Operational Metrics</w:t>
      </w:r>
    </w:p>
    <w:p>
      <w:r>
        <w:pict>
          <v:rect style="width:0;height:1.5pt" o:hralign="center" o:hrstd="t" o:hr="t"/>
        </w:pict>
      </w:r>
    </w:p>
    <w:bookmarkEnd w:id="24"/>
    <w:bookmarkStart w:id="25" w:name="non-responsibilities"/>
    <w:p>
      <w:pPr>
        <w:pStyle w:val="Heading1"/>
      </w:pPr>
      <w:r>
        <w:t xml:space="preserve">4. Non-Responsibilities</w:t>
      </w:r>
    </w:p>
    <w:p>
      <w:pPr>
        <w:pStyle w:val="FirstParagraph"/>
      </w:pPr>
      <w:r>
        <w:t xml:space="preserve">The Event Service SHALL NOT:</w:t>
      </w:r>
    </w:p>
    <w:p>
      <w:pPr>
        <w:pStyle w:val="BodyText"/>
      </w:pPr>
      <w:r>
        <w:t xml:space="preserve">Execute business logic</w:t>
      </w:r>
    </w:p>
    <w:p>
      <w:pPr>
        <w:pStyle w:val="BodyText"/>
      </w:pPr>
      <w:r>
        <w:t xml:space="preserve">Coordinate workflows</w:t>
      </w:r>
    </w:p>
    <w:p>
      <w:pPr>
        <w:pStyle w:val="BodyText"/>
      </w:pPr>
      <w:r>
        <w:t xml:space="preserve">Store Knowledge Objects</w:t>
      </w:r>
    </w:p>
    <w:p>
      <w:pPr>
        <w:pStyle w:val="BodyText"/>
      </w:pPr>
      <w:r>
        <w:t xml:space="preserve">Store Assets</w:t>
      </w:r>
    </w:p>
    <w:p>
      <w:pPr>
        <w:pStyle w:val="BodyText"/>
      </w:pPr>
      <w:r>
        <w:t xml:space="preserve">Authenticate users</w:t>
      </w:r>
    </w:p>
    <w:p>
      <w:pPr>
        <w:pStyle w:val="BodyText"/>
      </w:pPr>
      <w:r>
        <w:t xml:space="preserve">Run AI models</w:t>
      </w:r>
    </w:p>
    <w:p>
      <w:pPr>
        <w:pStyle w:val="BodyText"/>
      </w:pPr>
      <w:r>
        <w:t xml:space="preserve">Render media</w:t>
      </w:r>
    </w:p>
    <w:p>
      <w:pPr>
        <w:pStyle w:val="BodyText"/>
      </w:pPr>
      <w:r>
        <w:t xml:space="preserve">Maintain search indexes</w:t>
      </w:r>
    </w:p>
    <w:p>
      <w:pPr>
        <w:pStyle w:val="BodyText"/>
      </w:pPr>
      <w:r>
        <w:t xml:space="preserve">Business work belongs to Capabilities.</w:t>
      </w:r>
    </w:p>
    <w:p>
      <w:pPr>
        <w:pStyle w:val="BodyText"/>
      </w:pPr>
      <w:r>
        <w:t xml:space="preserve">Coordination belongs to the Workflow Service.</w:t>
      </w:r>
    </w:p>
    <w:p>
      <w:r>
        <w:pict>
          <v:rect style="width:0;height:1.5pt" o:hralign="center" o:hrstd="t" o:hr="t"/>
        </w:pict>
      </w:r>
    </w:p>
    <w:bookmarkEnd w:id="25"/>
    <w:bookmarkStart w:id="26" w:name="canonical-objects-owned"/>
    <w:p>
      <w:pPr>
        <w:pStyle w:val="Heading1"/>
      </w:pPr>
      <w:r>
        <w:t xml:space="preserve">5. Canonical Objects Owned</w:t>
      </w:r>
    </w:p>
    <w:p>
      <w:pPr>
        <w:pStyle w:val="FirstParagraph"/>
      </w:pPr>
      <w:r>
        <w:t xml:space="preserve">The Event Service SHALL be the authoritative owner of:</w:t>
      </w:r>
    </w:p>
    <w:p>
      <w:pPr>
        <w:pStyle w:val="BodyText"/>
      </w:pPr>
      <w:r>
        <w:t xml:space="preserve">Canonical Event</w:t>
      </w:r>
    </w:p>
    <w:p>
      <w:pPr>
        <w:pStyle w:val="BodyText"/>
      </w:pPr>
      <w:r>
        <w:t xml:space="preserve">Event Version</w:t>
      </w:r>
    </w:p>
    <w:p>
      <w:pPr>
        <w:pStyle w:val="BodyText"/>
      </w:pPr>
      <w:r>
        <w:t xml:space="preserve">Event Subscription</w:t>
      </w:r>
    </w:p>
    <w:p>
      <w:pPr>
        <w:pStyle w:val="BodyText"/>
      </w:pPr>
      <w:r>
        <w:t xml:space="preserve">Event Schema</w:t>
      </w:r>
    </w:p>
    <w:p>
      <w:pPr>
        <w:pStyle w:val="BodyText"/>
      </w:pPr>
      <w:r>
        <w:t xml:space="preserve">Replay Session</w:t>
      </w:r>
    </w:p>
    <w:p>
      <w:pPr>
        <w:pStyle w:val="BodyText"/>
      </w:pPr>
      <w:r>
        <w:t xml:space="preserve">Dead Letter Record</w:t>
      </w:r>
    </w:p>
    <w:p>
      <w:pPr>
        <w:pStyle w:val="BodyText"/>
      </w:pPr>
      <w:r>
        <w:t xml:space="preserve">Correlation Record</w:t>
      </w:r>
    </w:p>
    <w:p>
      <w:pPr>
        <w:pStyle w:val="BodyText"/>
      </w:pPr>
      <w:r>
        <w:t xml:space="preserve">Causation Record</w:t>
      </w:r>
    </w:p>
    <w:p>
      <w:pPr>
        <w:pStyle w:val="BodyText"/>
      </w:pPr>
      <w:r>
        <w:t xml:space="preserve">Delivery Record</w:t>
      </w:r>
    </w:p>
    <w:p>
      <w:pPr>
        <w:pStyle w:val="BodyText"/>
      </w:pPr>
      <w:r>
        <w:t xml:space="preserve">Retention Policy</w:t>
      </w:r>
    </w:p>
    <w:p>
      <w:pPr>
        <w:pStyle w:val="BodyText"/>
      </w:pPr>
      <w:r>
        <w:t xml:space="preserve">Future Event objects SHALL extend KMOS-0110.</w:t>
      </w:r>
    </w:p>
    <w:p>
      <w:r>
        <w:pict>
          <v:rect style="width:0;height:1.5pt" o:hralign="center" o:hrstd="t" o:hr="t"/>
        </w:pict>
      </w:r>
    </w:p>
    <w:bookmarkEnd w:id="26"/>
    <w:bookmarkStart w:id="27" w:name="engineering-philosophy"/>
    <w:p>
      <w:pPr>
        <w:pStyle w:val="Heading1"/>
      </w:pPr>
      <w:r>
        <w:t xml:space="preserve">6. Engineering Philosophy</w:t>
      </w:r>
    </w:p>
    <w:p>
      <w:pPr>
        <w:pStyle w:val="FirstParagraph"/>
      </w:pPr>
      <w:r>
        <w:t xml:space="preserve">Events describe completed business facts.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KnowledgeApproved</w:t>
      </w:r>
    </w:p>
    <w:p>
      <w:pPr>
        <w:pStyle w:val="BodyText"/>
      </w:pPr>
      <w:r>
        <w:t xml:space="preserve">PublicationReleased</w:t>
      </w:r>
    </w:p>
    <w:p>
      <w:pPr>
        <w:pStyle w:val="BodyText"/>
      </w:pPr>
      <w:r>
        <w:t xml:space="preserve">AssetArchived</w:t>
      </w:r>
    </w:p>
    <w:p>
      <w:pPr>
        <w:pStyle w:val="BodyText"/>
      </w:pPr>
      <w:r>
        <w:t xml:space="preserve">WorkflowCompleted</w:t>
      </w:r>
    </w:p>
    <w:p>
      <w:pPr>
        <w:pStyle w:val="BodyText"/>
      </w:pPr>
      <w:r>
        <w:t xml:space="preserve">Events SHALL NEVER represent commands.</w:t>
      </w:r>
    </w:p>
    <w:p>
      <w:pPr>
        <w:pStyle w:val="BodyText"/>
      </w:pPr>
      <w:r>
        <w:t xml:space="preserve">Commands request work.</w:t>
      </w:r>
    </w:p>
    <w:p>
      <w:pPr>
        <w:pStyle w:val="BodyText"/>
      </w:pPr>
      <w:r>
        <w:t xml:space="preserve">Events record reality.</w:t>
      </w:r>
    </w:p>
    <w:p>
      <w:r>
        <w:pict>
          <v:rect style="width:0;height:1.5pt" o:hralign="center" o:hrstd="t" o:hr="t"/>
        </w:pict>
      </w:r>
    </w:p>
    <w:bookmarkEnd w:id="27"/>
    <w:bookmarkStart w:id="28" w:name="internal-modules"/>
    <w:p>
      <w:pPr>
        <w:pStyle w:val="Heading1"/>
      </w:pPr>
      <w:r>
        <w:t xml:space="preserve">7. Internal Modules</w:t>
      </w:r>
    </w:p>
    <w:p>
      <w:pPr>
        <w:pStyle w:val="FirstParagraph"/>
      </w:pPr>
      <w:r>
        <w:t xml:space="preserve">The reference implementation SHOULD include:</w:t>
      </w:r>
    </w:p>
    <w:p>
      <w:pPr>
        <w:pStyle w:val="BodyText"/>
      </w:pPr>
      <w:r>
        <w:t xml:space="preserve">Event Registry</w:t>
      </w:r>
    </w:p>
    <w:p>
      <w:pPr>
        <w:pStyle w:val="BodyText"/>
      </w:pPr>
      <w:r>
        <w:t xml:space="preserve">Schema Manager</w:t>
      </w:r>
    </w:p>
    <w:p>
      <w:pPr>
        <w:pStyle w:val="BodyText"/>
      </w:pPr>
      <w:r>
        <w:t xml:space="preserve">Validation Engine</w:t>
      </w:r>
    </w:p>
    <w:p>
      <w:pPr>
        <w:pStyle w:val="BodyText"/>
      </w:pPr>
      <w:r>
        <w:t xml:space="preserve">Publisher</w:t>
      </w:r>
    </w:p>
    <w:p>
      <w:pPr>
        <w:pStyle w:val="BodyText"/>
      </w:pPr>
      <w:r>
        <w:t xml:space="preserve">Subscriber Manager</w:t>
      </w:r>
    </w:p>
    <w:p>
      <w:pPr>
        <w:pStyle w:val="BodyText"/>
      </w:pPr>
      <w:r>
        <w:t xml:space="preserve">Replay Engine</w:t>
      </w:r>
    </w:p>
    <w:p>
      <w:pPr>
        <w:pStyle w:val="BodyText"/>
      </w:pPr>
      <w:r>
        <w:t xml:space="preserve">Dead Letter Manager</w:t>
      </w:r>
    </w:p>
    <w:p>
      <w:pPr>
        <w:pStyle w:val="BodyText"/>
      </w:pPr>
      <w:r>
        <w:t xml:space="preserve">Correlation Manager</w:t>
      </w:r>
    </w:p>
    <w:p>
      <w:pPr>
        <w:pStyle w:val="BodyText"/>
      </w:pPr>
      <w:r>
        <w:t xml:space="preserve">Routing Engine</w:t>
      </w:r>
    </w:p>
    <w:p>
      <w:pPr>
        <w:pStyle w:val="BodyText"/>
      </w:pPr>
      <w:r>
        <w:t xml:space="preserve">Retention Manager</w:t>
      </w:r>
    </w:p>
    <w:p>
      <w:pPr>
        <w:pStyle w:val="BodyText"/>
      </w:pPr>
      <w:r>
        <w:t xml:space="preserve">Metrics Engine</w:t>
      </w:r>
    </w:p>
    <w:p>
      <w:pPr>
        <w:pStyle w:val="BodyText"/>
      </w:pPr>
      <w:r>
        <w:t xml:space="preserve">Audit Publisher</w:t>
      </w:r>
    </w:p>
    <w:p>
      <w:pPr>
        <w:pStyle w:val="BodyText"/>
      </w:pPr>
      <w:r>
        <w:t xml:space="preserve">API Layer</w:t>
      </w:r>
    </w:p>
    <w:p>
      <w:pPr>
        <w:pStyle w:val="BodyText"/>
      </w:pPr>
      <w:r>
        <w:t xml:space="preserve">Each module SHALL have one clearly defined responsibility.</w:t>
      </w:r>
    </w:p>
    <w:p>
      <w:r>
        <w:pict>
          <v:rect style="width:0;height:1.5pt" o:hralign="center" o:hrstd="t" o:hr="t"/>
        </w:pict>
      </w:r>
    </w:p>
    <w:bookmarkEnd w:id="28"/>
    <w:bookmarkStart w:id="29" w:name="public-business-apis"/>
    <w:p>
      <w:pPr>
        <w:pStyle w:val="Heading1"/>
      </w:pPr>
      <w:r>
        <w:t xml:space="preserve">8. Public Business APIs</w:t>
      </w:r>
    </w:p>
    <w:p>
      <w:pPr>
        <w:pStyle w:val="FirstParagraph"/>
      </w:pPr>
      <w:r>
        <w:t xml:space="preserve">The Event Service SHALL expose business APIs.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Register Event Schema</w:t>
      </w:r>
    </w:p>
    <w:p>
      <w:pPr>
        <w:pStyle w:val="BodyText"/>
      </w:pPr>
      <w:r>
        <w:t xml:space="preserve">Publish Event</w:t>
      </w:r>
    </w:p>
    <w:p>
      <w:pPr>
        <w:pStyle w:val="BodyText"/>
      </w:pPr>
      <w:r>
        <w:t xml:space="preserve">Validate Event</w:t>
      </w:r>
    </w:p>
    <w:p>
      <w:pPr>
        <w:pStyle w:val="BodyText"/>
      </w:pPr>
      <w:r>
        <w:t xml:space="preserve">Retrieve Event</w:t>
      </w:r>
    </w:p>
    <w:p>
      <w:pPr>
        <w:pStyle w:val="BodyText"/>
      </w:pPr>
      <w:r>
        <w:t xml:space="preserve">Retrieve Event History</w:t>
      </w:r>
    </w:p>
    <w:p>
      <w:pPr>
        <w:pStyle w:val="BodyText"/>
      </w:pPr>
      <w:r>
        <w:t xml:space="preserve">Replay Events</w:t>
      </w:r>
    </w:p>
    <w:p>
      <w:pPr>
        <w:pStyle w:val="BodyText"/>
      </w:pPr>
      <w:r>
        <w:t xml:space="preserve">Create Subscription</w:t>
      </w:r>
    </w:p>
    <w:p>
      <w:pPr>
        <w:pStyle w:val="BodyText"/>
      </w:pPr>
      <w:r>
        <w:t xml:space="preserve">Pause Subscription</w:t>
      </w:r>
    </w:p>
    <w:p>
      <w:pPr>
        <w:pStyle w:val="BodyText"/>
      </w:pPr>
      <w:r>
        <w:t xml:space="preserve">Resume Subscription</w:t>
      </w:r>
    </w:p>
    <w:p>
      <w:pPr>
        <w:pStyle w:val="BodyText"/>
      </w:pPr>
      <w:r>
        <w:t xml:space="preserve">Retrieve Correlation Chain</w:t>
      </w:r>
    </w:p>
    <w:p>
      <w:pPr>
        <w:pStyle w:val="BodyText"/>
      </w:pPr>
      <w:r>
        <w:t xml:space="preserve">Retrieve Causation Chain</w:t>
      </w:r>
    </w:p>
    <w:p>
      <w:pPr>
        <w:pStyle w:val="BodyText"/>
      </w:pPr>
      <w:r>
        <w:t xml:space="preserve">Export Event Stream</w:t>
      </w:r>
    </w:p>
    <w:p>
      <w:pPr>
        <w:pStyle w:val="BodyText"/>
      </w:pPr>
      <w:r>
        <w:t xml:space="preserve">Retrieve Dead Letter Queue</w:t>
      </w:r>
    </w:p>
    <w:p>
      <w:pPr>
        <w:pStyle w:val="BodyText"/>
      </w:pPr>
      <w:r>
        <w:t xml:space="preserve">Retrieve Event Metrics</w:t>
      </w:r>
    </w:p>
    <w:p>
      <w:pPr>
        <w:pStyle w:val="BodyText"/>
      </w:pPr>
      <w:r>
        <w:t xml:space="preserve">Business APIs SHALL remain broker independent.</w:t>
      </w:r>
    </w:p>
    <w:p>
      <w:r>
        <w:pict>
          <v:rect style="width:0;height:1.5pt" o:hralign="center" o:hrstd="t" o:hr="t"/>
        </w:pict>
      </w:r>
    </w:p>
    <w:bookmarkEnd w:id="29"/>
    <w:bookmarkStart w:id="30" w:name="canonical-events-published"/>
    <w:p>
      <w:pPr>
        <w:pStyle w:val="Heading1"/>
      </w:pPr>
      <w:r>
        <w:t xml:space="preserve">9. Canonical Events Published</w:t>
      </w:r>
    </w:p>
    <w:p>
      <w:pPr>
        <w:pStyle w:val="FirstParagraph"/>
      </w:pPr>
      <w:r>
        <w:t xml:space="preserve">Examples include:</w:t>
      </w:r>
    </w:p>
    <w:p>
      <w:pPr>
        <w:pStyle w:val="BodyText"/>
      </w:pPr>
      <w:r>
        <w:t xml:space="preserve">EventPublished</w:t>
      </w:r>
    </w:p>
    <w:p>
      <w:pPr>
        <w:pStyle w:val="BodyText"/>
      </w:pPr>
      <w:r>
        <w:t xml:space="preserve">EventValidated</w:t>
      </w:r>
    </w:p>
    <w:p>
      <w:pPr>
        <w:pStyle w:val="BodyText"/>
      </w:pPr>
      <w:r>
        <w:t xml:space="preserve">EventRejected</w:t>
      </w:r>
    </w:p>
    <w:p>
      <w:pPr>
        <w:pStyle w:val="BodyText"/>
      </w:pPr>
      <w:r>
        <w:t xml:space="preserve">SubscriptionCreated</w:t>
      </w:r>
    </w:p>
    <w:p>
      <w:pPr>
        <w:pStyle w:val="BodyText"/>
      </w:pPr>
      <w:r>
        <w:t xml:space="preserve">SubscriptionRemoved</w:t>
      </w:r>
    </w:p>
    <w:p>
      <w:pPr>
        <w:pStyle w:val="BodyText"/>
      </w:pPr>
      <w:r>
        <w:t xml:space="preserve">ReplayStarted</w:t>
      </w:r>
    </w:p>
    <w:p>
      <w:pPr>
        <w:pStyle w:val="BodyText"/>
      </w:pPr>
      <w:r>
        <w:t xml:space="preserve">ReplayCompleted</w:t>
      </w:r>
    </w:p>
    <w:p>
      <w:pPr>
        <w:pStyle w:val="BodyText"/>
      </w:pPr>
      <w:r>
        <w:t xml:space="preserve">ReplayFailed</w:t>
      </w:r>
    </w:p>
    <w:p>
      <w:pPr>
        <w:pStyle w:val="BodyText"/>
      </w:pPr>
      <w:r>
        <w:t xml:space="preserve">DeadLetterCreated</w:t>
      </w:r>
    </w:p>
    <w:p>
      <w:pPr>
        <w:pStyle w:val="BodyText"/>
      </w:pPr>
      <w:r>
        <w:t xml:space="preserve">DeadLetterResolved</w:t>
      </w:r>
    </w:p>
    <w:p>
      <w:pPr>
        <w:pStyle w:val="BodyText"/>
      </w:pPr>
      <w:r>
        <w:t xml:space="preserve">SchemaRegistered</w:t>
      </w:r>
    </w:p>
    <w:p>
      <w:pPr>
        <w:pStyle w:val="BodyText"/>
      </w:pPr>
      <w:r>
        <w:t xml:space="preserve">SchemaUpdated</w:t>
      </w:r>
    </w:p>
    <w:p>
      <w:pPr>
        <w:pStyle w:val="BodyText"/>
      </w:pPr>
      <w:r>
        <w:t xml:space="preserve">RetentionPolicyApplied</w:t>
      </w:r>
    </w:p>
    <w:p>
      <w:pPr>
        <w:pStyle w:val="BodyText"/>
      </w:pPr>
      <w:r>
        <w:t xml:space="preserve">These events describe Event Service operations.</w:t>
      </w:r>
    </w:p>
    <w:p>
      <w:r>
        <w:pict>
          <v:rect style="width:0;height:1.5pt" o:hralign="center" o:hrstd="t" o:hr="t"/>
        </w:pict>
      </w:r>
    </w:p>
    <w:bookmarkEnd w:id="30"/>
    <w:bookmarkStart w:id="31" w:name="canonical-events-consumed"/>
    <w:p>
      <w:pPr>
        <w:pStyle w:val="Heading1"/>
      </w:pPr>
      <w:r>
        <w:t xml:space="preserve">10. Canonical Events Consumed</w:t>
      </w:r>
    </w:p>
    <w:p>
      <w:pPr>
        <w:pStyle w:val="FirstParagraph"/>
      </w:pPr>
      <w:r>
        <w:t xml:space="preserve">The Event Service SHALL consume business events from every platform service.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KnowledgeCreated</w:t>
      </w:r>
    </w:p>
    <w:p>
      <w:pPr>
        <w:pStyle w:val="BodyText"/>
      </w:pPr>
      <w:r>
        <w:t xml:space="preserve">AssetRegistered</w:t>
      </w:r>
    </w:p>
    <w:p>
      <w:pPr>
        <w:pStyle w:val="BodyText"/>
      </w:pPr>
      <w:r>
        <w:t xml:space="preserve">WorkflowStarted</w:t>
      </w:r>
    </w:p>
    <w:p>
      <w:pPr>
        <w:pStyle w:val="BodyText"/>
      </w:pPr>
      <w:r>
        <w:t xml:space="preserve">CapabilityRegistered</w:t>
      </w:r>
    </w:p>
    <w:p>
      <w:pPr>
        <w:pStyle w:val="BodyText"/>
      </w:pPr>
      <w:r>
        <w:t xml:space="preserve">PublicationReleased</w:t>
      </w:r>
    </w:p>
    <w:p>
      <w:pPr>
        <w:pStyle w:val="BodyText"/>
      </w:pPr>
      <w:r>
        <w:t xml:space="preserve">IdentityCreated</w:t>
      </w:r>
    </w:p>
    <w:p>
      <w:pPr>
        <w:pStyle w:val="BodyText"/>
      </w:pPr>
      <w:r>
        <w:t xml:space="preserve">ApprovalGranted</w:t>
      </w:r>
    </w:p>
    <w:p>
      <w:pPr>
        <w:pStyle w:val="BodyText"/>
      </w:pPr>
      <w:r>
        <w:t xml:space="preserve">Every canonical event SHALL pass through the Event Service.</w:t>
      </w:r>
    </w:p>
    <w:p>
      <w:r>
        <w:pict>
          <v:rect style="width:0;height:1.5pt" o:hralign="center" o:hrstd="t" o:hr="t"/>
        </w:pict>
      </w:r>
    </w:p>
    <w:bookmarkEnd w:id="31"/>
    <w:bookmarkStart w:id="32" w:name="event-validation"/>
    <w:p>
      <w:pPr>
        <w:pStyle w:val="Heading1"/>
      </w:pPr>
      <w:r>
        <w:t xml:space="preserve">11. Event Validation</w:t>
      </w:r>
    </w:p>
    <w:p>
      <w:pPr>
        <w:pStyle w:val="FirstParagraph"/>
      </w:pPr>
      <w:r>
        <w:t xml:space="preserve">Every event SHALL be validated before publication.</w:t>
      </w:r>
    </w:p>
    <w:p>
      <w:pPr>
        <w:pStyle w:val="BodyText"/>
      </w:pPr>
      <w:r>
        <w:t xml:space="preserve">Validation includes:</w:t>
      </w:r>
    </w:p>
    <w:p>
      <w:pPr>
        <w:pStyle w:val="BodyText"/>
      </w:pPr>
      <w:r>
        <w:t xml:space="preserve">Schema Validation</w:t>
      </w:r>
    </w:p>
    <w:p>
      <w:pPr>
        <w:pStyle w:val="BodyText"/>
      </w:pPr>
      <w:r>
        <w:t xml:space="preserve">Identity Validation</w:t>
      </w:r>
    </w:p>
    <w:p>
      <w:pPr>
        <w:pStyle w:val="BodyText"/>
      </w:pPr>
      <w:r>
        <w:t xml:space="preserve">Version Validation</w:t>
      </w:r>
    </w:p>
    <w:p>
      <w:pPr>
        <w:pStyle w:val="BodyText"/>
      </w:pPr>
      <w:r>
        <w:t xml:space="preserve">Ownership Validation</w:t>
      </w:r>
    </w:p>
    <w:p>
      <w:pPr>
        <w:pStyle w:val="BodyText"/>
      </w:pPr>
      <w:r>
        <w:t xml:space="preserve">Governance Validation</w:t>
      </w:r>
    </w:p>
    <w:p>
      <w:pPr>
        <w:pStyle w:val="BodyText"/>
      </w:pPr>
      <w:r>
        <w:t xml:space="preserve">Security Validation</w:t>
      </w:r>
    </w:p>
    <w:p>
      <w:pPr>
        <w:pStyle w:val="BodyText"/>
      </w:pPr>
      <w:r>
        <w:t xml:space="preserve">Relationship Validation</w:t>
      </w:r>
    </w:p>
    <w:p>
      <w:pPr>
        <w:pStyle w:val="BodyText"/>
      </w:pPr>
      <w:r>
        <w:t xml:space="preserve">Invalid events SHALL NOT enter the canonical event history.</w:t>
      </w:r>
    </w:p>
    <w:p>
      <w:r>
        <w:pict>
          <v:rect style="width:0;height:1.5pt" o:hralign="center" o:hrstd="t" o:hr="t"/>
        </w:pict>
      </w:r>
    </w:p>
    <w:bookmarkEnd w:id="32"/>
    <w:bookmarkStart w:id="33" w:name="event-registry"/>
    <w:p>
      <w:pPr>
        <w:pStyle w:val="Heading1"/>
      </w:pPr>
      <w:r>
        <w:t xml:space="preserve">12. Event Registry</w:t>
      </w:r>
    </w:p>
    <w:p>
      <w:pPr>
        <w:pStyle w:val="FirstParagraph"/>
      </w:pPr>
      <w:r>
        <w:t xml:space="preserve">The Event Registry SHALL maintain:</w:t>
      </w:r>
    </w:p>
    <w:p>
      <w:pPr>
        <w:pStyle w:val="BodyText"/>
      </w:pPr>
      <w:r>
        <w:t xml:space="preserve">Canonical Name</w:t>
      </w:r>
    </w:p>
    <w:p>
      <w:pPr>
        <w:pStyle w:val="BodyText"/>
      </w:pPr>
      <w:r>
        <w:t xml:space="preserve">Business Definition</w:t>
      </w:r>
    </w:p>
    <w:p>
      <w:pPr>
        <w:pStyle w:val="BodyText"/>
      </w:pPr>
      <w:r>
        <w:t xml:space="preserve">Owner Domain</w:t>
      </w:r>
    </w:p>
    <w:p>
      <w:pPr>
        <w:pStyle w:val="BodyText"/>
      </w:pPr>
      <w:r>
        <w:t xml:space="preserve">Schema Version</w:t>
      </w:r>
    </w:p>
    <w:p>
      <w:pPr>
        <w:pStyle w:val="BodyText"/>
      </w:pPr>
      <w:r>
        <w:t xml:space="preserve">Lifecycle</w:t>
      </w:r>
    </w:p>
    <w:p>
      <w:pPr>
        <w:pStyle w:val="BodyText"/>
      </w:pPr>
      <w:r>
        <w:t xml:space="preserve">Compatibility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Deprecation Status</w:t>
      </w:r>
    </w:p>
    <w:p>
      <w:pPr>
        <w:pStyle w:val="BodyText"/>
      </w:pPr>
      <w:r>
        <w:t xml:space="preserve">The Registry becomes the institutional dictionary of business communication.</w:t>
      </w:r>
    </w:p>
    <w:p>
      <w:r>
        <w:pict>
          <v:rect style="width:0;height:1.5pt" o:hralign="center" o:hrstd="t" o:hr="t"/>
        </w:pict>
      </w:r>
    </w:p>
    <w:bookmarkEnd w:id="33"/>
    <w:bookmarkStart w:id="34" w:name="event-routing"/>
    <w:p>
      <w:pPr>
        <w:pStyle w:val="Heading1"/>
      </w:pPr>
      <w:r>
        <w:t xml:space="preserve">13. Event Routing</w:t>
      </w:r>
    </w:p>
    <w:p>
      <w:pPr>
        <w:pStyle w:val="FirstParagraph"/>
      </w:pPr>
      <w:r>
        <w:t xml:space="preserve">The Event Service SHALL support:</w:t>
      </w:r>
    </w:p>
    <w:p>
      <w:pPr>
        <w:pStyle w:val="BodyText"/>
      </w:pPr>
      <w:r>
        <w:t xml:space="preserve">Point-to-Point Delivery</w:t>
      </w:r>
    </w:p>
    <w:p>
      <w:pPr>
        <w:pStyle w:val="BodyText"/>
      </w:pPr>
      <w:r>
        <w:t xml:space="preserve">Publish/Subscribe</w:t>
      </w:r>
    </w:p>
    <w:p>
      <w:pPr>
        <w:pStyle w:val="BodyText"/>
      </w:pPr>
      <w:r>
        <w:t xml:space="preserve">Fan-Out</w:t>
      </w:r>
    </w:p>
    <w:p>
      <w:pPr>
        <w:pStyle w:val="BodyText"/>
      </w:pPr>
      <w:r>
        <w:t xml:space="preserve">Broadcast</w:t>
      </w:r>
    </w:p>
    <w:p>
      <w:pPr>
        <w:pStyle w:val="BodyText"/>
      </w:pPr>
      <w:r>
        <w:t xml:space="preserve">Filtered Delivery</w:t>
      </w:r>
    </w:p>
    <w:p>
      <w:pPr>
        <w:pStyle w:val="BodyText"/>
      </w:pPr>
      <w:r>
        <w:t xml:space="preserve">Conditional Routing</w:t>
      </w:r>
    </w:p>
    <w:p>
      <w:pPr>
        <w:pStyle w:val="BodyText"/>
      </w:pPr>
      <w:r>
        <w:t xml:space="preserve">Priority Routing</w:t>
      </w:r>
    </w:p>
    <w:p>
      <w:pPr>
        <w:pStyle w:val="BodyText"/>
      </w:pPr>
      <w:r>
        <w:t xml:space="preserve">Routing SHALL remain independent of transport technologies.</w:t>
      </w:r>
    </w:p>
    <w:p>
      <w:r>
        <w:pict>
          <v:rect style="width:0;height:1.5pt" o:hralign="center" o:hrstd="t" o:hr="t"/>
        </w:pict>
      </w:r>
    </w:p>
    <w:bookmarkEnd w:id="34"/>
    <w:bookmarkStart w:id="35" w:name="event-replay"/>
    <w:p>
      <w:pPr>
        <w:pStyle w:val="Heading1"/>
      </w:pPr>
      <w:r>
        <w:t xml:space="preserve">14. Event Replay</w:t>
      </w:r>
    </w:p>
    <w:p>
      <w:pPr>
        <w:pStyle w:val="FirstParagraph"/>
      </w:pPr>
      <w:r>
        <w:t xml:space="preserve">Replay is a first-class business capability.</w:t>
      </w:r>
    </w:p>
    <w:p>
      <w:pPr>
        <w:pStyle w:val="BodyText"/>
      </w:pPr>
      <w:r>
        <w:t xml:space="preserve">Replay SHALL support:</w:t>
      </w:r>
    </w:p>
    <w:p>
      <w:pPr>
        <w:pStyle w:val="BodyText"/>
      </w:pPr>
      <w:r>
        <w:t xml:space="preserve">Disaster Recovery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Migration</w:t>
      </w:r>
    </w:p>
    <w:p>
      <w:pPr>
        <w:pStyle w:val="BodyText"/>
      </w:pPr>
      <w:r>
        <w:t xml:space="preserve">Knowledge Reconstruction</w:t>
      </w:r>
    </w:p>
    <w:p>
      <w:pPr>
        <w:pStyle w:val="BodyText"/>
      </w:pPr>
      <w:r>
        <w:t xml:space="preserve">Workflow Reconstruction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Training</w:t>
      </w:r>
    </w:p>
    <w:p>
      <w:pPr>
        <w:pStyle w:val="BodyText"/>
      </w:pPr>
      <w:r>
        <w:t xml:space="preserve">Replay SHALL preserve original event identity.</w:t>
      </w:r>
    </w:p>
    <w:p>
      <w:pPr>
        <w:pStyle w:val="BodyText"/>
      </w:pPr>
      <w:r>
        <w:t xml:space="preserve">Replay SHALL publish replay metadata separately.</w:t>
      </w:r>
    </w:p>
    <w:p>
      <w:r>
        <w:pict>
          <v:rect style="width:0;height:1.5pt" o:hralign="center" o:hrstd="t" o:hr="t"/>
        </w:pict>
      </w:r>
    </w:p>
    <w:bookmarkEnd w:id="35"/>
    <w:bookmarkStart w:id="36" w:name="correlation"/>
    <w:p>
      <w:pPr>
        <w:pStyle w:val="Heading1"/>
      </w:pPr>
      <w:r>
        <w:t xml:space="preserve">15. Correlation</w:t>
      </w:r>
    </w:p>
    <w:p>
      <w:pPr>
        <w:pStyle w:val="FirstParagraph"/>
      </w:pPr>
      <w:r>
        <w:t xml:space="preserve">Every event MAY participate in a Correlation Chain.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LectureImported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TranscriptCorrected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PublicationReleased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ArchiveCompleted</w:t>
      </w:r>
    </w:p>
    <w:p>
      <w:pPr>
        <w:pStyle w:val="BodyText"/>
      </w:pPr>
      <w:r>
        <w:t xml:space="preserve">Correlation explains the complete business journey.</w:t>
      </w:r>
    </w:p>
    <w:p>
      <w:r>
        <w:pict>
          <v:rect style="width:0;height:1.5pt" o:hralign="center" o:hrstd="t" o:hr="t"/>
        </w:pict>
      </w:r>
    </w:p>
    <w:bookmarkEnd w:id="36"/>
    <w:bookmarkStart w:id="37" w:name="causation"/>
    <w:p>
      <w:pPr>
        <w:pStyle w:val="Heading1"/>
      </w:pPr>
      <w:r>
        <w:t xml:space="preserve">16. Causation</w:t>
      </w:r>
    </w:p>
    <w:p>
      <w:pPr>
        <w:pStyle w:val="FirstParagraph"/>
      </w:pPr>
      <w:r>
        <w:t xml:space="preserve">Every event SHALL record immediate causation.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TranscriptCorrected</w:t>
      </w:r>
    </w:p>
    <w:p>
      <w:pPr>
        <w:pStyle w:val="BodyText"/>
      </w:pPr>
      <w:r>
        <w:t xml:space="preserve">caused</w:t>
      </w:r>
    </w:p>
    <w:p>
      <w:pPr>
        <w:pStyle w:val="BodyText"/>
      </w:pPr>
      <w:r>
        <w:t xml:space="preserve">VocabularyExpanded</w:t>
      </w:r>
    </w:p>
    <w:p>
      <w:pPr>
        <w:pStyle w:val="BodyText"/>
      </w:pPr>
      <w:r>
        <w:t xml:space="preserve">VocabularyExpanded</w:t>
      </w:r>
    </w:p>
    <w:p>
      <w:pPr>
        <w:pStyle w:val="BodyText"/>
      </w:pPr>
      <w:r>
        <w:t xml:space="preserve">caused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Causation SHALL remain queryable.</w:t>
      </w:r>
    </w:p>
    <w:p>
      <w:r>
        <w:pict>
          <v:rect style="width:0;height:1.5pt" o:hralign="center" o:hrstd="t" o:hr="t"/>
        </w:pict>
      </w:r>
    </w:p>
    <w:bookmarkEnd w:id="37"/>
    <w:bookmarkStart w:id="38" w:name="subscriptions"/>
    <w:p>
      <w:pPr>
        <w:pStyle w:val="Heading1"/>
      </w:pPr>
      <w:r>
        <w:t xml:space="preserve">17. Subscriptions</w:t>
      </w:r>
    </w:p>
    <w:p>
      <w:pPr>
        <w:pStyle w:val="FirstParagraph"/>
      </w:pPr>
      <w:r>
        <w:t xml:space="preserve">Consumers SHALL subscribe through canonical subscriptions.</w:t>
      </w:r>
    </w:p>
    <w:p>
      <w:pPr>
        <w:pStyle w:val="BodyText"/>
      </w:pPr>
      <w:r>
        <w:t xml:space="preserve">Subscriptions MAY filter by:</w:t>
      </w:r>
    </w:p>
    <w:p>
      <w:pPr>
        <w:pStyle w:val="BodyText"/>
      </w:pPr>
      <w:r>
        <w:t xml:space="preserve">Event Type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Organization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Asset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Subscriptions SHALL remain independently governable.</w:t>
      </w:r>
    </w:p>
    <w:p>
      <w:r>
        <w:pict>
          <v:rect style="width:0;height:1.5pt" o:hralign="center" o:hrstd="t" o:hr="t"/>
        </w:pict>
      </w:r>
    </w:p>
    <w:bookmarkEnd w:id="38"/>
    <w:bookmarkStart w:id="39" w:name="dead-letter-management"/>
    <w:p>
      <w:pPr>
        <w:pStyle w:val="Heading1"/>
      </w:pPr>
      <w:r>
        <w:t xml:space="preserve">18. Dead Letter Management</w:t>
      </w:r>
    </w:p>
    <w:p>
      <w:pPr>
        <w:pStyle w:val="FirstParagraph"/>
      </w:pPr>
      <w:r>
        <w:t xml:space="preserve">Undeliverable events SHALL be preserved.</w:t>
      </w:r>
    </w:p>
    <w:p>
      <w:pPr>
        <w:pStyle w:val="BodyText"/>
      </w:pPr>
      <w:r>
        <w:t xml:space="preserve">Dead Letter records SHALL include:</w:t>
      </w:r>
    </w:p>
    <w:p>
      <w:pPr>
        <w:pStyle w:val="BodyText"/>
      </w:pPr>
      <w:r>
        <w:t xml:space="preserve">Original Event</w:t>
      </w:r>
    </w:p>
    <w:p>
      <w:pPr>
        <w:pStyle w:val="BodyText"/>
      </w:pPr>
      <w:r>
        <w:t xml:space="preserve">Failure Reason</w:t>
      </w:r>
    </w:p>
    <w:p>
      <w:pPr>
        <w:pStyle w:val="BodyText"/>
      </w:pPr>
      <w:r>
        <w:t xml:space="preserve">Retry History</w:t>
      </w:r>
    </w:p>
    <w:p>
      <w:pPr>
        <w:pStyle w:val="BodyText"/>
      </w:pPr>
      <w:r>
        <w:t xml:space="preserve">Resolution</w:t>
      </w:r>
    </w:p>
    <w:p>
      <w:pPr>
        <w:pStyle w:val="BodyText"/>
      </w:pPr>
      <w:r>
        <w:t xml:space="preserve">Operational Notes</w:t>
      </w:r>
    </w:p>
    <w:p>
      <w:pPr>
        <w:pStyle w:val="BodyText"/>
      </w:pPr>
      <w:r>
        <w:t xml:space="preserve">Dead Letters SHALL never silently disappear.</w:t>
      </w:r>
    </w:p>
    <w:p>
      <w:r>
        <w:pict>
          <v:rect style="width:0;height:1.5pt" o:hralign="center" o:hrstd="t" o:hr="t"/>
        </w:pict>
      </w:r>
    </w:p>
    <w:bookmarkEnd w:id="39"/>
    <w:bookmarkStart w:id="40" w:name="event-retention"/>
    <w:p>
      <w:pPr>
        <w:pStyle w:val="Heading1"/>
      </w:pPr>
      <w:r>
        <w:t xml:space="preserve">19. Event Retention</w:t>
      </w:r>
    </w:p>
    <w:p>
      <w:pPr>
        <w:pStyle w:val="FirstParagraph"/>
      </w:pPr>
      <w:r>
        <w:t xml:space="preserve">Retention SHALL support:</w:t>
      </w:r>
    </w:p>
    <w:p>
      <w:pPr>
        <w:pStyle w:val="BodyText"/>
      </w:pPr>
      <w:r>
        <w:t xml:space="preserve">Operational History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Replay</w:t>
      </w:r>
    </w:p>
    <w:p>
      <w:pPr>
        <w:pStyle w:val="BodyText"/>
      </w:pPr>
      <w:r>
        <w:t xml:space="preserve">Knowledge Preservation</w:t>
      </w:r>
    </w:p>
    <w:p>
      <w:pPr>
        <w:pStyle w:val="BodyText"/>
      </w:pPr>
      <w:r>
        <w:t xml:space="preserve">Compliance</w:t>
      </w:r>
    </w:p>
    <w:p>
      <w:pPr>
        <w:pStyle w:val="BodyText"/>
      </w:pPr>
      <w:r>
        <w:t xml:space="preserve">Retention policies SHALL remain configurable.</w:t>
      </w:r>
    </w:p>
    <w:p>
      <w:r>
        <w:pict>
          <v:rect style="width:0;height:1.5pt" o:hralign="center" o:hrstd="t" o:hr="t"/>
        </w:pict>
      </w:r>
    </w:p>
    <w:bookmarkEnd w:id="40"/>
    <w:bookmarkStart w:id="41" w:name="security"/>
    <w:p>
      <w:pPr>
        <w:pStyle w:val="Heading1"/>
      </w:pPr>
      <w:r>
        <w:t xml:space="preserve">20. Security</w:t>
      </w:r>
    </w:p>
    <w:p>
      <w:pPr>
        <w:pStyle w:val="FirstParagraph"/>
      </w:pPr>
      <w:r>
        <w:t xml:space="preserve">The Event Service SHALL support: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Policy Enforcement</w:t>
      </w:r>
    </w:p>
    <w:p>
      <w:pPr>
        <w:pStyle w:val="BodyText"/>
      </w:pPr>
      <w:r>
        <w:t xml:space="preserve">Replay Authorization</w:t>
      </w:r>
    </w:p>
    <w:p>
      <w:pPr>
        <w:pStyle w:val="BodyText"/>
      </w:pPr>
      <w:r>
        <w:t xml:space="preserve">Security SHALL conform to KMOS-0190.</w:t>
      </w:r>
    </w:p>
    <w:p>
      <w:r>
        <w:pict>
          <v:rect style="width:0;height:1.5pt" o:hralign="center" o:hrstd="t" o:hr="t"/>
        </w:pict>
      </w:r>
    </w:p>
    <w:bookmarkEnd w:id="41"/>
    <w:bookmarkStart w:id="42" w:name="observability"/>
    <w:p>
      <w:pPr>
        <w:pStyle w:val="Heading1"/>
      </w:pPr>
      <w:r>
        <w:t xml:space="preserve">21. Observability</w:t>
      </w:r>
    </w:p>
    <w:p>
      <w:pPr>
        <w:pStyle w:val="FirstParagraph"/>
      </w:pPr>
      <w:r>
        <w:t xml:space="preserve">The Event Service SHALL publish:</w:t>
      </w:r>
    </w:p>
    <w:p>
      <w:pPr>
        <w:pStyle w:val="BodyText"/>
      </w:pPr>
      <w:r>
        <w:t xml:space="preserve">Event Throughput</w:t>
      </w:r>
    </w:p>
    <w:p>
      <w:pPr>
        <w:pStyle w:val="BodyText"/>
      </w:pPr>
      <w:r>
        <w:t xml:space="preserve">Publication Latency</w:t>
      </w:r>
    </w:p>
    <w:p>
      <w:pPr>
        <w:pStyle w:val="BodyText"/>
      </w:pPr>
      <w:r>
        <w:t xml:space="preserve">Validation Statistics</w:t>
      </w:r>
    </w:p>
    <w:p>
      <w:pPr>
        <w:pStyle w:val="BodyText"/>
      </w:pPr>
      <w:r>
        <w:t xml:space="preserve">Replay Metrics</w:t>
      </w:r>
    </w:p>
    <w:p>
      <w:pPr>
        <w:pStyle w:val="BodyText"/>
      </w:pPr>
      <w:r>
        <w:t xml:space="preserve">Subscription Metrics</w:t>
      </w:r>
    </w:p>
    <w:p>
      <w:pPr>
        <w:pStyle w:val="BodyText"/>
      </w:pPr>
      <w:r>
        <w:t xml:space="preserve">Dead Letter Statistics</w:t>
      </w:r>
    </w:p>
    <w:p>
      <w:pPr>
        <w:pStyle w:val="BodyText"/>
      </w:pPr>
      <w:r>
        <w:t xml:space="preserve">Schema Metrics</w:t>
      </w:r>
    </w:p>
    <w:p>
      <w:pPr>
        <w:pStyle w:val="BodyText"/>
      </w:pPr>
      <w:r>
        <w:t xml:space="preserve">Operational Health</w:t>
      </w:r>
    </w:p>
    <w:p>
      <w:pPr>
        <w:pStyle w:val="BodyText"/>
      </w:pPr>
      <w:r>
        <w:t xml:space="preserve">Business Communication Metrics</w:t>
      </w:r>
    </w:p>
    <w:p>
      <w:r>
        <w:pict>
          <v:rect style="width:0;height:1.5pt" o:hralign="center" o:hrstd="t" o:hr="t"/>
        </w:pict>
      </w:r>
    </w:p>
    <w:bookmarkEnd w:id="42"/>
    <w:bookmarkStart w:id="43" w:name="scalability"/>
    <w:p>
      <w:pPr>
        <w:pStyle w:val="Heading1"/>
      </w:pPr>
      <w:r>
        <w:t xml:space="preserve">22. Scalability</w:t>
      </w:r>
    </w:p>
    <w:p>
      <w:pPr>
        <w:pStyle w:val="FirstParagraph"/>
      </w:pPr>
      <w:r>
        <w:t xml:space="preserve">The Event Service SHALL scale independently.</w:t>
      </w:r>
    </w:p>
    <w:p>
      <w:pPr>
        <w:pStyle w:val="BodyText"/>
      </w:pPr>
      <w:r>
        <w:t xml:space="preserve">Scaling dimensions include:</w:t>
      </w:r>
    </w:p>
    <w:p>
      <w:pPr>
        <w:pStyle w:val="BodyText"/>
      </w:pPr>
      <w:r>
        <w:t xml:space="preserve">Events per Second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Replay Sessions</w:t>
      </w:r>
    </w:p>
    <w:p>
      <w:pPr>
        <w:pStyle w:val="BodyText"/>
      </w:pPr>
      <w:r>
        <w:t xml:space="preserve">Retention Volume</w:t>
      </w:r>
    </w:p>
    <w:p>
      <w:pPr>
        <w:pStyle w:val="BodyText"/>
      </w:pPr>
      <w:r>
        <w:t xml:space="preserve">Schema Count</w:t>
      </w:r>
    </w:p>
    <w:p>
      <w:pPr>
        <w:pStyle w:val="BodyText"/>
      </w:pPr>
      <w:r>
        <w:t xml:space="preserve">Organizations</w:t>
      </w:r>
    </w:p>
    <w:p>
      <w:pPr>
        <w:pStyle w:val="BodyText"/>
      </w:pPr>
      <w:r>
        <w:t xml:space="preserve">Scaling SHALL remain independent of broker technology.</w:t>
      </w:r>
    </w:p>
    <w:p>
      <w:r>
        <w:pict>
          <v:rect style="width:0;height:1.5pt" o:hralign="center" o:hrstd="t" o:hr="t"/>
        </w:pict>
      </w:r>
    </w:p>
    <w:bookmarkEnd w:id="43"/>
    <w:bookmarkStart w:id="44" w:name="failure-strategy"/>
    <w:p>
      <w:pPr>
        <w:pStyle w:val="Heading1"/>
      </w:pPr>
      <w:r>
        <w:t xml:space="preserve">23. Failure Strategy</w:t>
      </w:r>
    </w:p>
    <w:p>
      <w:pPr>
        <w:pStyle w:val="FirstParagraph"/>
      </w:pPr>
      <w:r>
        <w:t xml:space="preserve">Failures SHALL preserve institutional history.</w:t>
      </w:r>
    </w:p>
    <w:p>
      <w:pPr>
        <w:pStyle w:val="BodyText"/>
      </w:pPr>
      <w:r>
        <w:t xml:space="preserve">Recovery SHALL support: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Replay</w:t>
      </w:r>
    </w:p>
    <w:p>
      <w:pPr>
        <w:pStyle w:val="BodyText"/>
      </w:pPr>
      <w:r>
        <w:t xml:space="preserve">Dead Letter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Operational Alerts</w:t>
      </w:r>
    </w:p>
    <w:p>
      <w:pPr>
        <w:pStyle w:val="BodyText"/>
      </w:pPr>
      <w:r>
        <w:t xml:space="preserve">Integrity Verification</w:t>
      </w:r>
    </w:p>
    <w:p>
      <w:pPr>
        <w:pStyle w:val="BodyText"/>
      </w:pPr>
      <w:r>
        <w:t xml:space="preserve">No canonical event SHALL be silently discarded.</w:t>
      </w:r>
    </w:p>
    <w:p>
      <w:r>
        <w:pict>
          <v:rect style="width:0;height:1.5pt" o:hralign="center" o:hrstd="t" o:hr="t"/>
        </w:pict>
      </w:r>
    </w:p>
    <w:bookmarkEnd w:id="44"/>
    <w:bookmarkStart w:id="45" w:name="testing-strategy"/>
    <w:p>
      <w:pPr>
        <w:pStyle w:val="Heading1"/>
      </w:pPr>
      <w:r>
        <w:t xml:space="preserve">24. Testing Strategy</w:t>
      </w:r>
    </w:p>
    <w:p>
      <w:pPr>
        <w:pStyle w:val="FirstParagraph"/>
      </w:pPr>
      <w:r>
        <w:t xml:space="preserve">Testing SHALL include:</w:t>
      </w:r>
    </w:p>
    <w:p>
      <w:pPr>
        <w:pStyle w:val="BodyText"/>
      </w:pPr>
      <w:r>
        <w:t xml:space="preserve">Schema Validation</w:t>
      </w:r>
    </w:p>
    <w:p>
      <w:pPr>
        <w:pStyle w:val="BodyText"/>
      </w:pPr>
      <w:r>
        <w:t xml:space="preserve">Routing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Replay</w:t>
      </w:r>
    </w:p>
    <w:p>
      <w:pPr>
        <w:pStyle w:val="BodyText"/>
      </w:pPr>
      <w:r>
        <w:t xml:space="preserve">Dead Letter Processing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Compatibility</w:t>
      </w:r>
    </w:p>
    <w:p>
      <w:pPr>
        <w:pStyle w:val="BodyText"/>
      </w:pPr>
      <w:r>
        <w:t xml:space="preserve">Migration</w:t>
      </w:r>
    </w:p>
    <w:p>
      <w:pPr>
        <w:pStyle w:val="BodyText"/>
      </w:pPr>
      <w:r>
        <w:t xml:space="preserve">Disaster Recovery</w:t>
      </w:r>
    </w:p>
    <w:p>
      <w:pPr>
        <w:pStyle w:val="BodyText"/>
      </w:pPr>
      <w:r>
        <w:t xml:space="preserve">Event Integrity</w:t>
      </w:r>
    </w:p>
    <w:p>
      <w:r>
        <w:pict>
          <v:rect style="width:0;height:1.5pt" o:hralign="center" o:hrstd="t" o:hr="t"/>
        </w:pict>
      </w:r>
    </w:p>
    <w:bookmarkEnd w:id="45"/>
    <w:bookmarkStart w:id="46" w:name="acceptance-criteria"/>
    <w:p>
      <w:pPr>
        <w:pStyle w:val="Heading1"/>
      </w:pPr>
      <w:r>
        <w:t xml:space="preserve">25. Acceptance Criteria</w:t>
      </w:r>
    </w:p>
    <w:p>
      <w:pPr>
        <w:pStyle w:val="FirstParagraph"/>
      </w:pPr>
      <w:r>
        <w:t xml:space="preserve">A compliant Event Service SHALL:</w:t>
      </w:r>
    </w:p>
    <w:p>
      <w:pPr>
        <w:pStyle w:val="BodyText"/>
      </w:pPr>
      <w:r>
        <w:t xml:space="preserve">Maintain the Canonical Event Registry.</w:t>
      </w:r>
    </w:p>
    <w:p>
      <w:pPr>
        <w:pStyle w:val="BodyText"/>
      </w:pPr>
      <w:r>
        <w:t xml:space="preserve">Validate events.</w:t>
      </w:r>
    </w:p>
    <w:p>
      <w:pPr>
        <w:pStyle w:val="BodyText"/>
      </w:pPr>
      <w:r>
        <w:t xml:space="preserve">Support subscriptions.</w:t>
      </w:r>
    </w:p>
    <w:p>
      <w:pPr>
        <w:pStyle w:val="BodyText"/>
      </w:pPr>
      <w:r>
        <w:t xml:space="preserve">Support replay.</w:t>
      </w:r>
    </w:p>
    <w:p>
      <w:pPr>
        <w:pStyle w:val="BodyText"/>
      </w:pPr>
      <w:r>
        <w:t xml:space="preserve">Support correlation.</w:t>
      </w:r>
    </w:p>
    <w:p>
      <w:pPr>
        <w:pStyle w:val="BodyText"/>
      </w:pPr>
      <w:r>
        <w:t xml:space="preserve">Support causation.</w:t>
      </w:r>
    </w:p>
    <w:p>
      <w:pPr>
        <w:pStyle w:val="BodyText"/>
      </w:pPr>
      <w:r>
        <w:t xml:space="preserve">Support governance.</w:t>
      </w:r>
    </w:p>
    <w:p>
      <w:pPr>
        <w:pStyle w:val="BodyText"/>
      </w:pPr>
      <w:r>
        <w:t xml:space="preserve">Support observability.</w:t>
      </w:r>
    </w:p>
    <w:p>
      <w:pPr>
        <w:pStyle w:val="BodyText"/>
      </w:pPr>
      <w:r>
        <w:t xml:space="preserve">Support KMOS-0110.</w:t>
      </w:r>
    </w:p>
    <w:p>
      <w:pPr>
        <w:pStyle w:val="BodyText"/>
      </w:pPr>
      <w:r>
        <w:t xml:space="preserve">Remain transport independent.</w:t>
      </w:r>
    </w:p>
    <w:p>
      <w:r>
        <w:pict>
          <v:rect style="width:0;height:1.5pt" o:hralign="center" o:hrstd="t" o:hr="t"/>
        </w:pict>
      </w:r>
    </w:p>
    <w:bookmarkEnd w:id="46"/>
    <w:bookmarkStart w:id="47" w:name="reality-check"/>
    <w:p>
      <w:pPr>
        <w:pStyle w:val="Heading1"/>
      </w:pPr>
      <w:r>
        <w:t xml:space="preserve">26. Reality Check</w:t>
      </w:r>
    </w:p>
    <w:p>
      <w:pPr>
        <w:pStyle w:val="FirstParagraph"/>
      </w:pPr>
      <w:r>
        <w:t xml:space="preserve">Current implementation maturity.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Existing Evidence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Event-driven processing</w:t>
            </w:r>
          </w:p>
        </w:tc>
        <w:tc>
          <w:tcPr/>
          <w:p>
            <w:pPr>
              <w:pStyle w:val="Compact"/>
            </w:pPr>
            <w:r>
              <w:t xml:space="preserve">Media Pipeline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notifications</w:t>
            </w:r>
          </w:p>
        </w:tc>
        <w:tc>
          <w:tcPr/>
          <w:p>
            <w:pPr>
              <w:pStyle w:val="Compact"/>
            </w:pPr>
            <w:r>
              <w:t xml:space="preserve">Media Pipeline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replay</w:t>
            </w:r>
          </w:p>
        </w:tc>
        <w:tc>
          <w:tcPr/>
          <w:p>
            <w:pPr>
              <w:pStyle w:val="Compact"/>
            </w:pPr>
            <w:r>
              <w:t xml:space="preserve">Limited operational support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event catalog</w:t>
            </w:r>
          </w:p>
        </w:tc>
        <w:tc>
          <w:tcPr/>
          <w:p>
            <w:pPr>
              <w:pStyle w:val="Compact"/>
            </w:pPr>
            <w:r>
              <w:t xml:space="preserve">KMOS specifications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chains</w:t>
            </w:r>
          </w:p>
        </w:tc>
        <w:tc>
          <w:tcPr/>
          <w:p>
            <w:pPr>
              <w:pStyle w:val="Compact"/>
            </w:pPr>
            <w:r>
              <w:t xml:space="preserve">Governance evidence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Causation tracking</w:t>
            </w:r>
          </w:p>
        </w:tc>
        <w:tc>
          <w:tcPr/>
          <w:p>
            <w:pPr>
              <w:pStyle w:val="Compact"/>
            </w:pPr>
            <w:r>
              <w:t xml:space="preserve">Derivative lineage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Registry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Letter management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</w:tbl>
    <w:p>
      <w:pPr>
        <w:pStyle w:val="BodyText"/>
      </w:pPr>
      <w:r>
        <w:t xml:space="preserve">The implementation SHALL prioritize proven operational patterns before introducing advanced event governance.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e-implementation"/>
    <w:p>
      <w:pPr>
        <w:pStyle w:val="Heading1"/>
      </w:pPr>
      <w:r>
        <w:t xml:space="preserve">27. Reference Implementation</w:t>
      </w:r>
    </w:p>
    <w:p>
      <w:pPr>
        <w:pStyle w:val="FirstParagraph"/>
      </w:pPr>
      <w:r>
        <w:t xml:space="preserve">Suggested internal architecture.</w:t>
      </w:r>
    </w:p>
    <w:p>
      <w:pPr>
        <w:pStyle w:val="SourceCode"/>
      </w:pPr>
      <w:r>
        <w:rPr>
          <w:rStyle w:val="VerbatimChar"/>
        </w:rPr>
        <w:t xml:space="preserve">event-service/</w:t>
      </w:r>
      <w:r>
        <w:br/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application/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  ├── registry/</w:t>
      </w:r>
      <w:r>
        <w:br/>
      </w:r>
      <w:r>
        <w:rPr>
          <w:rStyle w:val="VerbatimChar"/>
        </w:rPr>
        <w:t xml:space="preserve">│     ├── schemas/</w:t>
      </w:r>
      <w:r>
        <w:br/>
      </w:r>
      <w:r>
        <w:rPr>
          <w:rStyle w:val="VerbatimChar"/>
        </w:rPr>
        <w:t xml:space="preserve">│     ├── routing/</w:t>
      </w:r>
      <w:r>
        <w:br/>
      </w:r>
      <w:r>
        <w:rPr>
          <w:rStyle w:val="VerbatimChar"/>
        </w:rPr>
        <w:t xml:space="preserve">│     ├── replay/</w:t>
      </w:r>
      <w:r>
        <w:br/>
      </w:r>
      <w:r>
        <w:rPr>
          <w:rStyle w:val="VerbatimChar"/>
        </w:rPr>
        <w:t xml:space="preserve">│     ├── subscriptions/</w:t>
      </w:r>
      <w:r>
        <w:br/>
      </w:r>
      <w:r>
        <w:rPr>
          <w:rStyle w:val="VerbatimChar"/>
        </w:rPr>
        <w:t xml:space="preserve">│     ├── correlation/</w:t>
      </w:r>
      <w:r>
        <w:br/>
      </w:r>
      <w:r>
        <w:rPr>
          <w:rStyle w:val="VerbatimChar"/>
        </w:rPr>
        <w:t xml:space="preserve">│     ├── causation/</w:t>
      </w:r>
      <w:r>
        <w:br/>
      </w:r>
      <w:r>
        <w:rPr>
          <w:rStyle w:val="VerbatimChar"/>
        </w:rPr>
        <w:t xml:space="preserve">│     ├── retention/</w:t>
      </w:r>
      <w:r>
        <w:br/>
      </w:r>
      <w:r>
        <w:rPr>
          <w:rStyle w:val="VerbatimChar"/>
        </w:rPr>
        <w:t xml:space="preserve">│     └── deadletters/</w:t>
      </w:r>
      <w:r>
        <w:br/>
      </w:r>
      <w:r>
        <w:rPr>
          <w:rStyle w:val="VerbatimChar"/>
        </w:rPr>
        <w:t xml:space="preserve">├── broker/</w:t>
      </w:r>
      <w:r>
        <w:br/>
      </w:r>
      <w:r>
        <w:rPr>
          <w:rStyle w:val="VerbatimChar"/>
        </w:rPr>
        <w:t xml:space="preserve">├── events/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└── documentation/</w:t>
      </w:r>
    </w:p>
    <w:p>
      <w:pPr>
        <w:pStyle w:val="FirstParagraph"/>
      </w:pPr>
      <w:r>
        <w:t xml:space="preserve">The messaging broker SHALL remain behind an abstraction layer.</w:t>
      </w:r>
    </w:p>
    <w:p>
      <w:pPr>
        <w:pStyle w:val="BodyText"/>
      </w:pPr>
      <w:r>
        <w:t xml:space="preserve">The broker is infrastructure.</w:t>
      </w:r>
    </w:p>
    <w:p>
      <w:pPr>
        <w:pStyle w:val="BodyText"/>
      </w:pPr>
      <w:r>
        <w:t xml:space="preserve">The Event Service is business architecture.</w:t>
      </w:r>
    </w:p>
    <w:p>
      <w:r>
        <w:pict>
          <v:rect style="width:0;height:1.5pt" o:hralign="center" o:hrstd="t" o:hr="t"/>
        </w:pict>
      </w:r>
    </w:p>
    <w:bookmarkEnd w:id="48"/>
    <w:bookmarkStart w:id="53" w:name="claude-implementation-guide"/>
    <w:p>
      <w:pPr>
        <w:pStyle w:val="Heading1"/>
      </w:pPr>
      <w:r>
        <w:t xml:space="preserve">28. Claude Implementation Guide</w:t>
      </w:r>
    </w:p>
    <w:bookmarkStart w:id="4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the authoritative Event Service for KMOS.</w:t>
      </w:r>
    </w:p>
    <w:bookmarkEnd w:id="49"/>
    <w:bookmarkStart w:id="50" w:name="primary-specifications"/>
    <w:p>
      <w:pPr>
        <w:pStyle w:val="Heading2"/>
      </w:pPr>
      <w:r>
        <w:t xml:space="preserve">Primary Specifications</w:t>
      </w:r>
    </w:p>
    <w:p>
      <w:pPr>
        <w:pStyle w:val="FirstParagraph"/>
      </w:pPr>
      <w:r>
        <w:t xml:space="preserve">KMOS-0110</w:t>
      </w:r>
    </w:p>
    <w:p>
      <w:pPr>
        <w:pStyle w:val="BodyText"/>
      </w:pPr>
      <w:r>
        <w:t xml:space="preserve">KMOS-0150</w:t>
      </w:r>
    </w:p>
    <w:p>
      <w:pPr>
        <w:pStyle w:val="BodyText"/>
      </w:pPr>
      <w:r>
        <w:t xml:space="preserve">KMOS-0180</w:t>
      </w:r>
    </w:p>
    <w:p>
      <w:pPr>
        <w:pStyle w:val="BodyText"/>
      </w:pPr>
      <w:r>
        <w:t xml:space="preserve">KMOS-0190</w:t>
      </w:r>
    </w:p>
    <w:p>
      <w:pPr>
        <w:pStyle w:val="BodyText"/>
      </w:pPr>
      <w:r>
        <w:t xml:space="preserve">KMOS-0200</w:t>
      </w:r>
    </w:p>
    <w:bookmarkEnd w:id="50"/>
    <w:bookmarkStart w:id="51" w:name="deliverables"/>
    <w:p>
      <w:pPr>
        <w:pStyle w:val="Heading2"/>
      </w:pPr>
      <w:r>
        <w:t xml:space="preserve">Deliverables</w:t>
      </w:r>
    </w:p>
    <w:p>
      <w:pPr>
        <w:pStyle w:val="FirstParagraph"/>
      </w:pPr>
      <w:r>
        <w:t xml:space="preserve">Production-ready Event Service.</w:t>
      </w:r>
    </w:p>
    <w:p>
      <w:pPr>
        <w:pStyle w:val="BodyText"/>
      </w:pPr>
      <w:r>
        <w:t xml:space="preserve">Canonical Event Registry.</w:t>
      </w:r>
    </w:p>
    <w:p>
      <w:pPr>
        <w:pStyle w:val="BodyText"/>
      </w:pPr>
      <w:r>
        <w:t xml:space="preserve">Schema Validation Engine.</w:t>
      </w:r>
    </w:p>
    <w:p>
      <w:pPr>
        <w:pStyle w:val="BodyText"/>
      </w:pPr>
      <w:r>
        <w:t xml:space="preserve">Replay Engine.</w:t>
      </w:r>
    </w:p>
    <w:p>
      <w:pPr>
        <w:pStyle w:val="BodyText"/>
      </w:pPr>
      <w:r>
        <w:t xml:space="preserve">Subscription Manager.</w:t>
      </w:r>
    </w:p>
    <w:p>
      <w:pPr>
        <w:pStyle w:val="BodyText"/>
      </w:pPr>
      <w:r>
        <w:t xml:space="preserve">Dead Letter Manager.</w:t>
      </w:r>
    </w:p>
    <w:p>
      <w:pPr>
        <w:pStyle w:val="BodyText"/>
      </w:pPr>
      <w:r>
        <w:t xml:space="preserve">Correlation &amp; Causation Engine.</w:t>
      </w:r>
    </w:p>
    <w:p>
      <w:pPr>
        <w:pStyle w:val="BodyText"/>
      </w:pPr>
      <w:r>
        <w:t xml:space="preserve">Automated Tests.</w:t>
      </w:r>
    </w:p>
    <w:p>
      <w:pPr>
        <w:pStyle w:val="BodyText"/>
      </w:pPr>
      <w:r>
        <w:t xml:space="preserve">Deployment Manifests.</w:t>
      </w:r>
    </w:p>
    <w:p>
      <w:pPr>
        <w:pStyle w:val="BodyText"/>
      </w:pPr>
      <w:r>
        <w:t xml:space="preserve">Operational Documentation.</w:t>
      </w:r>
    </w:p>
    <w:bookmarkEnd w:id="51"/>
    <w:bookmarkStart w:id="52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t xml:space="preserve">The implementation SHALL satisfy every requirement defined in this specification.</w:t>
      </w:r>
    </w:p>
    <w:p>
      <w:pPr>
        <w:pStyle w:val="BodyText"/>
      </w:pPr>
      <w:r>
        <w:t xml:space="preserve">No implementation SHALL expose broker-specific semantics through business APIs.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elationship-to-other-services"/>
    <w:p>
      <w:pPr>
        <w:pStyle w:val="Heading1"/>
      </w:pPr>
      <w:r>
        <w:t xml:space="preserve">29. Relationship to Other Services</w:t>
      </w:r>
    </w:p>
    <w:p>
      <w:pPr>
        <w:pStyle w:val="FirstParagraph"/>
      </w:pPr>
      <w:r>
        <w:t xml:space="preserve">Knowledge Service</w:t>
      </w:r>
    </w:p>
    <w:p>
      <w:pPr>
        <w:pStyle w:val="BodyText"/>
      </w:pPr>
      <w:r>
        <w:t xml:space="preserve">Publishes and consumes knowledge events.</w:t>
      </w:r>
    </w:p>
    <w:p>
      <w:pPr>
        <w:pStyle w:val="BodyText"/>
      </w:pPr>
      <w:r>
        <w:t xml:space="preserve">Asset Registry</w:t>
      </w:r>
    </w:p>
    <w:p>
      <w:pPr>
        <w:pStyle w:val="BodyText"/>
      </w:pPr>
      <w:r>
        <w:t xml:space="preserve">Publishes evidence events.</w:t>
      </w:r>
    </w:p>
    <w:p>
      <w:pPr>
        <w:pStyle w:val="BodyText"/>
      </w:pPr>
      <w:r>
        <w:t xml:space="preserve">Workflow Service</w:t>
      </w:r>
    </w:p>
    <w:p>
      <w:pPr>
        <w:pStyle w:val="BodyText"/>
      </w:pPr>
      <w:r>
        <w:t xml:space="preserve">Coordinates execution through canonical events.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Publishes capability lifecycle events.</w:t>
      </w:r>
    </w:p>
    <w:p>
      <w:pPr>
        <w:pStyle w:val="BodyText"/>
      </w:pPr>
      <w:r>
        <w:t xml:space="preserve">Identity Service</w:t>
      </w:r>
    </w:p>
    <w:p>
      <w:pPr>
        <w:pStyle w:val="BodyText"/>
      </w:pPr>
      <w:r>
        <w:t xml:space="preserve">Authorizes publication and subscriptions.</w:t>
      </w:r>
    </w:p>
    <w:p>
      <w:pPr>
        <w:pStyle w:val="BodyText"/>
      </w:pPr>
      <w:r>
        <w:t xml:space="preserve">Governance Service</w:t>
      </w:r>
    </w:p>
    <w:p>
      <w:pPr>
        <w:pStyle w:val="BodyText"/>
      </w:pPr>
      <w:r>
        <w:t xml:space="preserve">Audits institutional communication.</w:t>
      </w:r>
    </w:p>
    <w:p>
      <w:pPr>
        <w:pStyle w:val="BodyText"/>
      </w:pPr>
      <w:r>
        <w:t xml:space="preserve">Search Service</w:t>
      </w:r>
    </w:p>
    <w:p>
      <w:pPr>
        <w:pStyle w:val="BodyText"/>
      </w:pPr>
      <w:r>
        <w:t xml:space="preserve">Indexes event history where appropriate.</w:t>
      </w:r>
    </w:p>
    <w:p>
      <w:pPr>
        <w:pStyle w:val="BodyText"/>
      </w:pPr>
      <w:r>
        <w:t xml:space="preserve">The Event Service SHALL remain the authoritative owner of institutional communication.</w:t>
      </w:r>
    </w:p>
    <w:p>
      <w:r>
        <w:pict>
          <v:rect style="width:0;height:1.5pt" o:hralign="center" o:hrstd="t" o:hr="t"/>
        </w:pict>
      </w:r>
    </w:p>
    <w:bookmarkEnd w:id="54"/>
    <w:bookmarkStart w:id="55" w:name="architectural-consequences"/>
    <w:p>
      <w:pPr>
        <w:pStyle w:val="Heading1"/>
      </w:pPr>
      <w:r>
        <w:t xml:space="preserve">30. Architectural Consequences</w:t>
      </w:r>
    </w:p>
    <w:p>
      <w:pPr>
        <w:pStyle w:val="FirstParagraph"/>
      </w:pPr>
      <w:r>
        <w:t xml:space="preserve">Because every business fact is represented by a governed canonical event:</w:t>
      </w:r>
    </w:p>
    <w:p>
      <w:pPr>
        <w:pStyle w:val="BodyText"/>
      </w:pPr>
      <w:r>
        <w:t xml:space="preserve">Platform communication becomes technology independent.</w:t>
      </w:r>
    </w:p>
    <w:p>
      <w:pPr>
        <w:pStyle w:val="BodyText"/>
      </w:pPr>
      <w:r>
        <w:t xml:space="preserve">Institutional history becomes replayable.</w:t>
      </w:r>
    </w:p>
    <w:p>
      <w:pPr>
        <w:pStyle w:val="BodyText"/>
      </w:pPr>
      <w:r>
        <w:t xml:space="preserve">Workflows become observable.</w:t>
      </w:r>
    </w:p>
    <w:p>
      <w:pPr>
        <w:pStyle w:val="BodyText"/>
      </w:pPr>
      <w:r>
        <w:t xml:space="preserve">Capabilities remain loosely coupled.</w:t>
      </w:r>
    </w:p>
    <w:p>
      <w:pPr>
        <w:pStyle w:val="BodyText"/>
      </w:pPr>
      <w:r>
        <w:t xml:space="preserve">Knowledge evolution becomes explainable.</w:t>
      </w:r>
    </w:p>
    <w:p>
      <w:pPr>
        <w:pStyle w:val="BodyText"/>
      </w:pPr>
      <w:r>
        <w:t xml:space="preserve">Evidence becomes chronologically traceable.</w:t>
      </w:r>
    </w:p>
    <w:p>
      <w:pPr>
        <w:pStyle w:val="BodyText"/>
      </w:pPr>
      <w:r>
        <w:t xml:space="preserve">Infrastructure may change without affecting business communication.</w:t>
      </w:r>
    </w:p>
    <w:p>
      <w:pPr>
        <w:pStyle w:val="BodyText"/>
      </w:pPr>
      <w:r>
        <w:t xml:space="preserve">The Event Service becomes the institutional communication engine of KMOS.</w:t>
      </w:r>
    </w:p>
    <w:p>
      <w:r>
        <w:pict>
          <v:rect style="width:0;height:1.5pt" o:hralign="center" o:hrstd="t" o:hr="t"/>
        </w:pict>
      </w:r>
    </w:p>
    <w:bookmarkEnd w:id="55"/>
    <w:bookmarkStart w:id="56" w:name="next-specification"/>
    <w:p>
      <w:pPr>
        <w:pStyle w:val="Heading1"/>
      </w:pPr>
      <w:r>
        <w:t xml:space="preserve">31. Next Specification</w:t>
      </w:r>
    </w:p>
    <w:p>
      <w:pPr>
        <w:pStyle w:val="FirstParagraph"/>
      </w:pPr>
      <w:r>
        <w:t xml:space="preserve">KMOS-0204 defines the</w:t>
      </w:r>
      <w:r>
        <w:t xml:space="preserve"> </w:t>
      </w:r>
      <w:r>
        <w:rPr>
          <w:b/>
          <w:bCs/>
        </w:rPr>
        <w:t xml:space="preserve">Workflow Service</w:t>
      </w:r>
      <w:r>
        <w:t xml:space="preserve">.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The Knowledge Service preserves institutional meaning,</w:t>
      </w:r>
    </w:p>
    <w:p>
      <w:pPr>
        <w:pStyle w:val="BodyText"/>
      </w:pPr>
      <w:r>
        <w:t xml:space="preserve">The Asset Registry preserves institutional evidence,</w:t>
      </w:r>
    </w:p>
    <w:p>
      <w:pPr>
        <w:pStyle w:val="BodyText"/>
      </w:pPr>
      <w:r>
        <w:t xml:space="preserve">The Event Service preserves institutional communication,</w:t>
      </w:r>
    </w:p>
    <w:p>
      <w:pPr>
        <w:pStyle w:val="BodyText"/>
      </w:pPr>
      <w:r>
        <w:t xml:space="preserve">the Workflow Service preserves institutional coordination.</w:t>
      </w:r>
    </w:p>
    <w:p>
      <w:pPr>
        <w:pStyle w:val="BodyText"/>
      </w:pPr>
      <w:r>
        <w:t xml:space="preserve">It becomes the engine responsible for orchestrating capabilities, approvals, policies, human participation, and long-running business processes while ensuring that execution remains deterministic, observable, replayable, and fully governed.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2026-06-30T09:06:49Z</dcterms:created>
  <dcterms:modified xsi:type="dcterms:W3CDTF">2026-06-30T09:06:49Z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