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BE3" w:rsidRPr="00DE7BE3" w:rsidRDefault="00DE7BE3" w:rsidP="00DE7BE3">
      <w:pPr>
        <w:spacing w:after="0" w:line="480" w:lineRule="auto"/>
        <w:rPr>
          <w:rFonts w:ascii="Book Antiqua" w:hAnsi="Book Antiqua"/>
          <w:sz w:val="24"/>
          <w:szCs w:val="24"/>
        </w:rPr>
      </w:pPr>
      <w:r>
        <w:rPr>
          <w:rFonts w:ascii="Book Antiqua" w:hAnsi="Book Antiqua"/>
          <w:b/>
          <w:sz w:val="24"/>
          <w:szCs w:val="24"/>
        </w:rPr>
        <w:t>Methods</w:t>
      </w:r>
    </w:p>
    <w:p w:rsidR="00DE7BE3" w:rsidRDefault="00DE7BE3" w:rsidP="00DE7BE3">
      <w:pPr>
        <w:spacing w:after="0" w:line="480" w:lineRule="auto"/>
        <w:rPr>
          <w:rFonts w:ascii="Book Antiqua" w:hAnsi="Book Antiqua"/>
          <w:sz w:val="24"/>
          <w:szCs w:val="24"/>
        </w:rPr>
      </w:pPr>
      <w:r>
        <w:rPr>
          <w:rFonts w:ascii="Book Antiqua" w:hAnsi="Book Antiqua"/>
          <w:i/>
          <w:sz w:val="24"/>
          <w:szCs w:val="24"/>
        </w:rPr>
        <w:t>Crops</w:t>
      </w:r>
    </w:p>
    <w:p w:rsidR="00DE7BE3" w:rsidRDefault="00D005F4" w:rsidP="00472027">
      <w:pPr>
        <w:spacing w:after="0" w:line="480" w:lineRule="auto"/>
        <w:ind w:firstLine="720"/>
        <w:rPr>
          <w:rFonts w:ascii="Book Antiqua" w:hAnsi="Book Antiqua"/>
          <w:sz w:val="24"/>
          <w:szCs w:val="24"/>
        </w:rPr>
      </w:pPr>
      <w:r>
        <w:rPr>
          <w:rFonts w:ascii="Book Antiqua" w:hAnsi="Book Antiqua"/>
          <w:sz w:val="24"/>
          <w:szCs w:val="24"/>
        </w:rPr>
        <w:t>Background information on the</w:t>
      </w:r>
      <w:r w:rsidR="00472027">
        <w:rPr>
          <w:rFonts w:ascii="Book Antiqua" w:hAnsi="Book Antiqua"/>
          <w:sz w:val="24"/>
          <w:szCs w:val="24"/>
        </w:rPr>
        <w:t xml:space="preserve"> data used for</w:t>
      </w:r>
      <w:r>
        <w:rPr>
          <w:rFonts w:ascii="Book Antiqua" w:hAnsi="Book Antiqua"/>
          <w:sz w:val="24"/>
          <w:szCs w:val="24"/>
        </w:rPr>
        <w:t xml:space="preserve"> crop distribution</w:t>
      </w:r>
      <w:r w:rsidR="00472027">
        <w:rPr>
          <w:rFonts w:ascii="Book Antiqua" w:hAnsi="Book Antiqua"/>
          <w:sz w:val="24"/>
          <w:szCs w:val="24"/>
        </w:rPr>
        <w:t xml:space="preserve"> on the landscape, </w:t>
      </w:r>
      <w:r>
        <w:rPr>
          <w:rFonts w:ascii="Book Antiqua" w:hAnsi="Book Antiqua"/>
          <w:sz w:val="24"/>
          <w:szCs w:val="24"/>
        </w:rPr>
        <w:t>K</w:t>
      </w:r>
      <w:r>
        <w:rPr>
          <w:rFonts w:ascii="Book Antiqua" w:hAnsi="Book Antiqua"/>
          <w:sz w:val="24"/>
          <w:szCs w:val="24"/>
          <w:vertAlign w:val="subscript"/>
        </w:rPr>
        <w:t>cb</w:t>
      </w:r>
      <w:r>
        <w:rPr>
          <w:rFonts w:ascii="Book Antiqua" w:hAnsi="Book Antiqua"/>
          <w:sz w:val="24"/>
          <w:szCs w:val="24"/>
        </w:rPr>
        <w:t xml:space="preserve"> values used in the model</w:t>
      </w:r>
      <w:r w:rsidR="00472027">
        <w:rPr>
          <w:rFonts w:ascii="Book Antiqua" w:hAnsi="Book Antiqua"/>
          <w:sz w:val="24"/>
          <w:szCs w:val="24"/>
        </w:rPr>
        <w:t>, and crop growth curve assumptions are</w:t>
      </w:r>
      <w:r>
        <w:rPr>
          <w:rFonts w:ascii="Book Antiqua" w:hAnsi="Book Antiqua"/>
          <w:sz w:val="24"/>
          <w:szCs w:val="24"/>
        </w:rPr>
        <w:t xml:space="preserve"> available in Devine (2018).</w:t>
      </w:r>
      <w:r w:rsidR="00472027">
        <w:rPr>
          <w:rFonts w:ascii="Book Antiqua" w:hAnsi="Book Antiqua"/>
          <w:sz w:val="24"/>
          <w:szCs w:val="24"/>
        </w:rPr>
        <w:t xml:space="preserve">  </w:t>
      </w:r>
      <w:r w:rsidR="00DE7BE3">
        <w:rPr>
          <w:rFonts w:ascii="Book Antiqua" w:hAnsi="Book Antiqua"/>
          <w:sz w:val="24"/>
          <w:szCs w:val="24"/>
        </w:rPr>
        <w:t>Basal crop coefficients (</w:t>
      </w:r>
      <w:r w:rsidR="00DE7BE3">
        <w:rPr>
          <w:rFonts w:ascii="Book Antiqua" w:eastAsiaTheme="minorEastAsia" w:hAnsi="Book Antiqua"/>
          <w:sz w:val="24"/>
          <w:szCs w:val="24"/>
        </w:rPr>
        <w:t>K</w:t>
      </w:r>
      <w:r w:rsidR="00DE7BE3">
        <w:rPr>
          <w:rFonts w:ascii="Book Antiqua" w:eastAsiaTheme="minorEastAsia" w:hAnsi="Book Antiqua"/>
          <w:sz w:val="24"/>
          <w:szCs w:val="24"/>
          <w:vertAlign w:val="subscript"/>
        </w:rPr>
        <w:t xml:space="preserve">cb </w:t>
      </w:r>
      <w:proofErr w:type="gramStart"/>
      <w:r w:rsidR="00DE7BE3" w:rsidRPr="000279F2">
        <w:rPr>
          <w:rFonts w:ascii="Book Antiqua" w:eastAsiaTheme="minorEastAsia" w:hAnsi="Book Antiqua"/>
          <w:sz w:val="24"/>
          <w:szCs w:val="24"/>
          <w:vertAlign w:val="subscript"/>
        </w:rPr>
        <w:t>std</w:t>
      </w:r>
      <w:proofErr w:type="gramEnd"/>
      <w:r w:rsidR="00DE7BE3">
        <w:rPr>
          <w:rFonts w:ascii="Book Antiqua" w:eastAsiaTheme="minorEastAsia" w:hAnsi="Book Antiqua"/>
          <w:sz w:val="24"/>
          <w:szCs w:val="24"/>
        </w:rPr>
        <w:t xml:space="preserve">) </w:t>
      </w:r>
      <w:r w:rsidR="00DE7BE3">
        <w:rPr>
          <w:rFonts w:ascii="Book Antiqua" w:hAnsi="Book Antiqua"/>
          <w:sz w:val="24"/>
          <w:szCs w:val="24"/>
        </w:rPr>
        <w:t xml:space="preserve">were assumed from several sources and chosen to reflect high density </w:t>
      </w:r>
      <w:r w:rsidR="00472027">
        <w:rPr>
          <w:rFonts w:ascii="Book Antiqua" w:hAnsi="Book Antiqua"/>
          <w:sz w:val="24"/>
          <w:szCs w:val="24"/>
        </w:rPr>
        <w:t>production except for wine grapes (insert 2 citations) (Figure Kcb curves by crop).</w:t>
      </w:r>
      <w:r w:rsidR="00DE7BE3">
        <w:rPr>
          <w:rFonts w:ascii="Book Antiqua" w:hAnsi="Book Antiqua"/>
          <w:sz w:val="24"/>
          <w:szCs w:val="24"/>
        </w:rPr>
        <w:t xml:space="preserve">    </w:t>
      </w:r>
      <w:r w:rsidR="00DE7BE3">
        <w:rPr>
          <w:rFonts w:ascii="Book Antiqua" w:eastAsiaTheme="minorEastAsia" w:hAnsi="Book Antiqua"/>
          <w:sz w:val="24"/>
          <w:szCs w:val="24"/>
        </w:rPr>
        <w:t>K</w:t>
      </w:r>
      <w:r w:rsidR="00DE7BE3" w:rsidRPr="00C24339">
        <w:rPr>
          <w:rFonts w:ascii="Book Antiqua" w:eastAsiaTheme="minorEastAsia" w:hAnsi="Book Antiqua"/>
          <w:sz w:val="24"/>
          <w:szCs w:val="24"/>
          <w:vertAlign w:val="subscript"/>
        </w:rPr>
        <w:t xml:space="preserve">cb </w:t>
      </w:r>
      <w:proofErr w:type="gramStart"/>
      <w:r w:rsidR="00DE7BE3" w:rsidRPr="00C24339">
        <w:rPr>
          <w:rFonts w:ascii="Book Antiqua" w:eastAsiaTheme="minorEastAsia" w:hAnsi="Book Antiqua"/>
          <w:sz w:val="24"/>
          <w:szCs w:val="24"/>
          <w:vertAlign w:val="subscript"/>
        </w:rPr>
        <w:t xml:space="preserve">std  </w:t>
      </w:r>
      <w:r w:rsidR="00DE7BE3">
        <w:rPr>
          <w:rFonts w:ascii="Book Antiqua" w:eastAsiaTheme="minorEastAsia" w:hAnsi="Book Antiqua"/>
          <w:sz w:val="24"/>
          <w:szCs w:val="24"/>
        </w:rPr>
        <w:t>values</w:t>
      </w:r>
      <w:proofErr w:type="gramEnd"/>
      <w:r w:rsidR="00DE7BE3">
        <w:rPr>
          <w:rFonts w:ascii="Book Antiqua" w:eastAsiaTheme="minorEastAsia" w:hAnsi="Book Antiqua"/>
          <w:sz w:val="24"/>
          <w:szCs w:val="24"/>
        </w:rPr>
        <w:t xml:space="preserve"> </w:t>
      </w:r>
      <w:r w:rsidR="00472027">
        <w:rPr>
          <w:rFonts w:ascii="Book Antiqua" w:eastAsiaTheme="minorEastAsia" w:hAnsi="Book Antiqua"/>
          <w:sz w:val="24"/>
          <w:szCs w:val="24"/>
        </w:rPr>
        <w:t xml:space="preserve">for alfalfa were chosen to represent three </w:t>
      </w:r>
      <w:r w:rsidR="00DE7BE3">
        <w:rPr>
          <w:rFonts w:ascii="Book Antiqua" w:eastAsiaTheme="minorEastAsia" w:hAnsi="Book Antiqua"/>
          <w:sz w:val="24"/>
          <w:szCs w:val="24"/>
        </w:rPr>
        <w:t>different cutting cycles depending on the region of California</w:t>
      </w:r>
      <w:r w:rsidR="00472027">
        <w:rPr>
          <w:rFonts w:ascii="Book Antiqua" w:eastAsiaTheme="minorEastAsia" w:hAnsi="Book Antiqua"/>
          <w:sz w:val="24"/>
          <w:szCs w:val="24"/>
        </w:rPr>
        <w:t>: intermountain; Central Valley; and Imperial Valley</w:t>
      </w:r>
      <w:r w:rsidR="00DE7BE3">
        <w:rPr>
          <w:rFonts w:ascii="Book Antiqua" w:eastAsiaTheme="minorEastAsia" w:hAnsi="Book Antiqua"/>
          <w:sz w:val="24"/>
          <w:szCs w:val="24"/>
        </w:rPr>
        <w:t xml:space="preserve">.  </w:t>
      </w:r>
      <w:r w:rsidR="00DE7BE3">
        <w:rPr>
          <w:rFonts w:ascii="Book Antiqua" w:hAnsi="Book Antiqua"/>
          <w:sz w:val="24"/>
          <w:szCs w:val="24"/>
        </w:rPr>
        <w:t xml:space="preserve">Grapes located in coastal California and foothills, including Sonoma and Napa Valleys, were assumed to be for higher quality wine production and </w:t>
      </w:r>
      <w:r w:rsidR="00472027">
        <w:rPr>
          <w:rFonts w:ascii="Book Antiqua" w:hAnsi="Book Antiqua"/>
          <w:sz w:val="24"/>
          <w:szCs w:val="24"/>
        </w:rPr>
        <w:t xml:space="preserve">lower </w:t>
      </w:r>
      <w:r w:rsidR="00DE7BE3">
        <w:rPr>
          <w:rFonts w:ascii="Book Antiqua" w:hAnsi="Book Antiqua"/>
          <w:sz w:val="24"/>
          <w:szCs w:val="24"/>
        </w:rPr>
        <w:t>K</w:t>
      </w:r>
      <w:r w:rsidR="00DE7BE3">
        <w:rPr>
          <w:rFonts w:ascii="Book Antiqua" w:hAnsi="Book Antiqua"/>
          <w:sz w:val="24"/>
          <w:szCs w:val="24"/>
          <w:vertAlign w:val="subscript"/>
        </w:rPr>
        <w:t>cb</w:t>
      </w:r>
      <w:r w:rsidR="00DE7BE3">
        <w:rPr>
          <w:rFonts w:ascii="Book Antiqua" w:hAnsi="Book Antiqua"/>
          <w:sz w:val="24"/>
          <w:szCs w:val="24"/>
        </w:rPr>
        <w:t xml:space="preserve"> values </w:t>
      </w:r>
      <w:r w:rsidR="00472027">
        <w:rPr>
          <w:rFonts w:ascii="Book Antiqua" w:hAnsi="Book Antiqua"/>
          <w:sz w:val="24"/>
          <w:szCs w:val="24"/>
        </w:rPr>
        <w:t>represented</w:t>
      </w:r>
      <w:r w:rsidR="00DE7BE3">
        <w:rPr>
          <w:rFonts w:ascii="Book Antiqua" w:hAnsi="Book Antiqua"/>
          <w:sz w:val="24"/>
          <w:szCs w:val="24"/>
        </w:rPr>
        <w:t xml:space="preserve"> intentional crop water stress after </w:t>
      </w:r>
      <w:proofErr w:type="spellStart"/>
      <w:r w:rsidR="00DE7BE3">
        <w:rPr>
          <w:rFonts w:ascii="Book Antiqua" w:hAnsi="Book Antiqua"/>
          <w:sz w:val="24"/>
          <w:szCs w:val="24"/>
        </w:rPr>
        <w:t>veraison</w:t>
      </w:r>
      <w:proofErr w:type="spellEnd"/>
      <w:r w:rsidR="00DE7BE3">
        <w:rPr>
          <w:rFonts w:ascii="Book Antiqua" w:hAnsi="Book Antiqua"/>
          <w:sz w:val="24"/>
          <w:szCs w:val="24"/>
        </w:rPr>
        <w:t xml:space="preserve"> to help control canopy growth</w:t>
      </w:r>
      <w:r w:rsidR="00472027">
        <w:rPr>
          <w:rFonts w:ascii="Book Antiqua" w:hAnsi="Book Antiqua"/>
          <w:sz w:val="24"/>
          <w:szCs w:val="24"/>
        </w:rPr>
        <w:t>.  B</w:t>
      </w:r>
      <w:r w:rsidR="00DE7BE3">
        <w:rPr>
          <w:rFonts w:ascii="Book Antiqua" w:hAnsi="Book Antiqua"/>
          <w:sz w:val="24"/>
          <w:szCs w:val="24"/>
        </w:rPr>
        <w:t>a</w:t>
      </w:r>
      <w:r w:rsidR="00472027">
        <w:rPr>
          <w:rFonts w:ascii="Book Antiqua" w:hAnsi="Book Antiqua"/>
          <w:sz w:val="24"/>
          <w:szCs w:val="24"/>
        </w:rPr>
        <w:t xml:space="preserve">sal crop coefficient curve timing </w:t>
      </w:r>
      <w:r w:rsidR="00DE7BE3">
        <w:rPr>
          <w:rFonts w:ascii="Book Antiqua" w:hAnsi="Book Antiqua"/>
          <w:sz w:val="24"/>
          <w:szCs w:val="24"/>
        </w:rPr>
        <w:t xml:space="preserve">was based on the California specific, crop coefficient calendars in </w:t>
      </w:r>
      <w:r w:rsidR="00DE7BE3">
        <w:rPr>
          <w:rFonts w:ascii="Book Antiqua" w:hAnsi="Book Antiqua"/>
          <w:sz w:val="24"/>
          <w:szCs w:val="24"/>
        </w:rPr>
        <w:fldChar w:fldCharType="begin"/>
      </w:r>
      <w:r w:rsidR="00DE7BE3">
        <w:rPr>
          <w:rFonts w:ascii="Book Antiqua" w:hAnsi="Book Antiqua"/>
          <w:sz w:val="24"/>
          <w:szCs w:val="24"/>
        </w:rPr>
        <w:instrText xml:space="preserve"> ADDIN EN.CITE &lt;EndNote&gt;&lt;Cite AuthorYear="1"&gt;&lt;Author&gt;Goldhamer&lt;/Author&gt;&lt;Year&gt;1989&lt;/Year&gt;&lt;RecNum&gt;598&lt;/RecNum&gt;&lt;DisplayText&gt;Goldhamer and Snyder (1989)&lt;/DisplayText&gt;&lt;record&gt;&lt;rec-number&gt;598&lt;/rec-number&gt;&lt;foreign-keys&gt;&lt;key app="EN" db-id="2tfpxazrmtffffesffn5trrp2z50pft0dtds" timestamp="1525293962"&gt;598&lt;/key&gt;&lt;/foreign-keys&gt;&lt;ref-type name="Book"&gt;6&lt;/ref-type&gt;&lt;contributors&gt;&lt;authors&gt;&lt;author&gt;Goldhamer, D. A.&lt;/author&gt;&lt;author&gt;Snyder, R.&lt;/author&gt;&lt;/authors&gt;&lt;/contributors&gt;&lt;titles&gt;&lt;title&gt;Irrigation Scheduling: A Guide for Efficient On-Farm Water Management&lt;/title&gt;&lt;/titles&gt;&lt;pages&gt;67&lt;/pages&gt;&lt;dates&gt;&lt;year&gt;1989&lt;/year&gt;&lt;/dates&gt;&lt;pub-location&gt;Oakland, CA&lt;/pub-location&gt;&lt;publisher&gt;University of California, Division of Agriculture and Natural Resources&lt;/publisher&gt;&lt;urls&gt;&lt;/urls&gt;&lt;/record&gt;&lt;/Cite&gt;&lt;/EndNote&gt;</w:instrText>
      </w:r>
      <w:r w:rsidR="00DE7BE3">
        <w:rPr>
          <w:rFonts w:ascii="Book Antiqua" w:hAnsi="Book Antiqua"/>
          <w:sz w:val="24"/>
          <w:szCs w:val="24"/>
        </w:rPr>
        <w:fldChar w:fldCharType="separate"/>
      </w:r>
      <w:r w:rsidR="00DE7BE3">
        <w:rPr>
          <w:rFonts w:ascii="Book Antiqua" w:hAnsi="Book Antiqua"/>
          <w:noProof/>
          <w:sz w:val="24"/>
          <w:szCs w:val="24"/>
        </w:rPr>
        <w:t>Goldhamer and Snyder (1989)</w:t>
      </w:r>
      <w:r w:rsidR="00DE7BE3">
        <w:rPr>
          <w:rFonts w:ascii="Book Antiqua" w:hAnsi="Book Antiqua"/>
          <w:sz w:val="24"/>
          <w:szCs w:val="24"/>
        </w:rPr>
        <w:fldChar w:fldCharType="end"/>
      </w:r>
      <w:r w:rsidR="00DE7BE3">
        <w:rPr>
          <w:rFonts w:ascii="Book Antiqua" w:hAnsi="Book Antiqua"/>
          <w:sz w:val="24"/>
          <w:szCs w:val="24"/>
        </w:rPr>
        <w:t>.</w:t>
      </w:r>
    </w:p>
    <w:p w:rsidR="00427144" w:rsidRPr="00427144" w:rsidRDefault="00427144" w:rsidP="00427144">
      <w:pPr>
        <w:spacing w:after="0" w:line="480" w:lineRule="auto"/>
        <w:rPr>
          <w:rFonts w:ascii="Book Antiqua" w:hAnsi="Book Antiqua"/>
          <w:i/>
          <w:sz w:val="24"/>
          <w:szCs w:val="24"/>
        </w:rPr>
      </w:pPr>
      <w:r>
        <w:rPr>
          <w:rFonts w:ascii="Book Antiqua" w:hAnsi="Book Antiqua"/>
          <w:i/>
          <w:sz w:val="24"/>
          <w:szCs w:val="24"/>
        </w:rPr>
        <w:t>Growth curve sensitivity test</w:t>
      </w:r>
    </w:p>
    <w:p w:rsidR="00DE7BE3" w:rsidRDefault="00427144" w:rsidP="00DE7BE3">
      <w:pPr>
        <w:spacing w:after="0" w:line="480" w:lineRule="auto"/>
        <w:ind w:firstLine="720"/>
        <w:rPr>
          <w:rFonts w:ascii="Book Antiqua" w:hAnsi="Book Antiqua"/>
          <w:sz w:val="24"/>
          <w:szCs w:val="24"/>
        </w:rPr>
      </w:pPr>
      <w:r>
        <w:rPr>
          <w:rFonts w:ascii="Book Antiqua" w:hAnsi="Book Antiqua"/>
          <w:sz w:val="24"/>
          <w:szCs w:val="24"/>
        </w:rPr>
        <w:t>A</w:t>
      </w:r>
      <w:r w:rsidR="00DE7BE3">
        <w:rPr>
          <w:rFonts w:ascii="Book Antiqua" w:hAnsi="Book Antiqua"/>
          <w:sz w:val="24"/>
          <w:szCs w:val="24"/>
        </w:rPr>
        <w:t xml:space="preserve"> sensitivity analysis was conducted for 4 of the 12 scenarios for almonds and walnuts growth assumptions.  First, with respect to crop growth timing, we also ran -20, -10, 10, and 20 days from the initial assumed bloom time of February 15</w:t>
      </w:r>
      <w:r w:rsidR="00DE7BE3" w:rsidRPr="005A000F">
        <w:rPr>
          <w:rFonts w:ascii="Book Antiqua" w:hAnsi="Book Antiqua"/>
          <w:sz w:val="24"/>
          <w:szCs w:val="24"/>
          <w:vertAlign w:val="superscript"/>
        </w:rPr>
        <w:t>th</w:t>
      </w:r>
      <w:r w:rsidR="00DE7BE3">
        <w:rPr>
          <w:rFonts w:ascii="Book Antiqua" w:hAnsi="Book Antiqua"/>
          <w:sz w:val="24"/>
          <w:szCs w:val="24"/>
        </w:rPr>
        <w:t xml:space="preserve"> for almonds and April 1</w:t>
      </w:r>
      <w:r w:rsidR="00DE7BE3" w:rsidRPr="005A000F">
        <w:rPr>
          <w:rFonts w:ascii="Book Antiqua" w:hAnsi="Book Antiqua"/>
          <w:sz w:val="24"/>
          <w:szCs w:val="24"/>
          <w:vertAlign w:val="superscript"/>
        </w:rPr>
        <w:t>st</w:t>
      </w:r>
      <w:r w:rsidR="00DE7BE3">
        <w:rPr>
          <w:rFonts w:ascii="Book Antiqua" w:hAnsi="Book Antiqua"/>
          <w:sz w:val="24"/>
          <w:szCs w:val="24"/>
        </w:rPr>
        <w:t xml:space="preserve"> for walnuts.  Second, we tested the effect of the winter K</w:t>
      </w:r>
      <w:r w:rsidR="00DE7BE3">
        <w:rPr>
          <w:rFonts w:ascii="Book Antiqua" w:hAnsi="Book Antiqua"/>
          <w:sz w:val="24"/>
          <w:szCs w:val="24"/>
          <w:vertAlign w:val="subscript"/>
        </w:rPr>
        <w:t>cb</w:t>
      </w:r>
      <w:r w:rsidR="00DE7BE3">
        <w:rPr>
          <w:rFonts w:ascii="Book Antiqua" w:hAnsi="Book Antiqua"/>
          <w:sz w:val="24"/>
          <w:szCs w:val="24"/>
        </w:rPr>
        <w:t xml:space="preserve"> value at 0.1 and 0.2, in addition to the commonly assumed 0.15 and to represent deep, diffusive “background” evaporation from the surface.  We ran this test to examine coefficient sensitivity to winter time water balance for effects in almonds and walnuts.</w:t>
      </w:r>
    </w:p>
    <w:p w:rsidR="00DE7BE3" w:rsidRPr="00DE7BE3" w:rsidRDefault="00DE7BE3" w:rsidP="00DE7BE3">
      <w:pPr>
        <w:pStyle w:val="ListParagraph"/>
        <w:spacing w:after="0" w:line="480" w:lineRule="auto"/>
        <w:ind w:left="0"/>
        <w:rPr>
          <w:rFonts w:ascii="Book Antiqua" w:hAnsi="Book Antiqua"/>
          <w:i/>
          <w:sz w:val="24"/>
          <w:szCs w:val="24"/>
        </w:rPr>
      </w:pPr>
      <w:r>
        <w:rPr>
          <w:rFonts w:ascii="Book Antiqua" w:hAnsi="Book Antiqua"/>
          <w:i/>
          <w:sz w:val="24"/>
          <w:szCs w:val="24"/>
        </w:rPr>
        <w:t>Surface wetting sensitivity t</w:t>
      </w:r>
      <w:r w:rsidRPr="00DE7BE3">
        <w:rPr>
          <w:rFonts w:ascii="Book Antiqua" w:hAnsi="Book Antiqua"/>
          <w:i/>
          <w:sz w:val="24"/>
          <w:szCs w:val="24"/>
        </w:rPr>
        <w:t>est</w:t>
      </w:r>
    </w:p>
    <w:p w:rsidR="00DE7BE3" w:rsidRDefault="00DE7BE3" w:rsidP="00DE7BE3">
      <w:pPr>
        <w:pStyle w:val="ListParagraph"/>
        <w:spacing w:after="0" w:line="480" w:lineRule="auto"/>
        <w:ind w:left="0"/>
        <w:rPr>
          <w:rFonts w:ascii="Book Antiqua" w:hAnsi="Book Antiqua"/>
          <w:b/>
          <w:sz w:val="24"/>
          <w:szCs w:val="24"/>
        </w:rPr>
      </w:pPr>
      <w:r>
        <w:rPr>
          <w:rFonts w:ascii="Book Antiqua" w:hAnsi="Book Antiqua"/>
          <w:sz w:val="24"/>
          <w:szCs w:val="24"/>
        </w:rPr>
        <w:lastRenderedPageBreak/>
        <w:t>Finally, a sensitivity analysis of irrigation surface coverage assumptions for almonds and walnuts was done by running 4 of the 12 scenarios for these crops as drip (</w:t>
      </w:r>
      <w:r>
        <w:rPr>
          <w:rFonts w:ascii="Book Antiqua" w:eastAsiaTheme="minorEastAsia" w:hAnsi="Book Antiqua"/>
          <w:sz w:val="24"/>
          <w:szCs w:val="24"/>
        </w:rPr>
        <w:t>f</w:t>
      </w:r>
      <w:r w:rsidRPr="006E7CFE">
        <w:rPr>
          <w:rFonts w:ascii="Book Antiqua" w:eastAsiaTheme="minorEastAsia" w:hAnsi="Book Antiqua"/>
          <w:sz w:val="24"/>
          <w:szCs w:val="24"/>
          <w:vertAlign w:val="subscript"/>
        </w:rPr>
        <w:t>w</w:t>
      </w:r>
      <w:r>
        <w:rPr>
          <w:rFonts w:ascii="Book Antiqua" w:eastAsiaTheme="minorEastAsia" w:hAnsi="Book Antiqua"/>
          <w:sz w:val="24"/>
          <w:szCs w:val="24"/>
        </w:rPr>
        <w:t xml:space="preserve"> = 0.35</w:t>
      </w:r>
      <w:r>
        <w:rPr>
          <w:rFonts w:ascii="Book Antiqua" w:hAnsi="Book Antiqua"/>
          <w:sz w:val="24"/>
          <w:szCs w:val="24"/>
        </w:rPr>
        <w:t>) or surface/sprinkler irrigated (</w:t>
      </w:r>
      <w:r>
        <w:rPr>
          <w:rFonts w:ascii="Book Antiqua" w:eastAsiaTheme="minorEastAsia" w:hAnsi="Book Antiqua"/>
          <w:sz w:val="24"/>
          <w:szCs w:val="24"/>
        </w:rPr>
        <w:t>f</w:t>
      </w:r>
      <w:r w:rsidRPr="006E7CFE">
        <w:rPr>
          <w:rFonts w:ascii="Book Antiqua" w:eastAsiaTheme="minorEastAsia" w:hAnsi="Book Antiqua"/>
          <w:sz w:val="24"/>
          <w:szCs w:val="24"/>
          <w:vertAlign w:val="subscript"/>
        </w:rPr>
        <w:t>w</w:t>
      </w:r>
      <w:r>
        <w:rPr>
          <w:rFonts w:ascii="Book Antiqua" w:eastAsiaTheme="minorEastAsia" w:hAnsi="Book Antiqua"/>
          <w:sz w:val="24"/>
          <w:szCs w:val="24"/>
        </w:rPr>
        <w:t xml:space="preserve"> = 1</w:t>
      </w:r>
      <w:r>
        <w:rPr>
          <w:rFonts w:ascii="Book Antiqua" w:hAnsi="Book Antiqua"/>
          <w:sz w:val="24"/>
          <w:szCs w:val="24"/>
        </w:rPr>
        <w:t>).</w:t>
      </w:r>
    </w:p>
    <w:p w:rsidR="00DE7BE3" w:rsidRDefault="00DE7BE3" w:rsidP="00DE7BE3">
      <w:pPr>
        <w:pStyle w:val="ListParagraph"/>
        <w:spacing w:after="0" w:line="240" w:lineRule="auto"/>
        <w:ind w:left="0"/>
        <w:rPr>
          <w:rFonts w:ascii="Book Antiqua" w:hAnsi="Book Antiqua"/>
          <w:b/>
          <w:sz w:val="24"/>
          <w:szCs w:val="24"/>
        </w:rPr>
      </w:pPr>
    </w:p>
    <w:p w:rsidR="00DE7BE3" w:rsidRDefault="00DE7BE3" w:rsidP="00DE7BE3">
      <w:pPr>
        <w:pStyle w:val="ListParagraph"/>
        <w:spacing w:after="0" w:line="240" w:lineRule="auto"/>
        <w:ind w:left="0"/>
        <w:rPr>
          <w:rFonts w:ascii="Book Antiqua" w:hAnsi="Book Antiqua"/>
          <w:sz w:val="24"/>
          <w:szCs w:val="24"/>
        </w:rPr>
      </w:pPr>
      <w:r>
        <w:rPr>
          <w:rFonts w:ascii="Book Antiqua" w:hAnsi="Book Antiqua"/>
          <w:b/>
          <w:sz w:val="24"/>
          <w:szCs w:val="24"/>
        </w:rPr>
        <w:t>Results</w:t>
      </w:r>
    </w:p>
    <w:p w:rsidR="00DE7BE3" w:rsidRDefault="00DE7BE3" w:rsidP="00DE7BE3">
      <w:pPr>
        <w:pStyle w:val="ListParagraph"/>
        <w:spacing w:after="0" w:line="240" w:lineRule="auto"/>
        <w:ind w:left="0"/>
        <w:rPr>
          <w:rFonts w:ascii="Book Antiqua" w:hAnsi="Book Antiqua"/>
          <w:sz w:val="24"/>
          <w:szCs w:val="24"/>
        </w:rPr>
      </w:pPr>
    </w:p>
    <w:p w:rsidR="00DE7BE3" w:rsidRPr="00A070C3" w:rsidRDefault="00DE7BE3" w:rsidP="00DE7BE3">
      <w:pPr>
        <w:pStyle w:val="ListParagraph"/>
        <w:spacing w:after="0" w:line="480" w:lineRule="auto"/>
        <w:ind w:left="0"/>
        <w:contextualSpacing w:val="0"/>
        <w:rPr>
          <w:rFonts w:ascii="Book Antiqua" w:hAnsi="Book Antiqua"/>
          <w:i/>
          <w:sz w:val="24"/>
          <w:szCs w:val="24"/>
        </w:rPr>
      </w:pPr>
      <w:r>
        <w:rPr>
          <w:rFonts w:ascii="Book Antiqua" w:hAnsi="Book Antiqua"/>
          <w:i/>
          <w:sz w:val="24"/>
          <w:szCs w:val="24"/>
        </w:rPr>
        <w:t xml:space="preserve">Green water utilization and water balance implications by </w:t>
      </w:r>
      <w:proofErr w:type="spellStart"/>
      <w:r>
        <w:rPr>
          <w:rFonts w:ascii="Book Antiqua" w:hAnsi="Book Antiqua"/>
          <w:i/>
          <w:sz w:val="24"/>
          <w:szCs w:val="24"/>
        </w:rPr>
        <w:t>cro</w:t>
      </w:r>
      <w:proofErr w:type="spellEnd"/>
    </w:p>
    <w:p w:rsidR="00DE7BE3" w:rsidRDefault="00DE7BE3" w:rsidP="00DE7BE3">
      <w:pPr>
        <w:pStyle w:val="ListParagraph"/>
        <w:spacing w:after="0" w:line="480" w:lineRule="auto"/>
        <w:ind w:left="0" w:firstLine="720"/>
        <w:contextualSpacing w:val="0"/>
        <w:rPr>
          <w:rFonts w:ascii="Book Antiqua" w:hAnsi="Book Antiqua"/>
          <w:sz w:val="24"/>
          <w:szCs w:val="24"/>
        </w:rPr>
      </w:pPr>
      <w:r>
        <w:rPr>
          <w:rFonts w:ascii="Book Antiqua" w:hAnsi="Book Antiqua"/>
          <w:sz w:val="24"/>
          <w:szCs w:val="24"/>
        </w:rPr>
        <w:t xml:space="preserve">The proportion of precipitation utilized as green water varied by crop, especially between alfalfa growing year-round and the orchard and vine crops with dormant seasons and assumed wintertime bare soil conditions.  Central and Imperial Valley alfalfa showed 64, 80, and 91% of precipitation utilized as green water in each of the 3 scenarios (shallow, moderate, and deep; see Figure 7B for moderate scenario), due to alfalfa’s year-round growth and coverage of the soil.  This causes generally lower soil evaporation of precipitation and no dormant season ET loss seen in the other crops (Tables 3-5).  The orchard and vine crops show generally lower amounts of green water utilized (Figure 7A-E).   These crops have periods of dormancy and periods of exposed bare soil frequently wetted by precipitation.  For instance, almonds show 36, 52, and 61% of precipitation utilized as green water for each of the shallow, moderate, and deep scenarios, respectively, with 26-28% of precipitation lost as dormant season ET across all scenarios.  Actively growing alfalfa limits energy available for evaporation at the soil surface, limiting evaporative loss of precipitation at the soil surface, so that 15.6% of the total ET is soil surface evaporation in the moderate scenario for almonds but is only 7.3% in Central Valley alfalfa, which includes the wintertime evaporation as part of the </w:t>
      </w:r>
      <w:r>
        <w:rPr>
          <w:rFonts w:ascii="Book Antiqua" w:hAnsi="Book Antiqua"/>
          <w:sz w:val="24"/>
          <w:szCs w:val="24"/>
        </w:rPr>
        <w:lastRenderedPageBreak/>
        <w:t>growing season for alfalfa.   In the shallow soil reservoir scenario, the difference is starker: the cumulative soil evaporation is 27.3% under almonds but only 13.1% under Central Valley alfalfa.</w:t>
      </w:r>
    </w:p>
    <w:p w:rsidR="00DE7BE3" w:rsidRDefault="00DE7BE3" w:rsidP="00DE7BE3">
      <w:pPr>
        <w:pStyle w:val="ListParagraph"/>
        <w:spacing w:after="0" w:line="480" w:lineRule="auto"/>
        <w:ind w:left="0" w:firstLine="720"/>
        <w:contextualSpacing w:val="0"/>
        <w:rPr>
          <w:rFonts w:ascii="Book Antiqua" w:hAnsi="Book Antiqua"/>
          <w:sz w:val="24"/>
          <w:szCs w:val="24"/>
        </w:rPr>
      </w:pPr>
      <w:r>
        <w:rPr>
          <w:rFonts w:ascii="Book Antiqua" w:hAnsi="Book Antiqua"/>
          <w:sz w:val="24"/>
          <w:szCs w:val="24"/>
        </w:rPr>
        <w:t>Pistachios had the lowest green water utilization in the simulation (Figure 7D), due to a combination of inherently low precipitation growing region and a relatively late bloom time (April 25</w:t>
      </w:r>
      <w:r w:rsidRPr="009C2537">
        <w:rPr>
          <w:rFonts w:ascii="Book Antiqua" w:hAnsi="Book Antiqua"/>
          <w:sz w:val="24"/>
          <w:szCs w:val="24"/>
          <w:vertAlign w:val="superscript"/>
        </w:rPr>
        <w:t>th</w:t>
      </w:r>
      <w:r>
        <w:rPr>
          <w:rFonts w:ascii="Book Antiqua" w:hAnsi="Book Antiqua"/>
          <w:sz w:val="24"/>
          <w:szCs w:val="24"/>
        </w:rPr>
        <w:t>), such that the growing season begins after the end of the rainy season.  Interestingly, 75-80% of annual precipitation was lost as dormant season ET in pistachios.  While walnuts are grown in generally wetter climates (424 mm yr</w:t>
      </w:r>
      <w:r>
        <w:rPr>
          <w:rFonts w:ascii="Book Antiqua" w:hAnsi="Book Antiqua"/>
          <w:sz w:val="24"/>
          <w:szCs w:val="24"/>
          <w:vertAlign w:val="superscript"/>
        </w:rPr>
        <w:t>-1</w:t>
      </w:r>
      <w:r>
        <w:rPr>
          <w:rFonts w:ascii="Book Antiqua" w:hAnsi="Book Antiqua"/>
          <w:sz w:val="24"/>
          <w:szCs w:val="24"/>
        </w:rPr>
        <w:t xml:space="preserve"> average) compared to almonds (284 mm yr</w:t>
      </w:r>
      <w:r>
        <w:rPr>
          <w:rFonts w:ascii="Book Antiqua" w:hAnsi="Book Antiqua"/>
          <w:sz w:val="24"/>
          <w:szCs w:val="24"/>
          <w:vertAlign w:val="superscript"/>
        </w:rPr>
        <w:t>-1</w:t>
      </w:r>
      <w:r>
        <w:rPr>
          <w:rFonts w:ascii="Book Antiqua" w:hAnsi="Book Antiqua"/>
          <w:sz w:val="24"/>
          <w:szCs w:val="24"/>
        </w:rPr>
        <w:t xml:space="preserve"> average), almonds have greater green water utilization than walnuts in the shallow-moderate scenarios (Figure 10).  The earlier bloom times of almonds allow for 36-52% of precipitation to be utilized as green water in the shallow-moderate scenarios (Tables 3-4).   Soil water storage limitations and the shorter growing season affect green water utilization in walnuts where only 20-32% of annual precipitation is utilized in the shallow-moderate scenarios (Tables 3-4).  However, when the rooting depth is increased to 2.0 m, the greater winter soil storage gains of walnuts overcome the lower number of growing season days that overlap the rainy season and utilization increases to 44%, compared to 61% in almonds (Table 5).  The coast and foothills grape growing region is a generally wetter climate than walnuts’ growing region, so that the green water resource sees the fastest rate of gain with increases in allowable depletion of the shallow-to-moderate-to-deep scenarios, though there are some limiting areas owing to relatively shallow root restrictive contacts (Table 1; Figures 9 and 10).   </w:t>
      </w:r>
    </w:p>
    <w:p w:rsidR="00DE7BE3" w:rsidRDefault="00DE7BE3" w:rsidP="00DE7BE3">
      <w:pPr>
        <w:spacing w:after="0" w:line="480" w:lineRule="auto"/>
        <w:ind w:firstLine="720"/>
        <w:rPr>
          <w:rFonts w:ascii="Book Antiqua" w:hAnsi="Book Antiqua"/>
          <w:sz w:val="24"/>
          <w:szCs w:val="24"/>
        </w:rPr>
      </w:pPr>
      <w:r>
        <w:rPr>
          <w:rFonts w:ascii="Book Antiqua" w:hAnsi="Book Antiqua"/>
          <w:sz w:val="24"/>
          <w:szCs w:val="24"/>
        </w:rPr>
        <w:lastRenderedPageBreak/>
        <w:t>Within a given crop</w:t>
      </w:r>
      <w:r w:rsidRPr="00AB0D27">
        <w:rPr>
          <w:rFonts w:ascii="Book Antiqua" w:hAnsi="Book Antiqua"/>
          <w:sz w:val="24"/>
          <w:szCs w:val="24"/>
        </w:rPr>
        <w:t>, the range in</w:t>
      </w:r>
      <w:r>
        <w:rPr>
          <w:rFonts w:ascii="Book Antiqua" w:hAnsi="Book Antiqua"/>
          <w:sz w:val="24"/>
          <w:szCs w:val="24"/>
        </w:rPr>
        <w:t xml:space="preserve"> mean</w:t>
      </w:r>
      <w:r w:rsidRPr="00AB0D27">
        <w:rPr>
          <w:rFonts w:ascii="Book Antiqua" w:hAnsi="Book Antiqua"/>
          <w:sz w:val="24"/>
          <w:szCs w:val="24"/>
        </w:rPr>
        <w:t xml:space="preserve"> green water availability is wide, with inner 80% percentile intervals spanning several hundred millimeters</w:t>
      </w:r>
      <w:r>
        <w:rPr>
          <w:rFonts w:ascii="Book Antiqua" w:hAnsi="Book Antiqua"/>
          <w:sz w:val="24"/>
          <w:szCs w:val="24"/>
        </w:rPr>
        <w:t>, except for pistachios</w:t>
      </w:r>
      <w:r w:rsidRPr="00AB0D27">
        <w:rPr>
          <w:rFonts w:ascii="Book Antiqua" w:hAnsi="Book Antiqua"/>
          <w:sz w:val="24"/>
          <w:szCs w:val="24"/>
        </w:rPr>
        <w:t xml:space="preserve"> (Figure 7</w:t>
      </w:r>
      <w:r>
        <w:rPr>
          <w:rFonts w:ascii="Book Antiqua" w:hAnsi="Book Antiqua"/>
          <w:sz w:val="24"/>
          <w:szCs w:val="24"/>
        </w:rPr>
        <w:t>A-E</w:t>
      </w:r>
      <w:r w:rsidRPr="00AB0D27">
        <w:rPr>
          <w:rFonts w:ascii="Book Antiqua" w:hAnsi="Book Antiqua"/>
          <w:sz w:val="24"/>
          <w:szCs w:val="24"/>
        </w:rPr>
        <w:t>).</w:t>
      </w:r>
      <w:r>
        <w:rPr>
          <w:rFonts w:ascii="Book Antiqua" w:hAnsi="Book Antiqua"/>
          <w:sz w:val="24"/>
          <w:szCs w:val="24"/>
        </w:rPr>
        <w:t xml:space="preserve">  This shows that each crop spans wide climatic and soil water holding capacity gradients and their growing conditions are not monolithic.  Deeper scenarios lead to greater variability in green water availability, as more combinations of soil storage properties, climate, and crop are added to the mix on the landscape (</w:t>
      </w:r>
      <w:r>
        <w:rPr>
          <w:rFonts w:ascii="Book Antiqua" w:hAnsi="Book Antiqua"/>
          <w:b/>
          <w:sz w:val="24"/>
          <w:szCs w:val="24"/>
        </w:rPr>
        <w:t>check this)</w:t>
      </w:r>
      <w:r>
        <w:rPr>
          <w:rFonts w:ascii="Book Antiqua" w:hAnsi="Book Antiqua"/>
          <w:sz w:val="24"/>
          <w:szCs w:val="24"/>
        </w:rPr>
        <w:t>.</w:t>
      </w:r>
    </w:p>
    <w:p w:rsidR="00DE7BE3" w:rsidRDefault="00DE7BE3" w:rsidP="00DE7BE3">
      <w:pPr>
        <w:spacing w:after="0" w:line="480" w:lineRule="auto"/>
        <w:ind w:firstLine="720"/>
        <w:rPr>
          <w:rFonts w:ascii="Book Antiqua" w:hAnsi="Book Antiqua"/>
          <w:sz w:val="24"/>
          <w:szCs w:val="24"/>
        </w:rPr>
      </w:pPr>
      <w:r>
        <w:rPr>
          <w:rFonts w:ascii="Book Antiqua" w:hAnsi="Book Antiqua"/>
          <w:sz w:val="24"/>
          <w:szCs w:val="24"/>
        </w:rPr>
        <w:t>The effects of the dormant season crop coefficient (</w:t>
      </w:r>
      <w:r w:rsidRPr="00864464">
        <w:rPr>
          <w:rFonts w:ascii="Book Antiqua" w:hAnsi="Book Antiqua"/>
          <w:sz w:val="24"/>
          <w:szCs w:val="24"/>
        </w:rPr>
        <w:t>K</w:t>
      </w:r>
      <w:r>
        <w:rPr>
          <w:rFonts w:ascii="Book Antiqua" w:hAnsi="Book Antiqua"/>
          <w:sz w:val="24"/>
          <w:szCs w:val="24"/>
          <w:vertAlign w:val="subscript"/>
        </w:rPr>
        <w:t>cb</w:t>
      </w:r>
      <w:r>
        <w:rPr>
          <w:rFonts w:ascii="Book Antiqua" w:hAnsi="Book Antiqua"/>
          <w:sz w:val="24"/>
          <w:szCs w:val="24"/>
        </w:rPr>
        <w:t xml:space="preserve"> = 0.15) </w:t>
      </w:r>
      <w:r w:rsidRPr="00864464">
        <w:rPr>
          <w:rFonts w:ascii="Book Antiqua" w:hAnsi="Book Antiqua"/>
          <w:sz w:val="24"/>
          <w:szCs w:val="24"/>
        </w:rPr>
        <w:t>was</w:t>
      </w:r>
      <w:r>
        <w:rPr>
          <w:rFonts w:ascii="Book Antiqua" w:hAnsi="Book Antiqua"/>
          <w:sz w:val="24"/>
          <w:szCs w:val="24"/>
        </w:rPr>
        <w:t xml:space="preserve"> explored in 4 of the 12 scenarios for both almonds and walnuts.  This is the recommended value, though Huntington et al. 2014 used 0.12.  It is actually meant to represent “background” evaporation, mostly deep diffusive evaporation that can occur the whole year [citation?]… </w:t>
      </w:r>
    </w:p>
    <w:p w:rsidR="00DE7BE3" w:rsidRDefault="00DE7BE3" w:rsidP="00DE7BE3">
      <w:pPr>
        <w:spacing w:after="0" w:line="480" w:lineRule="auto"/>
        <w:ind w:firstLine="720"/>
        <w:rPr>
          <w:rFonts w:ascii="Book Antiqua" w:hAnsi="Book Antiqua"/>
          <w:sz w:val="24"/>
          <w:szCs w:val="24"/>
        </w:rPr>
      </w:pPr>
      <w:r>
        <w:rPr>
          <w:rFonts w:ascii="Book Antiqua" w:hAnsi="Book Antiqua"/>
          <w:sz w:val="24"/>
          <w:szCs w:val="24"/>
        </w:rPr>
        <w:t>The effects of the surface irrigation coverage was also explored in 4 of the 12 scenarios for both almonds and walnuts.  This was to test the extent to which the soil surface evaporation estimate is tied to the assumption about the fraction of the soil wetted by irrigation in a given crop…</w:t>
      </w:r>
    </w:p>
    <w:p w:rsidR="00DE7BE3" w:rsidRDefault="00DE7BE3" w:rsidP="00DE7BE3">
      <w:pPr>
        <w:spacing w:after="0" w:line="480" w:lineRule="auto"/>
        <w:ind w:firstLine="720"/>
        <w:rPr>
          <w:rFonts w:ascii="Book Antiqua" w:hAnsi="Book Antiqua"/>
          <w:sz w:val="24"/>
          <w:szCs w:val="24"/>
        </w:rPr>
      </w:pPr>
      <w:r>
        <w:rPr>
          <w:rFonts w:ascii="Book Antiqua" w:hAnsi="Book Antiqua"/>
          <w:sz w:val="24"/>
          <w:szCs w:val="24"/>
        </w:rPr>
        <w:t>Finally, the effects of crop growth curve timing assumptions (Table 1) was explored in 4 of the 12 scenarios, again for both almonds and walnuts.  This was to test the extent to which the proportion of annual P utilized by green water is tied to how much the growing season overlaps the rainy season.</w:t>
      </w:r>
    </w:p>
    <w:p w:rsidR="00DE7BE3" w:rsidRPr="00DE7BE3" w:rsidRDefault="00DE7BE3" w:rsidP="00DE7BE3">
      <w:pPr>
        <w:spacing w:after="0" w:line="480" w:lineRule="auto"/>
        <w:rPr>
          <w:rFonts w:ascii="Book Antiqua" w:hAnsi="Book Antiqua"/>
          <w:sz w:val="24"/>
          <w:szCs w:val="24"/>
        </w:rPr>
      </w:pPr>
      <w:r>
        <w:rPr>
          <w:rFonts w:ascii="Book Antiqua" w:hAnsi="Book Antiqua"/>
          <w:i/>
          <w:sz w:val="24"/>
          <w:szCs w:val="24"/>
        </w:rPr>
        <w:t>Irrigation (blue water) demand by crop</w:t>
      </w:r>
    </w:p>
    <w:p w:rsidR="00DE7BE3" w:rsidRDefault="00DE7BE3" w:rsidP="00DE7BE3">
      <w:pPr>
        <w:spacing w:after="0" w:line="480" w:lineRule="auto"/>
        <w:ind w:firstLine="720"/>
        <w:rPr>
          <w:rFonts w:ascii="Book Antiqua" w:hAnsi="Book Antiqua"/>
          <w:sz w:val="24"/>
          <w:szCs w:val="24"/>
        </w:rPr>
      </w:pPr>
      <w:r>
        <w:rPr>
          <w:rFonts w:ascii="Book Antiqua" w:hAnsi="Book Antiqua"/>
          <w:sz w:val="24"/>
          <w:szCs w:val="24"/>
        </w:rPr>
        <w:lastRenderedPageBreak/>
        <w:t>Blue water demand was highest for alfalfa in the Imperial Valley with 1.84 m irrigation demand yr</w:t>
      </w:r>
      <w:r w:rsidRPr="00573210">
        <w:rPr>
          <w:rFonts w:ascii="Book Antiqua" w:hAnsi="Book Antiqua"/>
          <w:sz w:val="24"/>
          <w:szCs w:val="24"/>
          <w:vertAlign w:val="superscript"/>
        </w:rPr>
        <w:t>-1</w:t>
      </w:r>
      <w:r>
        <w:rPr>
          <w:rFonts w:ascii="Book Antiqua" w:hAnsi="Book Antiqua"/>
          <w:sz w:val="24"/>
          <w:szCs w:val="24"/>
        </w:rPr>
        <w:t xml:space="preserve"> needed to maintain crop ET year-round in this warm, dry climate in the moderate scenario.  This compares to 1.17 m irrigation demand yr</w:t>
      </w:r>
      <w:r>
        <w:rPr>
          <w:rFonts w:ascii="Book Antiqua" w:hAnsi="Book Antiqua"/>
          <w:sz w:val="24"/>
          <w:szCs w:val="24"/>
          <w:vertAlign w:val="superscript"/>
        </w:rPr>
        <w:t>-1</w:t>
      </w:r>
      <w:r>
        <w:rPr>
          <w:rFonts w:ascii="Book Antiqua" w:hAnsi="Book Antiqua"/>
          <w:sz w:val="24"/>
          <w:szCs w:val="24"/>
        </w:rPr>
        <w:t xml:space="preserve"> in Central Valley alfalfa moderate scenario.  This is due to the Central Valley’s higher P and lower ET environment compared to the Imperial Valley (Figure 4A-C) with no winter irrigations regardless of soil moisture conditions (see Methods, </w:t>
      </w:r>
      <w:proofErr w:type="gramStart"/>
      <w:r>
        <w:rPr>
          <w:rFonts w:ascii="Book Antiqua" w:hAnsi="Book Antiqua"/>
          <w:sz w:val="24"/>
          <w:szCs w:val="24"/>
        </w:rPr>
        <w:t>section ???</w:t>
      </w:r>
      <w:proofErr w:type="gramEnd"/>
      <w:r>
        <w:rPr>
          <w:rFonts w:ascii="Book Antiqua" w:hAnsi="Book Antiqua"/>
          <w:sz w:val="24"/>
          <w:szCs w:val="24"/>
        </w:rPr>
        <w:t>).  Intermountain alfalfa’s irrigation demand of 0.82 m yr</w:t>
      </w:r>
      <w:r>
        <w:rPr>
          <w:rFonts w:ascii="Book Antiqua" w:hAnsi="Book Antiqua"/>
          <w:sz w:val="24"/>
          <w:szCs w:val="24"/>
          <w:vertAlign w:val="superscript"/>
        </w:rPr>
        <w:t>-1</w:t>
      </w:r>
      <w:r>
        <w:rPr>
          <w:rFonts w:ascii="Book Antiqua" w:hAnsi="Book Antiqua"/>
          <w:sz w:val="24"/>
          <w:szCs w:val="24"/>
        </w:rPr>
        <w:t xml:space="preserve"> was even lower with a clear winter dormancy and thus shorter growing and irrigation season.  Almonds, grapes in the Central Valley, pistachios, and walnuts had similar blue water demands to Central Valley alfalfa with 1.26, 1.27, 1.21, and 1.16 m yr</w:t>
      </w:r>
      <w:r>
        <w:rPr>
          <w:rFonts w:ascii="Book Antiqua" w:hAnsi="Book Antiqua"/>
          <w:sz w:val="24"/>
          <w:szCs w:val="24"/>
          <w:vertAlign w:val="superscript"/>
        </w:rPr>
        <w:t>-1</w:t>
      </w:r>
      <w:r>
        <w:rPr>
          <w:rFonts w:ascii="Book Antiqua" w:hAnsi="Book Antiqua"/>
          <w:sz w:val="24"/>
          <w:szCs w:val="24"/>
        </w:rPr>
        <w:t xml:space="preserve"> needed, respectively.  Differences in growing season reference ET for these crops, which should produce differences in irrigation water demand, were offset by differences in precipitation, crop growing season length and canopy coverage assumptions, which helped equalize irrigation water demand (Tables 1, 3-5).  Grapes in coastal California and the foothills, where high quality wine grape irrigation management was assumed, had by far the lowest blue water demand of 0.51 m yr</w:t>
      </w:r>
      <w:r>
        <w:rPr>
          <w:rFonts w:ascii="Book Antiqua" w:hAnsi="Book Antiqua"/>
          <w:sz w:val="24"/>
          <w:szCs w:val="24"/>
          <w:vertAlign w:val="superscript"/>
        </w:rPr>
        <w:t>-1</w:t>
      </w:r>
      <w:r>
        <w:rPr>
          <w:rFonts w:ascii="Book Antiqua" w:hAnsi="Book Antiqua"/>
          <w:sz w:val="24"/>
          <w:szCs w:val="24"/>
        </w:rPr>
        <w:t>, partly due to intentional crop water stress of 0.15 m yr</w:t>
      </w:r>
      <w:r>
        <w:rPr>
          <w:rFonts w:ascii="Book Antiqua" w:hAnsi="Book Antiqua"/>
          <w:sz w:val="24"/>
          <w:szCs w:val="24"/>
          <w:vertAlign w:val="superscript"/>
        </w:rPr>
        <w:t>-1</w:t>
      </w:r>
      <w:r>
        <w:rPr>
          <w:rFonts w:ascii="Book Antiqua" w:hAnsi="Book Antiqua"/>
          <w:sz w:val="24"/>
          <w:szCs w:val="24"/>
        </w:rPr>
        <w:t xml:space="preserve"> but also due to lower assumed canopy coverage, lowering basal crop coefficients (Table 1) and transpiration demand.  While this had the effect of increasing soil surface evaporation to 28% of growing season ET, the highest of all crops in the moderate scenario, growing season green water utilization was highest in wine grapes, offsetting 23% of growing season ET in the moderate scenario, much higher than the 10% for all crops combined.</w:t>
      </w:r>
    </w:p>
    <w:p w:rsidR="00DE7BE3" w:rsidRDefault="00DE7BE3" w:rsidP="00DE7BE3">
      <w:pPr>
        <w:pStyle w:val="EndNoteBibliographyTitle"/>
        <w:tabs>
          <w:tab w:val="left" w:pos="720"/>
        </w:tabs>
        <w:spacing w:line="480" w:lineRule="auto"/>
        <w:ind w:firstLine="720"/>
        <w:jc w:val="left"/>
        <w:rPr>
          <w:rFonts w:ascii="Book Antiqua" w:hAnsi="Book Antiqua"/>
          <w:sz w:val="24"/>
          <w:szCs w:val="24"/>
        </w:rPr>
      </w:pPr>
      <w:r>
        <w:rPr>
          <w:rFonts w:ascii="Book Antiqua" w:hAnsi="Book Antiqua"/>
          <w:sz w:val="24"/>
          <w:szCs w:val="24"/>
        </w:rPr>
        <w:lastRenderedPageBreak/>
        <w:t>Year-to-year differences in climate also affected annual variability of irrigation water demand across crops.  Variability in irrigation water demand was greatest where the green water resource was the greatest.  In the moderate scenario, irrigation water demand ranged 1.07-1.40 m yr</w:t>
      </w:r>
      <w:r>
        <w:rPr>
          <w:rFonts w:ascii="Book Antiqua" w:hAnsi="Book Antiqua"/>
          <w:sz w:val="24"/>
          <w:szCs w:val="24"/>
          <w:vertAlign w:val="superscript"/>
        </w:rPr>
        <w:t>-1</w:t>
      </w:r>
      <w:r>
        <w:rPr>
          <w:rFonts w:ascii="Book Antiqua" w:hAnsi="Book Antiqua"/>
          <w:sz w:val="24"/>
          <w:szCs w:val="24"/>
        </w:rPr>
        <w:t xml:space="preserve"> (8.6% C.V.) in almonds, 0.99-1.32 m yr</w:t>
      </w:r>
      <w:r>
        <w:rPr>
          <w:rFonts w:ascii="Book Antiqua" w:hAnsi="Book Antiqua"/>
          <w:sz w:val="24"/>
          <w:szCs w:val="24"/>
          <w:vertAlign w:val="superscript"/>
        </w:rPr>
        <w:t>-1</w:t>
      </w:r>
      <w:r>
        <w:rPr>
          <w:rFonts w:ascii="Book Antiqua" w:hAnsi="Book Antiqua"/>
          <w:sz w:val="24"/>
          <w:szCs w:val="24"/>
        </w:rPr>
        <w:t xml:space="preserve"> in Central Valley alfalfa, 1.73-1.90 m yr</w:t>
      </w:r>
      <w:r>
        <w:rPr>
          <w:rFonts w:ascii="Book Antiqua" w:hAnsi="Book Antiqua"/>
          <w:sz w:val="24"/>
          <w:szCs w:val="24"/>
          <w:vertAlign w:val="superscript"/>
        </w:rPr>
        <w:t>-1</w:t>
      </w:r>
      <w:r>
        <w:rPr>
          <w:rFonts w:ascii="Book Antiqua" w:hAnsi="Book Antiqua"/>
          <w:sz w:val="24"/>
          <w:szCs w:val="24"/>
        </w:rPr>
        <w:t xml:space="preserve"> in Imperial Valley alfalfa, 0.69-0.89</w:t>
      </w:r>
      <w:r w:rsidRPr="002968AF">
        <w:rPr>
          <w:rFonts w:ascii="Book Antiqua" w:hAnsi="Book Antiqua"/>
          <w:sz w:val="24"/>
          <w:szCs w:val="24"/>
        </w:rPr>
        <w:t xml:space="preserve"> </w:t>
      </w:r>
      <w:r>
        <w:rPr>
          <w:rFonts w:ascii="Book Antiqua" w:hAnsi="Book Antiqua"/>
          <w:sz w:val="24"/>
          <w:szCs w:val="24"/>
        </w:rPr>
        <w:t>m yr</w:t>
      </w:r>
      <w:r>
        <w:rPr>
          <w:rFonts w:ascii="Book Antiqua" w:hAnsi="Book Antiqua"/>
          <w:sz w:val="24"/>
          <w:szCs w:val="24"/>
          <w:vertAlign w:val="superscript"/>
        </w:rPr>
        <w:t>-1</w:t>
      </w:r>
      <w:r>
        <w:rPr>
          <w:rFonts w:ascii="Book Antiqua" w:hAnsi="Book Antiqua"/>
          <w:sz w:val="24"/>
          <w:szCs w:val="24"/>
        </w:rPr>
        <w:t xml:space="preserve">  in intermountain alfalfa, 1.11-1.39 m yr</w:t>
      </w:r>
      <w:r>
        <w:rPr>
          <w:rFonts w:ascii="Book Antiqua" w:hAnsi="Book Antiqua"/>
          <w:sz w:val="24"/>
          <w:szCs w:val="24"/>
          <w:vertAlign w:val="superscript"/>
        </w:rPr>
        <w:t>-1</w:t>
      </w:r>
      <w:r>
        <w:rPr>
          <w:rFonts w:ascii="Book Antiqua" w:hAnsi="Book Antiqua"/>
          <w:sz w:val="24"/>
          <w:szCs w:val="24"/>
        </w:rPr>
        <w:t xml:space="preserve"> in Central Valley grapes, 0.42-0.57 m yr</w:t>
      </w:r>
      <w:r>
        <w:rPr>
          <w:rFonts w:ascii="Book Antiqua" w:hAnsi="Book Antiqua"/>
          <w:sz w:val="24"/>
          <w:szCs w:val="24"/>
          <w:vertAlign w:val="superscript"/>
        </w:rPr>
        <w:t>-1</w:t>
      </w:r>
      <w:r>
        <w:rPr>
          <w:rFonts w:ascii="Book Antiqua" w:hAnsi="Book Antiqua"/>
          <w:sz w:val="24"/>
          <w:szCs w:val="24"/>
        </w:rPr>
        <w:t xml:space="preserve"> in (9.6% C.V.) coast and foothill grapes, 1.06-1.32</w:t>
      </w:r>
      <w:r w:rsidRPr="00807B07">
        <w:rPr>
          <w:rFonts w:ascii="Book Antiqua" w:hAnsi="Book Antiqua"/>
          <w:sz w:val="24"/>
          <w:szCs w:val="24"/>
        </w:rPr>
        <w:t xml:space="preserve"> </w:t>
      </w:r>
      <w:r>
        <w:rPr>
          <w:rFonts w:ascii="Book Antiqua" w:hAnsi="Book Antiqua"/>
          <w:sz w:val="24"/>
          <w:szCs w:val="24"/>
        </w:rPr>
        <w:t>m yr</w:t>
      </w:r>
      <w:r>
        <w:rPr>
          <w:rFonts w:ascii="Book Antiqua" w:hAnsi="Book Antiqua"/>
          <w:sz w:val="24"/>
          <w:szCs w:val="24"/>
          <w:vertAlign w:val="superscript"/>
        </w:rPr>
        <w:t>-1</w:t>
      </w:r>
      <w:r>
        <w:rPr>
          <w:rFonts w:ascii="Book Antiqua" w:hAnsi="Book Antiqua"/>
          <w:sz w:val="24"/>
          <w:szCs w:val="24"/>
        </w:rPr>
        <w:t xml:space="preserve"> in pistachios, and 1.00-1.27 m yr</w:t>
      </w:r>
      <w:r>
        <w:rPr>
          <w:rFonts w:ascii="Book Antiqua" w:hAnsi="Book Antiqua"/>
          <w:sz w:val="24"/>
          <w:szCs w:val="24"/>
          <w:vertAlign w:val="superscript"/>
        </w:rPr>
        <w:t>-1</w:t>
      </w:r>
      <w:r>
        <w:rPr>
          <w:rFonts w:ascii="Book Antiqua" w:hAnsi="Book Antiqua"/>
          <w:sz w:val="24"/>
          <w:szCs w:val="24"/>
        </w:rPr>
        <w:t xml:space="preserve"> in walnuts.</w:t>
      </w:r>
    </w:p>
    <w:p w:rsidR="00AC1FD2" w:rsidRPr="00AB0D27" w:rsidRDefault="00AC1FD2" w:rsidP="00AC1FD2">
      <w:pPr>
        <w:spacing w:after="0" w:line="480" w:lineRule="auto"/>
        <w:rPr>
          <w:rFonts w:ascii="Book Antiqua" w:hAnsi="Book Antiqua"/>
          <w:sz w:val="24"/>
          <w:szCs w:val="24"/>
        </w:rPr>
      </w:pPr>
      <w:r>
        <w:rPr>
          <w:rFonts w:ascii="Book Antiqua" w:hAnsi="Book Antiqua"/>
          <w:i/>
          <w:sz w:val="24"/>
          <w:szCs w:val="24"/>
        </w:rPr>
        <w:t>Crop water stress results</w:t>
      </w:r>
    </w:p>
    <w:p w:rsidR="00AC1FD2" w:rsidRDefault="00AC1FD2" w:rsidP="00AC1FD2">
      <w:pPr>
        <w:spacing w:after="0" w:line="480" w:lineRule="auto"/>
        <w:ind w:firstLine="720"/>
        <w:rPr>
          <w:rFonts w:ascii="Book Antiqua" w:hAnsi="Book Antiqua"/>
          <w:sz w:val="24"/>
          <w:szCs w:val="24"/>
        </w:rPr>
      </w:pPr>
      <w:r>
        <w:rPr>
          <w:rFonts w:ascii="Book Antiqua" w:hAnsi="Book Antiqua"/>
          <w:sz w:val="24"/>
          <w:szCs w:val="24"/>
        </w:rPr>
        <w:t xml:space="preserve">The much lower blue water demand for the 80% allowable depletion scenarios is largely due to lack of available soil water and accumulation of crop water stress, which the study assumes to occur when the soil water depletion reaches 50% of plant available water for all crops.   Crop stress reduces the growing season ET by 17-19% from a change in allowable depletion from 50% to 80% in the same root depth.   With the higher allowable depletion threshold, the magnitude of crop stress equals or exceeds the magnitude of the green water resource at all root depths. </w:t>
      </w:r>
    </w:p>
    <w:p w:rsidR="00AC1FD2" w:rsidRDefault="00AC1FD2" w:rsidP="00AC1FD2">
      <w:pPr>
        <w:spacing w:after="0" w:line="480" w:lineRule="auto"/>
        <w:ind w:firstLine="720"/>
        <w:rPr>
          <w:rFonts w:ascii="Book Antiqua" w:hAnsi="Book Antiqua"/>
          <w:sz w:val="24"/>
          <w:szCs w:val="24"/>
        </w:rPr>
      </w:pPr>
      <w:r>
        <w:rPr>
          <w:rFonts w:ascii="Book Antiqua" w:hAnsi="Book Antiqua"/>
          <w:sz w:val="24"/>
          <w:szCs w:val="24"/>
        </w:rPr>
        <w:t>There is also crop water stress in the 30-50% allowable depletion scenarios, due to four factors that arise from how the FAO56 dual K</w:t>
      </w:r>
      <w:r w:rsidRPr="00FA6A88">
        <w:rPr>
          <w:rFonts w:ascii="Book Antiqua" w:hAnsi="Book Antiqua"/>
          <w:sz w:val="24"/>
          <w:szCs w:val="24"/>
          <w:vertAlign w:val="subscript"/>
        </w:rPr>
        <w:t>c</w:t>
      </w:r>
      <w:r>
        <w:rPr>
          <w:rFonts w:ascii="Book Antiqua" w:hAnsi="Book Antiqua"/>
          <w:sz w:val="24"/>
          <w:szCs w:val="24"/>
        </w:rPr>
        <w:t xml:space="preserve"> method was encoded for this particular study, in order to roughly match existing conditions in California (see Methods): (1) winter irrigation in Central Valley alfalfa is not allowed even though the alfalfa is assumed to remain growing throughout the winter, which causes some alfalfa water stress during dry winters; (2) irrigation is not allowed for ± 4 days at alfalfa </w:t>
      </w:r>
      <w:r>
        <w:rPr>
          <w:rFonts w:ascii="Book Antiqua" w:hAnsi="Book Antiqua"/>
          <w:sz w:val="24"/>
          <w:szCs w:val="24"/>
        </w:rPr>
        <w:lastRenderedPageBreak/>
        <w:t xml:space="preserve">cutting times across all alfalfa, causing some growing season water stress (3) grape wine irrigation management is for intentional crop water stress for all grapes in the Foothills surrounding the Central Valley and Coastal regions of California (see Methods), such that crop stress is 24% of growing ET in the moderate scenario; and (4) timing the last fall irrigation on a defined date, based on the study </w:t>
      </w:r>
      <w:proofErr w:type="spellStart"/>
      <w:r>
        <w:rPr>
          <w:rFonts w:ascii="Book Antiqua" w:hAnsi="Book Antiqua"/>
          <w:sz w:val="24"/>
          <w:szCs w:val="24"/>
        </w:rPr>
        <w:t>datasets’</w:t>
      </w:r>
      <w:proofErr w:type="spellEnd"/>
      <w:r>
        <w:rPr>
          <w:rFonts w:ascii="Book Antiqua" w:hAnsi="Book Antiqua"/>
          <w:sz w:val="24"/>
          <w:szCs w:val="24"/>
        </w:rPr>
        <w:t xml:space="preserve"> 14-year (2004-2017) dataset to achieve allowable depletion at the leaf-drop date for a given climate, crop, and soil combination.   </w:t>
      </w:r>
    </w:p>
    <w:p w:rsidR="00AC1FD2" w:rsidRDefault="00AC1FD2" w:rsidP="00AC1FD2">
      <w:pPr>
        <w:spacing w:after="0" w:line="480" w:lineRule="auto"/>
        <w:ind w:firstLine="720"/>
        <w:rPr>
          <w:rFonts w:ascii="Book Antiqua" w:hAnsi="Book Antiqua"/>
          <w:sz w:val="24"/>
          <w:szCs w:val="24"/>
        </w:rPr>
      </w:pPr>
      <w:r>
        <w:rPr>
          <w:rFonts w:ascii="Book Antiqua" w:hAnsi="Book Antiqua"/>
          <w:sz w:val="24"/>
          <w:szCs w:val="24"/>
        </w:rPr>
        <w:t xml:space="preserve">The goal of this last practice is to deplete the profile of irrigation water and to make room for capture of fall and winter storms to supply </w:t>
      </w:r>
      <w:r w:rsidRPr="00FA6A88">
        <w:rPr>
          <w:rFonts w:ascii="Book Antiqua" w:hAnsi="Book Antiqua"/>
          <w:sz w:val="24"/>
          <w:szCs w:val="24"/>
        </w:rPr>
        <w:t>green water</w:t>
      </w:r>
      <w:r>
        <w:rPr>
          <w:rFonts w:ascii="Book Antiqua" w:hAnsi="Book Antiqua"/>
          <w:sz w:val="24"/>
          <w:szCs w:val="24"/>
        </w:rPr>
        <w:t xml:space="preserve"> in the spring before the first irrigation.   This strategy is akin to </w:t>
      </w:r>
      <w:proofErr w:type="gramStart"/>
      <w:r>
        <w:rPr>
          <w:rFonts w:ascii="Book Antiqua" w:hAnsi="Book Antiqua"/>
          <w:sz w:val="24"/>
          <w:szCs w:val="24"/>
        </w:rPr>
        <w:t>Fall</w:t>
      </w:r>
      <w:proofErr w:type="gramEnd"/>
      <w:r>
        <w:rPr>
          <w:rFonts w:ascii="Book Antiqua" w:hAnsi="Book Antiqua"/>
          <w:sz w:val="24"/>
          <w:szCs w:val="24"/>
        </w:rPr>
        <w:t xml:space="preserve"> reservoir management when reservoirs are drawn down to pre-specified levels for flood control capture of winter runoff.  This place-based timing strategy leads to some Fall crop water stress when average precipitation is below the 14-year average during autumns (</w:t>
      </w:r>
      <w:proofErr w:type="gramStart"/>
      <w:r>
        <w:rPr>
          <w:rFonts w:ascii="Book Antiqua" w:hAnsi="Book Antiqua"/>
          <w:sz w:val="24"/>
          <w:szCs w:val="24"/>
        </w:rPr>
        <w:t>Figure ???</w:t>
      </w:r>
      <w:proofErr w:type="gramEnd"/>
      <w:r>
        <w:rPr>
          <w:rFonts w:ascii="Book Antiqua" w:hAnsi="Book Antiqua"/>
          <w:sz w:val="24"/>
          <w:szCs w:val="24"/>
        </w:rPr>
        <w:t xml:space="preserve">).  The effect of fall irrigation scheduling in this manner also results in more water stress when the scenario rooting depth is decreased within a given level of allowable depletion (Table 2).  For instance, within the 50% allowable depletion scenarios, water stress increases from 2.3 to 2.9 to 5.1 total MAF from a 3.0 to 2.0 to 1.0 m rooting depth.  As the rooting depth is made shallower, the soil water buffer shrinks, making these scenarios more susceptible to late season crop water stress during dry falls before leaf-drop.  However, in the moderate scenario, it should be kept in mind that 53% of the growing season crop water stress total is due to intentional wine grape water stress and another 25% is due to winter alfalfa water stress when it is assumed that irrigation is not </w:t>
      </w:r>
      <w:r>
        <w:rPr>
          <w:rFonts w:ascii="Book Antiqua" w:hAnsi="Book Antiqua"/>
          <w:sz w:val="24"/>
          <w:szCs w:val="24"/>
        </w:rPr>
        <w:lastRenderedPageBreak/>
        <w:t>practiced in the Central Valley.  Thus, only 22% is due to fall crop water stress resulting from the fall irrigation management strategy for green water in orchards, grapes, and intermountain alfalfa.  When the allowable depletion is decreased to 30% for a given root depth, crop water stress decreases  slightly, because there is a larger soil water buffer to sustain the irrigation-free fall period with unreliable precipitation.</w:t>
      </w:r>
    </w:p>
    <w:p w:rsidR="00AC1FD2" w:rsidRDefault="00AC1FD2" w:rsidP="00DE7BE3">
      <w:pPr>
        <w:pStyle w:val="EndNoteBibliographyTitle"/>
        <w:tabs>
          <w:tab w:val="left" w:pos="720"/>
        </w:tabs>
        <w:spacing w:line="480" w:lineRule="auto"/>
        <w:ind w:firstLine="720"/>
        <w:jc w:val="left"/>
        <w:rPr>
          <w:rFonts w:ascii="Book Antiqua" w:hAnsi="Book Antiqua"/>
          <w:b/>
          <w:sz w:val="24"/>
          <w:szCs w:val="24"/>
        </w:rPr>
      </w:pPr>
    </w:p>
    <w:p w:rsidR="00DE7BE3" w:rsidRDefault="00DE7BE3" w:rsidP="00DE7BE3">
      <w:pPr>
        <w:pStyle w:val="ListParagraph"/>
        <w:spacing w:after="0" w:line="240" w:lineRule="auto"/>
        <w:ind w:left="0"/>
        <w:rPr>
          <w:rFonts w:ascii="Book Antiqua" w:hAnsi="Book Antiqua"/>
          <w:sz w:val="24"/>
          <w:szCs w:val="24"/>
        </w:rPr>
      </w:pPr>
    </w:p>
    <w:p w:rsidR="00903414" w:rsidRPr="00903414" w:rsidRDefault="00903414" w:rsidP="00903414">
      <w:pPr>
        <w:tabs>
          <w:tab w:val="center" w:pos="4680"/>
        </w:tabs>
        <w:sectPr w:rsidR="00903414" w:rsidRPr="00903414" w:rsidSect="00DE7BE3">
          <w:pgSz w:w="12240" w:h="15840"/>
          <w:pgMar w:top="1440" w:right="1440" w:bottom="1440" w:left="1440" w:header="720" w:footer="720" w:gutter="0"/>
          <w:cols w:space="720"/>
          <w:docGrid w:linePitch="360"/>
        </w:sectPr>
      </w:pPr>
      <w:r>
        <w:tab/>
      </w:r>
    </w:p>
    <w:p w:rsidR="00DE7BE3" w:rsidRDefault="00DE7BE3" w:rsidP="00DE7BE3">
      <w:pPr>
        <w:pStyle w:val="ListParagraph"/>
        <w:spacing w:after="0" w:line="240" w:lineRule="auto"/>
        <w:ind w:left="0"/>
        <w:rPr>
          <w:rFonts w:ascii="Book Antiqua" w:hAnsi="Book Antiqua"/>
          <w:b/>
          <w:sz w:val="24"/>
          <w:szCs w:val="24"/>
        </w:rPr>
      </w:pPr>
      <w:r>
        <w:rPr>
          <w:rFonts w:ascii="Book Antiqua" w:hAnsi="Book Antiqua"/>
          <w:b/>
          <w:sz w:val="24"/>
          <w:szCs w:val="24"/>
        </w:rPr>
        <w:lastRenderedPageBreak/>
        <w:t xml:space="preserve">Table 3. </w:t>
      </w:r>
      <w:r w:rsidRPr="005427B8">
        <w:rPr>
          <w:rFonts w:ascii="Book Antiqua" w:hAnsi="Book Antiqua"/>
          <w:sz w:val="24"/>
          <w:szCs w:val="24"/>
        </w:rPr>
        <w:t>Wat</w:t>
      </w:r>
      <w:r>
        <w:rPr>
          <w:rFonts w:ascii="Book Antiqua" w:hAnsi="Book Antiqua"/>
          <w:sz w:val="24"/>
          <w:szCs w:val="24"/>
        </w:rPr>
        <w:t>er balance details (mm) by crop for 0.5 m root depth and 3</w:t>
      </w:r>
      <w:r w:rsidRPr="005427B8">
        <w:rPr>
          <w:rFonts w:ascii="Book Antiqua" w:hAnsi="Book Antiqua"/>
          <w:sz w:val="24"/>
          <w:szCs w:val="24"/>
        </w:rPr>
        <w:t>0% allowable depletion scenario</w:t>
      </w:r>
    </w:p>
    <w:tbl>
      <w:tblPr>
        <w:tblStyle w:val="PlainTable2"/>
        <w:tblW w:w="12653" w:type="dxa"/>
        <w:tblLook w:val="0620" w:firstRow="1" w:lastRow="0" w:firstColumn="0" w:lastColumn="0" w:noHBand="1" w:noVBand="1"/>
      </w:tblPr>
      <w:tblGrid>
        <w:gridCol w:w="2611"/>
        <w:gridCol w:w="91"/>
        <w:gridCol w:w="603"/>
        <w:gridCol w:w="880"/>
        <w:gridCol w:w="710"/>
        <w:gridCol w:w="996"/>
        <w:gridCol w:w="656"/>
        <w:gridCol w:w="348"/>
        <w:gridCol w:w="348"/>
        <w:gridCol w:w="497"/>
        <w:gridCol w:w="262"/>
        <w:gridCol w:w="340"/>
        <w:gridCol w:w="236"/>
        <w:gridCol w:w="182"/>
        <w:gridCol w:w="282"/>
        <w:gridCol w:w="403"/>
        <w:gridCol w:w="173"/>
        <w:gridCol w:w="147"/>
        <w:gridCol w:w="130"/>
        <w:gridCol w:w="299"/>
        <w:gridCol w:w="278"/>
        <w:gridCol w:w="268"/>
        <w:gridCol w:w="268"/>
        <w:gridCol w:w="379"/>
        <w:gridCol w:w="379"/>
        <w:gridCol w:w="379"/>
        <w:gridCol w:w="271"/>
        <w:gridCol w:w="271"/>
        <w:gridCol w:w="271"/>
      </w:tblGrid>
      <w:tr w:rsidR="00775963" w:rsidRPr="0005564C" w:rsidTr="00775963">
        <w:trPr>
          <w:cnfStyle w:val="100000000000" w:firstRow="1" w:lastRow="0" w:firstColumn="0" w:lastColumn="0" w:oddVBand="0" w:evenVBand="0" w:oddHBand="0" w:evenHBand="0" w:firstRowFirstColumn="0" w:firstRowLastColumn="0" w:lastRowFirstColumn="0" w:lastRowLastColumn="0"/>
          <w:trHeight w:val="300"/>
        </w:trPr>
        <w:tc>
          <w:tcPr>
            <w:tcW w:w="2702" w:type="dxa"/>
            <w:gridSpan w:val="2"/>
            <w:noWrap/>
            <w:vAlign w:val="center"/>
            <w:hideMark/>
          </w:tcPr>
          <w:p w:rsidR="00DE7BE3" w:rsidRPr="0005564C" w:rsidRDefault="00DE7BE3" w:rsidP="00775963">
            <w:pPr>
              <w:spacing w:after="0" w:line="240" w:lineRule="auto"/>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Crop</w:t>
            </w:r>
          </w:p>
        </w:tc>
        <w:tc>
          <w:tcPr>
            <w:tcW w:w="603" w:type="dxa"/>
            <w:vAlign w:val="center"/>
          </w:tcPr>
          <w:p w:rsidR="00DE7BE3" w:rsidRPr="0026517E" w:rsidRDefault="00DE7BE3" w:rsidP="00775963">
            <w:pPr>
              <w:spacing w:after="0" w:line="240" w:lineRule="auto"/>
              <w:jc w:val="center"/>
              <w:rPr>
                <w:rFonts w:ascii="Book Antiqua" w:eastAsia="Times New Roman" w:hAnsi="Book Antiqua" w:cs="Calibri"/>
                <w:color w:val="000000"/>
                <w:sz w:val="24"/>
                <w:szCs w:val="24"/>
              </w:rPr>
            </w:pPr>
            <w:r>
              <w:rPr>
                <w:rFonts w:ascii="Book Antiqua" w:eastAsia="Times New Roman" w:hAnsi="Book Antiqua" w:cs="Calibri"/>
                <w:color w:val="000000"/>
                <w:sz w:val="24"/>
                <w:szCs w:val="24"/>
              </w:rPr>
              <w:t>AD</w:t>
            </w:r>
          </w:p>
        </w:tc>
        <w:tc>
          <w:tcPr>
            <w:tcW w:w="1015" w:type="dxa"/>
            <w:vAlign w:val="center"/>
          </w:tcPr>
          <w:p w:rsidR="00DE7BE3" w:rsidRPr="007C63F3" w:rsidRDefault="00DE7BE3" w:rsidP="00775963">
            <w:pPr>
              <w:spacing w:after="0" w:line="240" w:lineRule="auto"/>
              <w:jc w:val="center"/>
              <w:rPr>
                <w:rFonts w:ascii="Book Antiqua" w:eastAsia="Times New Roman" w:hAnsi="Book Antiqua" w:cs="Calibri"/>
                <w:b w:val="0"/>
                <w:color w:val="000000"/>
                <w:sz w:val="24"/>
                <w:szCs w:val="24"/>
              </w:rPr>
            </w:pPr>
            <w:r w:rsidRPr="007C63F3">
              <w:rPr>
                <w:rFonts w:ascii="Book Antiqua" w:eastAsia="Times New Roman" w:hAnsi="Book Antiqua" w:cs="Calibri"/>
                <w:b w:val="0"/>
                <w:color w:val="000000"/>
                <w:sz w:val="24"/>
                <w:szCs w:val="24"/>
              </w:rPr>
              <w:t>Irr Count</w:t>
            </w:r>
          </w:p>
        </w:tc>
        <w:tc>
          <w:tcPr>
            <w:tcW w:w="270" w:type="dxa"/>
            <w:noWrap/>
            <w:vAlign w:val="center"/>
            <w:hideMark/>
          </w:tcPr>
          <w:p w:rsidR="00DE7BE3" w:rsidRPr="0005564C" w:rsidRDefault="00DE7BE3" w:rsidP="00775963">
            <w:pPr>
              <w:spacing w:after="0" w:line="240" w:lineRule="auto"/>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First irr.</w:t>
            </w:r>
          </w:p>
        </w:tc>
        <w:tc>
          <w:tcPr>
            <w:tcW w:w="0" w:type="auto"/>
            <w:noWrap/>
            <w:vAlign w:val="center"/>
            <w:hideMark/>
          </w:tcPr>
          <w:p w:rsidR="00DE7BE3" w:rsidRPr="0005564C" w:rsidRDefault="00DE7BE3" w:rsidP="00775963">
            <w:pPr>
              <w:spacing w:after="0" w:line="240" w:lineRule="auto"/>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Last irr</w:t>
            </w:r>
          </w:p>
        </w:tc>
        <w:tc>
          <w:tcPr>
            <w:tcW w:w="0" w:type="auto"/>
            <w:gridSpan w:val="3"/>
            <w:noWrap/>
            <w:vAlign w:val="center"/>
            <w:hideMark/>
          </w:tcPr>
          <w:p w:rsidR="00DE7BE3" w:rsidRPr="0005564C" w:rsidRDefault="00DE7BE3" w:rsidP="00775963">
            <w:pPr>
              <w:spacing w:after="0" w:line="240" w:lineRule="auto"/>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GW</w:t>
            </w:r>
          </w:p>
        </w:tc>
        <w:tc>
          <w:tcPr>
            <w:tcW w:w="0" w:type="auto"/>
            <w:noWrap/>
            <w:vAlign w:val="center"/>
            <w:hideMark/>
          </w:tcPr>
          <w:p w:rsidR="00DE7BE3" w:rsidRPr="0005564C" w:rsidRDefault="00DE7BE3" w:rsidP="00775963">
            <w:pPr>
              <w:spacing w:after="0" w:line="240" w:lineRule="auto"/>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Irr</w:t>
            </w:r>
          </w:p>
        </w:tc>
        <w:tc>
          <w:tcPr>
            <w:tcW w:w="0" w:type="auto"/>
            <w:gridSpan w:val="2"/>
            <w:noWrap/>
            <w:vAlign w:val="center"/>
            <w:hideMark/>
          </w:tcPr>
          <w:p w:rsidR="00DE7BE3" w:rsidRPr="0005564C" w:rsidRDefault="00DE7BE3" w:rsidP="00775963">
            <w:pPr>
              <w:spacing w:after="0" w:line="240" w:lineRule="auto"/>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ET</w:t>
            </w:r>
          </w:p>
        </w:tc>
        <w:tc>
          <w:tcPr>
            <w:tcW w:w="0" w:type="auto"/>
            <w:gridSpan w:val="2"/>
            <w:noWrap/>
            <w:vAlign w:val="center"/>
            <w:hideMark/>
          </w:tcPr>
          <w:p w:rsidR="00DE7BE3" w:rsidRPr="0005564C" w:rsidRDefault="00DE7BE3" w:rsidP="00775963">
            <w:pPr>
              <w:spacing w:after="0" w:line="240" w:lineRule="auto"/>
              <w:jc w:val="center"/>
              <w:rPr>
                <w:rFonts w:ascii="Book Antiqua" w:eastAsia="Times New Roman" w:hAnsi="Book Antiqua" w:cs="Calibri"/>
                <w:color w:val="000000"/>
                <w:sz w:val="24"/>
                <w:szCs w:val="24"/>
                <w:vertAlign w:val="subscript"/>
              </w:rPr>
            </w:pPr>
            <w:r w:rsidRPr="0026517E">
              <w:rPr>
                <w:rFonts w:ascii="Book Antiqua" w:eastAsia="Times New Roman" w:hAnsi="Book Antiqua" w:cs="Calibri"/>
                <w:color w:val="000000"/>
                <w:sz w:val="24"/>
                <w:szCs w:val="24"/>
              </w:rPr>
              <w:t>E</w:t>
            </w:r>
          </w:p>
        </w:tc>
        <w:tc>
          <w:tcPr>
            <w:tcW w:w="0" w:type="auto"/>
            <w:gridSpan w:val="2"/>
            <w:vAlign w:val="center"/>
          </w:tcPr>
          <w:p w:rsidR="00DE7BE3" w:rsidRPr="0026517E" w:rsidRDefault="00DE7BE3" w:rsidP="00775963">
            <w:pPr>
              <w:spacing w:after="0" w:line="240" w:lineRule="auto"/>
              <w:jc w:val="center"/>
              <w:rPr>
                <w:rFonts w:ascii="Book Antiqua" w:eastAsia="Times New Roman" w:hAnsi="Book Antiqua" w:cs="Calibri"/>
                <w:color w:val="000000"/>
                <w:sz w:val="24"/>
                <w:szCs w:val="24"/>
              </w:rPr>
            </w:pPr>
            <w:r>
              <w:rPr>
                <w:rFonts w:ascii="Book Antiqua" w:eastAsia="Times New Roman" w:hAnsi="Book Antiqua" w:cs="Calibri"/>
                <w:color w:val="000000"/>
                <w:sz w:val="24"/>
                <w:szCs w:val="24"/>
              </w:rPr>
              <w:t>DP</w:t>
            </w:r>
          </w:p>
        </w:tc>
        <w:tc>
          <w:tcPr>
            <w:tcW w:w="0" w:type="auto"/>
            <w:gridSpan w:val="3"/>
            <w:vAlign w:val="center"/>
          </w:tcPr>
          <w:p w:rsidR="00DE7BE3" w:rsidRPr="0026517E" w:rsidRDefault="00DE7BE3" w:rsidP="00775963">
            <w:pPr>
              <w:spacing w:after="0" w:line="240" w:lineRule="auto"/>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P</w:t>
            </w:r>
          </w:p>
        </w:tc>
        <w:tc>
          <w:tcPr>
            <w:tcW w:w="0" w:type="auto"/>
            <w:gridSpan w:val="2"/>
            <w:noWrap/>
            <w:vAlign w:val="center"/>
            <w:hideMark/>
          </w:tcPr>
          <w:p w:rsidR="00DE7BE3" w:rsidRPr="0005564C" w:rsidRDefault="00DE7BE3" w:rsidP="00775963">
            <w:pPr>
              <w:spacing w:after="0" w:line="240" w:lineRule="auto"/>
              <w:ind w:hanging="105"/>
              <w:jc w:val="center"/>
              <w:rPr>
                <w:rFonts w:ascii="Book Antiqua" w:eastAsia="Times New Roman" w:hAnsi="Book Antiqua" w:cs="Calibri"/>
                <w:color w:val="000000"/>
                <w:sz w:val="24"/>
                <w:szCs w:val="24"/>
                <w:vertAlign w:val="subscript"/>
              </w:rPr>
            </w:pPr>
            <w:r w:rsidRPr="0026517E">
              <w:rPr>
                <w:rFonts w:ascii="Book Antiqua" w:eastAsia="Times New Roman" w:hAnsi="Book Antiqua" w:cs="Calibri"/>
                <w:color w:val="000000"/>
                <w:sz w:val="24"/>
                <w:szCs w:val="24"/>
              </w:rPr>
              <w:t>DP</w:t>
            </w:r>
          </w:p>
        </w:tc>
        <w:tc>
          <w:tcPr>
            <w:tcW w:w="0" w:type="auto"/>
            <w:gridSpan w:val="2"/>
            <w:noWrap/>
            <w:vAlign w:val="center"/>
            <w:hideMark/>
          </w:tcPr>
          <w:p w:rsidR="00DE7BE3" w:rsidRPr="0005564C" w:rsidRDefault="00DE7BE3" w:rsidP="00775963">
            <w:pPr>
              <w:spacing w:after="0" w:line="240" w:lineRule="auto"/>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CS</w:t>
            </w:r>
          </w:p>
        </w:tc>
        <w:tc>
          <w:tcPr>
            <w:tcW w:w="0" w:type="auto"/>
            <w:gridSpan w:val="3"/>
            <w:noWrap/>
            <w:vAlign w:val="center"/>
            <w:hideMark/>
          </w:tcPr>
          <w:p w:rsidR="00DE7BE3" w:rsidRPr="0005564C" w:rsidRDefault="00DE7BE3" w:rsidP="00775963">
            <w:pPr>
              <w:spacing w:after="0" w:line="240" w:lineRule="auto"/>
              <w:ind w:left="-105" w:right="-60"/>
              <w:jc w:val="center"/>
              <w:rPr>
                <w:rFonts w:ascii="Book Antiqua" w:eastAsia="Times New Roman" w:hAnsi="Book Antiqua" w:cs="Calibri"/>
                <w:color w:val="000000"/>
                <w:sz w:val="24"/>
                <w:szCs w:val="24"/>
                <w:vertAlign w:val="subscript"/>
              </w:rPr>
            </w:pPr>
            <w:proofErr w:type="spellStart"/>
            <w:r w:rsidRPr="0005564C">
              <w:rPr>
                <w:rFonts w:ascii="Book Antiqua" w:eastAsia="Times New Roman" w:hAnsi="Book Antiqua" w:cs="Calibri"/>
                <w:color w:val="000000"/>
                <w:sz w:val="24"/>
                <w:szCs w:val="24"/>
              </w:rPr>
              <w:t>ET</w:t>
            </w:r>
            <w:r>
              <w:rPr>
                <w:rFonts w:ascii="Book Antiqua" w:eastAsia="Times New Roman" w:hAnsi="Book Antiqua" w:cs="Calibri"/>
                <w:color w:val="000000"/>
                <w:sz w:val="24"/>
                <w:szCs w:val="24"/>
                <w:vertAlign w:val="subscript"/>
              </w:rPr>
              <w:t>dormant</w:t>
            </w:r>
            <w:proofErr w:type="spellEnd"/>
          </w:p>
        </w:tc>
        <w:tc>
          <w:tcPr>
            <w:tcW w:w="0" w:type="auto"/>
            <w:gridSpan w:val="3"/>
            <w:vAlign w:val="center"/>
          </w:tcPr>
          <w:p w:rsidR="00DE7BE3" w:rsidRPr="00DE6CF3" w:rsidRDefault="00DE7BE3" w:rsidP="00775963">
            <w:pPr>
              <w:spacing w:after="0" w:line="240" w:lineRule="auto"/>
              <w:jc w:val="center"/>
              <w:rPr>
                <w:rFonts w:ascii="Book Antiqua" w:eastAsia="Times New Roman" w:hAnsi="Book Antiqua" w:cs="Calibri"/>
                <w:color w:val="000000"/>
                <w:sz w:val="24"/>
                <w:szCs w:val="24"/>
              </w:rPr>
            </w:pPr>
            <w:proofErr w:type="spellStart"/>
            <w:r>
              <w:rPr>
                <w:rFonts w:ascii="Book Antiqua" w:eastAsia="Times New Roman" w:hAnsi="Book Antiqua" w:cs="Calibri"/>
                <w:color w:val="000000"/>
                <w:sz w:val="24"/>
                <w:szCs w:val="24"/>
              </w:rPr>
              <w:t>DP</w:t>
            </w:r>
            <w:r>
              <w:rPr>
                <w:rFonts w:ascii="Book Antiqua" w:eastAsia="Times New Roman" w:hAnsi="Book Antiqua" w:cs="Calibri"/>
                <w:color w:val="000000"/>
                <w:sz w:val="24"/>
                <w:szCs w:val="24"/>
                <w:vertAlign w:val="subscript"/>
              </w:rPr>
              <w:t>fall</w:t>
            </w:r>
            <w:proofErr w:type="spellEnd"/>
          </w:p>
        </w:tc>
      </w:tr>
      <w:tr w:rsidR="00775963" w:rsidRPr="0005564C" w:rsidTr="00775963">
        <w:trPr>
          <w:gridAfter w:val="1"/>
          <w:trHeight w:val="288"/>
        </w:trPr>
        <w:tc>
          <w:tcPr>
            <w:tcW w:w="2702" w:type="dxa"/>
            <w:gridSpan w:val="2"/>
            <w:noWrap/>
          </w:tcPr>
          <w:p w:rsidR="00DE7BE3" w:rsidRPr="0026517E" w:rsidRDefault="00DE7BE3" w:rsidP="00775963">
            <w:pPr>
              <w:spacing w:after="0" w:line="240" w:lineRule="auto"/>
              <w:rPr>
                <w:rFonts w:ascii="Book Antiqua" w:eastAsia="Times New Roman" w:hAnsi="Book Antiqua" w:cs="Calibri"/>
                <w:color w:val="000000"/>
                <w:sz w:val="24"/>
                <w:szCs w:val="24"/>
              </w:rPr>
            </w:pPr>
          </w:p>
        </w:tc>
        <w:tc>
          <w:tcPr>
            <w:tcW w:w="603" w:type="dxa"/>
          </w:tcPr>
          <w:p w:rsidR="00DE7BE3" w:rsidRPr="00DE6CF3" w:rsidRDefault="00DE7BE3" w:rsidP="00775963">
            <w:pPr>
              <w:spacing w:after="0" w:line="240" w:lineRule="auto"/>
              <w:ind w:right="-135"/>
              <w:jc w:val="center"/>
              <w:rPr>
                <w:rFonts w:ascii="Book Antiqua" w:eastAsia="Times New Roman" w:hAnsi="Book Antiqua" w:cs="Calibri"/>
                <w:i/>
                <w:color w:val="000000"/>
                <w:sz w:val="24"/>
                <w:szCs w:val="24"/>
              </w:rPr>
            </w:pPr>
            <w:r w:rsidRPr="00DE6CF3">
              <w:rPr>
                <w:rFonts w:ascii="Book Antiqua" w:eastAsia="Times New Roman" w:hAnsi="Book Antiqua" w:cs="Calibri"/>
                <w:i/>
                <w:color w:val="000000"/>
                <w:sz w:val="24"/>
                <w:szCs w:val="24"/>
              </w:rPr>
              <w:t>mm</w:t>
            </w:r>
          </w:p>
        </w:tc>
        <w:tc>
          <w:tcPr>
            <w:tcW w:w="1285" w:type="dxa"/>
            <w:gridSpan w:val="2"/>
            <w:vAlign w:val="center"/>
          </w:tcPr>
          <w:p w:rsidR="00DE7BE3" w:rsidRPr="007C63F3" w:rsidRDefault="00DE7BE3" w:rsidP="00775963">
            <w:pPr>
              <w:spacing w:after="0" w:line="240" w:lineRule="auto"/>
              <w:jc w:val="center"/>
              <w:rPr>
                <w:rFonts w:ascii="Book Antiqua" w:eastAsia="Times New Roman" w:hAnsi="Book Antiqua" w:cs="Calibri"/>
                <w:i/>
                <w:color w:val="000000"/>
                <w:sz w:val="24"/>
                <w:szCs w:val="24"/>
                <w:vertAlign w:val="superscript"/>
              </w:rPr>
            </w:pPr>
            <w:r w:rsidRPr="007C63F3">
              <w:rPr>
                <w:rFonts w:ascii="Book Antiqua" w:eastAsia="Times New Roman" w:hAnsi="Book Antiqua" w:cs="Calibri"/>
                <w:i/>
                <w:color w:val="000000"/>
                <w:sz w:val="24"/>
                <w:szCs w:val="24"/>
              </w:rPr>
              <w:t>Days</w:t>
            </w:r>
            <w:r>
              <w:rPr>
                <w:rFonts w:ascii="Book Antiqua" w:eastAsia="Times New Roman" w:hAnsi="Book Antiqua" w:cs="Calibri"/>
                <w:i/>
                <w:color w:val="000000"/>
                <w:sz w:val="24"/>
                <w:szCs w:val="24"/>
              </w:rPr>
              <w:t xml:space="preserve"> yr</w:t>
            </w:r>
            <w:r>
              <w:rPr>
                <w:rFonts w:ascii="Book Antiqua" w:eastAsia="Times New Roman" w:hAnsi="Book Antiqua" w:cs="Calibri"/>
                <w:i/>
                <w:color w:val="000000"/>
                <w:sz w:val="24"/>
                <w:szCs w:val="24"/>
                <w:vertAlign w:val="superscript"/>
              </w:rPr>
              <w:t>-1</w:t>
            </w:r>
          </w:p>
        </w:tc>
        <w:tc>
          <w:tcPr>
            <w:tcW w:w="0" w:type="auto"/>
            <w:gridSpan w:val="3"/>
            <w:noWrap/>
            <w:vAlign w:val="center"/>
          </w:tcPr>
          <w:p w:rsidR="00DE7BE3" w:rsidRPr="00DE6CF3" w:rsidRDefault="00DE7BE3" w:rsidP="00775963">
            <w:pPr>
              <w:spacing w:after="0" w:line="240" w:lineRule="auto"/>
              <w:jc w:val="center"/>
              <w:rPr>
                <w:rFonts w:ascii="Book Antiqua" w:eastAsia="Times New Roman" w:hAnsi="Book Antiqua" w:cs="Calibri"/>
                <w:i/>
                <w:color w:val="000000"/>
                <w:sz w:val="24"/>
                <w:szCs w:val="24"/>
              </w:rPr>
            </w:pPr>
            <w:r w:rsidRPr="00DE6CF3">
              <w:rPr>
                <w:rFonts w:ascii="Book Antiqua" w:eastAsia="Times New Roman" w:hAnsi="Book Antiqua" w:cs="Calibri"/>
                <w:i/>
                <w:color w:val="000000"/>
                <w:sz w:val="24"/>
                <w:szCs w:val="24"/>
              </w:rPr>
              <w:t>--</w:t>
            </w:r>
            <w:proofErr w:type="spellStart"/>
            <w:r w:rsidRPr="00DE6CF3">
              <w:rPr>
                <w:rFonts w:ascii="Book Antiqua" w:eastAsia="Times New Roman" w:hAnsi="Book Antiqua" w:cs="Calibri"/>
                <w:i/>
                <w:color w:val="000000"/>
                <w:sz w:val="24"/>
                <w:szCs w:val="24"/>
              </w:rPr>
              <w:t>doy</w:t>
            </w:r>
            <w:proofErr w:type="spellEnd"/>
            <w:r w:rsidRPr="00DE6CF3">
              <w:rPr>
                <w:rFonts w:ascii="Book Antiqua" w:eastAsia="Times New Roman" w:hAnsi="Book Antiqua" w:cs="Calibri"/>
                <w:i/>
                <w:color w:val="000000"/>
                <w:sz w:val="24"/>
                <w:szCs w:val="24"/>
              </w:rPr>
              <w:t>--</w:t>
            </w:r>
          </w:p>
        </w:tc>
        <w:tc>
          <w:tcPr>
            <w:tcW w:w="0" w:type="auto"/>
            <w:gridSpan w:val="10"/>
            <w:vAlign w:val="center"/>
          </w:tcPr>
          <w:p w:rsidR="00DE7BE3" w:rsidRPr="00DE6CF3" w:rsidRDefault="00DE7BE3" w:rsidP="00775963">
            <w:pPr>
              <w:spacing w:after="0" w:line="240" w:lineRule="auto"/>
              <w:jc w:val="center"/>
              <w:rPr>
                <w:rFonts w:ascii="Book Antiqua" w:eastAsia="Times New Roman" w:hAnsi="Book Antiqua" w:cs="Calibri"/>
                <w:i/>
                <w:color w:val="000000"/>
                <w:sz w:val="24"/>
                <w:szCs w:val="24"/>
              </w:rPr>
            </w:pPr>
            <w:r w:rsidRPr="00DE6CF3">
              <w:rPr>
                <w:rFonts w:ascii="Book Antiqua" w:eastAsia="Times New Roman" w:hAnsi="Book Antiqua" w:cs="Calibri"/>
                <w:i/>
                <w:color w:val="000000"/>
                <w:sz w:val="24"/>
                <w:szCs w:val="24"/>
              </w:rPr>
              <w:t>---</w:t>
            </w:r>
            <w:r>
              <w:rPr>
                <w:rFonts w:ascii="Book Antiqua" w:eastAsia="Times New Roman" w:hAnsi="Book Antiqua" w:cs="Calibri"/>
                <w:i/>
                <w:color w:val="000000"/>
                <w:sz w:val="24"/>
                <w:szCs w:val="24"/>
              </w:rPr>
              <w:t>-</w:t>
            </w:r>
            <w:r w:rsidRPr="00DE6CF3">
              <w:rPr>
                <w:rFonts w:ascii="Book Antiqua" w:eastAsia="Times New Roman" w:hAnsi="Book Antiqua" w:cs="Calibri"/>
                <w:i/>
                <w:color w:val="000000"/>
                <w:sz w:val="24"/>
                <w:szCs w:val="24"/>
              </w:rPr>
              <w:t>mm growing season---</w:t>
            </w:r>
            <w:r>
              <w:rPr>
                <w:rFonts w:ascii="Book Antiqua" w:eastAsia="Times New Roman" w:hAnsi="Book Antiqua" w:cs="Calibri"/>
                <w:i/>
                <w:color w:val="000000"/>
                <w:sz w:val="24"/>
                <w:szCs w:val="24"/>
              </w:rPr>
              <w:t>-</w:t>
            </w:r>
          </w:p>
        </w:tc>
        <w:tc>
          <w:tcPr>
            <w:tcW w:w="0" w:type="auto"/>
            <w:gridSpan w:val="6"/>
            <w:vAlign w:val="center"/>
          </w:tcPr>
          <w:p w:rsidR="00DE7BE3" w:rsidRPr="00DE6CF3" w:rsidRDefault="00DE7BE3" w:rsidP="00775963">
            <w:pPr>
              <w:spacing w:after="0" w:line="240" w:lineRule="auto"/>
              <w:ind w:left="-15"/>
              <w:jc w:val="both"/>
              <w:rPr>
                <w:rFonts w:ascii="Book Antiqua" w:eastAsia="Times New Roman" w:hAnsi="Book Antiqua" w:cs="Calibri"/>
                <w:i/>
                <w:color w:val="000000"/>
                <w:sz w:val="24"/>
                <w:szCs w:val="24"/>
              </w:rPr>
            </w:pPr>
            <w:r w:rsidRPr="00DE6CF3">
              <w:rPr>
                <w:rFonts w:ascii="Book Antiqua" w:eastAsia="Times New Roman" w:hAnsi="Book Antiqua" w:cs="Calibri"/>
                <w:i/>
                <w:color w:val="000000"/>
                <w:sz w:val="24"/>
                <w:szCs w:val="24"/>
              </w:rPr>
              <w:t>-</w:t>
            </w:r>
            <w:r>
              <w:rPr>
                <w:rFonts w:ascii="Book Antiqua" w:eastAsia="Times New Roman" w:hAnsi="Book Antiqua" w:cs="Calibri"/>
                <w:i/>
                <w:color w:val="000000"/>
                <w:sz w:val="24"/>
                <w:szCs w:val="24"/>
              </w:rPr>
              <w:t>mm annual</w:t>
            </w:r>
            <w:r w:rsidRPr="00DE6CF3">
              <w:rPr>
                <w:rFonts w:ascii="Book Antiqua" w:eastAsia="Times New Roman" w:hAnsi="Book Antiqua" w:cs="Calibri"/>
                <w:i/>
                <w:color w:val="000000"/>
                <w:sz w:val="24"/>
                <w:szCs w:val="24"/>
              </w:rPr>
              <w:t>-</w:t>
            </w:r>
          </w:p>
        </w:tc>
        <w:tc>
          <w:tcPr>
            <w:tcW w:w="0" w:type="auto"/>
            <w:gridSpan w:val="4"/>
            <w:vAlign w:val="center"/>
          </w:tcPr>
          <w:p w:rsidR="00DE7BE3" w:rsidRPr="0026517E" w:rsidRDefault="00DE7BE3" w:rsidP="00775963">
            <w:pPr>
              <w:spacing w:after="0" w:line="240" w:lineRule="auto"/>
              <w:jc w:val="center"/>
              <w:rPr>
                <w:rFonts w:ascii="Book Antiqua" w:eastAsia="Times New Roman" w:hAnsi="Book Antiqua" w:cs="Calibri"/>
                <w:color w:val="000000"/>
                <w:sz w:val="24"/>
                <w:szCs w:val="24"/>
              </w:rPr>
            </w:pPr>
            <w:r w:rsidRPr="00DE6CF3">
              <w:rPr>
                <w:rFonts w:ascii="Book Antiqua" w:eastAsia="Times New Roman" w:hAnsi="Book Antiqua" w:cs="Calibri"/>
                <w:i/>
                <w:color w:val="000000"/>
                <w:sz w:val="24"/>
                <w:szCs w:val="24"/>
              </w:rPr>
              <w:t>--mm</w:t>
            </w:r>
            <w:r>
              <w:rPr>
                <w:rFonts w:ascii="Book Antiqua" w:eastAsia="Times New Roman" w:hAnsi="Book Antiqua" w:cs="Calibri"/>
                <w:i/>
                <w:color w:val="000000"/>
                <w:sz w:val="24"/>
                <w:szCs w:val="24"/>
              </w:rPr>
              <w:t xml:space="preserve"> season</w:t>
            </w:r>
            <w:r w:rsidRPr="00DE6CF3">
              <w:rPr>
                <w:rFonts w:ascii="Book Antiqua" w:eastAsia="Times New Roman" w:hAnsi="Book Antiqua" w:cs="Calibri"/>
                <w:i/>
                <w:color w:val="000000"/>
                <w:sz w:val="24"/>
                <w:szCs w:val="24"/>
              </w:rPr>
              <w:t>--</w:t>
            </w:r>
          </w:p>
        </w:tc>
      </w:tr>
      <w:tr w:rsidR="00775963" w:rsidRPr="0005564C" w:rsidTr="00775963">
        <w:trPr>
          <w:gridAfter w:val="2"/>
          <w:trHeight w:val="144"/>
        </w:trPr>
        <w:tc>
          <w:tcPr>
            <w:tcW w:w="2611" w:type="dxa"/>
            <w:noWrap/>
            <w:vAlign w:val="center"/>
            <w:hideMark/>
          </w:tcPr>
          <w:p w:rsidR="00DE7BE3" w:rsidRPr="0005564C" w:rsidRDefault="00DE7BE3" w:rsidP="00775963">
            <w:pPr>
              <w:spacing w:after="0" w:line="240" w:lineRule="auto"/>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Almonds</w:t>
            </w:r>
          </w:p>
        </w:tc>
        <w:tc>
          <w:tcPr>
            <w:tcW w:w="694" w:type="dxa"/>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20</w:t>
            </w:r>
          </w:p>
        </w:tc>
        <w:tc>
          <w:tcPr>
            <w:tcW w:w="1015" w:type="dxa"/>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69</w:t>
            </w:r>
          </w:p>
        </w:tc>
        <w:tc>
          <w:tcPr>
            <w:tcW w:w="270" w:type="dxa"/>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52</w:t>
            </w:r>
          </w:p>
        </w:tc>
        <w:tc>
          <w:tcPr>
            <w:tcW w:w="0" w:type="auto"/>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293</w:t>
            </w:r>
          </w:p>
        </w:tc>
        <w:tc>
          <w:tcPr>
            <w:tcW w:w="0" w:type="auto"/>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102</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1535</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1636</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447</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36</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284</w:t>
            </w:r>
          </w:p>
        </w:tc>
        <w:tc>
          <w:tcPr>
            <w:tcW w:w="0" w:type="auto"/>
            <w:gridSpan w:val="3"/>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108</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5</w:t>
            </w:r>
          </w:p>
        </w:tc>
        <w:tc>
          <w:tcPr>
            <w:tcW w:w="0" w:type="auto"/>
            <w:gridSpan w:val="3"/>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78</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26</w:t>
            </w:r>
          </w:p>
        </w:tc>
      </w:tr>
      <w:tr w:rsidR="00775963" w:rsidRPr="0005564C" w:rsidTr="00775963">
        <w:trPr>
          <w:gridAfter w:val="2"/>
          <w:trHeight w:val="144"/>
        </w:trPr>
        <w:tc>
          <w:tcPr>
            <w:tcW w:w="2611" w:type="dxa"/>
            <w:noWrap/>
            <w:vAlign w:val="center"/>
            <w:hideMark/>
          </w:tcPr>
          <w:p w:rsidR="00DE7BE3" w:rsidRPr="0005564C" w:rsidRDefault="00DE7BE3" w:rsidP="00775963">
            <w:pPr>
              <w:spacing w:after="0" w:line="240" w:lineRule="auto"/>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 xml:space="preserve">Alfalfa, </w:t>
            </w:r>
            <w:r w:rsidRPr="0005564C">
              <w:rPr>
                <w:rFonts w:ascii="Book Antiqua" w:eastAsia="Times New Roman" w:hAnsi="Book Antiqua" w:cs="Calibri"/>
                <w:color w:val="000000"/>
                <w:sz w:val="24"/>
                <w:szCs w:val="24"/>
              </w:rPr>
              <w:t>intermountain</w:t>
            </w:r>
          </w:p>
        </w:tc>
        <w:tc>
          <w:tcPr>
            <w:tcW w:w="694" w:type="dxa"/>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25</w:t>
            </w:r>
          </w:p>
        </w:tc>
        <w:tc>
          <w:tcPr>
            <w:tcW w:w="1015" w:type="dxa"/>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37</w:t>
            </w:r>
          </w:p>
        </w:tc>
        <w:tc>
          <w:tcPr>
            <w:tcW w:w="270" w:type="dxa"/>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93</w:t>
            </w:r>
          </w:p>
        </w:tc>
        <w:tc>
          <w:tcPr>
            <w:tcW w:w="0" w:type="auto"/>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283</w:t>
            </w:r>
          </w:p>
        </w:tc>
        <w:tc>
          <w:tcPr>
            <w:tcW w:w="0" w:type="auto"/>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129</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939</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1068</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184</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14</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376</w:t>
            </w:r>
          </w:p>
        </w:tc>
        <w:tc>
          <w:tcPr>
            <w:tcW w:w="0" w:type="auto"/>
            <w:gridSpan w:val="3"/>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109</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13</w:t>
            </w:r>
          </w:p>
        </w:tc>
        <w:tc>
          <w:tcPr>
            <w:tcW w:w="0" w:type="auto"/>
            <w:gridSpan w:val="3"/>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140</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50</w:t>
            </w:r>
          </w:p>
        </w:tc>
      </w:tr>
      <w:tr w:rsidR="00775963" w:rsidRPr="0005564C" w:rsidTr="00775963">
        <w:trPr>
          <w:gridAfter w:val="2"/>
          <w:trHeight w:val="144"/>
        </w:trPr>
        <w:tc>
          <w:tcPr>
            <w:tcW w:w="2611" w:type="dxa"/>
            <w:noWrap/>
            <w:vAlign w:val="center"/>
            <w:hideMark/>
          </w:tcPr>
          <w:p w:rsidR="00DE7BE3" w:rsidRPr="0005564C" w:rsidRDefault="00DE7BE3" w:rsidP="00775963">
            <w:pPr>
              <w:spacing w:after="0" w:line="240" w:lineRule="auto"/>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Alfalfa, I</w:t>
            </w:r>
            <w:r w:rsidRPr="0005564C">
              <w:rPr>
                <w:rFonts w:ascii="Book Antiqua" w:eastAsia="Times New Roman" w:hAnsi="Book Antiqua" w:cs="Calibri"/>
                <w:color w:val="000000"/>
                <w:sz w:val="24"/>
                <w:szCs w:val="24"/>
              </w:rPr>
              <w:t>mperial</w:t>
            </w:r>
          </w:p>
        </w:tc>
        <w:tc>
          <w:tcPr>
            <w:tcW w:w="694" w:type="dxa"/>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22</w:t>
            </w:r>
          </w:p>
        </w:tc>
        <w:tc>
          <w:tcPr>
            <w:tcW w:w="1015" w:type="dxa"/>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69</w:t>
            </w:r>
          </w:p>
        </w:tc>
        <w:tc>
          <w:tcPr>
            <w:tcW w:w="270" w:type="dxa"/>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8</w:t>
            </w:r>
          </w:p>
        </w:tc>
        <w:tc>
          <w:tcPr>
            <w:tcW w:w="0" w:type="auto"/>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359</w:t>
            </w:r>
          </w:p>
        </w:tc>
        <w:tc>
          <w:tcPr>
            <w:tcW w:w="0" w:type="auto"/>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53</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1929</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1982</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250</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9</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64</w:t>
            </w:r>
          </w:p>
        </w:tc>
        <w:tc>
          <w:tcPr>
            <w:tcW w:w="0" w:type="auto"/>
            <w:gridSpan w:val="3"/>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11</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60</w:t>
            </w:r>
          </w:p>
        </w:tc>
        <w:tc>
          <w:tcPr>
            <w:tcW w:w="0" w:type="auto"/>
            <w:gridSpan w:val="3"/>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0</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w:t>
            </w:r>
          </w:p>
        </w:tc>
      </w:tr>
      <w:tr w:rsidR="00775963" w:rsidRPr="0005564C" w:rsidTr="00775963">
        <w:trPr>
          <w:gridAfter w:val="2"/>
          <w:trHeight w:val="144"/>
        </w:trPr>
        <w:tc>
          <w:tcPr>
            <w:tcW w:w="2611" w:type="dxa"/>
            <w:noWrap/>
            <w:vAlign w:val="center"/>
            <w:hideMark/>
          </w:tcPr>
          <w:p w:rsidR="00DE7BE3" w:rsidRPr="0005564C" w:rsidRDefault="00DE7BE3" w:rsidP="00775963">
            <w:pPr>
              <w:spacing w:after="0" w:line="240" w:lineRule="auto"/>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 xml:space="preserve">Alfalfa, </w:t>
            </w:r>
            <w:r w:rsidRPr="0005564C">
              <w:rPr>
                <w:rFonts w:ascii="Book Antiqua" w:eastAsia="Times New Roman" w:hAnsi="Book Antiqua" w:cs="Calibri"/>
                <w:color w:val="000000"/>
                <w:sz w:val="24"/>
                <w:szCs w:val="24"/>
              </w:rPr>
              <w:t>CV</w:t>
            </w:r>
          </w:p>
        </w:tc>
        <w:tc>
          <w:tcPr>
            <w:tcW w:w="694" w:type="dxa"/>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21</w:t>
            </w:r>
          </w:p>
        </w:tc>
        <w:tc>
          <w:tcPr>
            <w:tcW w:w="1015" w:type="dxa"/>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51</w:t>
            </w:r>
          </w:p>
        </w:tc>
        <w:tc>
          <w:tcPr>
            <w:tcW w:w="270" w:type="dxa"/>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45</w:t>
            </w:r>
          </w:p>
        </w:tc>
        <w:tc>
          <w:tcPr>
            <w:tcW w:w="0" w:type="auto"/>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300</w:t>
            </w:r>
          </w:p>
        </w:tc>
        <w:tc>
          <w:tcPr>
            <w:tcW w:w="0" w:type="auto"/>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179</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1287</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1466</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191</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39</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279</w:t>
            </w:r>
          </w:p>
        </w:tc>
        <w:tc>
          <w:tcPr>
            <w:tcW w:w="0" w:type="auto"/>
            <w:gridSpan w:val="3"/>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104</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52</w:t>
            </w:r>
          </w:p>
        </w:tc>
        <w:tc>
          <w:tcPr>
            <w:tcW w:w="0" w:type="auto"/>
            <w:gridSpan w:val="3"/>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0</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25</w:t>
            </w:r>
          </w:p>
        </w:tc>
      </w:tr>
      <w:tr w:rsidR="00775963" w:rsidRPr="0005564C" w:rsidTr="00775963">
        <w:trPr>
          <w:gridAfter w:val="2"/>
          <w:trHeight w:val="144"/>
        </w:trPr>
        <w:tc>
          <w:tcPr>
            <w:tcW w:w="2611" w:type="dxa"/>
            <w:noWrap/>
            <w:vAlign w:val="center"/>
            <w:hideMark/>
          </w:tcPr>
          <w:p w:rsidR="00DE7BE3" w:rsidRPr="0005564C" w:rsidRDefault="00DE7BE3" w:rsidP="00775963">
            <w:pPr>
              <w:spacing w:after="0" w:line="240" w:lineRule="auto"/>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Walnuts</w:t>
            </w:r>
          </w:p>
        </w:tc>
        <w:tc>
          <w:tcPr>
            <w:tcW w:w="694" w:type="dxa"/>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23</w:t>
            </w:r>
          </w:p>
        </w:tc>
        <w:tc>
          <w:tcPr>
            <w:tcW w:w="1015" w:type="dxa"/>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55</w:t>
            </w:r>
          </w:p>
        </w:tc>
        <w:tc>
          <w:tcPr>
            <w:tcW w:w="270" w:type="dxa"/>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94</w:t>
            </w:r>
          </w:p>
        </w:tc>
        <w:tc>
          <w:tcPr>
            <w:tcW w:w="0" w:type="auto"/>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284</w:t>
            </w:r>
          </w:p>
        </w:tc>
        <w:tc>
          <w:tcPr>
            <w:tcW w:w="0" w:type="auto"/>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86</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1355</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1441</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340</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12</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424</w:t>
            </w:r>
          </w:p>
        </w:tc>
        <w:tc>
          <w:tcPr>
            <w:tcW w:w="0" w:type="auto"/>
            <w:gridSpan w:val="3"/>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189</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9</w:t>
            </w:r>
          </w:p>
        </w:tc>
        <w:tc>
          <w:tcPr>
            <w:tcW w:w="0" w:type="auto"/>
            <w:gridSpan w:val="3"/>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152</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58</w:t>
            </w:r>
          </w:p>
        </w:tc>
      </w:tr>
      <w:tr w:rsidR="00775963" w:rsidRPr="0005564C" w:rsidTr="00775963">
        <w:trPr>
          <w:gridAfter w:val="2"/>
          <w:trHeight w:val="144"/>
        </w:trPr>
        <w:tc>
          <w:tcPr>
            <w:tcW w:w="2611" w:type="dxa"/>
            <w:noWrap/>
            <w:vAlign w:val="center"/>
            <w:hideMark/>
          </w:tcPr>
          <w:p w:rsidR="00DE7BE3" w:rsidRPr="0005564C" w:rsidRDefault="00DE7BE3" w:rsidP="00775963">
            <w:pPr>
              <w:spacing w:after="0" w:line="240" w:lineRule="auto"/>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P</w:t>
            </w:r>
            <w:r w:rsidRPr="0005564C">
              <w:rPr>
                <w:rFonts w:ascii="Book Antiqua" w:eastAsia="Times New Roman" w:hAnsi="Book Antiqua" w:cs="Calibri"/>
                <w:color w:val="000000"/>
                <w:sz w:val="24"/>
                <w:szCs w:val="24"/>
              </w:rPr>
              <w:t>istachios</w:t>
            </w:r>
          </w:p>
        </w:tc>
        <w:tc>
          <w:tcPr>
            <w:tcW w:w="694" w:type="dxa"/>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20</w:t>
            </w:r>
          </w:p>
        </w:tc>
        <w:tc>
          <w:tcPr>
            <w:tcW w:w="1015" w:type="dxa"/>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62</w:t>
            </w:r>
          </w:p>
        </w:tc>
        <w:tc>
          <w:tcPr>
            <w:tcW w:w="270" w:type="dxa"/>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113</w:t>
            </w:r>
          </w:p>
        </w:tc>
        <w:tc>
          <w:tcPr>
            <w:tcW w:w="0" w:type="auto"/>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299</w:t>
            </w:r>
          </w:p>
        </w:tc>
        <w:tc>
          <w:tcPr>
            <w:tcW w:w="0" w:type="auto"/>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6</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1425</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1430</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380</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3</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197</w:t>
            </w:r>
          </w:p>
        </w:tc>
        <w:tc>
          <w:tcPr>
            <w:tcW w:w="0" w:type="auto"/>
            <w:gridSpan w:val="3"/>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45</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20</w:t>
            </w:r>
          </w:p>
        </w:tc>
        <w:tc>
          <w:tcPr>
            <w:tcW w:w="0" w:type="auto"/>
            <w:gridSpan w:val="3"/>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150</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12</w:t>
            </w:r>
          </w:p>
        </w:tc>
      </w:tr>
      <w:tr w:rsidR="00775963" w:rsidRPr="0005564C" w:rsidTr="00775963">
        <w:trPr>
          <w:gridAfter w:val="2"/>
          <w:trHeight w:val="144"/>
        </w:trPr>
        <w:tc>
          <w:tcPr>
            <w:tcW w:w="2611" w:type="dxa"/>
            <w:noWrap/>
            <w:vAlign w:val="center"/>
            <w:hideMark/>
          </w:tcPr>
          <w:p w:rsidR="00DE7BE3" w:rsidRPr="0005564C" w:rsidRDefault="00DE7BE3" w:rsidP="00775963">
            <w:pPr>
              <w:spacing w:after="0" w:line="240" w:lineRule="auto"/>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Grapes, CV</w:t>
            </w:r>
          </w:p>
        </w:tc>
        <w:tc>
          <w:tcPr>
            <w:tcW w:w="694" w:type="dxa"/>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19</w:t>
            </w:r>
          </w:p>
        </w:tc>
        <w:tc>
          <w:tcPr>
            <w:tcW w:w="1015" w:type="dxa"/>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66</w:t>
            </w:r>
          </w:p>
        </w:tc>
        <w:tc>
          <w:tcPr>
            <w:tcW w:w="270" w:type="dxa"/>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76</w:t>
            </w:r>
          </w:p>
        </w:tc>
        <w:tc>
          <w:tcPr>
            <w:tcW w:w="0" w:type="auto"/>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286</w:t>
            </w:r>
          </w:p>
        </w:tc>
        <w:tc>
          <w:tcPr>
            <w:tcW w:w="0" w:type="auto"/>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45</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1440</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1485</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304</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19</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264</w:t>
            </w:r>
          </w:p>
        </w:tc>
        <w:tc>
          <w:tcPr>
            <w:tcW w:w="0" w:type="auto"/>
            <w:gridSpan w:val="3"/>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87</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5</w:t>
            </w:r>
          </w:p>
        </w:tc>
        <w:tc>
          <w:tcPr>
            <w:tcW w:w="0" w:type="auto"/>
            <w:gridSpan w:val="3"/>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135</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22</w:t>
            </w:r>
          </w:p>
        </w:tc>
      </w:tr>
      <w:tr w:rsidR="00775963" w:rsidRPr="0005564C" w:rsidTr="00775963">
        <w:trPr>
          <w:gridAfter w:val="2"/>
          <w:trHeight w:val="144"/>
        </w:trPr>
        <w:tc>
          <w:tcPr>
            <w:tcW w:w="2611" w:type="dxa"/>
            <w:noWrap/>
            <w:vAlign w:val="center"/>
            <w:hideMark/>
          </w:tcPr>
          <w:p w:rsidR="00DE7BE3" w:rsidRPr="0005564C" w:rsidRDefault="00DE7BE3" w:rsidP="00775963">
            <w:pPr>
              <w:spacing w:after="0" w:line="240" w:lineRule="auto"/>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 xml:space="preserve">Grapes, </w:t>
            </w:r>
            <w:r w:rsidRPr="0005564C">
              <w:rPr>
                <w:rFonts w:ascii="Book Antiqua" w:eastAsia="Times New Roman" w:hAnsi="Book Antiqua" w:cs="Calibri"/>
                <w:color w:val="000000"/>
                <w:sz w:val="24"/>
                <w:szCs w:val="24"/>
              </w:rPr>
              <w:t>wine</w:t>
            </w:r>
          </w:p>
        </w:tc>
        <w:tc>
          <w:tcPr>
            <w:tcW w:w="694" w:type="dxa"/>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22</w:t>
            </w:r>
          </w:p>
        </w:tc>
        <w:tc>
          <w:tcPr>
            <w:tcW w:w="1015" w:type="dxa"/>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28</w:t>
            </w:r>
          </w:p>
        </w:tc>
        <w:tc>
          <w:tcPr>
            <w:tcW w:w="270" w:type="dxa"/>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98</w:t>
            </w:r>
          </w:p>
        </w:tc>
        <w:tc>
          <w:tcPr>
            <w:tcW w:w="0" w:type="auto"/>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265</w:t>
            </w:r>
          </w:p>
        </w:tc>
        <w:tc>
          <w:tcPr>
            <w:tcW w:w="0" w:type="auto"/>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117</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737</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854</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282</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5</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599</w:t>
            </w:r>
          </w:p>
        </w:tc>
        <w:tc>
          <w:tcPr>
            <w:tcW w:w="0" w:type="auto"/>
            <w:gridSpan w:val="3"/>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330</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60</w:t>
            </w:r>
          </w:p>
        </w:tc>
        <w:tc>
          <w:tcPr>
            <w:tcW w:w="0" w:type="auto"/>
            <w:gridSpan w:val="3"/>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155</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109</w:t>
            </w:r>
          </w:p>
        </w:tc>
      </w:tr>
    </w:tbl>
    <w:p w:rsidR="00DE7BE3" w:rsidRDefault="00DE7BE3" w:rsidP="00DE7BE3">
      <w:pPr>
        <w:pStyle w:val="ListParagraph"/>
        <w:spacing w:after="0" w:line="240" w:lineRule="auto"/>
        <w:ind w:left="0"/>
        <w:rPr>
          <w:rFonts w:ascii="Book Antiqua" w:hAnsi="Book Antiqua"/>
          <w:b/>
          <w:sz w:val="24"/>
          <w:szCs w:val="24"/>
        </w:rPr>
      </w:pPr>
    </w:p>
    <w:p w:rsidR="00DE7BE3" w:rsidRDefault="00DE7BE3" w:rsidP="00DE7BE3">
      <w:pPr>
        <w:pStyle w:val="ListParagraph"/>
        <w:spacing w:after="0" w:line="240" w:lineRule="auto"/>
        <w:ind w:left="0"/>
        <w:rPr>
          <w:rFonts w:ascii="Book Antiqua" w:hAnsi="Book Antiqua"/>
          <w:b/>
          <w:sz w:val="24"/>
          <w:szCs w:val="24"/>
        </w:rPr>
      </w:pPr>
    </w:p>
    <w:p w:rsidR="00DE7BE3" w:rsidRDefault="00DE7BE3" w:rsidP="00DE7BE3">
      <w:pPr>
        <w:pStyle w:val="ListParagraph"/>
        <w:spacing w:after="0" w:line="240" w:lineRule="auto"/>
        <w:ind w:left="0"/>
        <w:rPr>
          <w:rFonts w:ascii="Book Antiqua" w:hAnsi="Book Antiqua"/>
          <w:b/>
          <w:sz w:val="24"/>
          <w:szCs w:val="24"/>
        </w:rPr>
      </w:pPr>
      <w:r>
        <w:rPr>
          <w:rFonts w:ascii="Book Antiqua" w:hAnsi="Book Antiqua"/>
          <w:b/>
          <w:sz w:val="24"/>
          <w:szCs w:val="24"/>
        </w:rPr>
        <w:t xml:space="preserve">Table 4. </w:t>
      </w:r>
      <w:r w:rsidRPr="0049295A">
        <w:rPr>
          <w:rFonts w:ascii="Book Antiqua" w:hAnsi="Book Antiqua"/>
          <w:sz w:val="24"/>
          <w:szCs w:val="24"/>
        </w:rPr>
        <w:t>Water balance details</w:t>
      </w:r>
      <w:r>
        <w:rPr>
          <w:rFonts w:ascii="Book Antiqua" w:hAnsi="Book Antiqua"/>
          <w:sz w:val="24"/>
          <w:szCs w:val="24"/>
        </w:rPr>
        <w:t xml:space="preserve"> (mm)</w:t>
      </w:r>
      <w:r w:rsidRPr="0049295A">
        <w:rPr>
          <w:rFonts w:ascii="Book Antiqua" w:hAnsi="Book Antiqua"/>
          <w:sz w:val="24"/>
          <w:szCs w:val="24"/>
        </w:rPr>
        <w:t xml:space="preserve"> by crop for 1.0 m root depth and 50% allowable depletion scenario</w:t>
      </w:r>
    </w:p>
    <w:tbl>
      <w:tblPr>
        <w:tblStyle w:val="PlainTable2"/>
        <w:tblW w:w="12283" w:type="dxa"/>
        <w:tblLayout w:type="fixed"/>
        <w:tblLook w:val="0620" w:firstRow="1" w:lastRow="0" w:firstColumn="0" w:lastColumn="0" w:noHBand="1" w:noVBand="1"/>
      </w:tblPr>
      <w:tblGrid>
        <w:gridCol w:w="2512"/>
        <w:gridCol w:w="98"/>
        <w:gridCol w:w="505"/>
        <w:gridCol w:w="88"/>
        <w:gridCol w:w="792"/>
        <w:gridCol w:w="145"/>
        <w:gridCol w:w="269"/>
        <w:gridCol w:w="307"/>
        <w:gridCol w:w="90"/>
        <w:gridCol w:w="670"/>
        <w:gridCol w:w="617"/>
        <w:gridCol w:w="161"/>
        <w:gridCol w:w="497"/>
        <w:gridCol w:w="38"/>
        <w:gridCol w:w="696"/>
        <w:gridCol w:w="576"/>
        <w:gridCol w:w="551"/>
        <w:gridCol w:w="85"/>
        <w:gridCol w:w="491"/>
        <w:gridCol w:w="576"/>
        <w:gridCol w:w="576"/>
        <w:gridCol w:w="157"/>
        <w:gridCol w:w="974"/>
        <w:gridCol w:w="646"/>
        <w:gridCol w:w="166"/>
      </w:tblGrid>
      <w:tr w:rsidR="00DE7BE3" w:rsidRPr="0005564C" w:rsidTr="006702E7">
        <w:trPr>
          <w:cnfStyle w:val="100000000000" w:firstRow="1" w:lastRow="0" w:firstColumn="0" w:lastColumn="0" w:oddVBand="0" w:evenVBand="0" w:oddHBand="0" w:evenHBand="0" w:firstRowFirstColumn="0" w:firstRowLastColumn="0" w:lastRowFirstColumn="0" w:lastRowLastColumn="0"/>
          <w:trHeight w:val="300"/>
        </w:trPr>
        <w:tc>
          <w:tcPr>
            <w:tcW w:w="2512" w:type="dxa"/>
            <w:noWrap/>
            <w:vAlign w:val="center"/>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Crop</w:t>
            </w:r>
          </w:p>
        </w:tc>
        <w:tc>
          <w:tcPr>
            <w:tcW w:w="603" w:type="dxa"/>
            <w:gridSpan w:val="2"/>
            <w:vAlign w:val="center"/>
          </w:tcPr>
          <w:p w:rsidR="00DE7BE3" w:rsidRPr="0026517E" w:rsidRDefault="00DE7BE3" w:rsidP="006702E7">
            <w:pPr>
              <w:jc w:val="center"/>
              <w:rPr>
                <w:rFonts w:ascii="Book Antiqua" w:eastAsia="Times New Roman" w:hAnsi="Book Antiqua" w:cs="Calibri"/>
                <w:color w:val="000000"/>
                <w:sz w:val="24"/>
                <w:szCs w:val="24"/>
              </w:rPr>
            </w:pPr>
            <w:r>
              <w:rPr>
                <w:rFonts w:ascii="Book Antiqua" w:eastAsia="Times New Roman" w:hAnsi="Book Antiqua" w:cs="Calibri"/>
                <w:color w:val="000000"/>
                <w:sz w:val="24"/>
                <w:szCs w:val="24"/>
              </w:rPr>
              <w:t>AD</w:t>
            </w:r>
          </w:p>
        </w:tc>
        <w:tc>
          <w:tcPr>
            <w:tcW w:w="880" w:type="dxa"/>
            <w:gridSpan w:val="2"/>
            <w:vAlign w:val="center"/>
          </w:tcPr>
          <w:p w:rsidR="00DE7BE3" w:rsidRPr="007C63F3" w:rsidRDefault="00DE7BE3" w:rsidP="006702E7">
            <w:pPr>
              <w:jc w:val="center"/>
              <w:rPr>
                <w:rFonts w:ascii="Book Antiqua" w:eastAsia="Times New Roman" w:hAnsi="Book Antiqua" w:cs="Calibri"/>
                <w:b w:val="0"/>
                <w:color w:val="000000"/>
                <w:sz w:val="24"/>
                <w:szCs w:val="24"/>
              </w:rPr>
            </w:pPr>
            <w:r w:rsidRPr="007C63F3">
              <w:rPr>
                <w:rFonts w:ascii="Book Antiqua" w:eastAsia="Times New Roman" w:hAnsi="Book Antiqua" w:cs="Calibri"/>
                <w:b w:val="0"/>
                <w:color w:val="000000"/>
                <w:sz w:val="24"/>
                <w:szCs w:val="24"/>
              </w:rPr>
              <w:t>Irr Count</w:t>
            </w:r>
          </w:p>
        </w:tc>
        <w:tc>
          <w:tcPr>
            <w:tcW w:w="811" w:type="dxa"/>
            <w:gridSpan w:val="4"/>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First irr.</w:t>
            </w:r>
          </w:p>
        </w:tc>
        <w:tc>
          <w:tcPr>
            <w:tcW w:w="670"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Last irr</w:t>
            </w:r>
          </w:p>
        </w:tc>
        <w:tc>
          <w:tcPr>
            <w:tcW w:w="778"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GW</w:t>
            </w:r>
          </w:p>
        </w:tc>
        <w:tc>
          <w:tcPr>
            <w:tcW w:w="497"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Irr</w:t>
            </w:r>
          </w:p>
        </w:tc>
        <w:tc>
          <w:tcPr>
            <w:tcW w:w="734"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ET</w:t>
            </w:r>
          </w:p>
        </w:tc>
        <w:tc>
          <w:tcPr>
            <w:tcW w:w="576" w:type="dxa"/>
            <w:noWrap/>
            <w:vAlign w:val="center"/>
            <w:hideMark/>
          </w:tcPr>
          <w:p w:rsidR="00DE7BE3" w:rsidRPr="0005564C" w:rsidRDefault="00DE7BE3" w:rsidP="006702E7">
            <w:pPr>
              <w:jc w:val="center"/>
              <w:rPr>
                <w:rFonts w:ascii="Book Antiqua" w:eastAsia="Times New Roman" w:hAnsi="Book Antiqua" w:cs="Calibri"/>
                <w:color w:val="000000"/>
                <w:sz w:val="24"/>
                <w:szCs w:val="24"/>
                <w:vertAlign w:val="subscript"/>
              </w:rPr>
            </w:pPr>
            <w:r w:rsidRPr="0026517E">
              <w:rPr>
                <w:rFonts w:ascii="Book Antiqua" w:eastAsia="Times New Roman" w:hAnsi="Book Antiqua" w:cs="Calibri"/>
                <w:color w:val="000000"/>
                <w:sz w:val="24"/>
                <w:szCs w:val="24"/>
              </w:rPr>
              <w:t>E</w:t>
            </w:r>
          </w:p>
        </w:tc>
        <w:tc>
          <w:tcPr>
            <w:tcW w:w="636" w:type="dxa"/>
            <w:gridSpan w:val="2"/>
            <w:vAlign w:val="center"/>
          </w:tcPr>
          <w:p w:rsidR="00DE7BE3" w:rsidRPr="0026517E" w:rsidRDefault="00DE7BE3" w:rsidP="006702E7">
            <w:pPr>
              <w:jc w:val="center"/>
              <w:rPr>
                <w:rFonts w:ascii="Book Antiqua" w:eastAsia="Times New Roman" w:hAnsi="Book Antiqua" w:cs="Calibri"/>
                <w:color w:val="000000"/>
                <w:sz w:val="24"/>
                <w:szCs w:val="24"/>
              </w:rPr>
            </w:pPr>
            <w:r>
              <w:rPr>
                <w:rFonts w:ascii="Book Antiqua" w:eastAsia="Times New Roman" w:hAnsi="Book Antiqua" w:cs="Calibri"/>
                <w:color w:val="000000"/>
                <w:sz w:val="24"/>
                <w:szCs w:val="24"/>
              </w:rPr>
              <w:t>DP</w:t>
            </w:r>
          </w:p>
        </w:tc>
        <w:tc>
          <w:tcPr>
            <w:tcW w:w="491" w:type="dxa"/>
            <w:vAlign w:val="center"/>
          </w:tcPr>
          <w:p w:rsidR="00DE7BE3" w:rsidRPr="0026517E" w:rsidRDefault="00DE7BE3" w:rsidP="006702E7">
            <w:pPr>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P</w:t>
            </w:r>
          </w:p>
        </w:tc>
        <w:tc>
          <w:tcPr>
            <w:tcW w:w="576" w:type="dxa"/>
            <w:noWrap/>
            <w:vAlign w:val="center"/>
            <w:hideMark/>
          </w:tcPr>
          <w:p w:rsidR="00DE7BE3" w:rsidRPr="0005564C" w:rsidRDefault="00DE7BE3" w:rsidP="006702E7">
            <w:pPr>
              <w:ind w:hanging="105"/>
              <w:jc w:val="center"/>
              <w:rPr>
                <w:rFonts w:ascii="Book Antiqua" w:eastAsia="Times New Roman" w:hAnsi="Book Antiqua" w:cs="Calibri"/>
                <w:color w:val="000000"/>
                <w:sz w:val="24"/>
                <w:szCs w:val="24"/>
                <w:vertAlign w:val="subscript"/>
              </w:rPr>
            </w:pPr>
            <w:r w:rsidRPr="0026517E">
              <w:rPr>
                <w:rFonts w:ascii="Book Antiqua" w:eastAsia="Times New Roman" w:hAnsi="Book Antiqua" w:cs="Calibri"/>
                <w:color w:val="000000"/>
                <w:sz w:val="24"/>
                <w:szCs w:val="24"/>
              </w:rPr>
              <w:t>DP</w:t>
            </w:r>
          </w:p>
        </w:tc>
        <w:tc>
          <w:tcPr>
            <w:tcW w:w="57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CS</w:t>
            </w:r>
          </w:p>
        </w:tc>
        <w:tc>
          <w:tcPr>
            <w:tcW w:w="1131" w:type="dxa"/>
            <w:gridSpan w:val="2"/>
            <w:noWrap/>
            <w:vAlign w:val="center"/>
            <w:hideMark/>
          </w:tcPr>
          <w:p w:rsidR="00DE7BE3" w:rsidRPr="0005564C" w:rsidRDefault="00DE7BE3" w:rsidP="006702E7">
            <w:pPr>
              <w:ind w:left="-105" w:right="-60"/>
              <w:jc w:val="center"/>
              <w:rPr>
                <w:rFonts w:ascii="Book Antiqua" w:eastAsia="Times New Roman" w:hAnsi="Book Antiqua" w:cs="Calibri"/>
                <w:color w:val="000000"/>
                <w:sz w:val="24"/>
                <w:szCs w:val="24"/>
                <w:vertAlign w:val="subscript"/>
              </w:rPr>
            </w:pPr>
            <w:proofErr w:type="spellStart"/>
            <w:r w:rsidRPr="0005564C">
              <w:rPr>
                <w:rFonts w:ascii="Book Antiqua" w:eastAsia="Times New Roman" w:hAnsi="Book Antiqua" w:cs="Calibri"/>
                <w:color w:val="000000"/>
                <w:sz w:val="24"/>
                <w:szCs w:val="24"/>
              </w:rPr>
              <w:t>ET</w:t>
            </w:r>
            <w:r>
              <w:rPr>
                <w:rFonts w:ascii="Book Antiqua" w:eastAsia="Times New Roman" w:hAnsi="Book Antiqua" w:cs="Calibri"/>
                <w:color w:val="000000"/>
                <w:sz w:val="24"/>
                <w:szCs w:val="24"/>
                <w:vertAlign w:val="subscript"/>
              </w:rPr>
              <w:t>dormant</w:t>
            </w:r>
            <w:proofErr w:type="spellEnd"/>
          </w:p>
        </w:tc>
        <w:tc>
          <w:tcPr>
            <w:tcW w:w="812" w:type="dxa"/>
            <w:gridSpan w:val="2"/>
            <w:vAlign w:val="center"/>
          </w:tcPr>
          <w:p w:rsidR="00DE7BE3" w:rsidRPr="00DE6CF3" w:rsidRDefault="00DE7BE3" w:rsidP="006702E7">
            <w:pPr>
              <w:jc w:val="center"/>
              <w:rPr>
                <w:rFonts w:ascii="Book Antiqua" w:eastAsia="Times New Roman" w:hAnsi="Book Antiqua" w:cs="Calibri"/>
                <w:color w:val="000000"/>
                <w:sz w:val="24"/>
                <w:szCs w:val="24"/>
              </w:rPr>
            </w:pPr>
            <w:proofErr w:type="spellStart"/>
            <w:r>
              <w:rPr>
                <w:rFonts w:ascii="Book Antiqua" w:eastAsia="Times New Roman" w:hAnsi="Book Antiqua" w:cs="Calibri"/>
                <w:color w:val="000000"/>
                <w:sz w:val="24"/>
                <w:szCs w:val="24"/>
              </w:rPr>
              <w:t>DP</w:t>
            </w:r>
            <w:r>
              <w:rPr>
                <w:rFonts w:ascii="Book Antiqua" w:eastAsia="Times New Roman" w:hAnsi="Book Antiqua" w:cs="Calibri"/>
                <w:color w:val="000000"/>
                <w:sz w:val="24"/>
                <w:szCs w:val="24"/>
                <w:vertAlign w:val="subscript"/>
              </w:rPr>
              <w:t>fall</w:t>
            </w:r>
            <w:proofErr w:type="spellEnd"/>
          </w:p>
        </w:tc>
      </w:tr>
      <w:tr w:rsidR="00DE7BE3" w:rsidRPr="0005564C" w:rsidTr="006702E7">
        <w:trPr>
          <w:gridAfter w:val="1"/>
          <w:wAfter w:w="166" w:type="dxa"/>
          <w:trHeight w:val="300"/>
        </w:trPr>
        <w:tc>
          <w:tcPr>
            <w:tcW w:w="2512" w:type="dxa"/>
            <w:noWrap/>
          </w:tcPr>
          <w:p w:rsidR="00DE7BE3" w:rsidRPr="0026517E" w:rsidRDefault="00DE7BE3" w:rsidP="006702E7">
            <w:pPr>
              <w:rPr>
                <w:rFonts w:ascii="Book Antiqua" w:eastAsia="Times New Roman" w:hAnsi="Book Antiqua" w:cs="Calibri"/>
                <w:color w:val="000000"/>
                <w:sz w:val="24"/>
                <w:szCs w:val="24"/>
              </w:rPr>
            </w:pPr>
          </w:p>
        </w:tc>
        <w:tc>
          <w:tcPr>
            <w:tcW w:w="603" w:type="dxa"/>
            <w:gridSpan w:val="2"/>
          </w:tcPr>
          <w:p w:rsidR="00DE7BE3" w:rsidRPr="00DE6CF3" w:rsidRDefault="00DE7BE3" w:rsidP="006702E7">
            <w:pPr>
              <w:ind w:right="-135"/>
              <w:jc w:val="center"/>
              <w:rPr>
                <w:rFonts w:ascii="Book Antiqua" w:eastAsia="Times New Roman" w:hAnsi="Book Antiqua" w:cs="Calibri"/>
                <w:i/>
                <w:color w:val="000000"/>
                <w:sz w:val="24"/>
                <w:szCs w:val="24"/>
              </w:rPr>
            </w:pPr>
            <w:r w:rsidRPr="00DE6CF3">
              <w:rPr>
                <w:rFonts w:ascii="Book Antiqua" w:eastAsia="Times New Roman" w:hAnsi="Book Antiqua" w:cs="Calibri"/>
                <w:i/>
                <w:color w:val="000000"/>
                <w:sz w:val="24"/>
                <w:szCs w:val="24"/>
              </w:rPr>
              <w:t>mm</w:t>
            </w:r>
          </w:p>
        </w:tc>
        <w:tc>
          <w:tcPr>
            <w:tcW w:w="1294" w:type="dxa"/>
            <w:gridSpan w:val="4"/>
            <w:vAlign w:val="center"/>
          </w:tcPr>
          <w:p w:rsidR="00DE7BE3" w:rsidRPr="007C63F3" w:rsidRDefault="00DE7BE3" w:rsidP="006702E7">
            <w:pPr>
              <w:jc w:val="center"/>
              <w:rPr>
                <w:rFonts w:ascii="Book Antiqua" w:eastAsia="Times New Roman" w:hAnsi="Book Antiqua" w:cs="Calibri"/>
                <w:i/>
                <w:color w:val="000000"/>
                <w:sz w:val="24"/>
                <w:szCs w:val="24"/>
                <w:vertAlign w:val="superscript"/>
              </w:rPr>
            </w:pPr>
            <w:r w:rsidRPr="007C63F3">
              <w:rPr>
                <w:rFonts w:ascii="Book Antiqua" w:eastAsia="Times New Roman" w:hAnsi="Book Antiqua" w:cs="Calibri"/>
                <w:i/>
                <w:color w:val="000000"/>
                <w:sz w:val="24"/>
                <w:szCs w:val="24"/>
              </w:rPr>
              <w:t>Days</w:t>
            </w:r>
            <w:r>
              <w:rPr>
                <w:rFonts w:ascii="Book Antiqua" w:eastAsia="Times New Roman" w:hAnsi="Book Antiqua" w:cs="Calibri"/>
                <w:i/>
                <w:color w:val="000000"/>
                <w:sz w:val="24"/>
                <w:szCs w:val="24"/>
              </w:rPr>
              <w:t xml:space="preserve"> yr</w:t>
            </w:r>
            <w:r>
              <w:rPr>
                <w:rFonts w:ascii="Book Antiqua" w:eastAsia="Times New Roman" w:hAnsi="Book Antiqua" w:cs="Calibri"/>
                <w:i/>
                <w:color w:val="000000"/>
                <w:sz w:val="24"/>
                <w:szCs w:val="24"/>
                <w:vertAlign w:val="superscript"/>
              </w:rPr>
              <w:t>-1</w:t>
            </w:r>
          </w:p>
        </w:tc>
        <w:tc>
          <w:tcPr>
            <w:tcW w:w="1067" w:type="dxa"/>
            <w:gridSpan w:val="3"/>
            <w:noWrap/>
            <w:vAlign w:val="center"/>
          </w:tcPr>
          <w:p w:rsidR="00DE7BE3" w:rsidRPr="00DE6CF3" w:rsidRDefault="00DE7BE3" w:rsidP="006702E7">
            <w:pPr>
              <w:jc w:val="center"/>
              <w:rPr>
                <w:rFonts w:ascii="Book Antiqua" w:eastAsia="Times New Roman" w:hAnsi="Book Antiqua" w:cs="Calibri"/>
                <w:i/>
                <w:color w:val="000000"/>
                <w:sz w:val="24"/>
                <w:szCs w:val="24"/>
              </w:rPr>
            </w:pPr>
            <w:r w:rsidRPr="00DE6CF3">
              <w:rPr>
                <w:rFonts w:ascii="Book Antiqua" w:eastAsia="Times New Roman" w:hAnsi="Book Antiqua" w:cs="Calibri"/>
                <w:i/>
                <w:color w:val="000000"/>
                <w:sz w:val="24"/>
                <w:szCs w:val="24"/>
              </w:rPr>
              <w:t>--</w:t>
            </w:r>
            <w:proofErr w:type="spellStart"/>
            <w:r w:rsidRPr="00DE6CF3">
              <w:rPr>
                <w:rFonts w:ascii="Book Antiqua" w:eastAsia="Times New Roman" w:hAnsi="Book Antiqua" w:cs="Calibri"/>
                <w:i/>
                <w:color w:val="000000"/>
                <w:sz w:val="24"/>
                <w:szCs w:val="24"/>
              </w:rPr>
              <w:t>doy</w:t>
            </w:r>
            <w:proofErr w:type="spellEnd"/>
            <w:r w:rsidRPr="00DE6CF3">
              <w:rPr>
                <w:rFonts w:ascii="Book Antiqua" w:eastAsia="Times New Roman" w:hAnsi="Book Antiqua" w:cs="Calibri"/>
                <w:i/>
                <w:color w:val="000000"/>
                <w:sz w:val="24"/>
                <w:szCs w:val="24"/>
              </w:rPr>
              <w:t>--</w:t>
            </w:r>
          </w:p>
        </w:tc>
        <w:tc>
          <w:tcPr>
            <w:tcW w:w="3221" w:type="dxa"/>
            <w:gridSpan w:val="8"/>
            <w:vAlign w:val="center"/>
          </w:tcPr>
          <w:p w:rsidR="00DE7BE3" w:rsidRPr="00DE6CF3" w:rsidRDefault="00DE7BE3" w:rsidP="006702E7">
            <w:pPr>
              <w:jc w:val="center"/>
              <w:rPr>
                <w:rFonts w:ascii="Book Antiqua" w:eastAsia="Times New Roman" w:hAnsi="Book Antiqua" w:cs="Calibri"/>
                <w:i/>
                <w:color w:val="000000"/>
                <w:sz w:val="24"/>
                <w:szCs w:val="24"/>
              </w:rPr>
            </w:pPr>
            <w:r w:rsidRPr="00DE6CF3">
              <w:rPr>
                <w:rFonts w:ascii="Book Antiqua" w:eastAsia="Times New Roman" w:hAnsi="Book Antiqua" w:cs="Calibri"/>
                <w:i/>
                <w:color w:val="000000"/>
                <w:sz w:val="24"/>
                <w:szCs w:val="24"/>
              </w:rPr>
              <w:t>---</w:t>
            </w:r>
            <w:r>
              <w:rPr>
                <w:rFonts w:ascii="Book Antiqua" w:eastAsia="Times New Roman" w:hAnsi="Book Antiqua" w:cs="Calibri"/>
                <w:i/>
                <w:color w:val="000000"/>
                <w:sz w:val="24"/>
                <w:szCs w:val="24"/>
              </w:rPr>
              <w:t>-</w:t>
            </w:r>
            <w:r w:rsidRPr="00DE6CF3">
              <w:rPr>
                <w:rFonts w:ascii="Book Antiqua" w:eastAsia="Times New Roman" w:hAnsi="Book Antiqua" w:cs="Calibri"/>
                <w:i/>
                <w:color w:val="000000"/>
                <w:sz w:val="24"/>
                <w:szCs w:val="24"/>
              </w:rPr>
              <w:t>mm growing season---</w:t>
            </w:r>
            <w:r>
              <w:rPr>
                <w:rFonts w:ascii="Book Antiqua" w:eastAsia="Times New Roman" w:hAnsi="Book Antiqua" w:cs="Calibri"/>
                <w:i/>
                <w:color w:val="000000"/>
                <w:sz w:val="24"/>
                <w:szCs w:val="24"/>
              </w:rPr>
              <w:t>-</w:t>
            </w:r>
          </w:p>
        </w:tc>
        <w:tc>
          <w:tcPr>
            <w:tcW w:w="1800" w:type="dxa"/>
            <w:gridSpan w:val="4"/>
            <w:vAlign w:val="center"/>
          </w:tcPr>
          <w:p w:rsidR="00DE7BE3" w:rsidRPr="00DE6CF3" w:rsidRDefault="00DE7BE3" w:rsidP="006702E7">
            <w:pPr>
              <w:ind w:left="-15"/>
              <w:jc w:val="both"/>
              <w:rPr>
                <w:rFonts w:ascii="Book Antiqua" w:eastAsia="Times New Roman" w:hAnsi="Book Antiqua" w:cs="Calibri"/>
                <w:i/>
                <w:color w:val="000000"/>
                <w:sz w:val="24"/>
                <w:szCs w:val="24"/>
              </w:rPr>
            </w:pPr>
            <w:r w:rsidRPr="00DE6CF3">
              <w:rPr>
                <w:rFonts w:ascii="Book Antiqua" w:eastAsia="Times New Roman" w:hAnsi="Book Antiqua" w:cs="Calibri"/>
                <w:i/>
                <w:color w:val="000000"/>
                <w:sz w:val="24"/>
                <w:szCs w:val="24"/>
              </w:rPr>
              <w:t>-</w:t>
            </w:r>
            <w:r>
              <w:rPr>
                <w:rFonts w:ascii="Book Antiqua" w:eastAsia="Times New Roman" w:hAnsi="Book Antiqua" w:cs="Calibri"/>
                <w:i/>
                <w:color w:val="000000"/>
                <w:sz w:val="24"/>
                <w:szCs w:val="24"/>
              </w:rPr>
              <w:t>mm annual</w:t>
            </w:r>
            <w:r w:rsidRPr="00DE6CF3">
              <w:rPr>
                <w:rFonts w:ascii="Book Antiqua" w:eastAsia="Times New Roman" w:hAnsi="Book Antiqua" w:cs="Calibri"/>
                <w:i/>
                <w:color w:val="000000"/>
                <w:sz w:val="24"/>
                <w:szCs w:val="24"/>
              </w:rPr>
              <w:t>-</w:t>
            </w:r>
          </w:p>
        </w:tc>
        <w:tc>
          <w:tcPr>
            <w:tcW w:w="1620" w:type="dxa"/>
            <w:gridSpan w:val="2"/>
            <w:vAlign w:val="center"/>
          </w:tcPr>
          <w:p w:rsidR="00DE7BE3" w:rsidRPr="0026517E" w:rsidRDefault="00DE7BE3" w:rsidP="006702E7">
            <w:pPr>
              <w:jc w:val="center"/>
              <w:rPr>
                <w:rFonts w:ascii="Book Antiqua" w:eastAsia="Times New Roman" w:hAnsi="Book Antiqua" w:cs="Calibri"/>
                <w:color w:val="000000"/>
                <w:sz w:val="24"/>
                <w:szCs w:val="24"/>
              </w:rPr>
            </w:pPr>
            <w:r w:rsidRPr="00DE6CF3">
              <w:rPr>
                <w:rFonts w:ascii="Book Antiqua" w:eastAsia="Times New Roman" w:hAnsi="Book Antiqua" w:cs="Calibri"/>
                <w:i/>
                <w:color w:val="000000"/>
                <w:sz w:val="24"/>
                <w:szCs w:val="24"/>
              </w:rPr>
              <w:t>--mm</w:t>
            </w:r>
            <w:r>
              <w:rPr>
                <w:rFonts w:ascii="Book Antiqua" w:eastAsia="Times New Roman" w:hAnsi="Book Antiqua" w:cs="Calibri"/>
                <w:i/>
                <w:color w:val="000000"/>
                <w:sz w:val="24"/>
                <w:szCs w:val="24"/>
              </w:rPr>
              <w:t xml:space="preserve"> season</w:t>
            </w:r>
            <w:r w:rsidRPr="00DE6CF3">
              <w:rPr>
                <w:rFonts w:ascii="Book Antiqua" w:eastAsia="Times New Roman" w:hAnsi="Book Antiqua" w:cs="Calibri"/>
                <w:i/>
                <w:color w:val="000000"/>
                <w:sz w:val="24"/>
                <w:szCs w:val="24"/>
              </w:rPr>
              <w:t>--</w:t>
            </w:r>
          </w:p>
        </w:tc>
      </w:tr>
      <w:tr w:rsidR="00DE7BE3" w:rsidRPr="0005564C" w:rsidTr="006702E7">
        <w:trPr>
          <w:trHeight w:val="300"/>
        </w:trPr>
        <w:tc>
          <w:tcPr>
            <w:tcW w:w="2610" w:type="dxa"/>
            <w:gridSpan w:val="2"/>
            <w:noWrap/>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Almonds</w:t>
            </w:r>
          </w:p>
        </w:tc>
        <w:tc>
          <w:tcPr>
            <w:tcW w:w="593"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65</w:t>
            </w:r>
          </w:p>
        </w:tc>
        <w:tc>
          <w:tcPr>
            <w:tcW w:w="937"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21</w:t>
            </w:r>
          </w:p>
        </w:tc>
        <w:tc>
          <w:tcPr>
            <w:tcW w:w="576"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80</w:t>
            </w:r>
          </w:p>
        </w:tc>
        <w:tc>
          <w:tcPr>
            <w:tcW w:w="760"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275</w:t>
            </w:r>
          </w:p>
        </w:tc>
        <w:tc>
          <w:tcPr>
            <w:tcW w:w="617"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147</w:t>
            </w:r>
          </w:p>
        </w:tc>
        <w:tc>
          <w:tcPr>
            <w:tcW w:w="696" w:type="dxa"/>
            <w:gridSpan w:val="3"/>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1259</w:t>
            </w:r>
          </w:p>
        </w:tc>
        <w:tc>
          <w:tcPr>
            <w:tcW w:w="69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1406</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219</w:t>
            </w:r>
          </w:p>
        </w:tc>
        <w:tc>
          <w:tcPr>
            <w:tcW w:w="551" w:type="dxa"/>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5</w:t>
            </w:r>
          </w:p>
        </w:tc>
        <w:tc>
          <w:tcPr>
            <w:tcW w:w="573"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284</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67</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7</w:t>
            </w:r>
          </w:p>
        </w:tc>
        <w:tc>
          <w:tcPr>
            <w:tcW w:w="1131"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77</w:t>
            </w:r>
          </w:p>
        </w:tc>
        <w:tc>
          <w:tcPr>
            <w:tcW w:w="812"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15</w:t>
            </w:r>
          </w:p>
        </w:tc>
      </w:tr>
      <w:tr w:rsidR="00DE7BE3" w:rsidRPr="0005564C" w:rsidTr="006702E7">
        <w:trPr>
          <w:trHeight w:val="300"/>
        </w:trPr>
        <w:tc>
          <w:tcPr>
            <w:tcW w:w="2610" w:type="dxa"/>
            <w:gridSpan w:val="2"/>
            <w:noWrap/>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 xml:space="preserve">Alfalfa, </w:t>
            </w:r>
            <w:r w:rsidRPr="0005564C">
              <w:rPr>
                <w:rFonts w:ascii="Book Antiqua" w:eastAsia="Times New Roman" w:hAnsi="Book Antiqua" w:cs="Calibri"/>
                <w:color w:val="000000"/>
                <w:sz w:val="24"/>
                <w:szCs w:val="24"/>
              </w:rPr>
              <w:t>intermountain</w:t>
            </w:r>
          </w:p>
        </w:tc>
        <w:tc>
          <w:tcPr>
            <w:tcW w:w="593"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77</w:t>
            </w:r>
          </w:p>
        </w:tc>
        <w:tc>
          <w:tcPr>
            <w:tcW w:w="937"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13</w:t>
            </w:r>
          </w:p>
        </w:tc>
        <w:tc>
          <w:tcPr>
            <w:tcW w:w="576"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108</w:t>
            </w:r>
          </w:p>
        </w:tc>
        <w:tc>
          <w:tcPr>
            <w:tcW w:w="760"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267</w:t>
            </w:r>
          </w:p>
        </w:tc>
        <w:tc>
          <w:tcPr>
            <w:tcW w:w="617"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165</w:t>
            </w:r>
          </w:p>
        </w:tc>
        <w:tc>
          <w:tcPr>
            <w:tcW w:w="696" w:type="dxa"/>
            <w:gridSpan w:val="3"/>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816</w:t>
            </w:r>
          </w:p>
        </w:tc>
        <w:tc>
          <w:tcPr>
            <w:tcW w:w="69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982</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99</w:t>
            </w:r>
          </w:p>
        </w:tc>
        <w:tc>
          <w:tcPr>
            <w:tcW w:w="551" w:type="dxa"/>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4</w:t>
            </w:r>
          </w:p>
        </w:tc>
        <w:tc>
          <w:tcPr>
            <w:tcW w:w="573"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376</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74</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13</w:t>
            </w:r>
          </w:p>
        </w:tc>
        <w:tc>
          <w:tcPr>
            <w:tcW w:w="1131"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140</w:t>
            </w:r>
          </w:p>
        </w:tc>
        <w:tc>
          <w:tcPr>
            <w:tcW w:w="812"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29</w:t>
            </w:r>
          </w:p>
        </w:tc>
      </w:tr>
      <w:tr w:rsidR="00DE7BE3" w:rsidRPr="0005564C" w:rsidTr="006702E7">
        <w:trPr>
          <w:trHeight w:val="300"/>
        </w:trPr>
        <w:tc>
          <w:tcPr>
            <w:tcW w:w="2610" w:type="dxa"/>
            <w:gridSpan w:val="2"/>
            <w:noWrap/>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Alfalfa, I</w:t>
            </w:r>
            <w:r w:rsidRPr="0005564C">
              <w:rPr>
                <w:rFonts w:ascii="Book Antiqua" w:eastAsia="Times New Roman" w:hAnsi="Book Antiqua" w:cs="Calibri"/>
                <w:color w:val="000000"/>
                <w:sz w:val="24"/>
                <w:szCs w:val="24"/>
              </w:rPr>
              <w:t>mperial</w:t>
            </w:r>
          </w:p>
        </w:tc>
        <w:tc>
          <w:tcPr>
            <w:tcW w:w="593"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70</w:t>
            </w:r>
          </w:p>
        </w:tc>
        <w:tc>
          <w:tcPr>
            <w:tcW w:w="937"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25</w:t>
            </w:r>
          </w:p>
        </w:tc>
        <w:tc>
          <w:tcPr>
            <w:tcW w:w="576"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22</w:t>
            </w:r>
          </w:p>
        </w:tc>
        <w:tc>
          <w:tcPr>
            <w:tcW w:w="760"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347</w:t>
            </w:r>
          </w:p>
        </w:tc>
        <w:tc>
          <w:tcPr>
            <w:tcW w:w="617"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58</w:t>
            </w:r>
          </w:p>
        </w:tc>
        <w:tc>
          <w:tcPr>
            <w:tcW w:w="696" w:type="dxa"/>
            <w:gridSpan w:val="3"/>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1838</w:t>
            </w:r>
          </w:p>
        </w:tc>
        <w:tc>
          <w:tcPr>
            <w:tcW w:w="69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1896</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136</w:t>
            </w:r>
          </w:p>
        </w:tc>
        <w:tc>
          <w:tcPr>
            <w:tcW w:w="551" w:type="dxa"/>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4</w:t>
            </w:r>
          </w:p>
        </w:tc>
        <w:tc>
          <w:tcPr>
            <w:tcW w:w="573"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64</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5</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32</w:t>
            </w:r>
          </w:p>
        </w:tc>
        <w:tc>
          <w:tcPr>
            <w:tcW w:w="1131"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0</w:t>
            </w:r>
          </w:p>
        </w:tc>
        <w:tc>
          <w:tcPr>
            <w:tcW w:w="812"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w:t>
            </w:r>
          </w:p>
        </w:tc>
      </w:tr>
      <w:tr w:rsidR="00DE7BE3" w:rsidRPr="0005564C" w:rsidTr="006702E7">
        <w:trPr>
          <w:trHeight w:val="300"/>
        </w:trPr>
        <w:tc>
          <w:tcPr>
            <w:tcW w:w="2610" w:type="dxa"/>
            <w:gridSpan w:val="2"/>
            <w:noWrap/>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 xml:space="preserve">Alfalfa, </w:t>
            </w:r>
            <w:r w:rsidRPr="0005564C">
              <w:rPr>
                <w:rFonts w:ascii="Book Antiqua" w:eastAsia="Times New Roman" w:hAnsi="Book Antiqua" w:cs="Calibri"/>
                <w:color w:val="000000"/>
                <w:sz w:val="24"/>
                <w:szCs w:val="24"/>
              </w:rPr>
              <w:t>CV</w:t>
            </w:r>
          </w:p>
        </w:tc>
        <w:tc>
          <w:tcPr>
            <w:tcW w:w="593"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67</w:t>
            </w:r>
          </w:p>
        </w:tc>
        <w:tc>
          <w:tcPr>
            <w:tcW w:w="937"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18</w:t>
            </w:r>
          </w:p>
        </w:tc>
        <w:tc>
          <w:tcPr>
            <w:tcW w:w="576"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65</w:t>
            </w:r>
          </w:p>
        </w:tc>
        <w:tc>
          <w:tcPr>
            <w:tcW w:w="760"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279</w:t>
            </w:r>
          </w:p>
        </w:tc>
        <w:tc>
          <w:tcPr>
            <w:tcW w:w="617"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223</w:t>
            </w:r>
          </w:p>
        </w:tc>
        <w:tc>
          <w:tcPr>
            <w:tcW w:w="696" w:type="dxa"/>
            <w:gridSpan w:val="3"/>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1167</w:t>
            </w:r>
          </w:p>
        </w:tc>
        <w:tc>
          <w:tcPr>
            <w:tcW w:w="69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1390</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101</w:t>
            </w:r>
          </w:p>
        </w:tc>
        <w:tc>
          <w:tcPr>
            <w:tcW w:w="551" w:type="dxa"/>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12</w:t>
            </w:r>
          </w:p>
        </w:tc>
        <w:tc>
          <w:tcPr>
            <w:tcW w:w="573"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279</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64</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39</w:t>
            </w:r>
          </w:p>
        </w:tc>
        <w:tc>
          <w:tcPr>
            <w:tcW w:w="1131"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0</w:t>
            </w:r>
          </w:p>
        </w:tc>
        <w:tc>
          <w:tcPr>
            <w:tcW w:w="812"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14</w:t>
            </w:r>
          </w:p>
        </w:tc>
      </w:tr>
      <w:tr w:rsidR="00DE7BE3" w:rsidRPr="0005564C" w:rsidTr="006702E7">
        <w:trPr>
          <w:trHeight w:val="300"/>
        </w:trPr>
        <w:tc>
          <w:tcPr>
            <w:tcW w:w="2610" w:type="dxa"/>
            <w:gridSpan w:val="2"/>
            <w:noWrap/>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Walnuts</w:t>
            </w:r>
          </w:p>
        </w:tc>
        <w:tc>
          <w:tcPr>
            <w:tcW w:w="593"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73</w:t>
            </w:r>
          </w:p>
        </w:tc>
        <w:tc>
          <w:tcPr>
            <w:tcW w:w="937"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17</w:t>
            </w:r>
          </w:p>
        </w:tc>
        <w:tc>
          <w:tcPr>
            <w:tcW w:w="576"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111</w:t>
            </w:r>
          </w:p>
        </w:tc>
        <w:tc>
          <w:tcPr>
            <w:tcW w:w="760"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268</w:t>
            </w:r>
          </w:p>
        </w:tc>
        <w:tc>
          <w:tcPr>
            <w:tcW w:w="617"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137</w:t>
            </w:r>
          </w:p>
        </w:tc>
        <w:tc>
          <w:tcPr>
            <w:tcW w:w="696" w:type="dxa"/>
            <w:gridSpan w:val="3"/>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1158</w:t>
            </w:r>
          </w:p>
        </w:tc>
        <w:tc>
          <w:tcPr>
            <w:tcW w:w="69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1295</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196</w:t>
            </w:r>
          </w:p>
        </w:tc>
        <w:tc>
          <w:tcPr>
            <w:tcW w:w="551" w:type="dxa"/>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w:t>
            </w:r>
          </w:p>
        </w:tc>
        <w:tc>
          <w:tcPr>
            <w:tcW w:w="573"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424</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141</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10</w:t>
            </w:r>
          </w:p>
        </w:tc>
        <w:tc>
          <w:tcPr>
            <w:tcW w:w="1131"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153</w:t>
            </w:r>
          </w:p>
        </w:tc>
        <w:tc>
          <w:tcPr>
            <w:tcW w:w="812"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35</w:t>
            </w:r>
          </w:p>
        </w:tc>
      </w:tr>
      <w:tr w:rsidR="00DE7BE3" w:rsidRPr="0005564C" w:rsidTr="006702E7">
        <w:trPr>
          <w:trHeight w:val="300"/>
        </w:trPr>
        <w:tc>
          <w:tcPr>
            <w:tcW w:w="2610" w:type="dxa"/>
            <w:gridSpan w:val="2"/>
            <w:noWrap/>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lastRenderedPageBreak/>
              <w:t>P</w:t>
            </w:r>
            <w:r w:rsidRPr="0005564C">
              <w:rPr>
                <w:rFonts w:ascii="Book Antiqua" w:eastAsia="Times New Roman" w:hAnsi="Book Antiqua" w:cs="Calibri"/>
                <w:color w:val="000000"/>
                <w:sz w:val="24"/>
                <w:szCs w:val="24"/>
              </w:rPr>
              <w:t>istachios</w:t>
            </w:r>
          </w:p>
        </w:tc>
        <w:tc>
          <w:tcPr>
            <w:tcW w:w="593"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65</w:t>
            </w:r>
          </w:p>
        </w:tc>
        <w:tc>
          <w:tcPr>
            <w:tcW w:w="937"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19</w:t>
            </w:r>
          </w:p>
        </w:tc>
        <w:tc>
          <w:tcPr>
            <w:tcW w:w="576"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116</w:t>
            </w:r>
          </w:p>
        </w:tc>
        <w:tc>
          <w:tcPr>
            <w:tcW w:w="760"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279</w:t>
            </w:r>
          </w:p>
        </w:tc>
        <w:tc>
          <w:tcPr>
            <w:tcW w:w="617"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25</w:t>
            </w:r>
          </w:p>
        </w:tc>
        <w:tc>
          <w:tcPr>
            <w:tcW w:w="696" w:type="dxa"/>
            <w:gridSpan w:val="3"/>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1207</w:t>
            </w:r>
          </w:p>
        </w:tc>
        <w:tc>
          <w:tcPr>
            <w:tcW w:w="69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1232</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183</w:t>
            </w:r>
          </w:p>
        </w:tc>
        <w:tc>
          <w:tcPr>
            <w:tcW w:w="551" w:type="dxa"/>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w:t>
            </w:r>
          </w:p>
        </w:tc>
        <w:tc>
          <w:tcPr>
            <w:tcW w:w="573"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197</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25</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17</w:t>
            </w:r>
          </w:p>
        </w:tc>
        <w:tc>
          <w:tcPr>
            <w:tcW w:w="1131"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154</w:t>
            </w:r>
          </w:p>
        </w:tc>
        <w:tc>
          <w:tcPr>
            <w:tcW w:w="812"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6</w:t>
            </w:r>
          </w:p>
        </w:tc>
      </w:tr>
      <w:tr w:rsidR="00DE7BE3" w:rsidRPr="0005564C" w:rsidTr="006702E7">
        <w:trPr>
          <w:trHeight w:val="300"/>
        </w:trPr>
        <w:tc>
          <w:tcPr>
            <w:tcW w:w="2610" w:type="dxa"/>
            <w:gridSpan w:val="2"/>
            <w:noWrap/>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Grapes, CV</w:t>
            </w:r>
          </w:p>
        </w:tc>
        <w:tc>
          <w:tcPr>
            <w:tcW w:w="593"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62</w:t>
            </w:r>
          </w:p>
        </w:tc>
        <w:tc>
          <w:tcPr>
            <w:tcW w:w="937"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21</w:t>
            </w:r>
          </w:p>
        </w:tc>
        <w:tc>
          <w:tcPr>
            <w:tcW w:w="576"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93</w:t>
            </w:r>
          </w:p>
        </w:tc>
        <w:tc>
          <w:tcPr>
            <w:tcW w:w="760"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273</w:t>
            </w:r>
          </w:p>
        </w:tc>
        <w:tc>
          <w:tcPr>
            <w:tcW w:w="617"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82</w:t>
            </w:r>
          </w:p>
        </w:tc>
        <w:tc>
          <w:tcPr>
            <w:tcW w:w="696" w:type="dxa"/>
            <w:gridSpan w:val="3"/>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1272</w:t>
            </w:r>
          </w:p>
        </w:tc>
        <w:tc>
          <w:tcPr>
            <w:tcW w:w="69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1354</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174</w:t>
            </w:r>
          </w:p>
        </w:tc>
        <w:tc>
          <w:tcPr>
            <w:tcW w:w="551" w:type="dxa"/>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4</w:t>
            </w:r>
          </w:p>
        </w:tc>
        <w:tc>
          <w:tcPr>
            <w:tcW w:w="573"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264</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54</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6</w:t>
            </w:r>
          </w:p>
        </w:tc>
        <w:tc>
          <w:tcPr>
            <w:tcW w:w="1131"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134</w:t>
            </w:r>
          </w:p>
        </w:tc>
        <w:tc>
          <w:tcPr>
            <w:tcW w:w="812"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12</w:t>
            </w:r>
          </w:p>
        </w:tc>
      </w:tr>
      <w:tr w:rsidR="00DE7BE3" w:rsidRPr="0005564C" w:rsidTr="006702E7">
        <w:trPr>
          <w:trHeight w:val="300"/>
        </w:trPr>
        <w:tc>
          <w:tcPr>
            <w:tcW w:w="2610" w:type="dxa"/>
            <w:gridSpan w:val="2"/>
            <w:noWrap/>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 xml:space="preserve">Grapes, </w:t>
            </w:r>
            <w:r w:rsidRPr="0005564C">
              <w:rPr>
                <w:rFonts w:ascii="Book Antiqua" w:eastAsia="Times New Roman" w:hAnsi="Book Antiqua" w:cs="Calibri"/>
                <w:color w:val="000000"/>
                <w:sz w:val="24"/>
                <w:szCs w:val="24"/>
              </w:rPr>
              <w:t>wine</w:t>
            </w:r>
          </w:p>
        </w:tc>
        <w:tc>
          <w:tcPr>
            <w:tcW w:w="593"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66</w:t>
            </w:r>
          </w:p>
        </w:tc>
        <w:tc>
          <w:tcPr>
            <w:tcW w:w="937"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15</w:t>
            </w:r>
          </w:p>
        </w:tc>
        <w:tc>
          <w:tcPr>
            <w:tcW w:w="576"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134</w:t>
            </w:r>
          </w:p>
        </w:tc>
        <w:tc>
          <w:tcPr>
            <w:tcW w:w="760"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265</w:t>
            </w:r>
          </w:p>
        </w:tc>
        <w:tc>
          <w:tcPr>
            <w:tcW w:w="617"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147</w:t>
            </w:r>
          </w:p>
        </w:tc>
        <w:tc>
          <w:tcPr>
            <w:tcW w:w="696" w:type="dxa"/>
            <w:gridSpan w:val="3"/>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506</w:t>
            </w:r>
          </w:p>
        </w:tc>
        <w:tc>
          <w:tcPr>
            <w:tcW w:w="69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653</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184</w:t>
            </w:r>
          </w:p>
        </w:tc>
        <w:tc>
          <w:tcPr>
            <w:tcW w:w="551" w:type="dxa"/>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w:t>
            </w:r>
          </w:p>
        </w:tc>
        <w:tc>
          <w:tcPr>
            <w:tcW w:w="573"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599</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298</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159</w:t>
            </w:r>
          </w:p>
        </w:tc>
        <w:tc>
          <w:tcPr>
            <w:tcW w:w="1131"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159</w:t>
            </w:r>
          </w:p>
        </w:tc>
        <w:tc>
          <w:tcPr>
            <w:tcW w:w="812" w:type="dxa"/>
            <w:gridSpan w:val="2"/>
            <w:vAlign w:val="bottom"/>
          </w:tcPr>
          <w:p w:rsidR="00DE7BE3" w:rsidRPr="005427B8" w:rsidRDefault="00DE7BE3" w:rsidP="006702E7">
            <w:pPr>
              <w:jc w:val="center"/>
              <w:rPr>
                <w:rFonts w:ascii="Book Antiqua" w:hAnsi="Book Antiqua" w:cs="Calibri"/>
                <w:color w:val="000000"/>
                <w:sz w:val="24"/>
                <w:szCs w:val="24"/>
              </w:rPr>
            </w:pPr>
            <w:r w:rsidRPr="0030704B">
              <w:rPr>
                <w:rFonts w:ascii="Book Antiqua" w:hAnsi="Book Antiqua" w:cs="Calibri"/>
                <w:color w:val="000000"/>
                <w:sz w:val="24"/>
                <w:szCs w:val="24"/>
              </w:rPr>
              <w:t>89</w:t>
            </w:r>
          </w:p>
        </w:tc>
      </w:tr>
    </w:tbl>
    <w:p w:rsidR="00DE7BE3" w:rsidRDefault="00DE7BE3" w:rsidP="00DE7BE3">
      <w:pPr>
        <w:pStyle w:val="ListParagraph"/>
        <w:spacing w:after="0" w:line="240" w:lineRule="auto"/>
        <w:ind w:left="0"/>
        <w:rPr>
          <w:rFonts w:ascii="Book Antiqua" w:hAnsi="Book Antiqua"/>
          <w:b/>
          <w:sz w:val="24"/>
          <w:szCs w:val="24"/>
        </w:rPr>
      </w:pPr>
    </w:p>
    <w:p w:rsidR="00DE7BE3" w:rsidRDefault="00DE7BE3" w:rsidP="00DE7BE3">
      <w:pPr>
        <w:pStyle w:val="ListParagraph"/>
        <w:spacing w:after="0" w:line="240" w:lineRule="auto"/>
        <w:ind w:left="0"/>
        <w:rPr>
          <w:rFonts w:ascii="Book Antiqua" w:hAnsi="Book Antiqua"/>
          <w:b/>
          <w:sz w:val="24"/>
          <w:szCs w:val="24"/>
        </w:rPr>
      </w:pPr>
    </w:p>
    <w:p w:rsidR="00DE7BE3" w:rsidRDefault="00DE7BE3" w:rsidP="00DE7BE3">
      <w:pPr>
        <w:pStyle w:val="ListParagraph"/>
        <w:spacing w:after="0" w:line="240" w:lineRule="auto"/>
        <w:ind w:left="0"/>
        <w:rPr>
          <w:rFonts w:ascii="Book Antiqua" w:hAnsi="Book Antiqua"/>
          <w:b/>
          <w:sz w:val="24"/>
          <w:szCs w:val="24"/>
        </w:rPr>
      </w:pPr>
      <w:r>
        <w:rPr>
          <w:rFonts w:ascii="Book Antiqua" w:hAnsi="Book Antiqua"/>
          <w:b/>
          <w:sz w:val="24"/>
          <w:szCs w:val="24"/>
        </w:rPr>
        <w:t xml:space="preserve">Table 5. </w:t>
      </w:r>
      <w:r w:rsidRPr="0049295A">
        <w:rPr>
          <w:rFonts w:ascii="Book Antiqua" w:hAnsi="Book Antiqua"/>
          <w:sz w:val="24"/>
          <w:szCs w:val="24"/>
        </w:rPr>
        <w:t>Water balance details</w:t>
      </w:r>
      <w:r>
        <w:rPr>
          <w:rFonts w:ascii="Book Antiqua" w:hAnsi="Book Antiqua"/>
          <w:sz w:val="24"/>
          <w:szCs w:val="24"/>
        </w:rPr>
        <w:t xml:space="preserve"> (mm)</w:t>
      </w:r>
      <w:r w:rsidRPr="0049295A">
        <w:rPr>
          <w:rFonts w:ascii="Book Antiqua" w:hAnsi="Book Antiqua"/>
          <w:sz w:val="24"/>
          <w:szCs w:val="24"/>
        </w:rPr>
        <w:t xml:space="preserve"> by crop for 2.0 m root depth and 50% allowable depletion scenario</w:t>
      </w:r>
    </w:p>
    <w:tbl>
      <w:tblPr>
        <w:tblStyle w:val="PlainTable2"/>
        <w:tblW w:w="12160" w:type="dxa"/>
        <w:tblLook w:val="0620" w:firstRow="1" w:lastRow="0" w:firstColumn="0" w:lastColumn="0" w:noHBand="1" w:noVBand="1"/>
      </w:tblPr>
      <w:tblGrid>
        <w:gridCol w:w="2512"/>
        <w:gridCol w:w="98"/>
        <w:gridCol w:w="505"/>
        <w:gridCol w:w="88"/>
        <w:gridCol w:w="792"/>
        <w:gridCol w:w="145"/>
        <w:gridCol w:w="269"/>
        <w:gridCol w:w="307"/>
        <w:gridCol w:w="90"/>
        <w:gridCol w:w="670"/>
        <w:gridCol w:w="656"/>
        <w:gridCol w:w="648"/>
        <w:gridCol w:w="48"/>
        <w:gridCol w:w="697"/>
        <w:gridCol w:w="576"/>
        <w:gridCol w:w="507"/>
        <w:gridCol w:w="88"/>
        <w:gridCol w:w="189"/>
        <w:gridCol w:w="299"/>
        <w:gridCol w:w="7"/>
        <w:gridCol w:w="569"/>
        <w:gridCol w:w="7"/>
        <w:gridCol w:w="569"/>
        <w:gridCol w:w="7"/>
        <w:gridCol w:w="143"/>
        <w:gridCol w:w="981"/>
        <w:gridCol w:w="7"/>
        <w:gridCol w:w="632"/>
        <w:gridCol w:w="173"/>
        <w:gridCol w:w="7"/>
      </w:tblGrid>
      <w:tr w:rsidR="00DE7BE3" w:rsidRPr="0005564C" w:rsidTr="006702E7">
        <w:trPr>
          <w:cnfStyle w:val="100000000000" w:firstRow="1" w:lastRow="0" w:firstColumn="0" w:lastColumn="0" w:oddVBand="0" w:evenVBand="0" w:oddHBand="0" w:evenHBand="0" w:firstRowFirstColumn="0" w:firstRowLastColumn="0" w:lastRowFirstColumn="0" w:lastRowLastColumn="0"/>
          <w:trHeight w:val="300"/>
        </w:trPr>
        <w:tc>
          <w:tcPr>
            <w:tcW w:w="2512" w:type="dxa"/>
            <w:noWrap/>
            <w:vAlign w:val="center"/>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Crop</w:t>
            </w:r>
          </w:p>
        </w:tc>
        <w:tc>
          <w:tcPr>
            <w:tcW w:w="603" w:type="dxa"/>
            <w:gridSpan w:val="2"/>
            <w:vAlign w:val="center"/>
          </w:tcPr>
          <w:p w:rsidR="00DE7BE3" w:rsidRPr="0026517E" w:rsidRDefault="00DE7BE3" w:rsidP="006702E7">
            <w:pPr>
              <w:jc w:val="center"/>
              <w:rPr>
                <w:rFonts w:ascii="Book Antiqua" w:eastAsia="Times New Roman" w:hAnsi="Book Antiqua" w:cs="Calibri"/>
                <w:color w:val="000000"/>
                <w:sz w:val="24"/>
                <w:szCs w:val="24"/>
              </w:rPr>
            </w:pPr>
            <w:r>
              <w:rPr>
                <w:rFonts w:ascii="Book Antiqua" w:eastAsia="Times New Roman" w:hAnsi="Book Antiqua" w:cs="Calibri"/>
                <w:color w:val="000000"/>
                <w:sz w:val="24"/>
                <w:szCs w:val="24"/>
              </w:rPr>
              <w:t>AD</w:t>
            </w:r>
          </w:p>
        </w:tc>
        <w:tc>
          <w:tcPr>
            <w:tcW w:w="880" w:type="dxa"/>
            <w:gridSpan w:val="2"/>
            <w:vAlign w:val="center"/>
          </w:tcPr>
          <w:p w:rsidR="00DE7BE3" w:rsidRPr="007C63F3" w:rsidRDefault="00DE7BE3" w:rsidP="006702E7">
            <w:pPr>
              <w:jc w:val="center"/>
              <w:rPr>
                <w:rFonts w:ascii="Book Antiqua" w:eastAsia="Times New Roman" w:hAnsi="Book Antiqua" w:cs="Calibri"/>
                <w:b w:val="0"/>
                <w:color w:val="000000"/>
                <w:sz w:val="24"/>
                <w:szCs w:val="24"/>
              </w:rPr>
            </w:pPr>
            <w:r w:rsidRPr="007C63F3">
              <w:rPr>
                <w:rFonts w:ascii="Book Antiqua" w:eastAsia="Times New Roman" w:hAnsi="Book Antiqua" w:cs="Calibri"/>
                <w:b w:val="0"/>
                <w:color w:val="000000"/>
                <w:sz w:val="24"/>
                <w:szCs w:val="24"/>
              </w:rPr>
              <w:t>Irr Count</w:t>
            </w:r>
          </w:p>
        </w:tc>
        <w:tc>
          <w:tcPr>
            <w:tcW w:w="811" w:type="dxa"/>
            <w:gridSpan w:val="4"/>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First irr.</w:t>
            </w:r>
          </w:p>
        </w:tc>
        <w:tc>
          <w:tcPr>
            <w:tcW w:w="670"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Last irr</w:t>
            </w:r>
          </w:p>
        </w:tc>
        <w:tc>
          <w:tcPr>
            <w:tcW w:w="65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GW</w:t>
            </w:r>
          </w:p>
        </w:tc>
        <w:tc>
          <w:tcPr>
            <w:tcW w:w="648"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Irr</w:t>
            </w:r>
          </w:p>
        </w:tc>
        <w:tc>
          <w:tcPr>
            <w:tcW w:w="745"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ET</w:t>
            </w:r>
          </w:p>
        </w:tc>
        <w:tc>
          <w:tcPr>
            <w:tcW w:w="576" w:type="dxa"/>
            <w:noWrap/>
            <w:vAlign w:val="center"/>
            <w:hideMark/>
          </w:tcPr>
          <w:p w:rsidR="00DE7BE3" w:rsidRPr="0005564C" w:rsidRDefault="00DE7BE3" w:rsidP="006702E7">
            <w:pPr>
              <w:jc w:val="center"/>
              <w:rPr>
                <w:rFonts w:ascii="Book Antiqua" w:eastAsia="Times New Roman" w:hAnsi="Book Antiqua" w:cs="Calibri"/>
                <w:color w:val="000000"/>
                <w:sz w:val="24"/>
                <w:szCs w:val="24"/>
                <w:vertAlign w:val="subscript"/>
              </w:rPr>
            </w:pPr>
            <w:r w:rsidRPr="0026517E">
              <w:rPr>
                <w:rFonts w:ascii="Book Antiqua" w:eastAsia="Times New Roman" w:hAnsi="Book Antiqua" w:cs="Calibri"/>
                <w:color w:val="000000"/>
                <w:sz w:val="24"/>
                <w:szCs w:val="24"/>
              </w:rPr>
              <w:t>E</w:t>
            </w:r>
          </w:p>
        </w:tc>
        <w:tc>
          <w:tcPr>
            <w:tcW w:w="539" w:type="dxa"/>
            <w:gridSpan w:val="2"/>
            <w:vAlign w:val="center"/>
          </w:tcPr>
          <w:p w:rsidR="00DE7BE3" w:rsidRPr="0026517E" w:rsidRDefault="00DE7BE3" w:rsidP="006702E7">
            <w:pPr>
              <w:jc w:val="center"/>
              <w:rPr>
                <w:rFonts w:ascii="Book Antiqua" w:eastAsia="Times New Roman" w:hAnsi="Book Antiqua" w:cs="Calibri"/>
                <w:color w:val="000000"/>
                <w:sz w:val="24"/>
                <w:szCs w:val="24"/>
              </w:rPr>
            </w:pPr>
            <w:r>
              <w:rPr>
                <w:rFonts w:ascii="Book Antiqua" w:eastAsia="Times New Roman" w:hAnsi="Book Antiqua" w:cs="Calibri"/>
                <w:color w:val="000000"/>
                <w:sz w:val="24"/>
                <w:szCs w:val="24"/>
              </w:rPr>
              <w:t>DP</w:t>
            </w:r>
          </w:p>
        </w:tc>
        <w:tc>
          <w:tcPr>
            <w:tcW w:w="425" w:type="dxa"/>
            <w:gridSpan w:val="3"/>
            <w:vAlign w:val="center"/>
          </w:tcPr>
          <w:p w:rsidR="00DE7BE3" w:rsidRPr="0026517E" w:rsidRDefault="00DE7BE3" w:rsidP="006702E7">
            <w:pPr>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P</w:t>
            </w:r>
          </w:p>
        </w:tc>
        <w:tc>
          <w:tcPr>
            <w:tcW w:w="576" w:type="dxa"/>
            <w:gridSpan w:val="2"/>
            <w:noWrap/>
            <w:vAlign w:val="center"/>
            <w:hideMark/>
          </w:tcPr>
          <w:p w:rsidR="00DE7BE3" w:rsidRPr="0005564C" w:rsidRDefault="00DE7BE3" w:rsidP="006702E7">
            <w:pPr>
              <w:ind w:hanging="105"/>
              <w:jc w:val="center"/>
              <w:rPr>
                <w:rFonts w:ascii="Book Antiqua" w:eastAsia="Times New Roman" w:hAnsi="Book Antiqua" w:cs="Calibri"/>
                <w:color w:val="000000"/>
                <w:sz w:val="24"/>
                <w:szCs w:val="24"/>
                <w:vertAlign w:val="subscript"/>
              </w:rPr>
            </w:pPr>
            <w:r w:rsidRPr="0026517E">
              <w:rPr>
                <w:rFonts w:ascii="Book Antiqua" w:eastAsia="Times New Roman" w:hAnsi="Book Antiqua" w:cs="Calibri"/>
                <w:color w:val="000000"/>
                <w:sz w:val="24"/>
                <w:szCs w:val="24"/>
              </w:rPr>
              <w:t>DP</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CS</w:t>
            </w:r>
          </w:p>
        </w:tc>
        <w:tc>
          <w:tcPr>
            <w:tcW w:w="1131" w:type="dxa"/>
            <w:gridSpan w:val="3"/>
            <w:noWrap/>
            <w:vAlign w:val="center"/>
            <w:hideMark/>
          </w:tcPr>
          <w:p w:rsidR="00DE7BE3" w:rsidRPr="0005564C" w:rsidRDefault="00DE7BE3" w:rsidP="006702E7">
            <w:pPr>
              <w:ind w:left="-105" w:right="-60"/>
              <w:jc w:val="center"/>
              <w:rPr>
                <w:rFonts w:ascii="Book Antiqua" w:eastAsia="Times New Roman" w:hAnsi="Book Antiqua" w:cs="Calibri"/>
                <w:color w:val="000000"/>
                <w:sz w:val="24"/>
                <w:szCs w:val="24"/>
                <w:vertAlign w:val="subscript"/>
              </w:rPr>
            </w:pPr>
            <w:proofErr w:type="spellStart"/>
            <w:r w:rsidRPr="0005564C">
              <w:rPr>
                <w:rFonts w:ascii="Book Antiqua" w:eastAsia="Times New Roman" w:hAnsi="Book Antiqua" w:cs="Calibri"/>
                <w:color w:val="000000"/>
                <w:sz w:val="24"/>
                <w:szCs w:val="24"/>
              </w:rPr>
              <w:t>ET</w:t>
            </w:r>
            <w:r>
              <w:rPr>
                <w:rFonts w:ascii="Book Antiqua" w:eastAsia="Times New Roman" w:hAnsi="Book Antiqua" w:cs="Calibri"/>
                <w:color w:val="000000"/>
                <w:sz w:val="24"/>
                <w:szCs w:val="24"/>
                <w:vertAlign w:val="subscript"/>
              </w:rPr>
              <w:t>dormant</w:t>
            </w:r>
            <w:proofErr w:type="spellEnd"/>
          </w:p>
        </w:tc>
        <w:tc>
          <w:tcPr>
            <w:tcW w:w="812" w:type="dxa"/>
            <w:gridSpan w:val="3"/>
            <w:vAlign w:val="center"/>
          </w:tcPr>
          <w:p w:rsidR="00DE7BE3" w:rsidRPr="00DE6CF3" w:rsidRDefault="00DE7BE3" w:rsidP="006702E7">
            <w:pPr>
              <w:jc w:val="center"/>
              <w:rPr>
                <w:rFonts w:ascii="Book Antiqua" w:eastAsia="Times New Roman" w:hAnsi="Book Antiqua" w:cs="Calibri"/>
                <w:color w:val="000000"/>
                <w:sz w:val="24"/>
                <w:szCs w:val="24"/>
              </w:rPr>
            </w:pPr>
            <w:proofErr w:type="spellStart"/>
            <w:r>
              <w:rPr>
                <w:rFonts w:ascii="Book Antiqua" w:eastAsia="Times New Roman" w:hAnsi="Book Antiqua" w:cs="Calibri"/>
                <w:color w:val="000000"/>
                <w:sz w:val="24"/>
                <w:szCs w:val="24"/>
              </w:rPr>
              <w:t>DP</w:t>
            </w:r>
            <w:r>
              <w:rPr>
                <w:rFonts w:ascii="Book Antiqua" w:eastAsia="Times New Roman" w:hAnsi="Book Antiqua" w:cs="Calibri"/>
                <w:color w:val="000000"/>
                <w:sz w:val="24"/>
                <w:szCs w:val="24"/>
                <w:vertAlign w:val="subscript"/>
              </w:rPr>
              <w:t>fall</w:t>
            </w:r>
            <w:proofErr w:type="spellEnd"/>
          </w:p>
        </w:tc>
      </w:tr>
      <w:tr w:rsidR="00DE7BE3" w:rsidRPr="0005564C" w:rsidTr="006702E7">
        <w:trPr>
          <w:gridAfter w:val="2"/>
          <w:wAfter w:w="180" w:type="dxa"/>
          <w:trHeight w:val="300"/>
        </w:trPr>
        <w:tc>
          <w:tcPr>
            <w:tcW w:w="2512" w:type="dxa"/>
            <w:noWrap/>
          </w:tcPr>
          <w:p w:rsidR="00DE7BE3" w:rsidRPr="0026517E" w:rsidRDefault="00DE7BE3" w:rsidP="006702E7">
            <w:pPr>
              <w:rPr>
                <w:rFonts w:ascii="Book Antiqua" w:eastAsia="Times New Roman" w:hAnsi="Book Antiqua" w:cs="Calibri"/>
                <w:color w:val="000000"/>
                <w:sz w:val="24"/>
                <w:szCs w:val="24"/>
              </w:rPr>
            </w:pPr>
          </w:p>
        </w:tc>
        <w:tc>
          <w:tcPr>
            <w:tcW w:w="603" w:type="dxa"/>
            <w:gridSpan w:val="2"/>
          </w:tcPr>
          <w:p w:rsidR="00DE7BE3" w:rsidRPr="00DE6CF3" w:rsidRDefault="00DE7BE3" w:rsidP="006702E7">
            <w:pPr>
              <w:ind w:right="-135"/>
              <w:jc w:val="center"/>
              <w:rPr>
                <w:rFonts w:ascii="Book Antiqua" w:eastAsia="Times New Roman" w:hAnsi="Book Antiqua" w:cs="Calibri"/>
                <w:i/>
                <w:color w:val="000000"/>
                <w:sz w:val="24"/>
                <w:szCs w:val="24"/>
              </w:rPr>
            </w:pPr>
            <w:r w:rsidRPr="00DE6CF3">
              <w:rPr>
                <w:rFonts w:ascii="Book Antiqua" w:eastAsia="Times New Roman" w:hAnsi="Book Antiqua" w:cs="Calibri"/>
                <w:i/>
                <w:color w:val="000000"/>
                <w:sz w:val="24"/>
                <w:szCs w:val="24"/>
              </w:rPr>
              <w:t>mm</w:t>
            </w:r>
          </w:p>
        </w:tc>
        <w:tc>
          <w:tcPr>
            <w:tcW w:w="1294" w:type="dxa"/>
            <w:gridSpan w:val="4"/>
            <w:vAlign w:val="center"/>
          </w:tcPr>
          <w:p w:rsidR="00DE7BE3" w:rsidRPr="007C63F3" w:rsidRDefault="00DE7BE3" w:rsidP="006702E7">
            <w:pPr>
              <w:jc w:val="center"/>
              <w:rPr>
                <w:rFonts w:ascii="Book Antiqua" w:eastAsia="Times New Roman" w:hAnsi="Book Antiqua" w:cs="Calibri"/>
                <w:i/>
                <w:color w:val="000000"/>
                <w:sz w:val="24"/>
                <w:szCs w:val="24"/>
                <w:vertAlign w:val="superscript"/>
              </w:rPr>
            </w:pPr>
            <w:r w:rsidRPr="007C63F3">
              <w:rPr>
                <w:rFonts w:ascii="Book Antiqua" w:eastAsia="Times New Roman" w:hAnsi="Book Antiqua" w:cs="Calibri"/>
                <w:i/>
                <w:color w:val="000000"/>
                <w:sz w:val="24"/>
                <w:szCs w:val="24"/>
              </w:rPr>
              <w:t>Days</w:t>
            </w:r>
            <w:r>
              <w:rPr>
                <w:rFonts w:ascii="Book Antiqua" w:eastAsia="Times New Roman" w:hAnsi="Book Antiqua" w:cs="Calibri"/>
                <w:i/>
                <w:color w:val="000000"/>
                <w:sz w:val="24"/>
                <w:szCs w:val="24"/>
              </w:rPr>
              <w:t xml:space="preserve"> yr</w:t>
            </w:r>
            <w:r>
              <w:rPr>
                <w:rFonts w:ascii="Book Antiqua" w:eastAsia="Times New Roman" w:hAnsi="Book Antiqua" w:cs="Calibri"/>
                <w:i/>
                <w:color w:val="000000"/>
                <w:sz w:val="24"/>
                <w:szCs w:val="24"/>
                <w:vertAlign w:val="superscript"/>
              </w:rPr>
              <w:t>-1</w:t>
            </w:r>
          </w:p>
        </w:tc>
        <w:tc>
          <w:tcPr>
            <w:tcW w:w="1067" w:type="dxa"/>
            <w:gridSpan w:val="3"/>
            <w:noWrap/>
            <w:vAlign w:val="center"/>
          </w:tcPr>
          <w:p w:rsidR="00DE7BE3" w:rsidRPr="00DE6CF3" w:rsidRDefault="00DE7BE3" w:rsidP="006702E7">
            <w:pPr>
              <w:jc w:val="center"/>
              <w:rPr>
                <w:rFonts w:ascii="Book Antiqua" w:eastAsia="Times New Roman" w:hAnsi="Book Antiqua" w:cs="Calibri"/>
                <w:i/>
                <w:color w:val="000000"/>
                <w:sz w:val="24"/>
                <w:szCs w:val="24"/>
              </w:rPr>
            </w:pPr>
            <w:r w:rsidRPr="00DE6CF3">
              <w:rPr>
                <w:rFonts w:ascii="Book Antiqua" w:eastAsia="Times New Roman" w:hAnsi="Book Antiqua" w:cs="Calibri"/>
                <w:i/>
                <w:color w:val="000000"/>
                <w:sz w:val="24"/>
                <w:szCs w:val="24"/>
              </w:rPr>
              <w:t>--</w:t>
            </w:r>
            <w:proofErr w:type="spellStart"/>
            <w:r w:rsidRPr="00DE6CF3">
              <w:rPr>
                <w:rFonts w:ascii="Book Antiqua" w:eastAsia="Times New Roman" w:hAnsi="Book Antiqua" w:cs="Calibri"/>
                <w:i/>
                <w:color w:val="000000"/>
                <w:sz w:val="24"/>
                <w:szCs w:val="24"/>
              </w:rPr>
              <w:t>doy</w:t>
            </w:r>
            <w:proofErr w:type="spellEnd"/>
            <w:r w:rsidRPr="00DE6CF3">
              <w:rPr>
                <w:rFonts w:ascii="Book Antiqua" w:eastAsia="Times New Roman" w:hAnsi="Book Antiqua" w:cs="Calibri"/>
                <w:i/>
                <w:color w:val="000000"/>
                <w:sz w:val="24"/>
                <w:szCs w:val="24"/>
              </w:rPr>
              <w:t>--</w:t>
            </w:r>
          </w:p>
        </w:tc>
        <w:tc>
          <w:tcPr>
            <w:tcW w:w="3314" w:type="dxa"/>
            <w:gridSpan w:val="8"/>
            <w:vAlign w:val="center"/>
          </w:tcPr>
          <w:p w:rsidR="00DE7BE3" w:rsidRPr="00DE6CF3" w:rsidRDefault="00DE7BE3" w:rsidP="006702E7">
            <w:pPr>
              <w:jc w:val="center"/>
              <w:rPr>
                <w:rFonts w:ascii="Book Antiqua" w:eastAsia="Times New Roman" w:hAnsi="Book Antiqua" w:cs="Calibri"/>
                <w:i/>
                <w:color w:val="000000"/>
                <w:sz w:val="24"/>
                <w:szCs w:val="24"/>
              </w:rPr>
            </w:pPr>
            <w:r w:rsidRPr="00DE6CF3">
              <w:rPr>
                <w:rFonts w:ascii="Book Antiqua" w:eastAsia="Times New Roman" w:hAnsi="Book Antiqua" w:cs="Calibri"/>
                <w:i/>
                <w:color w:val="000000"/>
                <w:sz w:val="24"/>
                <w:szCs w:val="24"/>
              </w:rPr>
              <w:t>---</w:t>
            </w:r>
            <w:r>
              <w:rPr>
                <w:rFonts w:ascii="Book Antiqua" w:eastAsia="Times New Roman" w:hAnsi="Book Antiqua" w:cs="Calibri"/>
                <w:i/>
                <w:color w:val="000000"/>
                <w:sz w:val="24"/>
                <w:szCs w:val="24"/>
              </w:rPr>
              <w:t>-</w:t>
            </w:r>
            <w:r w:rsidRPr="00DE6CF3">
              <w:rPr>
                <w:rFonts w:ascii="Book Antiqua" w:eastAsia="Times New Roman" w:hAnsi="Book Antiqua" w:cs="Calibri"/>
                <w:i/>
                <w:color w:val="000000"/>
                <w:sz w:val="24"/>
                <w:szCs w:val="24"/>
              </w:rPr>
              <w:t>mm growing season---</w:t>
            </w:r>
            <w:r>
              <w:rPr>
                <w:rFonts w:ascii="Book Antiqua" w:eastAsia="Times New Roman" w:hAnsi="Book Antiqua" w:cs="Calibri"/>
                <w:i/>
                <w:color w:val="000000"/>
                <w:sz w:val="24"/>
                <w:szCs w:val="24"/>
              </w:rPr>
              <w:t>-</w:t>
            </w:r>
          </w:p>
        </w:tc>
        <w:tc>
          <w:tcPr>
            <w:tcW w:w="1570" w:type="dxa"/>
            <w:gridSpan w:val="7"/>
            <w:vAlign w:val="center"/>
          </w:tcPr>
          <w:p w:rsidR="00DE7BE3" w:rsidRPr="00DE6CF3" w:rsidRDefault="00DE7BE3" w:rsidP="006702E7">
            <w:pPr>
              <w:ind w:left="-15"/>
              <w:jc w:val="both"/>
              <w:rPr>
                <w:rFonts w:ascii="Book Antiqua" w:eastAsia="Times New Roman" w:hAnsi="Book Antiqua" w:cs="Calibri"/>
                <w:i/>
                <w:color w:val="000000"/>
                <w:sz w:val="24"/>
                <w:szCs w:val="24"/>
              </w:rPr>
            </w:pPr>
            <w:r w:rsidRPr="00DE6CF3">
              <w:rPr>
                <w:rFonts w:ascii="Book Antiqua" w:eastAsia="Times New Roman" w:hAnsi="Book Antiqua" w:cs="Calibri"/>
                <w:i/>
                <w:color w:val="000000"/>
                <w:sz w:val="24"/>
                <w:szCs w:val="24"/>
              </w:rPr>
              <w:t>-</w:t>
            </w:r>
            <w:r>
              <w:rPr>
                <w:rFonts w:ascii="Book Antiqua" w:eastAsia="Times New Roman" w:hAnsi="Book Antiqua" w:cs="Calibri"/>
                <w:i/>
                <w:color w:val="000000"/>
                <w:sz w:val="24"/>
                <w:szCs w:val="24"/>
              </w:rPr>
              <w:t>mm annual</w:t>
            </w:r>
            <w:r w:rsidRPr="00DE6CF3">
              <w:rPr>
                <w:rFonts w:ascii="Book Antiqua" w:eastAsia="Times New Roman" w:hAnsi="Book Antiqua" w:cs="Calibri"/>
                <w:i/>
                <w:color w:val="000000"/>
                <w:sz w:val="24"/>
                <w:szCs w:val="24"/>
              </w:rPr>
              <w:t>-</w:t>
            </w:r>
          </w:p>
        </w:tc>
        <w:tc>
          <w:tcPr>
            <w:tcW w:w="1620" w:type="dxa"/>
            <w:gridSpan w:val="3"/>
            <w:vAlign w:val="center"/>
          </w:tcPr>
          <w:p w:rsidR="00DE7BE3" w:rsidRPr="0026517E" w:rsidRDefault="00DE7BE3" w:rsidP="006702E7">
            <w:pPr>
              <w:jc w:val="center"/>
              <w:rPr>
                <w:rFonts w:ascii="Book Antiqua" w:eastAsia="Times New Roman" w:hAnsi="Book Antiqua" w:cs="Calibri"/>
                <w:color w:val="000000"/>
                <w:sz w:val="24"/>
                <w:szCs w:val="24"/>
              </w:rPr>
            </w:pPr>
            <w:r w:rsidRPr="00DE6CF3">
              <w:rPr>
                <w:rFonts w:ascii="Book Antiqua" w:eastAsia="Times New Roman" w:hAnsi="Book Antiqua" w:cs="Calibri"/>
                <w:i/>
                <w:color w:val="000000"/>
                <w:sz w:val="24"/>
                <w:szCs w:val="24"/>
              </w:rPr>
              <w:t>--mm</w:t>
            </w:r>
            <w:r>
              <w:rPr>
                <w:rFonts w:ascii="Book Antiqua" w:eastAsia="Times New Roman" w:hAnsi="Book Antiqua" w:cs="Calibri"/>
                <w:i/>
                <w:color w:val="000000"/>
                <w:sz w:val="24"/>
                <w:szCs w:val="24"/>
              </w:rPr>
              <w:t xml:space="preserve"> season</w:t>
            </w:r>
            <w:r w:rsidRPr="00DE6CF3">
              <w:rPr>
                <w:rFonts w:ascii="Book Antiqua" w:eastAsia="Times New Roman" w:hAnsi="Book Antiqua" w:cs="Calibri"/>
                <w:i/>
                <w:color w:val="000000"/>
                <w:sz w:val="24"/>
                <w:szCs w:val="24"/>
              </w:rPr>
              <w:t>--</w:t>
            </w:r>
          </w:p>
        </w:tc>
      </w:tr>
      <w:tr w:rsidR="00DE7BE3" w:rsidRPr="0005564C" w:rsidTr="006702E7">
        <w:trPr>
          <w:gridAfter w:val="1"/>
          <w:wAfter w:w="7" w:type="dxa"/>
          <w:trHeight w:val="300"/>
        </w:trPr>
        <w:tc>
          <w:tcPr>
            <w:tcW w:w="2610" w:type="dxa"/>
            <w:gridSpan w:val="2"/>
            <w:noWrap/>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Almonds</w:t>
            </w:r>
          </w:p>
        </w:tc>
        <w:tc>
          <w:tcPr>
            <w:tcW w:w="593" w:type="dxa"/>
            <w:gridSpan w:val="2"/>
            <w:vAlign w:val="bottom"/>
          </w:tcPr>
          <w:p w:rsidR="00DE7BE3" w:rsidRPr="00DE6CF3" w:rsidRDefault="00DE7BE3" w:rsidP="006702E7">
            <w:pPr>
              <w:jc w:val="center"/>
              <w:rPr>
                <w:rFonts w:ascii="Book Antiqua" w:eastAsia="Times New Roman" w:hAnsi="Book Antiqua" w:cs="Calibri"/>
                <w:color w:val="000000"/>
                <w:sz w:val="24"/>
                <w:szCs w:val="24"/>
              </w:rPr>
            </w:pPr>
            <w:r w:rsidRPr="00DE6CF3">
              <w:rPr>
                <w:rFonts w:ascii="Book Antiqua" w:hAnsi="Book Antiqua" w:cs="Calibri"/>
                <w:color w:val="000000"/>
                <w:sz w:val="24"/>
                <w:szCs w:val="24"/>
              </w:rPr>
              <w:t>126</w:t>
            </w:r>
          </w:p>
        </w:tc>
        <w:tc>
          <w:tcPr>
            <w:tcW w:w="937" w:type="dxa"/>
            <w:gridSpan w:val="2"/>
            <w:vAlign w:val="bottom"/>
          </w:tcPr>
          <w:p w:rsidR="00DE7BE3" w:rsidRPr="007C63F3" w:rsidRDefault="00DE7BE3" w:rsidP="006702E7">
            <w:pPr>
              <w:jc w:val="center"/>
              <w:rPr>
                <w:rFonts w:ascii="Book Antiqua" w:eastAsia="Times New Roman" w:hAnsi="Book Antiqua" w:cs="Calibri"/>
                <w:color w:val="000000"/>
                <w:sz w:val="24"/>
                <w:szCs w:val="24"/>
              </w:rPr>
            </w:pPr>
            <w:r w:rsidRPr="007C63F3">
              <w:rPr>
                <w:rFonts w:ascii="Book Antiqua" w:hAnsi="Book Antiqua" w:cs="Calibri"/>
                <w:color w:val="000000"/>
                <w:sz w:val="24"/>
                <w:szCs w:val="24"/>
              </w:rPr>
              <w:t>11</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90</w:t>
            </w:r>
          </w:p>
        </w:tc>
        <w:tc>
          <w:tcPr>
            <w:tcW w:w="760"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260</w:t>
            </w:r>
          </w:p>
        </w:tc>
        <w:tc>
          <w:tcPr>
            <w:tcW w:w="65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173</w:t>
            </w:r>
          </w:p>
        </w:tc>
        <w:tc>
          <w:tcPr>
            <w:tcW w:w="69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1164</w:t>
            </w:r>
          </w:p>
        </w:tc>
        <w:tc>
          <w:tcPr>
            <w:tcW w:w="697"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1338</w:t>
            </w:r>
          </w:p>
        </w:tc>
        <w:tc>
          <w:tcPr>
            <w:tcW w:w="57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149</w:t>
            </w:r>
          </w:p>
        </w:tc>
        <w:tc>
          <w:tcPr>
            <w:tcW w:w="456" w:type="dxa"/>
            <w:vAlign w:val="bottom"/>
          </w:tcPr>
          <w:p w:rsidR="00DE7BE3" w:rsidRPr="00EB55D0" w:rsidRDefault="00DE7BE3" w:rsidP="006702E7">
            <w:pPr>
              <w:jc w:val="center"/>
              <w:rPr>
                <w:rFonts w:ascii="Book Antiqua" w:eastAsia="Times New Roman" w:hAnsi="Book Antiqua" w:cs="Calibri"/>
                <w:color w:val="000000"/>
                <w:sz w:val="24"/>
                <w:szCs w:val="24"/>
              </w:rPr>
            </w:pPr>
            <w:r w:rsidRPr="00EB55D0">
              <w:rPr>
                <w:rFonts w:ascii="Book Antiqua" w:hAnsi="Book Antiqua" w:cs="Calibri"/>
                <w:color w:val="000000"/>
                <w:sz w:val="24"/>
                <w:szCs w:val="24"/>
              </w:rPr>
              <w:t>4</w:t>
            </w:r>
          </w:p>
        </w:tc>
        <w:tc>
          <w:tcPr>
            <w:tcW w:w="501" w:type="dxa"/>
            <w:gridSpan w:val="3"/>
            <w:vAlign w:val="center"/>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284</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41</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4</w:t>
            </w:r>
          </w:p>
        </w:tc>
        <w:tc>
          <w:tcPr>
            <w:tcW w:w="1131" w:type="dxa"/>
            <w:gridSpan w:val="3"/>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78</w:t>
            </w:r>
          </w:p>
        </w:tc>
        <w:tc>
          <w:tcPr>
            <w:tcW w:w="812" w:type="dxa"/>
            <w:gridSpan w:val="3"/>
            <w:vAlign w:val="bottom"/>
          </w:tcPr>
          <w:p w:rsidR="00DE7BE3" w:rsidRPr="00DE6CF3" w:rsidRDefault="00DE7BE3" w:rsidP="006702E7">
            <w:pPr>
              <w:jc w:val="center"/>
              <w:rPr>
                <w:rFonts w:ascii="Book Antiqua" w:eastAsia="Times New Roman" w:hAnsi="Book Antiqua" w:cs="Calibri"/>
                <w:color w:val="000000"/>
                <w:sz w:val="24"/>
                <w:szCs w:val="24"/>
              </w:rPr>
            </w:pPr>
            <w:r w:rsidRPr="00DE6CF3">
              <w:rPr>
                <w:rFonts w:ascii="Book Antiqua" w:hAnsi="Book Antiqua" w:cs="Calibri"/>
                <w:color w:val="000000"/>
                <w:sz w:val="24"/>
                <w:szCs w:val="24"/>
              </w:rPr>
              <w:t>6</w:t>
            </w:r>
          </w:p>
        </w:tc>
      </w:tr>
      <w:tr w:rsidR="00DE7BE3" w:rsidRPr="0005564C" w:rsidTr="006702E7">
        <w:trPr>
          <w:gridAfter w:val="1"/>
          <w:wAfter w:w="7" w:type="dxa"/>
          <w:trHeight w:val="300"/>
        </w:trPr>
        <w:tc>
          <w:tcPr>
            <w:tcW w:w="2610" w:type="dxa"/>
            <w:gridSpan w:val="2"/>
            <w:noWrap/>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 xml:space="preserve">Alfalfa, </w:t>
            </w:r>
            <w:r w:rsidRPr="0005564C">
              <w:rPr>
                <w:rFonts w:ascii="Book Antiqua" w:eastAsia="Times New Roman" w:hAnsi="Book Antiqua" w:cs="Calibri"/>
                <w:color w:val="000000"/>
                <w:sz w:val="24"/>
                <w:szCs w:val="24"/>
              </w:rPr>
              <w:t>intermountain</w:t>
            </w:r>
          </w:p>
        </w:tc>
        <w:tc>
          <w:tcPr>
            <w:tcW w:w="593" w:type="dxa"/>
            <w:gridSpan w:val="2"/>
            <w:vAlign w:val="bottom"/>
          </w:tcPr>
          <w:p w:rsidR="00DE7BE3" w:rsidRPr="00DE6CF3" w:rsidRDefault="00DE7BE3" w:rsidP="006702E7">
            <w:pPr>
              <w:jc w:val="center"/>
              <w:rPr>
                <w:rFonts w:ascii="Book Antiqua" w:eastAsia="Times New Roman" w:hAnsi="Book Antiqua" w:cs="Calibri"/>
                <w:color w:val="000000"/>
                <w:sz w:val="24"/>
                <w:szCs w:val="24"/>
              </w:rPr>
            </w:pPr>
            <w:r w:rsidRPr="00DE6CF3">
              <w:rPr>
                <w:rFonts w:ascii="Book Antiqua" w:hAnsi="Book Antiqua" w:cs="Calibri"/>
                <w:color w:val="000000"/>
                <w:sz w:val="24"/>
                <w:szCs w:val="24"/>
              </w:rPr>
              <w:t>136</w:t>
            </w:r>
          </w:p>
        </w:tc>
        <w:tc>
          <w:tcPr>
            <w:tcW w:w="937" w:type="dxa"/>
            <w:gridSpan w:val="2"/>
            <w:vAlign w:val="bottom"/>
          </w:tcPr>
          <w:p w:rsidR="00DE7BE3" w:rsidRPr="007C63F3" w:rsidRDefault="00DE7BE3" w:rsidP="006702E7">
            <w:pPr>
              <w:jc w:val="center"/>
              <w:rPr>
                <w:rFonts w:ascii="Book Antiqua" w:eastAsia="Times New Roman" w:hAnsi="Book Antiqua" w:cs="Calibri"/>
                <w:color w:val="000000"/>
                <w:sz w:val="24"/>
                <w:szCs w:val="24"/>
              </w:rPr>
            </w:pPr>
            <w:r w:rsidRPr="007C63F3">
              <w:rPr>
                <w:rFonts w:ascii="Book Antiqua" w:hAnsi="Book Antiqua" w:cs="Calibri"/>
                <w:color w:val="000000"/>
                <w:sz w:val="24"/>
                <w:szCs w:val="24"/>
              </w:rPr>
              <w:t>9</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114</w:t>
            </w:r>
          </w:p>
        </w:tc>
        <w:tc>
          <w:tcPr>
            <w:tcW w:w="760"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252</w:t>
            </w:r>
          </w:p>
        </w:tc>
        <w:tc>
          <w:tcPr>
            <w:tcW w:w="65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186</w:t>
            </w:r>
          </w:p>
        </w:tc>
        <w:tc>
          <w:tcPr>
            <w:tcW w:w="69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786</w:t>
            </w:r>
          </w:p>
        </w:tc>
        <w:tc>
          <w:tcPr>
            <w:tcW w:w="697"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972</w:t>
            </w:r>
          </w:p>
        </w:tc>
        <w:tc>
          <w:tcPr>
            <w:tcW w:w="57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86</w:t>
            </w:r>
          </w:p>
        </w:tc>
        <w:tc>
          <w:tcPr>
            <w:tcW w:w="456" w:type="dxa"/>
            <w:vAlign w:val="bottom"/>
          </w:tcPr>
          <w:p w:rsidR="00DE7BE3" w:rsidRPr="00EB55D0" w:rsidRDefault="00DE7BE3" w:rsidP="006702E7">
            <w:pPr>
              <w:jc w:val="center"/>
              <w:rPr>
                <w:rFonts w:ascii="Book Antiqua" w:eastAsia="Times New Roman" w:hAnsi="Book Antiqua" w:cs="Calibri"/>
                <w:color w:val="000000"/>
                <w:sz w:val="24"/>
                <w:szCs w:val="24"/>
              </w:rPr>
            </w:pPr>
            <w:r w:rsidRPr="00EB55D0">
              <w:rPr>
                <w:rFonts w:ascii="Book Antiqua" w:hAnsi="Book Antiqua" w:cs="Calibri"/>
                <w:color w:val="000000"/>
                <w:sz w:val="24"/>
                <w:szCs w:val="24"/>
              </w:rPr>
              <w:t>3</w:t>
            </w:r>
          </w:p>
        </w:tc>
        <w:tc>
          <w:tcPr>
            <w:tcW w:w="501" w:type="dxa"/>
            <w:gridSpan w:val="3"/>
            <w:vAlign w:val="center"/>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376</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54</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9</w:t>
            </w:r>
          </w:p>
        </w:tc>
        <w:tc>
          <w:tcPr>
            <w:tcW w:w="1131" w:type="dxa"/>
            <w:gridSpan w:val="3"/>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140</w:t>
            </w:r>
          </w:p>
        </w:tc>
        <w:tc>
          <w:tcPr>
            <w:tcW w:w="812" w:type="dxa"/>
            <w:gridSpan w:val="3"/>
            <w:vAlign w:val="bottom"/>
          </w:tcPr>
          <w:p w:rsidR="00DE7BE3" w:rsidRPr="00DE6CF3" w:rsidRDefault="00DE7BE3" w:rsidP="006702E7">
            <w:pPr>
              <w:jc w:val="center"/>
              <w:rPr>
                <w:rFonts w:ascii="Book Antiqua" w:eastAsia="Times New Roman" w:hAnsi="Book Antiqua" w:cs="Calibri"/>
                <w:color w:val="000000"/>
                <w:sz w:val="24"/>
                <w:szCs w:val="24"/>
              </w:rPr>
            </w:pPr>
            <w:r w:rsidRPr="00DE6CF3">
              <w:rPr>
                <w:rFonts w:ascii="Book Antiqua" w:hAnsi="Book Antiqua" w:cs="Calibri"/>
                <w:color w:val="000000"/>
                <w:sz w:val="24"/>
                <w:szCs w:val="24"/>
              </w:rPr>
              <w:t>18</w:t>
            </w:r>
          </w:p>
        </w:tc>
      </w:tr>
      <w:tr w:rsidR="00DE7BE3" w:rsidRPr="0005564C" w:rsidTr="006702E7">
        <w:trPr>
          <w:gridAfter w:val="1"/>
          <w:wAfter w:w="7" w:type="dxa"/>
          <w:trHeight w:val="300"/>
        </w:trPr>
        <w:tc>
          <w:tcPr>
            <w:tcW w:w="2610" w:type="dxa"/>
            <w:gridSpan w:val="2"/>
            <w:noWrap/>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Alfalfa, I</w:t>
            </w:r>
            <w:r w:rsidRPr="0005564C">
              <w:rPr>
                <w:rFonts w:ascii="Book Antiqua" w:eastAsia="Times New Roman" w:hAnsi="Book Antiqua" w:cs="Calibri"/>
                <w:color w:val="000000"/>
                <w:sz w:val="24"/>
                <w:szCs w:val="24"/>
              </w:rPr>
              <w:t>mperial</w:t>
            </w:r>
          </w:p>
        </w:tc>
        <w:tc>
          <w:tcPr>
            <w:tcW w:w="593" w:type="dxa"/>
            <w:gridSpan w:val="2"/>
            <w:vAlign w:val="bottom"/>
          </w:tcPr>
          <w:p w:rsidR="00DE7BE3" w:rsidRPr="00DE6CF3" w:rsidRDefault="00DE7BE3" w:rsidP="006702E7">
            <w:pPr>
              <w:jc w:val="center"/>
              <w:rPr>
                <w:rFonts w:ascii="Book Antiqua" w:eastAsia="Times New Roman" w:hAnsi="Book Antiqua" w:cs="Calibri"/>
                <w:color w:val="000000"/>
                <w:sz w:val="24"/>
                <w:szCs w:val="24"/>
              </w:rPr>
            </w:pPr>
            <w:r w:rsidRPr="00DE6CF3">
              <w:rPr>
                <w:rFonts w:ascii="Book Antiqua" w:hAnsi="Book Antiqua" w:cs="Calibri"/>
                <w:color w:val="000000"/>
                <w:sz w:val="24"/>
                <w:szCs w:val="24"/>
              </w:rPr>
              <w:t>133</w:t>
            </w:r>
          </w:p>
        </w:tc>
        <w:tc>
          <w:tcPr>
            <w:tcW w:w="937" w:type="dxa"/>
            <w:gridSpan w:val="2"/>
            <w:vAlign w:val="bottom"/>
          </w:tcPr>
          <w:p w:rsidR="00DE7BE3" w:rsidRPr="007C63F3" w:rsidRDefault="00DE7BE3" w:rsidP="006702E7">
            <w:pPr>
              <w:jc w:val="center"/>
              <w:rPr>
                <w:rFonts w:ascii="Book Antiqua" w:eastAsia="Times New Roman" w:hAnsi="Book Antiqua" w:cs="Calibri"/>
                <w:color w:val="000000"/>
                <w:sz w:val="24"/>
                <w:szCs w:val="24"/>
              </w:rPr>
            </w:pPr>
            <w:r w:rsidRPr="007C63F3">
              <w:rPr>
                <w:rFonts w:ascii="Book Antiqua" w:hAnsi="Book Antiqua" w:cs="Calibri"/>
                <w:color w:val="000000"/>
                <w:sz w:val="24"/>
                <w:szCs w:val="24"/>
              </w:rPr>
              <w:t>13</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35</w:t>
            </w:r>
          </w:p>
        </w:tc>
        <w:tc>
          <w:tcPr>
            <w:tcW w:w="760"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329</w:t>
            </w:r>
          </w:p>
        </w:tc>
        <w:tc>
          <w:tcPr>
            <w:tcW w:w="65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64</w:t>
            </w:r>
          </w:p>
        </w:tc>
        <w:tc>
          <w:tcPr>
            <w:tcW w:w="69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1799</w:t>
            </w:r>
          </w:p>
        </w:tc>
        <w:tc>
          <w:tcPr>
            <w:tcW w:w="697"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1863</w:t>
            </w:r>
          </w:p>
        </w:tc>
        <w:tc>
          <w:tcPr>
            <w:tcW w:w="57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81</w:t>
            </w:r>
          </w:p>
        </w:tc>
        <w:tc>
          <w:tcPr>
            <w:tcW w:w="456" w:type="dxa"/>
            <w:vAlign w:val="bottom"/>
          </w:tcPr>
          <w:p w:rsidR="00DE7BE3" w:rsidRPr="00EB55D0" w:rsidRDefault="00DE7BE3" w:rsidP="006702E7">
            <w:pPr>
              <w:jc w:val="center"/>
              <w:rPr>
                <w:rFonts w:ascii="Book Antiqua" w:eastAsia="Times New Roman" w:hAnsi="Book Antiqua" w:cs="Calibri"/>
                <w:color w:val="000000"/>
                <w:sz w:val="24"/>
                <w:szCs w:val="24"/>
              </w:rPr>
            </w:pPr>
            <w:r w:rsidRPr="00EB55D0">
              <w:rPr>
                <w:rFonts w:ascii="Book Antiqua" w:hAnsi="Book Antiqua" w:cs="Calibri"/>
                <w:color w:val="000000"/>
                <w:sz w:val="24"/>
                <w:szCs w:val="24"/>
              </w:rPr>
              <w:t>1</w:t>
            </w:r>
          </w:p>
        </w:tc>
        <w:tc>
          <w:tcPr>
            <w:tcW w:w="501" w:type="dxa"/>
            <w:gridSpan w:val="3"/>
            <w:vAlign w:val="center"/>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64</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2</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11</w:t>
            </w:r>
          </w:p>
        </w:tc>
        <w:tc>
          <w:tcPr>
            <w:tcW w:w="1131" w:type="dxa"/>
            <w:gridSpan w:val="3"/>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0</w:t>
            </w:r>
          </w:p>
        </w:tc>
        <w:tc>
          <w:tcPr>
            <w:tcW w:w="812" w:type="dxa"/>
            <w:gridSpan w:val="3"/>
            <w:vAlign w:val="bottom"/>
          </w:tcPr>
          <w:p w:rsidR="00DE7BE3" w:rsidRPr="00DE6CF3" w:rsidRDefault="00DE7BE3" w:rsidP="006702E7">
            <w:pPr>
              <w:jc w:val="center"/>
              <w:rPr>
                <w:rFonts w:ascii="Book Antiqua" w:eastAsia="Times New Roman" w:hAnsi="Book Antiqua" w:cs="Calibri"/>
                <w:color w:val="000000"/>
                <w:sz w:val="24"/>
                <w:szCs w:val="24"/>
              </w:rPr>
            </w:pPr>
            <w:r w:rsidRPr="00DE6CF3">
              <w:rPr>
                <w:rFonts w:ascii="Book Antiqua" w:hAnsi="Book Antiqua" w:cs="Calibri"/>
                <w:color w:val="000000"/>
                <w:sz w:val="24"/>
                <w:szCs w:val="24"/>
              </w:rPr>
              <w:t>0</w:t>
            </w:r>
          </w:p>
        </w:tc>
      </w:tr>
      <w:tr w:rsidR="00DE7BE3" w:rsidRPr="0005564C" w:rsidTr="006702E7">
        <w:trPr>
          <w:gridAfter w:val="1"/>
          <w:wAfter w:w="7" w:type="dxa"/>
          <w:trHeight w:val="300"/>
        </w:trPr>
        <w:tc>
          <w:tcPr>
            <w:tcW w:w="2610" w:type="dxa"/>
            <w:gridSpan w:val="2"/>
            <w:noWrap/>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 xml:space="preserve">Alfalfa, </w:t>
            </w:r>
            <w:r w:rsidRPr="0005564C">
              <w:rPr>
                <w:rFonts w:ascii="Book Antiqua" w:eastAsia="Times New Roman" w:hAnsi="Book Antiqua" w:cs="Calibri"/>
                <w:color w:val="000000"/>
                <w:sz w:val="24"/>
                <w:szCs w:val="24"/>
              </w:rPr>
              <w:t>CV</w:t>
            </w:r>
          </w:p>
        </w:tc>
        <w:tc>
          <w:tcPr>
            <w:tcW w:w="593" w:type="dxa"/>
            <w:gridSpan w:val="2"/>
            <w:vAlign w:val="bottom"/>
          </w:tcPr>
          <w:p w:rsidR="00DE7BE3" w:rsidRPr="00DE6CF3" w:rsidRDefault="00DE7BE3" w:rsidP="006702E7">
            <w:pPr>
              <w:jc w:val="center"/>
              <w:rPr>
                <w:rFonts w:ascii="Book Antiqua" w:eastAsia="Times New Roman" w:hAnsi="Book Antiqua" w:cs="Calibri"/>
                <w:color w:val="000000"/>
                <w:sz w:val="24"/>
                <w:szCs w:val="24"/>
              </w:rPr>
            </w:pPr>
            <w:r w:rsidRPr="00DE6CF3">
              <w:rPr>
                <w:rFonts w:ascii="Book Antiqua" w:hAnsi="Book Antiqua" w:cs="Calibri"/>
                <w:color w:val="000000"/>
                <w:sz w:val="24"/>
                <w:szCs w:val="24"/>
              </w:rPr>
              <w:t>128</w:t>
            </w:r>
          </w:p>
        </w:tc>
        <w:tc>
          <w:tcPr>
            <w:tcW w:w="937" w:type="dxa"/>
            <w:gridSpan w:val="2"/>
            <w:vAlign w:val="bottom"/>
          </w:tcPr>
          <w:p w:rsidR="00DE7BE3" w:rsidRPr="007C63F3" w:rsidRDefault="00DE7BE3" w:rsidP="006702E7">
            <w:pPr>
              <w:jc w:val="center"/>
              <w:rPr>
                <w:rFonts w:ascii="Book Antiqua" w:eastAsia="Times New Roman" w:hAnsi="Book Antiqua" w:cs="Calibri"/>
                <w:color w:val="000000"/>
                <w:sz w:val="24"/>
                <w:szCs w:val="24"/>
              </w:rPr>
            </w:pPr>
            <w:r w:rsidRPr="007C63F3">
              <w:rPr>
                <w:rFonts w:ascii="Book Antiqua" w:hAnsi="Book Antiqua" w:cs="Calibri"/>
                <w:color w:val="000000"/>
                <w:sz w:val="24"/>
                <w:szCs w:val="24"/>
              </w:rPr>
              <w:t>10</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75</w:t>
            </w:r>
          </w:p>
        </w:tc>
        <w:tc>
          <w:tcPr>
            <w:tcW w:w="760"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265</w:t>
            </w:r>
          </w:p>
        </w:tc>
        <w:tc>
          <w:tcPr>
            <w:tcW w:w="65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253</w:t>
            </w:r>
          </w:p>
        </w:tc>
        <w:tc>
          <w:tcPr>
            <w:tcW w:w="69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1125</w:t>
            </w:r>
          </w:p>
        </w:tc>
        <w:tc>
          <w:tcPr>
            <w:tcW w:w="697"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1378</w:t>
            </w:r>
          </w:p>
        </w:tc>
        <w:tc>
          <w:tcPr>
            <w:tcW w:w="57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70</w:t>
            </w:r>
          </w:p>
        </w:tc>
        <w:tc>
          <w:tcPr>
            <w:tcW w:w="456" w:type="dxa"/>
            <w:vAlign w:val="bottom"/>
          </w:tcPr>
          <w:p w:rsidR="00DE7BE3" w:rsidRPr="00EB55D0" w:rsidRDefault="00DE7BE3" w:rsidP="006702E7">
            <w:pPr>
              <w:jc w:val="center"/>
              <w:rPr>
                <w:rFonts w:ascii="Book Antiqua" w:eastAsia="Times New Roman" w:hAnsi="Book Antiqua" w:cs="Calibri"/>
                <w:color w:val="000000"/>
                <w:sz w:val="24"/>
                <w:szCs w:val="24"/>
              </w:rPr>
            </w:pPr>
            <w:r w:rsidRPr="00EB55D0">
              <w:rPr>
                <w:rFonts w:ascii="Book Antiqua" w:hAnsi="Book Antiqua" w:cs="Calibri"/>
                <w:color w:val="000000"/>
                <w:sz w:val="24"/>
                <w:szCs w:val="24"/>
              </w:rPr>
              <w:t>8</w:t>
            </w:r>
          </w:p>
        </w:tc>
        <w:tc>
          <w:tcPr>
            <w:tcW w:w="501" w:type="dxa"/>
            <w:gridSpan w:val="3"/>
            <w:vAlign w:val="center"/>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279</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37</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19</w:t>
            </w:r>
          </w:p>
        </w:tc>
        <w:tc>
          <w:tcPr>
            <w:tcW w:w="1131" w:type="dxa"/>
            <w:gridSpan w:val="3"/>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0</w:t>
            </w:r>
          </w:p>
        </w:tc>
        <w:tc>
          <w:tcPr>
            <w:tcW w:w="812" w:type="dxa"/>
            <w:gridSpan w:val="3"/>
            <w:vAlign w:val="bottom"/>
          </w:tcPr>
          <w:p w:rsidR="00DE7BE3" w:rsidRPr="00DE6CF3" w:rsidRDefault="00DE7BE3" w:rsidP="006702E7">
            <w:pPr>
              <w:jc w:val="center"/>
              <w:rPr>
                <w:rFonts w:ascii="Book Antiqua" w:eastAsia="Times New Roman" w:hAnsi="Book Antiqua" w:cs="Calibri"/>
                <w:color w:val="000000"/>
                <w:sz w:val="24"/>
                <w:szCs w:val="24"/>
              </w:rPr>
            </w:pPr>
            <w:r w:rsidRPr="00DE6CF3">
              <w:rPr>
                <w:rFonts w:ascii="Book Antiqua" w:hAnsi="Book Antiqua" w:cs="Calibri"/>
                <w:color w:val="000000"/>
                <w:sz w:val="24"/>
                <w:szCs w:val="24"/>
              </w:rPr>
              <w:t>5</w:t>
            </w:r>
          </w:p>
        </w:tc>
      </w:tr>
      <w:tr w:rsidR="00DE7BE3" w:rsidRPr="0005564C" w:rsidTr="006702E7">
        <w:trPr>
          <w:gridAfter w:val="1"/>
          <w:wAfter w:w="7" w:type="dxa"/>
          <w:trHeight w:val="300"/>
        </w:trPr>
        <w:tc>
          <w:tcPr>
            <w:tcW w:w="2610" w:type="dxa"/>
            <w:gridSpan w:val="2"/>
            <w:noWrap/>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Walnuts</w:t>
            </w:r>
          </w:p>
        </w:tc>
        <w:tc>
          <w:tcPr>
            <w:tcW w:w="593" w:type="dxa"/>
            <w:gridSpan w:val="2"/>
            <w:vAlign w:val="bottom"/>
          </w:tcPr>
          <w:p w:rsidR="00DE7BE3" w:rsidRPr="00DE6CF3" w:rsidRDefault="00DE7BE3" w:rsidP="006702E7">
            <w:pPr>
              <w:jc w:val="center"/>
              <w:rPr>
                <w:rFonts w:ascii="Book Antiqua" w:eastAsia="Times New Roman" w:hAnsi="Book Antiqua" w:cs="Calibri"/>
                <w:color w:val="000000"/>
                <w:sz w:val="24"/>
                <w:szCs w:val="24"/>
              </w:rPr>
            </w:pPr>
            <w:r w:rsidRPr="00DE6CF3">
              <w:rPr>
                <w:rFonts w:ascii="Book Antiqua" w:hAnsi="Book Antiqua" w:cs="Calibri"/>
                <w:color w:val="000000"/>
                <w:sz w:val="24"/>
                <w:szCs w:val="24"/>
              </w:rPr>
              <w:t>142</w:t>
            </w:r>
          </w:p>
        </w:tc>
        <w:tc>
          <w:tcPr>
            <w:tcW w:w="937" w:type="dxa"/>
            <w:gridSpan w:val="2"/>
            <w:vAlign w:val="bottom"/>
          </w:tcPr>
          <w:p w:rsidR="00DE7BE3" w:rsidRPr="007C63F3" w:rsidRDefault="00DE7BE3" w:rsidP="006702E7">
            <w:pPr>
              <w:jc w:val="center"/>
              <w:rPr>
                <w:rFonts w:ascii="Book Antiqua" w:eastAsia="Times New Roman" w:hAnsi="Book Antiqua" w:cs="Calibri"/>
                <w:color w:val="000000"/>
                <w:sz w:val="24"/>
                <w:szCs w:val="24"/>
              </w:rPr>
            </w:pPr>
            <w:r w:rsidRPr="007C63F3">
              <w:rPr>
                <w:rFonts w:ascii="Book Antiqua" w:hAnsi="Book Antiqua" w:cs="Calibri"/>
                <w:color w:val="000000"/>
                <w:sz w:val="24"/>
                <w:szCs w:val="24"/>
              </w:rPr>
              <w:t>9</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125</w:t>
            </w:r>
          </w:p>
        </w:tc>
        <w:tc>
          <w:tcPr>
            <w:tcW w:w="760"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254</w:t>
            </w:r>
          </w:p>
        </w:tc>
        <w:tc>
          <w:tcPr>
            <w:tcW w:w="65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186</w:t>
            </w:r>
          </w:p>
        </w:tc>
        <w:tc>
          <w:tcPr>
            <w:tcW w:w="69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1043</w:t>
            </w:r>
          </w:p>
        </w:tc>
        <w:tc>
          <w:tcPr>
            <w:tcW w:w="697"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1229</w:t>
            </w:r>
          </w:p>
        </w:tc>
        <w:tc>
          <w:tcPr>
            <w:tcW w:w="57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127</w:t>
            </w:r>
          </w:p>
        </w:tc>
        <w:tc>
          <w:tcPr>
            <w:tcW w:w="456" w:type="dxa"/>
            <w:vAlign w:val="bottom"/>
          </w:tcPr>
          <w:p w:rsidR="00DE7BE3" w:rsidRPr="00EB55D0" w:rsidRDefault="00DE7BE3" w:rsidP="006702E7">
            <w:pPr>
              <w:jc w:val="center"/>
              <w:rPr>
                <w:rFonts w:ascii="Book Antiqua" w:eastAsia="Times New Roman" w:hAnsi="Book Antiqua" w:cs="Calibri"/>
                <w:color w:val="000000"/>
                <w:sz w:val="24"/>
                <w:szCs w:val="24"/>
              </w:rPr>
            </w:pPr>
            <w:r w:rsidRPr="00EB55D0">
              <w:rPr>
                <w:rFonts w:ascii="Book Antiqua" w:hAnsi="Book Antiqua" w:cs="Calibri"/>
                <w:color w:val="000000"/>
                <w:sz w:val="24"/>
                <w:szCs w:val="24"/>
              </w:rPr>
              <w:t>1</w:t>
            </w:r>
          </w:p>
        </w:tc>
        <w:tc>
          <w:tcPr>
            <w:tcW w:w="501" w:type="dxa"/>
            <w:gridSpan w:val="3"/>
            <w:vAlign w:val="center"/>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424</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95</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6</w:t>
            </w:r>
          </w:p>
        </w:tc>
        <w:tc>
          <w:tcPr>
            <w:tcW w:w="1131" w:type="dxa"/>
            <w:gridSpan w:val="3"/>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154</w:t>
            </w:r>
          </w:p>
        </w:tc>
        <w:tc>
          <w:tcPr>
            <w:tcW w:w="812" w:type="dxa"/>
            <w:gridSpan w:val="3"/>
            <w:vAlign w:val="bottom"/>
          </w:tcPr>
          <w:p w:rsidR="00DE7BE3" w:rsidRPr="00DE6CF3" w:rsidRDefault="00DE7BE3" w:rsidP="006702E7">
            <w:pPr>
              <w:jc w:val="center"/>
              <w:rPr>
                <w:rFonts w:ascii="Book Antiqua" w:eastAsia="Times New Roman" w:hAnsi="Book Antiqua" w:cs="Calibri"/>
                <w:color w:val="000000"/>
                <w:sz w:val="24"/>
                <w:szCs w:val="24"/>
              </w:rPr>
            </w:pPr>
            <w:r w:rsidRPr="00DE6CF3">
              <w:rPr>
                <w:rFonts w:ascii="Book Antiqua" w:hAnsi="Book Antiqua" w:cs="Calibri"/>
                <w:color w:val="000000"/>
                <w:sz w:val="24"/>
                <w:szCs w:val="24"/>
              </w:rPr>
              <w:t>16</w:t>
            </w:r>
          </w:p>
        </w:tc>
      </w:tr>
      <w:tr w:rsidR="00DE7BE3" w:rsidRPr="0005564C" w:rsidTr="006702E7">
        <w:trPr>
          <w:gridAfter w:val="1"/>
          <w:wAfter w:w="7" w:type="dxa"/>
          <w:trHeight w:val="300"/>
        </w:trPr>
        <w:tc>
          <w:tcPr>
            <w:tcW w:w="2610" w:type="dxa"/>
            <w:gridSpan w:val="2"/>
            <w:noWrap/>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P</w:t>
            </w:r>
            <w:r w:rsidRPr="0005564C">
              <w:rPr>
                <w:rFonts w:ascii="Book Antiqua" w:eastAsia="Times New Roman" w:hAnsi="Book Antiqua" w:cs="Calibri"/>
                <w:color w:val="000000"/>
                <w:sz w:val="24"/>
                <w:szCs w:val="24"/>
              </w:rPr>
              <w:t>istachios</w:t>
            </w:r>
          </w:p>
        </w:tc>
        <w:tc>
          <w:tcPr>
            <w:tcW w:w="593" w:type="dxa"/>
            <w:gridSpan w:val="2"/>
            <w:vAlign w:val="bottom"/>
          </w:tcPr>
          <w:p w:rsidR="00DE7BE3" w:rsidRPr="00DE6CF3" w:rsidRDefault="00DE7BE3" w:rsidP="006702E7">
            <w:pPr>
              <w:jc w:val="center"/>
              <w:rPr>
                <w:rFonts w:ascii="Book Antiqua" w:eastAsia="Times New Roman" w:hAnsi="Book Antiqua" w:cs="Calibri"/>
                <w:color w:val="000000"/>
                <w:sz w:val="24"/>
                <w:szCs w:val="24"/>
              </w:rPr>
            </w:pPr>
            <w:r w:rsidRPr="00DE6CF3">
              <w:rPr>
                <w:rFonts w:ascii="Book Antiqua" w:hAnsi="Book Antiqua" w:cs="Calibri"/>
                <w:color w:val="000000"/>
                <w:sz w:val="24"/>
                <w:szCs w:val="24"/>
              </w:rPr>
              <w:t>126</w:t>
            </w:r>
          </w:p>
        </w:tc>
        <w:tc>
          <w:tcPr>
            <w:tcW w:w="937" w:type="dxa"/>
            <w:gridSpan w:val="2"/>
            <w:vAlign w:val="bottom"/>
          </w:tcPr>
          <w:p w:rsidR="00DE7BE3" w:rsidRPr="007C63F3" w:rsidRDefault="00DE7BE3" w:rsidP="006702E7">
            <w:pPr>
              <w:jc w:val="center"/>
              <w:rPr>
                <w:rFonts w:ascii="Book Antiqua" w:eastAsia="Times New Roman" w:hAnsi="Book Antiqua" w:cs="Calibri"/>
                <w:color w:val="000000"/>
                <w:sz w:val="24"/>
                <w:szCs w:val="24"/>
              </w:rPr>
            </w:pPr>
            <w:r w:rsidRPr="007C63F3">
              <w:rPr>
                <w:rFonts w:ascii="Book Antiqua" w:hAnsi="Book Antiqua" w:cs="Calibri"/>
                <w:color w:val="000000"/>
                <w:sz w:val="24"/>
                <w:szCs w:val="24"/>
              </w:rPr>
              <w:t>10</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121</w:t>
            </w:r>
          </w:p>
        </w:tc>
        <w:tc>
          <w:tcPr>
            <w:tcW w:w="760"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264</w:t>
            </w:r>
          </w:p>
        </w:tc>
        <w:tc>
          <w:tcPr>
            <w:tcW w:w="65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35</w:t>
            </w:r>
          </w:p>
        </w:tc>
        <w:tc>
          <w:tcPr>
            <w:tcW w:w="69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1120</w:t>
            </w:r>
          </w:p>
        </w:tc>
        <w:tc>
          <w:tcPr>
            <w:tcW w:w="697"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1155</w:t>
            </w:r>
          </w:p>
        </w:tc>
        <w:tc>
          <w:tcPr>
            <w:tcW w:w="57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105</w:t>
            </w:r>
          </w:p>
        </w:tc>
        <w:tc>
          <w:tcPr>
            <w:tcW w:w="456" w:type="dxa"/>
            <w:vAlign w:val="bottom"/>
          </w:tcPr>
          <w:p w:rsidR="00DE7BE3" w:rsidRPr="00EB55D0" w:rsidRDefault="00DE7BE3" w:rsidP="006702E7">
            <w:pPr>
              <w:jc w:val="center"/>
              <w:rPr>
                <w:rFonts w:ascii="Book Antiqua" w:eastAsia="Times New Roman" w:hAnsi="Book Antiqua" w:cs="Calibri"/>
                <w:color w:val="000000"/>
                <w:sz w:val="24"/>
                <w:szCs w:val="24"/>
              </w:rPr>
            </w:pPr>
            <w:r w:rsidRPr="00EB55D0">
              <w:rPr>
                <w:rFonts w:ascii="Book Antiqua" w:hAnsi="Book Antiqua" w:cs="Calibri"/>
                <w:color w:val="000000"/>
                <w:sz w:val="24"/>
                <w:szCs w:val="24"/>
              </w:rPr>
              <w:t>0</w:t>
            </w:r>
          </w:p>
        </w:tc>
        <w:tc>
          <w:tcPr>
            <w:tcW w:w="501" w:type="dxa"/>
            <w:gridSpan w:val="3"/>
            <w:vAlign w:val="center"/>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197</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12</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10</w:t>
            </w:r>
          </w:p>
        </w:tc>
        <w:tc>
          <w:tcPr>
            <w:tcW w:w="1131" w:type="dxa"/>
            <w:gridSpan w:val="3"/>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160</w:t>
            </w:r>
          </w:p>
        </w:tc>
        <w:tc>
          <w:tcPr>
            <w:tcW w:w="812" w:type="dxa"/>
            <w:gridSpan w:val="3"/>
            <w:vAlign w:val="bottom"/>
          </w:tcPr>
          <w:p w:rsidR="00DE7BE3" w:rsidRPr="00DE6CF3" w:rsidRDefault="00DE7BE3" w:rsidP="006702E7">
            <w:pPr>
              <w:jc w:val="center"/>
              <w:rPr>
                <w:rFonts w:ascii="Book Antiqua" w:eastAsia="Times New Roman" w:hAnsi="Book Antiqua" w:cs="Calibri"/>
                <w:color w:val="000000"/>
                <w:sz w:val="24"/>
                <w:szCs w:val="24"/>
              </w:rPr>
            </w:pPr>
            <w:r w:rsidRPr="00DE6CF3">
              <w:rPr>
                <w:rFonts w:ascii="Book Antiqua" w:hAnsi="Book Antiqua" w:cs="Calibri"/>
                <w:color w:val="000000"/>
                <w:sz w:val="24"/>
                <w:szCs w:val="24"/>
              </w:rPr>
              <w:t>2</w:t>
            </w:r>
          </w:p>
        </w:tc>
      </w:tr>
      <w:tr w:rsidR="00DE7BE3" w:rsidRPr="0005564C" w:rsidTr="006702E7">
        <w:trPr>
          <w:gridAfter w:val="1"/>
          <w:wAfter w:w="7" w:type="dxa"/>
          <w:trHeight w:val="300"/>
        </w:trPr>
        <w:tc>
          <w:tcPr>
            <w:tcW w:w="2610" w:type="dxa"/>
            <w:gridSpan w:val="2"/>
            <w:noWrap/>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Grapes, CV</w:t>
            </w:r>
          </w:p>
        </w:tc>
        <w:tc>
          <w:tcPr>
            <w:tcW w:w="593" w:type="dxa"/>
            <w:gridSpan w:val="2"/>
            <w:vAlign w:val="bottom"/>
          </w:tcPr>
          <w:p w:rsidR="00DE7BE3" w:rsidRPr="00DE6CF3" w:rsidRDefault="00DE7BE3" w:rsidP="006702E7">
            <w:pPr>
              <w:jc w:val="center"/>
              <w:rPr>
                <w:rFonts w:ascii="Book Antiqua" w:eastAsia="Times New Roman" w:hAnsi="Book Antiqua" w:cs="Calibri"/>
                <w:color w:val="000000"/>
                <w:sz w:val="24"/>
                <w:szCs w:val="24"/>
              </w:rPr>
            </w:pPr>
            <w:r w:rsidRPr="00DE6CF3">
              <w:rPr>
                <w:rFonts w:ascii="Book Antiqua" w:hAnsi="Book Antiqua" w:cs="Calibri"/>
                <w:color w:val="000000"/>
                <w:sz w:val="24"/>
                <w:szCs w:val="24"/>
              </w:rPr>
              <w:t>123</w:t>
            </w:r>
          </w:p>
        </w:tc>
        <w:tc>
          <w:tcPr>
            <w:tcW w:w="937" w:type="dxa"/>
            <w:gridSpan w:val="2"/>
            <w:vAlign w:val="bottom"/>
          </w:tcPr>
          <w:p w:rsidR="00DE7BE3" w:rsidRPr="007C63F3" w:rsidRDefault="00DE7BE3" w:rsidP="006702E7">
            <w:pPr>
              <w:jc w:val="center"/>
              <w:rPr>
                <w:rFonts w:ascii="Book Antiqua" w:eastAsia="Times New Roman" w:hAnsi="Book Antiqua" w:cs="Calibri"/>
                <w:color w:val="000000"/>
                <w:sz w:val="24"/>
                <w:szCs w:val="24"/>
              </w:rPr>
            </w:pPr>
            <w:r w:rsidRPr="007C63F3">
              <w:rPr>
                <w:rFonts w:ascii="Book Antiqua" w:hAnsi="Book Antiqua" w:cs="Calibri"/>
                <w:color w:val="000000"/>
                <w:sz w:val="24"/>
                <w:szCs w:val="24"/>
              </w:rPr>
              <w:t>11</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102</w:t>
            </w:r>
          </w:p>
        </w:tc>
        <w:tc>
          <w:tcPr>
            <w:tcW w:w="760"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259</w:t>
            </w:r>
          </w:p>
        </w:tc>
        <w:tc>
          <w:tcPr>
            <w:tcW w:w="65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106</w:t>
            </w:r>
          </w:p>
        </w:tc>
        <w:tc>
          <w:tcPr>
            <w:tcW w:w="69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1189</w:t>
            </w:r>
          </w:p>
        </w:tc>
        <w:tc>
          <w:tcPr>
            <w:tcW w:w="697"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1295</w:t>
            </w:r>
          </w:p>
        </w:tc>
        <w:tc>
          <w:tcPr>
            <w:tcW w:w="57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114</w:t>
            </w:r>
          </w:p>
        </w:tc>
        <w:tc>
          <w:tcPr>
            <w:tcW w:w="456" w:type="dxa"/>
            <w:vAlign w:val="bottom"/>
          </w:tcPr>
          <w:p w:rsidR="00DE7BE3" w:rsidRPr="00EB55D0" w:rsidRDefault="00DE7BE3" w:rsidP="006702E7">
            <w:pPr>
              <w:jc w:val="center"/>
              <w:rPr>
                <w:rFonts w:ascii="Book Antiqua" w:eastAsia="Times New Roman" w:hAnsi="Book Antiqua" w:cs="Calibri"/>
                <w:color w:val="000000"/>
                <w:sz w:val="24"/>
                <w:szCs w:val="24"/>
              </w:rPr>
            </w:pPr>
            <w:r w:rsidRPr="00EB55D0">
              <w:rPr>
                <w:rFonts w:ascii="Book Antiqua" w:hAnsi="Book Antiqua" w:cs="Calibri"/>
                <w:color w:val="000000"/>
                <w:sz w:val="24"/>
                <w:szCs w:val="24"/>
              </w:rPr>
              <w:t>3</w:t>
            </w:r>
          </w:p>
        </w:tc>
        <w:tc>
          <w:tcPr>
            <w:tcW w:w="501" w:type="dxa"/>
            <w:gridSpan w:val="3"/>
            <w:vAlign w:val="center"/>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264</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30</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3</w:t>
            </w:r>
          </w:p>
        </w:tc>
        <w:tc>
          <w:tcPr>
            <w:tcW w:w="1131" w:type="dxa"/>
            <w:gridSpan w:val="3"/>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136</w:t>
            </w:r>
          </w:p>
        </w:tc>
        <w:tc>
          <w:tcPr>
            <w:tcW w:w="812" w:type="dxa"/>
            <w:gridSpan w:val="3"/>
            <w:vAlign w:val="bottom"/>
          </w:tcPr>
          <w:p w:rsidR="00DE7BE3" w:rsidRPr="00DE6CF3" w:rsidRDefault="00DE7BE3" w:rsidP="006702E7">
            <w:pPr>
              <w:jc w:val="center"/>
              <w:rPr>
                <w:rFonts w:ascii="Book Antiqua" w:eastAsia="Times New Roman" w:hAnsi="Book Antiqua" w:cs="Calibri"/>
                <w:color w:val="000000"/>
                <w:sz w:val="24"/>
                <w:szCs w:val="24"/>
              </w:rPr>
            </w:pPr>
            <w:r w:rsidRPr="00DE6CF3">
              <w:rPr>
                <w:rFonts w:ascii="Book Antiqua" w:hAnsi="Book Antiqua" w:cs="Calibri"/>
                <w:color w:val="000000"/>
                <w:sz w:val="24"/>
                <w:szCs w:val="24"/>
              </w:rPr>
              <w:t>4</w:t>
            </w:r>
          </w:p>
        </w:tc>
      </w:tr>
      <w:tr w:rsidR="00DE7BE3" w:rsidRPr="0005564C" w:rsidTr="006702E7">
        <w:trPr>
          <w:gridAfter w:val="1"/>
          <w:wAfter w:w="7" w:type="dxa"/>
          <w:trHeight w:val="300"/>
        </w:trPr>
        <w:tc>
          <w:tcPr>
            <w:tcW w:w="2610" w:type="dxa"/>
            <w:gridSpan w:val="2"/>
            <w:noWrap/>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 xml:space="preserve">Grapes, </w:t>
            </w:r>
            <w:r w:rsidRPr="0005564C">
              <w:rPr>
                <w:rFonts w:ascii="Book Antiqua" w:eastAsia="Times New Roman" w:hAnsi="Book Antiqua" w:cs="Calibri"/>
                <w:color w:val="000000"/>
                <w:sz w:val="24"/>
                <w:szCs w:val="24"/>
              </w:rPr>
              <w:t>wine</w:t>
            </w:r>
          </w:p>
        </w:tc>
        <w:tc>
          <w:tcPr>
            <w:tcW w:w="593" w:type="dxa"/>
            <w:gridSpan w:val="2"/>
            <w:vAlign w:val="bottom"/>
          </w:tcPr>
          <w:p w:rsidR="00DE7BE3" w:rsidRPr="00DE6CF3" w:rsidRDefault="00DE7BE3" w:rsidP="006702E7">
            <w:pPr>
              <w:jc w:val="center"/>
              <w:rPr>
                <w:rFonts w:ascii="Book Antiqua" w:eastAsia="Times New Roman" w:hAnsi="Book Antiqua" w:cs="Calibri"/>
                <w:color w:val="000000"/>
                <w:sz w:val="24"/>
                <w:szCs w:val="24"/>
              </w:rPr>
            </w:pPr>
            <w:r w:rsidRPr="00DE6CF3">
              <w:rPr>
                <w:rFonts w:ascii="Book Antiqua" w:hAnsi="Book Antiqua" w:cs="Calibri"/>
                <w:color w:val="000000"/>
                <w:sz w:val="24"/>
                <w:szCs w:val="24"/>
              </w:rPr>
              <w:t>113</w:t>
            </w:r>
          </w:p>
        </w:tc>
        <w:tc>
          <w:tcPr>
            <w:tcW w:w="937" w:type="dxa"/>
            <w:gridSpan w:val="2"/>
            <w:vAlign w:val="bottom"/>
          </w:tcPr>
          <w:p w:rsidR="00DE7BE3" w:rsidRPr="007C63F3" w:rsidRDefault="00DE7BE3" w:rsidP="006702E7">
            <w:pPr>
              <w:jc w:val="center"/>
              <w:rPr>
                <w:rFonts w:ascii="Book Antiqua" w:eastAsia="Times New Roman" w:hAnsi="Book Antiqua" w:cs="Calibri"/>
                <w:color w:val="000000"/>
                <w:sz w:val="24"/>
                <w:szCs w:val="24"/>
              </w:rPr>
            </w:pPr>
            <w:r w:rsidRPr="007C63F3">
              <w:rPr>
                <w:rFonts w:ascii="Book Antiqua" w:hAnsi="Book Antiqua" w:cs="Calibri"/>
                <w:color w:val="000000"/>
                <w:sz w:val="24"/>
                <w:szCs w:val="24"/>
              </w:rPr>
              <w:t>9</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155</w:t>
            </w:r>
          </w:p>
        </w:tc>
        <w:tc>
          <w:tcPr>
            <w:tcW w:w="760"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265</w:t>
            </w:r>
          </w:p>
        </w:tc>
        <w:tc>
          <w:tcPr>
            <w:tcW w:w="65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183</w:t>
            </w:r>
          </w:p>
        </w:tc>
        <w:tc>
          <w:tcPr>
            <w:tcW w:w="69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442</w:t>
            </w:r>
          </w:p>
        </w:tc>
        <w:tc>
          <w:tcPr>
            <w:tcW w:w="697"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625</w:t>
            </w:r>
          </w:p>
        </w:tc>
        <w:tc>
          <w:tcPr>
            <w:tcW w:w="57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141</w:t>
            </w:r>
          </w:p>
        </w:tc>
        <w:tc>
          <w:tcPr>
            <w:tcW w:w="456" w:type="dxa"/>
            <w:vAlign w:val="bottom"/>
          </w:tcPr>
          <w:p w:rsidR="00DE7BE3" w:rsidRPr="00EB55D0" w:rsidRDefault="00DE7BE3" w:rsidP="006702E7">
            <w:pPr>
              <w:jc w:val="center"/>
              <w:rPr>
                <w:rFonts w:ascii="Book Antiqua" w:eastAsia="Times New Roman" w:hAnsi="Book Antiqua" w:cs="Calibri"/>
                <w:color w:val="000000"/>
                <w:sz w:val="24"/>
                <w:szCs w:val="24"/>
              </w:rPr>
            </w:pPr>
            <w:r w:rsidRPr="00EB55D0">
              <w:rPr>
                <w:rFonts w:ascii="Book Antiqua" w:hAnsi="Book Antiqua" w:cs="Calibri"/>
                <w:color w:val="000000"/>
                <w:sz w:val="24"/>
                <w:szCs w:val="24"/>
              </w:rPr>
              <w:t>0</w:t>
            </w:r>
          </w:p>
        </w:tc>
        <w:tc>
          <w:tcPr>
            <w:tcW w:w="501" w:type="dxa"/>
            <w:gridSpan w:val="3"/>
            <w:vAlign w:val="center"/>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599</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264</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143</w:t>
            </w:r>
          </w:p>
        </w:tc>
        <w:tc>
          <w:tcPr>
            <w:tcW w:w="1131" w:type="dxa"/>
            <w:gridSpan w:val="3"/>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160</w:t>
            </w:r>
          </w:p>
        </w:tc>
        <w:tc>
          <w:tcPr>
            <w:tcW w:w="812" w:type="dxa"/>
            <w:gridSpan w:val="3"/>
            <w:vAlign w:val="bottom"/>
          </w:tcPr>
          <w:p w:rsidR="00DE7BE3" w:rsidRPr="00DE6CF3" w:rsidRDefault="00DE7BE3" w:rsidP="006702E7">
            <w:pPr>
              <w:jc w:val="center"/>
              <w:rPr>
                <w:rFonts w:ascii="Book Antiqua" w:eastAsia="Times New Roman" w:hAnsi="Book Antiqua" w:cs="Calibri"/>
                <w:color w:val="000000"/>
                <w:sz w:val="24"/>
                <w:szCs w:val="24"/>
              </w:rPr>
            </w:pPr>
            <w:r w:rsidRPr="00DE6CF3">
              <w:rPr>
                <w:rFonts w:ascii="Book Antiqua" w:hAnsi="Book Antiqua" w:cs="Calibri"/>
                <w:color w:val="000000"/>
                <w:sz w:val="24"/>
                <w:szCs w:val="24"/>
              </w:rPr>
              <w:t>69</w:t>
            </w:r>
          </w:p>
        </w:tc>
      </w:tr>
    </w:tbl>
    <w:p w:rsidR="00FE654E" w:rsidRDefault="00FE654E" w:rsidP="00903414">
      <w:pPr>
        <w:pStyle w:val="ListParagraph"/>
        <w:tabs>
          <w:tab w:val="left" w:pos="3345"/>
        </w:tabs>
        <w:ind w:left="0"/>
        <w:rPr>
          <w:rFonts w:ascii="Book Antiqua" w:hAnsi="Book Antiqua"/>
          <w:b/>
          <w:sz w:val="24"/>
          <w:szCs w:val="24"/>
        </w:rPr>
      </w:pPr>
    </w:p>
    <w:p w:rsidR="000F4971" w:rsidRDefault="000F4971" w:rsidP="000F4971">
      <w:pPr>
        <w:tabs>
          <w:tab w:val="left" w:pos="1245"/>
        </w:tabs>
        <w:spacing w:after="0" w:line="240" w:lineRule="auto"/>
        <w:rPr>
          <w:rFonts w:ascii="Book Antiqua" w:hAnsi="Book Antiqua"/>
          <w:sz w:val="24"/>
          <w:szCs w:val="24"/>
        </w:rPr>
      </w:pPr>
      <w:r>
        <w:rPr>
          <w:rFonts w:ascii="Book Antiqua" w:hAnsi="Book Antiqua"/>
          <w:noProof/>
          <w:sz w:val="24"/>
          <w:szCs w:val="24"/>
        </w:rPr>
        <w:lastRenderedPageBreak/>
        <w:drawing>
          <wp:inline distT="0" distB="0" distL="0" distR="0" wp14:anchorId="0D499E01" wp14:editId="5C3F47EE">
            <wp:extent cx="7346969" cy="566928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W.by.crop.6.6.18.tif"/>
                    <pic:cNvPicPr/>
                  </pic:nvPicPr>
                  <pic:blipFill>
                    <a:blip r:embed="rId4" cstate="print">
                      <a:extLst>
                        <a:ext uri="{28A0092B-C50C-407E-A947-70E740481C1C}">
                          <a14:useLocalDpi xmlns:a14="http://schemas.microsoft.com/office/drawing/2010/main" val="0"/>
                        </a:ext>
                      </a:extLst>
                    </a:blip>
                    <a:stretch>
                      <a:fillRect/>
                    </a:stretch>
                  </pic:blipFill>
                  <pic:spPr>
                    <a:xfrm>
                      <a:off x="0" y="0"/>
                      <a:ext cx="7346969" cy="5669280"/>
                    </a:xfrm>
                    <a:prstGeom prst="rect">
                      <a:avLst/>
                    </a:prstGeom>
                  </pic:spPr>
                </pic:pic>
              </a:graphicData>
            </a:graphic>
          </wp:inline>
        </w:drawing>
      </w:r>
    </w:p>
    <w:p w:rsidR="000F4971" w:rsidRPr="00950FF1" w:rsidRDefault="000F4971" w:rsidP="000F4971">
      <w:pPr>
        <w:spacing w:after="0" w:line="240" w:lineRule="auto"/>
        <w:rPr>
          <w:rFonts w:ascii="Book Antiqua" w:hAnsi="Book Antiqua"/>
          <w:sz w:val="24"/>
          <w:szCs w:val="24"/>
        </w:rPr>
      </w:pPr>
      <w:r>
        <w:rPr>
          <w:rFonts w:ascii="Book Antiqua" w:hAnsi="Book Antiqua"/>
          <w:sz w:val="24"/>
          <w:szCs w:val="24"/>
        </w:rPr>
        <w:t>Figure 7A-E.  Average green water availability by crop.  Class breaks are at the 20</w:t>
      </w:r>
      <w:r w:rsidRPr="00E66C0D">
        <w:rPr>
          <w:rFonts w:ascii="Book Antiqua" w:hAnsi="Book Antiqua"/>
          <w:sz w:val="24"/>
          <w:szCs w:val="24"/>
          <w:vertAlign w:val="superscript"/>
        </w:rPr>
        <w:t>th</w:t>
      </w:r>
      <w:r>
        <w:rPr>
          <w:rFonts w:ascii="Book Antiqua" w:hAnsi="Book Antiqua"/>
          <w:sz w:val="24"/>
          <w:szCs w:val="24"/>
        </w:rPr>
        <w:t>, 40</w:t>
      </w:r>
      <w:r w:rsidRPr="00E66C0D">
        <w:rPr>
          <w:rFonts w:ascii="Book Antiqua" w:hAnsi="Book Antiqua"/>
          <w:sz w:val="24"/>
          <w:szCs w:val="24"/>
          <w:vertAlign w:val="superscript"/>
        </w:rPr>
        <w:t>th</w:t>
      </w:r>
      <w:r>
        <w:rPr>
          <w:rFonts w:ascii="Book Antiqua" w:hAnsi="Book Antiqua"/>
          <w:sz w:val="24"/>
          <w:szCs w:val="24"/>
        </w:rPr>
        <w:t>, 60</w:t>
      </w:r>
      <w:r w:rsidRPr="00E66C0D">
        <w:rPr>
          <w:rFonts w:ascii="Book Antiqua" w:hAnsi="Book Antiqua"/>
          <w:sz w:val="24"/>
          <w:szCs w:val="24"/>
          <w:vertAlign w:val="superscript"/>
        </w:rPr>
        <w:t>th</w:t>
      </w:r>
      <w:r>
        <w:rPr>
          <w:rFonts w:ascii="Book Antiqua" w:hAnsi="Book Antiqua"/>
          <w:sz w:val="24"/>
          <w:szCs w:val="24"/>
        </w:rPr>
        <w:t>, and 80</w:t>
      </w:r>
      <w:r w:rsidRPr="00E66C0D">
        <w:rPr>
          <w:rFonts w:ascii="Book Antiqua" w:hAnsi="Book Antiqua"/>
          <w:sz w:val="24"/>
          <w:szCs w:val="24"/>
          <w:vertAlign w:val="superscript"/>
        </w:rPr>
        <w:t>th</w:t>
      </w:r>
      <w:r>
        <w:rPr>
          <w:rFonts w:ascii="Book Antiqua" w:hAnsi="Book Antiqua"/>
          <w:sz w:val="24"/>
          <w:szCs w:val="24"/>
        </w:rPr>
        <w:t xml:space="preserve"> percentiles by area.</w:t>
      </w:r>
    </w:p>
    <w:p w:rsidR="000F4971" w:rsidRDefault="000F4971" w:rsidP="000F4971">
      <w:pPr>
        <w:tabs>
          <w:tab w:val="left" w:pos="1245"/>
        </w:tabs>
        <w:spacing w:after="0" w:line="240" w:lineRule="auto"/>
        <w:rPr>
          <w:rFonts w:ascii="Book Antiqua" w:hAnsi="Book Antiqua"/>
          <w:sz w:val="24"/>
          <w:szCs w:val="24"/>
        </w:rPr>
      </w:pPr>
      <w:r>
        <w:rPr>
          <w:rFonts w:ascii="Book Antiqua" w:hAnsi="Book Antiqua"/>
          <w:noProof/>
          <w:sz w:val="24"/>
          <w:szCs w:val="24"/>
        </w:rPr>
        <w:lastRenderedPageBreak/>
        <w:drawing>
          <wp:inline distT="0" distB="0" distL="0" distR="0" wp14:anchorId="02B75ED0" wp14:editId="4FBD13E0">
            <wp:extent cx="7346969" cy="5669280"/>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W.by.crop.6.6.18.tif"/>
                    <pic:cNvPicPr/>
                  </pic:nvPicPr>
                  <pic:blipFill>
                    <a:blip r:embed="rId5" cstate="print">
                      <a:extLst>
                        <a:ext uri="{28A0092B-C50C-407E-A947-70E740481C1C}">
                          <a14:useLocalDpi xmlns:a14="http://schemas.microsoft.com/office/drawing/2010/main" val="0"/>
                        </a:ext>
                      </a:extLst>
                    </a:blip>
                    <a:stretch>
                      <a:fillRect/>
                    </a:stretch>
                  </pic:blipFill>
                  <pic:spPr>
                    <a:xfrm>
                      <a:off x="0" y="0"/>
                      <a:ext cx="7346969" cy="5669280"/>
                    </a:xfrm>
                    <a:prstGeom prst="rect">
                      <a:avLst/>
                    </a:prstGeom>
                  </pic:spPr>
                </pic:pic>
              </a:graphicData>
            </a:graphic>
          </wp:inline>
        </w:drawing>
      </w:r>
    </w:p>
    <w:p w:rsidR="000F4971" w:rsidRPr="00E66C0D" w:rsidRDefault="000F4971" w:rsidP="000F4971">
      <w:pPr>
        <w:spacing w:after="0" w:line="240" w:lineRule="auto"/>
        <w:rPr>
          <w:rFonts w:ascii="Book Antiqua" w:hAnsi="Book Antiqua"/>
          <w:sz w:val="24"/>
          <w:szCs w:val="24"/>
        </w:rPr>
      </w:pPr>
      <w:r>
        <w:rPr>
          <w:rFonts w:ascii="Book Antiqua" w:hAnsi="Book Antiqua"/>
          <w:sz w:val="24"/>
          <w:szCs w:val="24"/>
        </w:rPr>
        <w:t>Figure 8A-E.  Average blue water demand by crop.  Class breaks are at the 20</w:t>
      </w:r>
      <w:r w:rsidRPr="00E66C0D">
        <w:rPr>
          <w:rFonts w:ascii="Book Antiqua" w:hAnsi="Book Antiqua"/>
          <w:sz w:val="24"/>
          <w:szCs w:val="24"/>
          <w:vertAlign w:val="superscript"/>
        </w:rPr>
        <w:t>th</w:t>
      </w:r>
      <w:r>
        <w:rPr>
          <w:rFonts w:ascii="Book Antiqua" w:hAnsi="Book Antiqua"/>
          <w:sz w:val="24"/>
          <w:szCs w:val="24"/>
        </w:rPr>
        <w:t>, 40</w:t>
      </w:r>
      <w:r w:rsidRPr="00E66C0D">
        <w:rPr>
          <w:rFonts w:ascii="Book Antiqua" w:hAnsi="Book Antiqua"/>
          <w:sz w:val="24"/>
          <w:szCs w:val="24"/>
          <w:vertAlign w:val="superscript"/>
        </w:rPr>
        <w:t>th</w:t>
      </w:r>
      <w:r>
        <w:rPr>
          <w:rFonts w:ascii="Book Antiqua" w:hAnsi="Book Antiqua"/>
          <w:sz w:val="24"/>
          <w:szCs w:val="24"/>
        </w:rPr>
        <w:t>, 60</w:t>
      </w:r>
      <w:r w:rsidRPr="00E66C0D">
        <w:rPr>
          <w:rFonts w:ascii="Book Antiqua" w:hAnsi="Book Antiqua"/>
          <w:sz w:val="24"/>
          <w:szCs w:val="24"/>
          <w:vertAlign w:val="superscript"/>
        </w:rPr>
        <w:t>th</w:t>
      </w:r>
      <w:r>
        <w:rPr>
          <w:rFonts w:ascii="Book Antiqua" w:hAnsi="Book Antiqua"/>
          <w:sz w:val="24"/>
          <w:szCs w:val="24"/>
        </w:rPr>
        <w:t>, and 80</w:t>
      </w:r>
      <w:r w:rsidRPr="00E66C0D">
        <w:rPr>
          <w:rFonts w:ascii="Book Antiqua" w:hAnsi="Book Antiqua"/>
          <w:sz w:val="24"/>
          <w:szCs w:val="24"/>
          <w:vertAlign w:val="superscript"/>
        </w:rPr>
        <w:t>th</w:t>
      </w:r>
      <w:r>
        <w:rPr>
          <w:rFonts w:ascii="Book Antiqua" w:hAnsi="Book Antiqua"/>
          <w:sz w:val="24"/>
          <w:szCs w:val="24"/>
        </w:rPr>
        <w:t xml:space="preserve"> percentiles by area.</w:t>
      </w:r>
    </w:p>
    <w:p w:rsidR="00FE654E" w:rsidRDefault="00FE654E" w:rsidP="00903414">
      <w:pPr>
        <w:pStyle w:val="ListParagraph"/>
        <w:tabs>
          <w:tab w:val="left" w:pos="3345"/>
        </w:tabs>
        <w:ind w:left="0"/>
        <w:rPr>
          <w:rFonts w:ascii="Book Antiqua" w:hAnsi="Book Antiqua"/>
          <w:b/>
          <w:sz w:val="24"/>
          <w:szCs w:val="24"/>
        </w:rPr>
        <w:sectPr w:rsidR="00FE654E" w:rsidSect="00903414">
          <w:pgSz w:w="15840" w:h="12240" w:orient="landscape"/>
          <w:pgMar w:top="1440" w:right="1440" w:bottom="1440" w:left="1440" w:header="720" w:footer="720" w:gutter="0"/>
          <w:cols w:space="720"/>
          <w:docGrid w:linePitch="360"/>
        </w:sectPr>
      </w:pPr>
    </w:p>
    <w:p w:rsidR="000F4971" w:rsidRDefault="000F4971" w:rsidP="000F4971">
      <w:pPr>
        <w:pStyle w:val="ListParagraph"/>
        <w:spacing w:after="0" w:line="240" w:lineRule="auto"/>
        <w:ind w:left="0"/>
        <w:rPr>
          <w:rFonts w:ascii="Book Antiqua" w:hAnsi="Book Antiqua"/>
          <w:sz w:val="24"/>
          <w:szCs w:val="24"/>
        </w:rPr>
      </w:pPr>
      <w:r>
        <w:rPr>
          <w:noProof/>
        </w:rPr>
        <w:lastRenderedPageBreak/>
        <w:drawing>
          <wp:inline distT="0" distB="0" distL="0" distR="0" wp14:anchorId="41C151FA" wp14:editId="3072CAC6">
            <wp:extent cx="5943600" cy="3962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0F4971" w:rsidRDefault="000F4971" w:rsidP="000F4971"/>
    <w:p w:rsidR="000F4971" w:rsidRPr="00903414" w:rsidRDefault="000F4971" w:rsidP="000F4971">
      <w:pPr>
        <w:spacing w:after="120" w:line="264" w:lineRule="auto"/>
        <w:rPr>
          <w:rFonts w:ascii="Book Antiqua" w:hAnsi="Book Antiqua"/>
          <w:sz w:val="24"/>
          <w:szCs w:val="24"/>
        </w:rPr>
      </w:pPr>
      <w:r w:rsidRPr="00C64C10">
        <w:rPr>
          <w:rFonts w:ascii="Book Antiqua" w:hAnsi="Book Antiqua"/>
          <w:b/>
          <w:sz w:val="24"/>
          <w:szCs w:val="24"/>
        </w:rPr>
        <w:t>Figure 10.</w:t>
      </w:r>
      <w:r>
        <w:rPr>
          <w:rFonts w:ascii="Book Antiqua" w:hAnsi="Book Antiqua"/>
          <w:sz w:val="24"/>
          <w:szCs w:val="24"/>
        </w:rPr>
        <w:t xml:space="preserve"> Mean green water availability vs. mean allowable depletion for each of the 12 soil reservoir scenarios by crop</w:t>
      </w:r>
    </w:p>
    <w:p w:rsidR="000F4971" w:rsidRDefault="000F4971" w:rsidP="00FE654E">
      <w:pPr>
        <w:spacing w:after="0" w:line="480" w:lineRule="auto"/>
        <w:ind w:firstLine="720"/>
        <w:rPr>
          <w:rFonts w:ascii="Book Antiqua" w:hAnsi="Book Antiqua"/>
          <w:sz w:val="24"/>
          <w:szCs w:val="24"/>
        </w:rPr>
      </w:pPr>
    </w:p>
    <w:p w:rsidR="00785D4F" w:rsidRPr="00785D4F" w:rsidRDefault="00785D4F" w:rsidP="00785D4F">
      <w:pPr>
        <w:spacing w:after="0" w:line="480" w:lineRule="auto"/>
        <w:rPr>
          <w:rFonts w:ascii="Book Antiqua" w:hAnsi="Book Antiqua"/>
          <w:i/>
          <w:sz w:val="24"/>
          <w:szCs w:val="24"/>
        </w:rPr>
      </w:pPr>
      <w:r>
        <w:rPr>
          <w:rFonts w:ascii="Book Antiqua" w:hAnsi="Book Antiqua"/>
          <w:i/>
          <w:sz w:val="24"/>
          <w:szCs w:val="24"/>
        </w:rPr>
        <w:t>Discussion</w:t>
      </w:r>
    </w:p>
    <w:p w:rsidR="00785D4F" w:rsidRDefault="00785D4F" w:rsidP="00785D4F">
      <w:pPr>
        <w:spacing w:after="0" w:line="480" w:lineRule="auto"/>
        <w:ind w:firstLine="720"/>
        <w:rPr>
          <w:rFonts w:ascii="Book Antiqua" w:hAnsi="Book Antiqua"/>
          <w:sz w:val="24"/>
          <w:szCs w:val="24"/>
        </w:rPr>
      </w:pPr>
      <w:r>
        <w:rPr>
          <w:rFonts w:ascii="Book Antiqua" w:hAnsi="Book Antiqua"/>
          <w:sz w:val="24"/>
          <w:szCs w:val="24"/>
        </w:rPr>
        <w:t>Green water availability varied widely by crops with pistachios having extremely low values of 5.8 cm yr</w:t>
      </w:r>
      <w:r>
        <w:rPr>
          <w:rFonts w:ascii="Book Antiqua" w:hAnsi="Book Antiqua"/>
          <w:sz w:val="24"/>
          <w:szCs w:val="24"/>
          <w:vertAlign w:val="superscript"/>
        </w:rPr>
        <w:t>-1</w:t>
      </w:r>
      <w:r>
        <w:rPr>
          <w:rFonts w:ascii="Book Antiqua" w:hAnsi="Book Antiqua"/>
          <w:sz w:val="24"/>
          <w:szCs w:val="24"/>
        </w:rPr>
        <w:t xml:space="preserve"> in Imperial Valley alfalfa to the highest 22.3 cm yr</w:t>
      </w:r>
      <w:r>
        <w:rPr>
          <w:rFonts w:ascii="Book Antiqua" w:hAnsi="Book Antiqua"/>
          <w:sz w:val="24"/>
          <w:szCs w:val="24"/>
          <w:vertAlign w:val="superscript"/>
        </w:rPr>
        <w:t>-1</w:t>
      </w:r>
      <w:r>
        <w:rPr>
          <w:rFonts w:ascii="Book Antiqua" w:hAnsi="Book Antiqua"/>
          <w:sz w:val="24"/>
          <w:szCs w:val="24"/>
        </w:rPr>
        <w:t xml:space="preserve"> in Central Valley alfalfa in the moderate scenario.  The proportion of growing season ET met by green water was highest in wine grapes, 23-29% in the moderate-to-deep scenario. </w:t>
      </w:r>
      <w:r w:rsidRPr="00746E69">
        <w:rPr>
          <w:rFonts w:ascii="Book Antiqua" w:hAnsi="Book Antiqua"/>
          <w:sz w:val="24"/>
          <w:szCs w:val="24"/>
        </w:rPr>
        <w:t>Crop</w:t>
      </w:r>
      <w:r>
        <w:rPr>
          <w:rFonts w:ascii="Book Antiqua" w:hAnsi="Book Antiqua"/>
          <w:sz w:val="24"/>
          <w:szCs w:val="24"/>
        </w:rPr>
        <w:t xml:space="preserve"> specific results also demonstrate the simple principle that the more each perennial crop’s growing season overlaps the rainy season, the higher percentage of precipitation will be utilized as green water.  An actively growing crop decreases </w:t>
      </w:r>
      <w:r>
        <w:rPr>
          <w:rFonts w:ascii="Book Antiqua" w:hAnsi="Book Antiqua"/>
          <w:sz w:val="24"/>
          <w:szCs w:val="24"/>
        </w:rPr>
        <w:lastRenderedPageBreak/>
        <w:t>surface soil evaporation of winter precipitation and deep percolation.  Finally, the green water resource ranges widely for each crop’s geographic range (Figure 7A-E), generally following orographic and latitudinal gradients in precipitation (Figure 4A).  In conclusion, e</w:t>
      </w:r>
      <w:r w:rsidRPr="00AB0D27">
        <w:rPr>
          <w:rFonts w:ascii="Book Antiqua" w:hAnsi="Book Antiqua"/>
          <w:sz w:val="24"/>
          <w:szCs w:val="24"/>
        </w:rPr>
        <w:t>ach crop</w:t>
      </w:r>
      <w:r>
        <w:rPr>
          <w:rFonts w:ascii="Book Antiqua" w:hAnsi="Book Antiqua"/>
          <w:sz w:val="24"/>
          <w:szCs w:val="24"/>
        </w:rPr>
        <w:t xml:space="preserve"> </w:t>
      </w:r>
      <w:r w:rsidRPr="00AB0D27">
        <w:rPr>
          <w:rFonts w:ascii="Book Antiqua" w:hAnsi="Book Antiqua"/>
          <w:sz w:val="24"/>
          <w:szCs w:val="24"/>
        </w:rPr>
        <w:t xml:space="preserve">could not be managed as a monolithic block </w:t>
      </w:r>
      <w:r>
        <w:rPr>
          <w:rFonts w:ascii="Book Antiqua" w:hAnsi="Book Antiqua"/>
          <w:sz w:val="24"/>
          <w:szCs w:val="24"/>
        </w:rPr>
        <w:t>to optimize use of green water, given the wide range in climate and soil combinations.  Thus, irrigation management would need to adapt to each new water year for the same location.</w:t>
      </w:r>
    </w:p>
    <w:p w:rsidR="00CA65B1" w:rsidRDefault="00CA65B1" w:rsidP="00CA65B1">
      <w:pPr>
        <w:spacing w:after="0" w:line="480" w:lineRule="auto"/>
        <w:ind w:firstLine="720"/>
        <w:rPr>
          <w:rFonts w:ascii="Book Antiqua" w:hAnsi="Book Antiqua"/>
          <w:sz w:val="24"/>
          <w:szCs w:val="24"/>
        </w:rPr>
      </w:pPr>
      <w:r>
        <w:rPr>
          <w:rFonts w:ascii="Book Antiqua" w:hAnsi="Book Antiqua"/>
          <w:sz w:val="24"/>
          <w:szCs w:val="24"/>
        </w:rPr>
        <w:t xml:space="preserve">Such empirical evidence of irrigation frequency driven increases in blue water consumption may also be evident in the amplification of the almond Kc curve the past several decades (Figure 9).  While amplification of the crop coefficient curve is likely at least partially due to canopy management that favors fuller, denser canopies </w:t>
      </w:r>
      <w:r>
        <w:rPr>
          <w:rFonts w:ascii="Book Antiqua" w:hAnsi="Book Antiqua"/>
          <w:sz w:val="24"/>
          <w:szCs w:val="24"/>
        </w:rPr>
        <w:fldChar w:fldCharType="begin"/>
      </w:r>
      <w:r>
        <w:rPr>
          <w:rFonts w:ascii="Book Antiqua" w:hAnsi="Book Antiqua"/>
          <w:sz w:val="24"/>
          <w:szCs w:val="24"/>
        </w:rPr>
        <w:instrText xml:space="preserve"> ADDIN EN.CITE &lt;EndNote&gt;&lt;Cite&gt;&lt;Author&gt;Sanden&lt;/Author&gt;&lt;Year&gt;2007&lt;/Year&gt;&lt;RecNum&gt;93&lt;/RecNum&gt;&lt;DisplayText&gt;(Sanden, 2007)&lt;/DisplayText&gt;&lt;record&gt;&lt;rec-number&gt;93&lt;/rec-number&gt;&lt;foreign-keys&gt;&lt;key app="EN" db-id="2tfpxazrmtffffesffn5trrp2z50pft0dtds" timestamp="1487892117"&gt;93&lt;/key&gt;&lt;/foreign-keys&gt;&lt;ref-type name="Report"&gt;27&lt;/ref-type&gt;&lt;contributors&gt;&lt;authors&gt;&lt;author&gt;B Sanden&lt;/author&gt;&lt;/authors&gt;&lt;/contributors&gt;&lt;titles&gt;&lt;title&gt;Fall irrigation management in a drought year for almonds&lt;/title&gt;&lt;secondary-title&gt;Kern Soil and Water&lt;/secondary-title&gt;&lt;/titles&gt;&lt;dates&gt;&lt;year&gt;2007&lt;/year&gt;&lt;/dates&gt;&lt;pub-location&gt;Bakersfield, CA&lt;/pub-location&gt;&lt;publisher&gt;University of California Cooperative Extension&lt;/publisher&gt;&lt;urls&gt;&lt;/urls&gt;&lt;/record&gt;&lt;/Cite&gt;&lt;/EndNote&gt;</w:instrText>
      </w:r>
      <w:r>
        <w:rPr>
          <w:rFonts w:ascii="Book Antiqua" w:hAnsi="Book Antiqua"/>
          <w:sz w:val="24"/>
          <w:szCs w:val="24"/>
        </w:rPr>
        <w:fldChar w:fldCharType="separate"/>
      </w:r>
      <w:r>
        <w:rPr>
          <w:rFonts w:ascii="Book Antiqua" w:hAnsi="Book Antiqua"/>
          <w:noProof/>
          <w:sz w:val="24"/>
          <w:szCs w:val="24"/>
        </w:rPr>
        <w:t>(Sanden, 2007)</w:t>
      </w:r>
      <w:r>
        <w:rPr>
          <w:rFonts w:ascii="Book Antiqua" w:hAnsi="Book Antiqua"/>
          <w:sz w:val="24"/>
          <w:szCs w:val="24"/>
        </w:rPr>
        <w:fldChar w:fldCharType="end"/>
      </w:r>
      <w:r>
        <w:rPr>
          <w:rFonts w:ascii="Book Antiqua" w:hAnsi="Book Antiqua"/>
          <w:sz w:val="24"/>
          <w:szCs w:val="24"/>
        </w:rPr>
        <w:t xml:space="preserve">, the trend is speculated to be driven by increases in irrigation frequency in the experiments or monitoring sites </w:t>
      </w:r>
      <w:r>
        <w:rPr>
          <w:rFonts w:ascii="Book Antiqua" w:hAnsi="Book Antiqua"/>
          <w:sz w:val="24"/>
          <w:szCs w:val="24"/>
        </w:rPr>
        <w:fldChar w:fldCharType="begin"/>
      </w:r>
      <w:r>
        <w:rPr>
          <w:rFonts w:ascii="Book Antiqua" w:hAnsi="Book Antiqua"/>
          <w:sz w:val="24"/>
          <w:szCs w:val="24"/>
        </w:rPr>
        <w:instrText xml:space="preserve"> ADDIN EN.CITE &lt;EndNote&gt;&lt;Cite&gt;&lt;Author&gt;Steduto&lt;/Author&gt;&lt;Year&gt;2012&lt;/Year&gt;&lt;RecNum&gt;66&lt;/RecNum&gt;&lt;DisplayText&gt;(Steduto&lt;style face="italic"&gt; et al.&lt;/style&gt;, 2012)&lt;/DisplayText&gt;&lt;record&gt;&lt;rec-number&gt;66&lt;/rec-number&gt;&lt;foreign-keys&gt;&lt;key app="EN" db-id="2tfpxazrmtffffesffn5trrp2z50pft0dtds" timestamp="1487892117"&gt;66&lt;/key&gt;&lt;/foreign-keys&gt;&lt;ref-type name="Government Document"&gt;46&lt;/ref-type&gt;&lt;contributors&gt;&lt;authors&gt;&lt;author&gt;P Steduto&lt;/author&gt;&lt;author&gt;TC Hsiao&lt;/author&gt;&lt;author&gt;E Fereres&lt;/author&gt;&lt;author&gt;D Raes&lt;/author&gt;&lt;/authors&gt;&lt;/contributors&gt;&lt;titles&gt;&lt;title&gt;Crop yield response to water&lt;/title&gt;&lt;/titles&gt;&lt;dates&gt;&lt;year&gt;2012&lt;/year&gt;&lt;/dates&gt;&lt;pub-location&gt;Rome&lt;/pub-location&gt;&lt;publisher&gt;Food and Agriculture Organiziation of the United Nations&lt;/publisher&gt;&lt;urls&gt;&lt;/urls&gt;&lt;/record&gt;&lt;/Cite&gt;&lt;/EndNote&gt;</w:instrText>
      </w:r>
      <w:r>
        <w:rPr>
          <w:rFonts w:ascii="Book Antiqua" w:hAnsi="Book Antiqua"/>
          <w:sz w:val="24"/>
          <w:szCs w:val="24"/>
        </w:rPr>
        <w:fldChar w:fldCharType="separate"/>
      </w:r>
      <w:r>
        <w:rPr>
          <w:rFonts w:ascii="Book Antiqua" w:hAnsi="Book Antiqua"/>
          <w:noProof/>
          <w:sz w:val="24"/>
          <w:szCs w:val="24"/>
        </w:rPr>
        <w:t>(Steduto</w:t>
      </w:r>
      <w:r w:rsidRPr="00CD38CA">
        <w:rPr>
          <w:rFonts w:ascii="Book Antiqua" w:hAnsi="Book Antiqua"/>
          <w:i/>
          <w:noProof/>
          <w:sz w:val="24"/>
          <w:szCs w:val="24"/>
        </w:rPr>
        <w:t xml:space="preserve"> et al.</w:t>
      </w:r>
      <w:r>
        <w:rPr>
          <w:rFonts w:ascii="Book Antiqua" w:hAnsi="Book Antiqua"/>
          <w:noProof/>
          <w:sz w:val="24"/>
          <w:szCs w:val="24"/>
        </w:rPr>
        <w:t>, 2012)</w:t>
      </w:r>
      <w:r>
        <w:rPr>
          <w:rFonts w:ascii="Book Antiqua" w:hAnsi="Book Antiqua"/>
          <w:sz w:val="24"/>
          <w:szCs w:val="24"/>
        </w:rPr>
        <w:fldChar w:fldCharType="end"/>
      </w:r>
      <w:r>
        <w:rPr>
          <w:rFonts w:ascii="Book Antiqua" w:hAnsi="Book Antiqua"/>
          <w:sz w:val="24"/>
          <w:szCs w:val="24"/>
        </w:rPr>
        <w:t>.  Unfortunately, specifications of the irrigation methods used in crop coefficient studies are typically not documented, revealing a lack of research in how irrigation systems and practices also affect observed evapotranspira</w:t>
      </w:r>
      <w:bookmarkStart w:id="0" w:name="_GoBack"/>
      <w:bookmarkEnd w:id="0"/>
      <w:r>
        <w:rPr>
          <w:rFonts w:ascii="Book Antiqua" w:hAnsi="Book Antiqua"/>
          <w:sz w:val="24"/>
          <w:szCs w:val="24"/>
        </w:rPr>
        <w:t xml:space="preserve">tion rates. </w:t>
      </w:r>
    </w:p>
    <w:p w:rsidR="00CA65B1" w:rsidRDefault="00CA65B1" w:rsidP="00CA65B1">
      <w:pPr>
        <w:spacing w:after="0" w:line="480" w:lineRule="auto"/>
        <w:rPr>
          <w:rFonts w:ascii="Book Antiqua" w:hAnsi="Book Antiqua"/>
          <w:sz w:val="24"/>
          <w:szCs w:val="24"/>
        </w:rPr>
      </w:pPr>
      <w:r>
        <w:rPr>
          <w:noProof/>
        </w:rPr>
        <w:lastRenderedPageBreak/>
        <w:drawing>
          <wp:inline distT="0" distB="0" distL="0" distR="0" wp14:anchorId="21ED3AD0" wp14:editId="24F5FE4D">
            <wp:extent cx="5486400" cy="3291840"/>
            <wp:effectExtent l="0" t="0" r="0" b="381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CA65B1" w:rsidRDefault="00CA65B1" w:rsidP="00CA65B1">
      <w:pPr>
        <w:spacing w:after="0" w:line="240" w:lineRule="auto"/>
        <w:rPr>
          <w:rFonts w:ascii="Book Antiqua" w:hAnsi="Book Antiqua"/>
          <w:sz w:val="20"/>
          <w:szCs w:val="20"/>
        </w:rPr>
      </w:pPr>
      <w:r w:rsidRPr="00FF6D7C">
        <w:rPr>
          <w:rFonts w:ascii="Book Antiqua" w:hAnsi="Book Antiqua"/>
          <w:b/>
          <w:sz w:val="20"/>
          <w:szCs w:val="20"/>
        </w:rPr>
        <w:t>Figure 9.</w:t>
      </w:r>
      <w:r w:rsidRPr="00FF6D7C">
        <w:rPr>
          <w:rFonts w:ascii="Book Antiqua" w:hAnsi="Book Antiqua"/>
          <w:sz w:val="20"/>
          <w:szCs w:val="20"/>
        </w:rPr>
        <w:t xml:space="preserve"> Evolution of the almond single crop coefficient (K</w:t>
      </w:r>
      <w:r w:rsidRPr="00FF6D7C">
        <w:rPr>
          <w:rFonts w:ascii="Book Antiqua" w:hAnsi="Book Antiqua"/>
          <w:sz w:val="20"/>
          <w:szCs w:val="20"/>
          <w:vertAlign w:val="subscript"/>
        </w:rPr>
        <w:t>c</w:t>
      </w:r>
      <w:r w:rsidRPr="00FF6D7C">
        <w:rPr>
          <w:rFonts w:ascii="Book Antiqua" w:hAnsi="Book Antiqua"/>
          <w:sz w:val="20"/>
          <w:szCs w:val="20"/>
        </w:rPr>
        <w:t>) curve</w:t>
      </w:r>
      <w:r>
        <w:rPr>
          <w:rFonts w:ascii="Book Antiqua" w:hAnsi="Book Antiqua"/>
          <w:sz w:val="20"/>
          <w:szCs w:val="20"/>
        </w:rPr>
        <w:t>, reflecting increases in canopy coverage and possible irrigation frequency</w:t>
      </w:r>
    </w:p>
    <w:p w:rsidR="00CA65B1" w:rsidRDefault="00CA65B1" w:rsidP="00785D4F">
      <w:pPr>
        <w:spacing w:after="0" w:line="480" w:lineRule="auto"/>
        <w:ind w:firstLine="720"/>
        <w:rPr>
          <w:rFonts w:ascii="Book Antiqua" w:hAnsi="Book Antiqua"/>
          <w:sz w:val="24"/>
          <w:szCs w:val="24"/>
        </w:rPr>
      </w:pPr>
    </w:p>
    <w:p w:rsidR="00DA3E7D" w:rsidRDefault="00DE7BE3" w:rsidP="00903414">
      <w:pPr>
        <w:pStyle w:val="ListParagraph"/>
        <w:tabs>
          <w:tab w:val="left" w:pos="3345"/>
        </w:tabs>
        <w:ind w:left="0"/>
      </w:pPr>
      <w:r>
        <w:rPr>
          <w:rFonts w:ascii="Book Antiqua" w:hAnsi="Book Antiqua"/>
          <w:b/>
          <w:sz w:val="24"/>
          <w:szCs w:val="24"/>
        </w:rPr>
        <w:tab/>
      </w:r>
    </w:p>
    <w:sectPr w:rsidR="00DA3E7D" w:rsidSect="00FE65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7BE3"/>
    <w:rsid w:val="000F4971"/>
    <w:rsid w:val="00427144"/>
    <w:rsid w:val="00472027"/>
    <w:rsid w:val="006124CA"/>
    <w:rsid w:val="00667E1E"/>
    <w:rsid w:val="00775963"/>
    <w:rsid w:val="00785D4F"/>
    <w:rsid w:val="00903414"/>
    <w:rsid w:val="00A23E1D"/>
    <w:rsid w:val="00AC1FD2"/>
    <w:rsid w:val="00BA73CF"/>
    <w:rsid w:val="00CA65B1"/>
    <w:rsid w:val="00D005F4"/>
    <w:rsid w:val="00DE7BE3"/>
    <w:rsid w:val="00FE6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E500F"/>
  <w15:chartTrackingRefBased/>
  <w15:docId w15:val="{1FEA0FEC-B084-47FE-8A4B-102360ABA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7BE3"/>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7BE3"/>
    <w:pPr>
      <w:ind w:left="720"/>
      <w:contextualSpacing/>
    </w:pPr>
  </w:style>
  <w:style w:type="table" w:styleId="PlainTable2">
    <w:name w:val="Plain Table 2"/>
    <w:basedOn w:val="TableNormal"/>
    <w:uiPriority w:val="42"/>
    <w:rsid w:val="00DE7BE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EndNoteBibliographyTitle">
    <w:name w:val="EndNote Bibliography Title"/>
    <w:basedOn w:val="Normal"/>
    <w:link w:val="EndNoteBibliographyTitleChar"/>
    <w:rsid w:val="00DE7BE3"/>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DE7BE3"/>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chart" Target="charts/chart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hart" Target="charts/chart1.xml"/><Relationship Id="rId5" Type="http://schemas.openxmlformats.org/officeDocument/2006/relationships/image" Target="media/image2.tiff"/><Relationship Id="rId4" Type="http://schemas.openxmlformats.org/officeDocument/2006/relationships/image" Target="media/image1.tiff"/><Relationship Id="rId9"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smdevine\Desktop\Allowable_Depletion\dissertation\v2.results\excel%20files\GWdepth.vs.AD.allcrop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smdevine\Desktop\Water%20Resources%20Management\lit%20review%20-%20irrigation%20optimization\almonds%20galore\Almond%20Kc%20and%20ET%20calc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976007806716467"/>
          <c:y val="2.4348565500586724E-2"/>
          <c:w val="0.82818863988155322"/>
          <c:h val="0.66016076115485567"/>
        </c:manualLayout>
      </c:layout>
      <c:scatterChart>
        <c:scatterStyle val="lineMarker"/>
        <c:varyColors val="0"/>
        <c:ser>
          <c:idx val="0"/>
          <c:order val="0"/>
          <c:tx>
            <c:v>Walnuts</c:v>
          </c:tx>
          <c:spPr>
            <a:ln w="25400" cap="rnd">
              <a:noFill/>
              <a:round/>
            </a:ln>
            <a:effectLst/>
          </c:spPr>
          <c:marker>
            <c:symbol val="x"/>
            <c:size val="7"/>
            <c:spPr>
              <a:solidFill>
                <a:schemeClr val="accent4">
                  <a:lumMod val="75000"/>
                </a:schemeClr>
              </a:solidFill>
              <a:ln w="9525">
                <a:solidFill>
                  <a:schemeClr val="tx1"/>
                </a:solidFill>
              </a:ln>
              <a:effectLst/>
            </c:spPr>
          </c:marker>
          <c:xVal>
            <c:numRef>
              <c:f>[GWdepth.vs.AD.allcrops.xlsx]Sheet1!$D$2:$D$13</c:f>
              <c:numCache>
                <c:formatCode>General</c:formatCode>
                <c:ptCount val="12"/>
                <c:pt idx="0">
                  <c:v>22.606000000000002</c:v>
                </c:pt>
                <c:pt idx="1">
                  <c:v>37.591999999999999</c:v>
                </c:pt>
                <c:pt idx="2">
                  <c:v>44.195999999999998</c:v>
                </c:pt>
                <c:pt idx="3">
                  <c:v>59.944000000000003</c:v>
                </c:pt>
                <c:pt idx="4">
                  <c:v>73.406000000000006</c:v>
                </c:pt>
                <c:pt idx="5">
                  <c:v>85.09</c:v>
                </c:pt>
                <c:pt idx="6">
                  <c:v>117.602</c:v>
                </c:pt>
                <c:pt idx="7">
                  <c:v>126.746</c:v>
                </c:pt>
                <c:pt idx="8">
                  <c:v>141.98599999999999</c:v>
                </c:pt>
                <c:pt idx="9">
                  <c:v>211.328</c:v>
                </c:pt>
                <c:pt idx="10">
                  <c:v>227.07599999999999</c:v>
                </c:pt>
                <c:pt idx="11">
                  <c:v>338.07400000000001</c:v>
                </c:pt>
              </c:numCache>
            </c:numRef>
          </c:xVal>
          <c:yVal>
            <c:numRef>
              <c:f>[GWdepth.vs.AD.allcrops.xlsx]Sheet1!$C$2:$C$13</c:f>
              <c:numCache>
                <c:formatCode>General</c:formatCode>
                <c:ptCount val="12"/>
                <c:pt idx="0">
                  <c:v>111.74934935631973</c:v>
                </c:pt>
                <c:pt idx="1">
                  <c:v>129.76047876126282</c:v>
                </c:pt>
                <c:pt idx="2">
                  <c:v>148.70899036571967</c:v>
                </c:pt>
                <c:pt idx="3">
                  <c:v>143.2855647828186</c:v>
                </c:pt>
                <c:pt idx="4">
                  <c:v>178.03566203622179</c:v>
                </c:pt>
                <c:pt idx="5">
                  <c:v>195.24332098443878</c:v>
                </c:pt>
                <c:pt idx="6">
                  <c:v>201.80499638103515</c:v>
                </c:pt>
                <c:pt idx="7">
                  <c:v>231.39949153711262</c:v>
                </c:pt>
                <c:pt idx="8">
                  <c:v>241.91156334594558</c:v>
                </c:pt>
                <c:pt idx="9">
                  <c:v>285.96852672309262</c:v>
                </c:pt>
                <c:pt idx="10">
                  <c:v>279.94249829764698</c:v>
                </c:pt>
                <c:pt idx="11">
                  <c:v>321.78991791879724</c:v>
                </c:pt>
              </c:numCache>
            </c:numRef>
          </c:yVal>
          <c:smooth val="0"/>
          <c:extLst>
            <c:ext xmlns:c16="http://schemas.microsoft.com/office/drawing/2014/chart" uri="{C3380CC4-5D6E-409C-BE32-E72D297353CC}">
              <c16:uniqueId val="{00000000-F65D-414A-878B-0ED90F0966C3}"/>
            </c:ext>
          </c:extLst>
        </c:ser>
        <c:ser>
          <c:idx val="1"/>
          <c:order val="1"/>
          <c:tx>
            <c:v>Almond</c:v>
          </c:tx>
          <c:spPr>
            <a:ln w="25400" cap="rnd">
              <a:noFill/>
              <a:round/>
            </a:ln>
            <a:effectLst/>
          </c:spPr>
          <c:marker>
            <c:symbol val="square"/>
            <c:size val="7"/>
            <c:spPr>
              <a:solidFill>
                <a:schemeClr val="accent4">
                  <a:lumMod val="50000"/>
                </a:schemeClr>
              </a:solidFill>
              <a:ln w="9525">
                <a:noFill/>
              </a:ln>
              <a:effectLst/>
            </c:spPr>
          </c:marker>
          <c:xVal>
            <c:numRef>
              <c:f>[GWdepth.vs.AD.allcrops.xlsx]Sheet1!$F$2:$F$13</c:f>
              <c:numCache>
                <c:formatCode>General</c:formatCode>
                <c:ptCount val="12"/>
                <c:pt idx="0">
                  <c:v>19.812000000000001</c:v>
                </c:pt>
                <c:pt idx="1">
                  <c:v>33.020000000000003</c:v>
                </c:pt>
                <c:pt idx="2">
                  <c:v>39.116</c:v>
                </c:pt>
                <c:pt idx="3">
                  <c:v>52.832000000000001</c:v>
                </c:pt>
                <c:pt idx="4">
                  <c:v>65.278000000000006</c:v>
                </c:pt>
                <c:pt idx="5">
                  <c:v>75.691999999999993</c:v>
                </c:pt>
                <c:pt idx="6">
                  <c:v>104.39400000000001</c:v>
                </c:pt>
                <c:pt idx="7">
                  <c:v>112.776</c:v>
                </c:pt>
                <c:pt idx="8">
                  <c:v>126.238</c:v>
                </c:pt>
                <c:pt idx="9">
                  <c:v>187.96</c:v>
                </c:pt>
                <c:pt idx="10">
                  <c:v>201.93</c:v>
                </c:pt>
                <c:pt idx="11">
                  <c:v>300.99</c:v>
                </c:pt>
              </c:numCache>
            </c:numRef>
          </c:xVal>
          <c:yVal>
            <c:numRef>
              <c:f>[GWdepth.vs.AD.allcrops.xlsx]Sheet1!$E$2:$E$13</c:f>
              <c:numCache>
                <c:formatCode>General</c:formatCode>
                <c:ptCount val="12"/>
                <c:pt idx="0">
                  <c:v>132.22355320588935</c:v>
                </c:pt>
                <c:pt idx="1">
                  <c:v>156.34793677306104</c:v>
                </c:pt>
                <c:pt idx="2">
                  <c:v>165.95382768435306</c:v>
                </c:pt>
                <c:pt idx="3">
                  <c:v>173.78328671478968</c:v>
                </c:pt>
                <c:pt idx="4">
                  <c:v>191.04318659421165</c:v>
                </c:pt>
                <c:pt idx="5">
                  <c:v>197.79801399301971</c:v>
                </c:pt>
                <c:pt idx="6">
                  <c:v>209.72861822987554</c:v>
                </c:pt>
                <c:pt idx="7">
                  <c:v>218.34760254069235</c:v>
                </c:pt>
                <c:pt idx="8">
                  <c:v>225.45333006411383</c:v>
                </c:pt>
                <c:pt idx="9">
                  <c:v>244.79669943342788</c:v>
                </c:pt>
                <c:pt idx="10">
                  <c:v>247.36265659466343</c:v>
                </c:pt>
                <c:pt idx="11">
                  <c:v>264.35938138062534</c:v>
                </c:pt>
              </c:numCache>
            </c:numRef>
          </c:yVal>
          <c:smooth val="0"/>
          <c:extLst>
            <c:ext xmlns:c16="http://schemas.microsoft.com/office/drawing/2014/chart" uri="{C3380CC4-5D6E-409C-BE32-E72D297353CC}">
              <c16:uniqueId val="{00000001-F65D-414A-878B-0ED90F0966C3}"/>
            </c:ext>
          </c:extLst>
        </c:ser>
        <c:ser>
          <c:idx val="2"/>
          <c:order val="2"/>
          <c:tx>
            <c:v>Pistachios</c:v>
          </c:tx>
          <c:spPr>
            <a:ln w="25400" cap="rnd">
              <a:noFill/>
              <a:round/>
            </a:ln>
            <a:effectLst/>
          </c:spPr>
          <c:marker>
            <c:symbol val="plus"/>
            <c:size val="7"/>
            <c:spPr>
              <a:noFill/>
              <a:ln w="9525">
                <a:solidFill>
                  <a:srgbClr val="74E53B"/>
                </a:solidFill>
              </a:ln>
              <a:effectLst/>
            </c:spPr>
          </c:marker>
          <c:xVal>
            <c:numRef>
              <c:f>[GWdepth.vs.AD.allcrops.xlsx]Sheet1!$H$2:$H$14</c:f>
              <c:numCache>
                <c:formatCode>General</c:formatCode>
                <c:ptCount val="13"/>
                <c:pt idx="0">
                  <c:v>19.812000000000001</c:v>
                </c:pt>
                <c:pt idx="1">
                  <c:v>33.274000000000001</c:v>
                </c:pt>
                <c:pt idx="2">
                  <c:v>39.116</c:v>
                </c:pt>
                <c:pt idx="3">
                  <c:v>53.085999999999999</c:v>
                </c:pt>
                <c:pt idx="4">
                  <c:v>65.278000000000006</c:v>
                </c:pt>
                <c:pt idx="5">
                  <c:v>75.691999999999993</c:v>
                </c:pt>
                <c:pt idx="6">
                  <c:v>104.39400000000001</c:v>
                </c:pt>
                <c:pt idx="7">
                  <c:v>113.03</c:v>
                </c:pt>
                <c:pt idx="8">
                  <c:v>126.238</c:v>
                </c:pt>
                <c:pt idx="9">
                  <c:v>188.46799999999999</c:v>
                </c:pt>
                <c:pt idx="10">
                  <c:v>201.67599999999999</c:v>
                </c:pt>
                <c:pt idx="11">
                  <c:v>301.49799999999999</c:v>
                </c:pt>
              </c:numCache>
            </c:numRef>
          </c:xVal>
          <c:yVal>
            <c:numRef>
              <c:f>[GWdepth.vs.AD.allcrops.xlsx]Sheet1!$G$2:$G$13</c:f>
              <c:numCache>
                <c:formatCode>General</c:formatCode>
                <c:ptCount val="12"/>
                <c:pt idx="0">
                  <c:v>7.486020039276168</c:v>
                </c:pt>
                <c:pt idx="1">
                  <c:v>24.129695660579493</c:v>
                </c:pt>
                <c:pt idx="2">
                  <c:v>10.247852675125628</c:v>
                </c:pt>
                <c:pt idx="3">
                  <c:v>35.177026203977334</c:v>
                </c:pt>
                <c:pt idx="4">
                  <c:v>32.124474343301614</c:v>
                </c:pt>
                <c:pt idx="5">
                  <c:v>22.240020699208809</c:v>
                </c:pt>
                <c:pt idx="6">
                  <c:v>51.239263375628141</c:v>
                </c:pt>
                <c:pt idx="7">
                  <c:v>32.70591279295413</c:v>
                </c:pt>
                <c:pt idx="8">
                  <c:v>44.988800041863577</c:v>
                </c:pt>
                <c:pt idx="9">
                  <c:v>49.785667251496847</c:v>
                </c:pt>
                <c:pt idx="10">
                  <c:v>65.993264035560784</c:v>
                </c:pt>
                <c:pt idx="11">
                  <c:v>71.589609113466267</c:v>
                </c:pt>
              </c:numCache>
            </c:numRef>
          </c:yVal>
          <c:smooth val="0"/>
          <c:extLst>
            <c:ext xmlns:c16="http://schemas.microsoft.com/office/drawing/2014/chart" uri="{C3380CC4-5D6E-409C-BE32-E72D297353CC}">
              <c16:uniqueId val="{00000002-F65D-414A-878B-0ED90F0966C3}"/>
            </c:ext>
          </c:extLst>
        </c:ser>
        <c:ser>
          <c:idx val="3"/>
          <c:order val="3"/>
          <c:tx>
            <c:v>Grapes CV</c:v>
          </c:tx>
          <c:spPr>
            <a:ln w="25400" cap="rnd">
              <a:noFill/>
              <a:round/>
            </a:ln>
            <a:effectLst/>
          </c:spPr>
          <c:marker>
            <c:symbol val="diamond"/>
            <c:size val="8"/>
            <c:spPr>
              <a:solidFill>
                <a:srgbClr val="7030A0"/>
              </a:solidFill>
              <a:ln w="9525">
                <a:noFill/>
              </a:ln>
              <a:effectLst/>
            </c:spPr>
          </c:marker>
          <c:xVal>
            <c:numRef>
              <c:f>[GWdepth.vs.AD.allcrops.xlsx]Sheet1!$J$2:$J$13</c:f>
              <c:numCache>
                <c:formatCode>General</c:formatCode>
                <c:ptCount val="12"/>
                <c:pt idx="0">
                  <c:v>19.05</c:v>
                </c:pt>
                <c:pt idx="1">
                  <c:v>31.75</c:v>
                </c:pt>
                <c:pt idx="2">
                  <c:v>37.338000000000001</c:v>
                </c:pt>
                <c:pt idx="3">
                  <c:v>50.8</c:v>
                </c:pt>
                <c:pt idx="4">
                  <c:v>62.23</c:v>
                </c:pt>
                <c:pt idx="5">
                  <c:v>73.66</c:v>
                </c:pt>
                <c:pt idx="6">
                  <c:v>99.567999999999998</c:v>
                </c:pt>
                <c:pt idx="7">
                  <c:v>110.236</c:v>
                </c:pt>
                <c:pt idx="8">
                  <c:v>122.682</c:v>
                </c:pt>
                <c:pt idx="9">
                  <c:v>183.642</c:v>
                </c:pt>
                <c:pt idx="10">
                  <c:v>196.08799999999999</c:v>
                </c:pt>
                <c:pt idx="11">
                  <c:v>293.87799999999999</c:v>
                </c:pt>
              </c:numCache>
            </c:numRef>
          </c:xVal>
          <c:yVal>
            <c:numRef>
              <c:f>[GWdepth.vs.AD.allcrops.xlsx]Sheet1!$I$2:$I$13</c:f>
              <c:numCache>
                <c:formatCode>General</c:formatCode>
                <c:ptCount val="12"/>
                <c:pt idx="0">
                  <c:v>58.424992395509072</c:v>
                </c:pt>
                <c:pt idx="1">
                  <c:v>79.359944966389563</c:v>
                </c:pt>
                <c:pt idx="2">
                  <c:v>80.20377222932332</c:v>
                </c:pt>
                <c:pt idx="3">
                  <c:v>98.808154264481985</c:v>
                </c:pt>
                <c:pt idx="4">
                  <c:v>106.08114162595869</c:v>
                </c:pt>
                <c:pt idx="5">
                  <c:v>109.49663292830964</c:v>
                </c:pt>
                <c:pt idx="6">
                  <c:v>129.38684698317689</c:v>
                </c:pt>
                <c:pt idx="7">
                  <c:v>129.74848723871995</c:v>
                </c:pt>
                <c:pt idx="8">
                  <c:v>137.66439061005096</c:v>
                </c:pt>
                <c:pt idx="9">
                  <c:v>154.98294062550102</c:v>
                </c:pt>
                <c:pt idx="10">
                  <c:v>165.91251279302401</c:v>
                </c:pt>
                <c:pt idx="11">
                  <c:v>179.25301999750067</c:v>
                </c:pt>
              </c:numCache>
            </c:numRef>
          </c:yVal>
          <c:smooth val="0"/>
          <c:extLst>
            <c:ext xmlns:c16="http://schemas.microsoft.com/office/drawing/2014/chart" uri="{C3380CC4-5D6E-409C-BE32-E72D297353CC}">
              <c16:uniqueId val="{00000003-F65D-414A-878B-0ED90F0966C3}"/>
            </c:ext>
          </c:extLst>
        </c:ser>
        <c:ser>
          <c:idx val="4"/>
          <c:order val="4"/>
          <c:tx>
            <c:v>Grapes, Foothills and Coast</c:v>
          </c:tx>
          <c:spPr>
            <a:ln w="25400" cap="rnd">
              <a:noFill/>
              <a:round/>
            </a:ln>
            <a:effectLst/>
          </c:spPr>
          <c:marker>
            <c:symbol val="triangle"/>
            <c:size val="7"/>
            <c:spPr>
              <a:solidFill>
                <a:srgbClr val="8A0FB1"/>
              </a:solidFill>
              <a:ln w="9525">
                <a:solidFill>
                  <a:schemeClr val="tx1"/>
                </a:solidFill>
              </a:ln>
              <a:effectLst/>
            </c:spPr>
          </c:marker>
          <c:xVal>
            <c:numRef>
              <c:f>[GWdepth.vs.AD.allcrops.xlsx]Sheet1!$L$2:$L$13</c:f>
              <c:numCache>
                <c:formatCode>General</c:formatCode>
                <c:ptCount val="12"/>
                <c:pt idx="0">
                  <c:v>21.59</c:v>
                </c:pt>
                <c:pt idx="1">
                  <c:v>35.814</c:v>
                </c:pt>
                <c:pt idx="2">
                  <c:v>39.878</c:v>
                </c:pt>
                <c:pt idx="3">
                  <c:v>57.404000000000003</c:v>
                </c:pt>
                <c:pt idx="4">
                  <c:v>66.293999999999997</c:v>
                </c:pt>
                <c:pt idx="5">
                  <c:v>67.817999999999998</c:v>
                </c:pt>
                <c:pt idx="6">
                  <c:v>96.266000000000005</c:v>
                </c:pt>
                <c:pt idx="7">
                  <c:v>106.172</c:v>
                </c:pt>
                <c:pt idx="8">
                  <c:v>113.03</c:v>
                </c:pt>
                <c:pt idx="9">
                  <c:v>160.274</c:v>
                </c:pt>
                <c:pt idx="10">
                  <c:v>180.84800000000001</c:v>
                </c:pt>
                <c:pt idx="11">
                  <c:v>256.286</c:v>
                </c:pt>
              </c:numCache>
            </c:numRef>
          </c:xVal>
          <c:yVal>
            <c:numRef>
              <c:f>[GWdepth.vs.AD.allcrops.xlsx]Sheet1!$K$2:$K$13</c:f>
              <c:numCache>
                <c:formatCode>General</c:formatCode>
                <c:ptCount val="12"/>
                <c:pt idx="0">
                  <c:v>151.65589787368219</c:v>
                </c:pt>
                <c:pt idx="1">
                  <c:v>157.74721568550169</c:v>
                </c:pt>
                <c:pt idx="2">
                  <c:v>171.00478974652057</c:v>
                </c:pt>
                <c:pt idx="3">
                  <c:v>165.54051935650602</c:v>
                </c:pt>
                <c:pt idx="4">
                  <c:v>191.60777646296879</c:v>
                </c:pt>
                <c:pt idx="5">
                  <c:v>197.16162505609836</c:v>
                </c:pt>
                <c:pt idx="6">
                  <c:v>224.12466419371108</c:v>
                </c:pt>
                <c:pt idx="7">
                  <c:v>215.34600028844181</c:v>
                </c:pt>
                <c:pt idx="8">
                  <c:v>237.91970747341992</c:v>
                </c:pt>
                <c:pt idx="9">
                  <c:v>278.05074246893651</c:v>
                </c:pt>
                <c:pt idx="10">
                  <c:v>281.99218340599617</c:v>
                </c:pt>
                <c:pt idx="11">
                  <c:v>335.55994886876164</c:v>
                </c:pt>
              </c:numCache>
            </c:numRef>
          </c:yVal>
          <c:smooth val="0"/>
          <c:extLst>
            <c:ext xmlns:c16="http://schemas.microsoft.com/office/drawing/2014/chart" uri="{C3380CC4-5D6E-409C-BE32-E72D297353CC}">
              <c16:uniqueId val="{00000004-F65D-414A-878B-0ED90F0966C3}"/>
            </c:ext>
          </c:extLst>
        </c:ser>
        <c:ser>
          <c:idx val="5"/>
          <c:order val="5"/>
          <c:tx>
            <c:v>Alfalfa, Central Valley</c:v>
          </c:tx>
          <c:spPr>
            <a:ln w="25400" cap="rnd">
              <a:noFill/>
              <a:round/>
            </a:ln>
            <a:effectLst/>
          </c:spPr>
          <c:marker>
            <c:symbol val="circle"/>
            <c:size val="7"/>
            <c:spPr>
              <a:solidFill>
                <a:schemeClr val="accent6">
                  <a:lumMod val="75000"/>
                </a:schemeClr>
              </a:solidFill>
              <a:ln w="9525">
                <a:noFill/>
              </a:ln>
              <a:effectLst/>
            </c:spPr>
          </c:marker>
          <c:xVal>
            <c:numRef>
              <c:f>[GWdepth.vs.AD.allcrops.xlsx]Sheet1!$N$2:$N$13</c:f>
              <c:numCache>
                <c:formatCode>General</c:formatCode>
                <c:ptCount val="12"/>
                <c:pt idx="0">
                  <c:v>20.827999999999999</c:v>
                </c:pt>
                <c:pt idx="1">
                  <c:v>34.798000000000002</c:v>
                </c:pt>
                <c:pt idx="2">
                  <c:v>40.386000000000003</c:v>
                </c:pt>
                <c:pt idx="3">
                  <c:v>55.625999999999998</c:v>
                </c:pt>
                <c:pt idx="4">
                  <c:v>67.31</c:v>
                </c:pt>
                <c:pt idx="5">
                  <c:v>76.707999999999998</c:v>
                </c:pt>
                <c:pt idx="6">
                  <c:v>107.696</c:v>
                </c:pt>
                <c:pt idx="7">
                  <c:v>109.982</c:v>
                </c:pt>
                <c:pt idx="8">
                  <c:v>127.762</c:v>
                </c:pt>
                <c:pt idx="9">
                  <c:v>183.13399999999999</c:v>
                </c:pt>
                <c:pt idx="10">
                  <c:v>204.21600000000001</c:v>
                </c:pt>
                <c:pt idx="11">
                  <c:v>293.11599999999999</c:v>
                </c:pt>
              </c:numCache>
            </c:numRef>
          </c:xVal>
          <c:yVal>
            <c:numRef>
              <c:f>[GWdepth.vs.AD.allcrops.xlsx]Sheet1!$M$2:$M$13</c:f>
              <c:numCache>
                <c:formatCode>General</c:formatCode>
                <c:ptCount val="12"/>
                <c:pt idx="0">
                  <c:v>232.95779472426796</c:v>
                </c:pt>
                <c:pt idx="1">
                  <c:v>250.32681825615003</c:v>
                </c:pt>
                <c:pt idx="2">
                  <c:v>267.35717002000098</c:v>
                </c:pt>
                <c:pt idx="3">
                  <c:v>267.88936851262133</c:v>
                </c:pt>
                <c:pt idx="4">
                  <c:v>289.75788839120264</c:v>
                </c:pt>
                <c:pt idx="5">
                  <c:v>301.12758346081904</c:v>
                </c:pt>
                <c:pt idx="6">
                  <c:v>309.35246925586074</c:v>
                </c:pt>
                <c:pt idx="7">
                  <c:v>319.89967574597296</c:v>
                </c:pt>
                <c:pt idx="8">
                  <c:v>328.85028675822417</c:v>
                </c:pt>
                <c:pt idx="9">
                  <c:v>342.78421092864767</c:v>
                </c:pt>
                <c:pt idx="10">
                  <c:v>346.60636373928469</c:v>
                </c:pt>
                <c:pt idx="11">
                  <c:v>357.68576872201726</c:v>
                </c:pt>
              </c:numCache>
            </c:numRef>
          </c:yVal>
          <c:smooth val="0"/>
          <c:extLst>
            <c:ext xmlns:c16="http://schemas.microsoft.com/office/drawing/2014/chart" uri="{C3380CC4-5D6E-409C-BE32-E72D297353CC}">
              <c16:uniqueId val="{00000005-F65D-414A-878B-0ED90F0966C3}"/>
            </c:ext>
          </c:extLst>
        </c:ser>
        <c:ser>
          <c:idx val="6"/>
          <c:order val="6"/>
          <c:tx>
            <c:v>Alfalfa, Imperial Valley</c:v>
          </c:tx>
          <c:spPr>
            <a:ln w="25400" cap="rnd">
              <a:noFill/>
              <a:round/>
            </a:ln>
            <a:effectLst/>
          </c:spPr>
          <c:marker>
            <c:symbol val="circle"/>
            <c:size val="7"/>
            <c:spPr>
              <a:solidFill>
                <a:srgbClr val="74E53B"/>
              </a:solidFill>
              <a:ln w="9525">
                <a:noFill/>
              </a:ln>
              <a:effectLst/>
            </c:spPr>
          </c:marker>
          <c:xVal>
            <c:numRef>
              <c:f>[GWdepth.vs.AD.allcrops.xlsx]Sheet1!$P$2:$P$13</c:f>
              <c:numCache>
                <c:formatCode>General</c:formatCode>
                <c:ptCount val="12"/>
                <c:pt idx="0">
                  <c:v>21.59</c:v>
                </c:pt>
                <c:pt idx="1">
                  <c:v>36.067999999999998</c:v>
                </c:pt>
                <c:pt idx="2">
                  <c:v>41.655999999999999</c:v>
                </c:pt>
                <c:pt idx="3">
                  <c:v>57.658000000000001</c:v>
                </c:pt>
                <c:pt idx="4">
                  <c:v>69.596000000000004</c:v>
                </c:pt>
                <c:pt idx="5">
                  <c:v>80.010000000000005</c:v>
                </c:pt>
                <c:pt idx="6">
                  <c:v>111.506</c:v>
                </c:pt>
                <c:pt idx="7">
                  <c:v>119.88800000000001</c:v>
                </c:pt>
                <c:pt idx="8">
                  <c:v>133.35</c:v>
                </c:pt>
                <c:pt idx="9">
                  <c:v>199.898</c:v>
                </c:pt>
                <c:pt idx="10">
                  <c:v>213.10599999999999</c:v>
                </c:pt>
                <c:pt idx="11">
                  <c:v>319.786</c:v>
                </c:pt>
              </c:numCache>
            </c:numRef>
          </c:xVal>
          <c:yVal>
            <c:numRef>
              <c:f>[GWdepth.vs.AD.allcrops.xlsx]Sheet1!$O$2:$O$13</c:f>
              <c:numCache>
                <c:formatCode>General</c:formatCode>
                <c:ptCount val="12"/>
                <c:pt idx="0">
                  <c:v>69.190089485849072</c:v>
                </c:pt>
                <c:pt idx="1">
                  <c:v>71.932759699702544</c:v>
                </c:pt>
                <c:pt idx="2">
                  <c:v>74.052095774043863</c:v>
                </c:pt>
                <c:pt idx="3">
                  <c:v>75.049430397263308</c:v>
                </c:pt>
                <c:pt idx="4">
                  <c:v>76.046765020482766</c:v>
                </c:pt>
                <c:pt idx="5">
                  <c:v>77.667433783214364</c:v>
                </c:pt>
                <c:pt idx="6">
                  <c:v>82.030772759799433</c:v>
                </c:pt>
                <c:pt idx="7">
                  <c:v>80.036103513360544</c:v>
                </c:pt>
                <c:pt idx="8">
                  <c:v>82.654106899311586</c:v>
                </c:pt>
                <c:pt idx="9">
                  <c:v>83.277441038823738</c:v>
                </c:pt>
                <c:pt idx="10">
                  <c:v>79.412769373848391</c:v>
                </c:pt>
                <c:pt idx="11">
                  <c:v>80.534770824970266</c:v>
                </c:pt>
              </c:numCache>
            </c:numRef>
          </c:yVal>
          <c:smooth val="0"/>
          <c:extLst>
            <c:ext xmlns:c16="http://schemas.microsoft.com/office/drawing/2014/chart" uri="{C3380CC4-5D6E-409C-BE32-E72D297353CC}">
              <c16:uniqueId val="{00000006-F65D-414A-878B-0ED90F0966C3}"/>
            </c:ext>
          </c:extLst>
        </c:ser>
        <c:ser>
          <c:idx val="7"/>
          <c:order val="7"/>
          <c:tx>
            <c:v>Alfalfa, Intermountain</c:v>
          </c:tx>
          <c:spPr>
            <a:ln w="25400" cap="rnd">
              <a:noFill/>
              <a:round/>
            </a:ln>
            <a:effectLst/>
          </c:spPr>
          <c:marker>
            <c:symbol val="circle"/>
            <c:size val="7"/>
            <c:spPr>
              <a:solidFill>
                <a:srgbClr val="00B050"/>
              </a:solidFill>
              <a:ln w="9525">
                <a:noFill/>
              </a:ln>
              <a:effectLst/>
            </c:spPr>
          </c:marker>
          <c:xVal>
            <c:numRef>
              <c:f>[GWdepth.vs.AD.allcrops.xlsx]Sheet1!$R$2:$R$13</c:f>
              <c:numCache>
                <c:formatCode>General</c:formatCode>
                <c:ptCount val="12"/>
                <c:pt idx="0">
                  <c:v>24.891999999999999</c:v>
                </c:pt>
                <c:pt idx="1">
                  <c:v>41.402000000000001</c:v>
                </c:pt>
                <c:pt idx="2">
                  <c:v>46.481999999999999</c:v>
                </c:pt>
                <c:pt idx="3">
                  <c:v>66.040000000000006</c:v>
                </c:pt>
                <c:pt idx="4">
                  <c:v>77.215999999999994</c:v>
                </c:pt>
                <c:pt idx="5">
                  <c:v>81.534000000000006</c:v>
                </c:pt>
                <c:pt idx="6">
                  <c:v>115.57</c:v>
                </c:pt>
                <c:pt idx="7">
                  <c:v>123.69799999999999</c:v>
                </c:pt>
                <c:pt idx="8">
                  <c:v>135.88999999999999</c:v>
                </c:pt>
                <c:pt idx="9">
                  <c:v>192.786</c:v>
                </c:pt>
                <c:pt idx="10">
                  <c:v>217.42400000000001</c:v>
                </c:pt>
                <c:pt idx="11">
                  <c:v>308.35599999999999</c:v>
                </c:pt>
              </c:numCache>
            </c:numRef>
          </c:xVal>
          <c:yVal>
            <c:numRef>
              <c:f>[GWdepth.vs.AD.allcrops.xlsx]Sheet1!$Q$2:$Q$13</c:f>
              <c:numCache>
                <c:formatCode>General</c:formatCode>
                <c:ptCount val="12"/>
                <c:pt idx="0">
                  <c:v>167.21093698228179</c:v>
                </c:pt>
                <c:pt idx="1">
                  <c:v>185.0878666504336</c:v>
                </c:pt>
                <c:pt idx="2">
                  <c:v>191.25232515669282</c:v>
                </c:pt>
                <c:pt idx="3">
                  <c:v>199.11200975217335</c:v>
                </c:pt>
                <c:pt idx="4">
                  <c:v>214.67726748047792</c:v>
                </c:pt>
                <c:pt idx="5">
                  <c:v>215.29371333110385</c:v>
                </c:pt>
                <c:pt idx="6">
                  <c:v>229.31785643284363</c:v>
                </c:pt>
                <c:pt idx="7">
                  <c:v>234.71175762582044</c:v>
                </c:pt>
                <c:pt idx="8">
                  <c:v>241.49266198270561</c:v>
                </c:pt>
                <c:pt idx="9">
                  <c:v>254.12980192053703</c:v>
                </c:pt>
                <c:pt idx="10">
                  <c:v>260.44837188945274</c:v>
                </c:pt>
                <c:pt idx="11">
                  <c:v>273.08551182728422</c:v>
                </c:pt>
              </c:numCache>
            </c:numRef>
          </c:yVal>
          <c:smooth val="0"/>
          <c:extLst>
            <c:ext xmlns:c16="http://schemas.microsoft.com/office/drawing/2014/chart" uri="{C3380CC4-5D6E-409C-BE32-E72D297353CC}">
              <c16:uniqueId val="{00000007-F65D-414A-878B-0ED90F0966C3}"/>
            </c:ext>
          </c:extLst>
        </c:ser>
        <c:dLbls>
          <c:showLegendKey val="0"/>
          <c:showVal val="0"/>
          <c:showCatName val="0"/>
          <c:showSerName val="0"/>
          <c:showPercent val="0"/>
          <c:showBubbleSize val="0"/>
        </c:dLbls>
        <c:axId val="55498240"/>
        <c:axId val="55500160"/>
      </c:scatterChart>
      <c:valAx>
        <c:axId val="55498240"/>
        <c:scaling>
          <c:orientation val="minMax"/>
          <c:max val="375"/>
          <c:min val="0"/>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200">
                    <a:solidFill>
                      <a:sysClr val="windowText" lastClr="000000"/>
                    </a:solidFill>
                    <a:latin typeface="Book Antiqua" panose="02040602050305030304" pitchFamily="18" charset="0"/>
                  </a:rPr>
                  <a:t>Mean </a:t>
                </a:r>
                <a:r>
                  <a:rPr lang="en-US" sz="1200" baseline="0">
                    <a:solidFill>
                      <a:sysClr val="windowText" lastClr="000000"/>
                    </a:solidFill>
                    <a:latin typeface="Book Antiqua" panose="02040602050305030304" pitchFamily="18" charset="0"/>
                  </a:rPr>
                  <a:t>a</a:t>
                </a:r>
                <a:r>
                  <a:rPr lang="en-US" sz="1200">
                    <a:solidFill>
                      <a:sysClr val="windowText" lastClr="000000"/>
                    </a:solidFill>
                    <a:latin typeface="Book Antiqua" panose="02040602050305030304" pitchFamily="18" charset="0"/>
                  </a:rPr>
                  <a:t>llowable</a:t>
                </a:r>
                <a:r>
                  <a:rPr lang="en-US" sz="1200" baseline="0">
                    <a:solidFill>
                      <a:sysClr val="windowText" lastClr="000000"/>
                    </a:solidFill>
                    <a:latin typeface="Book Antiqua" panose="02040602050305030304" pitchFamily="18" charset="0"/>
                  </a:rPr>
                  <a:t> depletion (mm) </a:t>
                </a:r>
                <a:endParaRPr lang="en-US" sz="1200">
                  <a:solidFill>
                    <a:sysClr val="windowText" lastClr="000000"/>
                  </a:solidFill>
                  <a:latin typeface="Book Antiqua" panose="02040602050305030304" pitchFamily="18" charset="0"/>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Book Antiqua" panose="02040602050305030304" pitchFamily="18" charset="0"/>
                <a:ea typeface="+mn-ea"/>
                <a:cs typeface="+mn-cs"/>
              </a:defRPr>
            </a:pPr>
            <a:endParaRPr lang="en-US"/>
          </a:p>
        </c:txPr>
        <c:crossAx val="55500160"/>
        <c:crosses val="autoZero"/>
        <c:crossBetween val="midCat"/>
      </c:valAx>
      <c:valAx>
        <c:axId val="55500160"/>
        <c:scaling>
          <c:orientation val="minMax"/>
          <c:max val="375"/>
          <c:min val="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200">
                    <a:solidFill>
                      <a:sysClr val="windowText" lastClr="000000"/>
                    </a:solidFill>
                    <a:latin typeface="Book Antiqua" panose="02040602050305030304" pitchFamily="18" charset="0"/>
                  </a:rPr>
                  <a:t> Mean green</a:t>
                </a:r>
                <a:r>
                  <a:rPr lang="en-US" sz="1200" baseline="0">
                    <a:solidFill>
                      <a:sysClr val="windowText" lastClr="000000"/>
                    </a:solidFill>
                    <a:latin typeface="Book Antiqua" panose="02040602050305030304" pitchFamily="18" charset="0"/>
                  </a:rPr>
                  <a:t> water (mm yr</a:t>
                </a:r>
                <a:r>
                  <a:rPr lang="en-US" sz="1200" baseline="30000">
                    <a:solidFill>
                      <a:sysClr val="windowText" lastClr="000000"/>
                    </a:solidFill>
                    <a:latin typeface="Book Antiqua" panose="02040602050305030304" pitchFamily="18" charset="0"/>
                  </a:rPr>
                  <a:t>-1</a:t>
                </a:r>
                <a:r>
                  <a:rPr lang="en-US" sz="1200" baseline="0">
                    <a:solidFill>
                      <a:sysClr val="windowText" lastClr="000000"/>
                    </a:solidFill>
                    <a:latin typeface="Book Antiqua" panose="02040602050305030304" pitchFamily="18" charset="0"/>
                  </a:rPr>
                  <a:t>)</a:t>
                </a:r>
                <a:endParaRPr lang="en-US" sz="1200">
                  <a:solidFill>
                    <a:sysClr val="windowText" lastClr="000000"/>
                  </a:solidFill>
                  <a:latin typeface="Book Antiqua" panose="02040602050305030304" pitchFamily="18" charset="0"/>
                </a:endParaRPr>
              </a:p>
            </c:rich>
          </c:tx>
          <c:layout>
            <c:manualLayout>
              <c:xMode val="edge"/>
              <c:yMode val="edge"/>
              <c:x val="2.175438596491228E-2"/>
              <c:y val="0.19261169027737624"/>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Book Antiqua" panose="02040602050305030304" pitchFamily="18" charset="0"/>
                <a:ea typeface="+mn-ea"/>
                <a:cs typeface="+mn-cs"/>
              </a:defRPr>
            </a:pPr>
            <a:endParaRPr lang="en-US"/>
          </a:p>
        </c:txPr>
        <c:crossAx val="55498240"/>
        <c:crosses val="autoZero"/>
        <c:crossBetween val="midCat"/>
      </c:valAx>
    </c:plotArea>
    <c:legend>
      <c:legendPos val="b"/>
      <c:layout>
        <c:manualLayout>
          <c:xMode val="edge"/>
          <c:yMode val="edge"/>
          <c:x val="3.3412219305920095E-2"/>
          <c:y val="0.8247224409448819"/>
          <c:w val="0.94799037620297466"/>
          <c:h val="0.15861089238845144"/>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Book Antiqua" panose="02040602050305030304" pitchFamily="18" charset="0"/>
              <a:ea typeface="+mn-ea"/>
              <a:cs typeface="+mn-cs"/>
            </a:defRPr>
          </a:pPr>
          <a:endParaRPr lang="en-US"/>
        </a:p>
      </c:txPr>
    </c:legend>
    <c:plotVisOnly val="1"/>
    <c:dispBlanksAs val="gap"/>
    <c:showDLblsOverMax val="0"/>
  </c:chart>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Sheet1!$B$2</c:f>
              <c:strCache>
                <c:ptCount val="1"/>
                <c:pt idx="0">
                  <c:v>Doorenbos and Pruitt (1977)</c:v>
                </c:pt>
              </c:strCache>
            </c:strRef>
          </c:tx>
          <c:marker>
            <c:symbol val="none"/>
          </c:marker>
          <c:cat>
            <c:strRef>
              <c:f>Sheet1!$A$3:$A$11</c:f>
              <c:strCache>
                <c:ptCount val="9"/>
                <c:pt idx="0">
                  <c:v>March</c:v>
                </c:pt>
                <c:pt idx="1">
                  <c:v>April</c:v>
                </c:pt>
                <c:pt idx="2">
                  <c:v>May</c:v>
                </c:pt>
                <c:pt idx="3">
                  <c:v>June</c:v>
                </c:pt>
                <c:pt idx="4">
                  <c:v>July</c:v>
                </c:pt>
                <c:pt idx="5">
                  <c:v>Aug.</c:v>
                </c:pt>
                <c:pt idx="6">
                  <c:v>Sept.</c:v>
                </c:pt>
                <c:pt idx="7">
                  <c:v>Oct.</c:v>
                </c:pt>
                <c:pt idx="8">
                  <c:v>Nov.</c:v>
                </c:pt>
              </c:strCache>
            </c:strRef>
          </c:cat>
          <c:val>
            <c:numRef>
              <c:f>Sheet1!$B$3:$B$11</c:f>
              <c:numCache>
                <c:formatCode>General</c:formatCode>
                <c:ptCount val="9"/>
                <c:pt idx="0">
                  <c:v>0.5</c:v>
                </c:pt>
                <c:pt idx="1">
                  <c:v>0.75</c:v>
                </c:pt>
                <c:pt idx="2">
                  <c:v>0.9</c:v>
                </c:pt>
                <c:pt idx="3">
                  <c:v>0.95</c:v>
                </c:pt>
                <c:pt idx="4">
                  <c:v>0.95</c:v>
                </c:pt>
                <c:pt idx="5">
                  <c:v>0.95</c:v>
                </c:pt>
                <c:pt idx="6">
                  <c:v>0.85</c:v>
                </c:pt>
                <c:pt idx="7">
                  <c:v>0.8</c:v>
                </c:pt>
                <c:pt idx="8">
                  <c:v>0.7</c:v>
                </c:pt>
              </c:numCache>
            </c:numRef>
          </c:val>
          <c:smooth val="0"/>
          <c:extLst>
            <c:ext xmlns:c16="http://schemas.microsoft.com/office/drawing/2014/chart" uri="{C3380CC4-5D6E-409C-BE32-E72D297353CC}">
              <c16:uniqueId val="{00000000-112A-453D-87B3-5B2361B1E35C}"/>
            </c:ext>
          </c:extLst>
        </c:ser>
        <c:ser>
          <c:idx val="1"/>
          <c:order val="1"/>
          <c:tx>
            <c:strRef>
              <c:f>Sheet1!$C$2</c:f>
              <c:strCache>
                <c:ptCount val="1"/>
                <c:pt idx="0">
                  <c:v>Fereres and Puech (1981)</c:v>
                </c:pt>
              </c:strCache>
            </c:strRef>
          </c:tx>
          <c:marker>
            <c:symbol val="none"/>
          </c:marker>
          <c:cat>
            <c:strRef>
              <c:f>Sheet1!$A$3:$A$11</c:f>
              <c:strCache>
                <c:ptCount val="9"/>
                <c:pt idx="0">
                  <c:v>March</c:v>
                </c:pt>
                <c:pt idx="1">
                  <c:v>April</c:v>
                </c:pt>
                <c:pt idx="2">
                  <c:v>May</c:v>
                </c:pt>
                <c:pt idx="3">
                  <c:v>June</c:v>
                </c:pt>
                <c:pt idx="4">
                  <c:v>July</c:v>
                </c:pt>
                <c:pt idx="5">
                  <c:v>Aug.</c:v>
                </c:pt>
                <c:pt idx="6">
                  <c:v>Sept.</c:v>
                </c:pt>
                <c:pt idx="7">
                  <c:v>Oct.</c:v>
                </c:pt>
                <c:pt idx="8">
                  <c:v>Nov.</c:v>
                </c:pt>
              </c:strCache>
            </c:strRef>
          </c:cat>
          <c:val>
            <c:numRef>
              <c:f>Sheet1!$C$3:$C$11</c:f>
              <c:numCache>
                <c:formatCode>General</c:formatCode>
                <c:ptCount val="9"/>
                <c:pt idx="0">
                  <c:v>0.6</c:v>
                </c:pt>
                <c:pt idx="1">
                  <c:v>0.71</c:v>
                </c:pt>
                <c:pt idx="2">
                  <c:v>0.84</c:v>
                </c:pt>
                <c:pt idx="3">
                  <c:v>0.92</c:v>
                </c:pt>
                <c:pt idx="4">
                  <c:v>0.96</c:v>
                </c:pt>
                <c:pt idx="5">
                  <c:v>0.96</c:v>
                </c:pt>
                <c:pt idx="6">
                  <c:v>0.91</c:v>
                </c:pt>
                <c:pt idx="7">
                  <c:v>0.79</c:v>
                </c:pt>
                <c:pt idx="8">
                  <c:v>0.69</c:v>
                </c:pt>
              </c:numCache>
            </c:numRef>
          </c:val>
          <c:smooth val="0"/>
          <c:extLst>
            <c:ext xmlns:c16="http://schemas.microsoft.com/office/drawing/2014/chart" uri="{C3380CC4-5D6E-409C-BE32-E72D297353CC}">
              <c16:uniqueId val="{00000001-112A-453D-87B3-5B2361B1E35C}"/>
            </c:ext>
          </c:extLst>
        </c:ser>
        <c:ser>
          <c:idx val="5"/>
          <c:order val="2"/>
          <c:tx>
            <c:strRef>
              <c:f>Sheet1!$H$2</c:f>
              <c:strCache>
                <c:ptCount val="1"/>
                <c:pt idx="0">
                  <c:v>Hanson et al. (1999)</c:v>
                </c:pt>
              </c:strCache>
            </c:strRef>
          </c:tx>
          <c:marker>
            <c:symbol val="none"/>
          </c:marker>
          <c:val>
            <c:numRef>
              <c:f>Sheet1!$H$3:$H$11</c:f>
              <c:numCache>
                <c:formatCode>General</c:formatCode>
                <c:ptCount val="9"/>
                <c:pt idx="0">
                  <c:v>0.54</c:v>
                </c:pt>
                <c:pt idx="1">
                  <c:v>0.63</c:v>
                </c:pt>
                <c:pt idx="2">
                  <c:v>0.76</c:v>
                </c:pt>
                <c:pt idx="3">
                  <c:v>0.85</c:v>
                </c:pt>
                <c:pt idx="4">
                  <c:v>0.93500000000000005</c:v>
                </c:pt>
                <c:pt idx="5">
                  <c:v>0.94</c:v>
                </c:pt>
                <c:pt idx="6">
                  <c:v>0.92500000000000004</c:v>
                </c:pt>
                <c:pt idx="7">
                  <c:v>0.82</c:v>
                </c:pt>
                <c:pt idx="8">
                  <c:v>0.7</c:v>
                </c:pt>
              </c:numCache>
            </c:numRef>
          </c:val>
          <c:smooth val="0"/>
          <c:extLst>
            <c:ext xmlns:c16="http://schemas.microsoft.com/office/drawing/2014/chart" uri="{C3380CC4-5D6E-409C-BE32-E72D297353CC}">
              <c16:uniqueId val="{00000002-112A-453D-87B3-5B2361B1E35C}"/>
            </c:ext>
          </c:extLst>
        </c:ser>
        <c:ser>
          <c:idx val="4"/>
          <c:order val="3"/>
          <c:tx>
            <c:strRef>
              <c:f>Sheet1!$F$2</c:f>
              <c:strCache>
                <c:ptCount val="1"/>
                <c:pt idx="0">
                  <c:v>Girona (2006)</c:v>
                </c:pt>
              </c:strCache>
            </c:strRef>
          </c:tx>
          <c:marker>
            <c:symbol val="none"/>
          </c:marker>
          <c:cat>
            <c:strRef>
              <c:f>Sheet1!$A$3:$A$11</c:f>
              <c:strCache>
                <c:ptCount val="9"/>
                <c:pt idx="0">
                  <c:v>March</c:v>
                </c:pt>
                <c:pt idx="1">
                  <c:v>April</c:v>
                </c:pt>
                <c:pt idx="2">
                  <c:v>May</c:v>
                </c:pt>
                <c:pt idx="3">
                  <c:v>June</c:v>
                </c:pt>
                <c:pt idx="4">
                  <c:v>July</c:v>
                </c:pt>
                <c:pt idx="5">
                  <c:v>Aug.</c:v>
                </c:pt>
                <c:pt idx="6">
                  <c:v>Sept.</c:v>
                </c:pt>
                <c:pt idx="7">
                  <c:v>Oct.</c:v>
                </c:pt>
                <c:pt idx="8">
                  <c:v>Nov.</c:v>
                </c:pt>
              </c:strCache>
            </c:strRef>
          </c:cat>
          <c:val>
            <c:numRef>
              <c:f>Sheet1!$F$3:$F$10</c:f>
              <c:numCache>
                <c:formatCode>General</c:formatCode>
                <c:ptCount val="8"/>
                <c:pt idx="0">
                  <c:v>0.4</c:v>
                </c:pt>
                <c:pt idx="1">
                  <c:v>0.65</c:v>
                </c:pt>
                <c:pt idx="2">
                  <c:v>0.8</c:v>
                </c:pt>
                <c:pt idx="3">
                  <c:v>0.92</c:v>
                </c:pt>
                <c:pt idx="4">
                  <c:v>0.96</c:v>
                </c:pt>
                <c:pt idx="5">
                  <c:v>1.05</c:v>
                </c:pt>
                <c:pt idx="6">
                  <c:v>0.85</c:v>
                </c:pt>
                <c:pt idx="7">
                  <c:v>0.6</c:v>
                </c:pt>
              </c:numCache>
            </c:numRef>
          </c:val>
          <c:smooth val="0"/>
          <c:extLst>
            <c:ext xmlns:c16="http://schemas.microsoft.com/office/drawing/2014/chart" uri="{C3380CC4-5D6E-409C-BE32-E72D297353CC}">
              <c16:uniqueId val="{00000003-112A-453D-87B3-5B2361B1E35C}"/>
            </c:ext>
          </c:extLst>
        </c:ser>
        <c:ser>
          <c:idx val="2"/>
          <c:order val="4"/>
          <c:tx>
            <c:strRef>
              <c:f>Sheet1!$D$2</c:f>
              <c:strCache>
                <c:ptCount val="1"/>
                <c:pt idx="0">
                  <c:v>Sanden (2007)</c:v>
                </c:pt>
              </c:strCache>
            </c:strRef>
          </c:tx>
          <c:marker>
            <c:symbol val="none"/>
          </c:marker>
          <c:cat>
            <c:strRef>
              <c:f>Sheet1!$A$3:$A$11</c:f>
              <c:strCache>
                <c:ptCount val="9"/>
                <c:pt idx="0">
                  <c:v>March</c:v>
                </c:pt>
                <c:pt idx="1">
                  <c:v>April</c:v>
                </c:pt>
                <c:pt idx="2">
                  <c:v>May</c:v>
                </c:pt>
                <c:pt idx="3">
                  <c:v>June</c:v>
                </c:pt>
                <c:pt idx="4">
                  <c:v>July</c:v>
                </c:pt>
                <c:pt idx="5">
                  <c:v>Aug.</c:v>
                </c:pt>
                <c:pt idx="6">
                  <c:v>Sept.</c:v>
                </c:pt>
                <c:pt idx="7">
                  <c:v>Oct.</c:v>
                </c:pt>
                <c:pt idx="8">
                  <c:v>Nov.</c:v>
                </c:pt>
              </c:strCache>
            </c:strRef>
          </c:cat>
          <c:val>
            <c:numRef>
              <c:f>Sheet1!$D$3:$D$11</c:f>
              <c:numCache>
                <c:formatCode>General</c:formatCode>
                <c:ptCount val="9"/>
                <c:pt idx="0">
                  <c:v>0.59</c:v>
                </c:pt>
                <c:pt idx="1">
                  <c:v>0.78</c:v>
                </c:pt>
                <c:pt idx="2">
                  <c:v>0.92</c:v>
                </c:pt>
                <c:pt idx="3">
                  <c:v>1.01</c:v>
                </c:pt>
                <c:pt idx="4">
                  <c:v>1.08</c:v>
                </c:pt>
                <c:pt idx="5">
                  <c:v>1.08</c:v>
                </c:pt>
                <c:pt idx="6">
                  <c:v>1.02</c:v>
                </c:pt>
                <c:pt idx="7">
                  <c:v>0.89</c:v>
                </c:pt>
                <c:pt idx="8">
                  <c:v>0.4</c:v>
                </c:pt>
              </c:numCache>
            </c:numRef>
          </c:val>
          <c:smooth val="0"/>
          <c:extLst>
            <c:ext xmlns:c16="http://schemas.microsoft.com/office/drawing/2014/chart" uri="{C3380CC4-5D6E-409C-BE32-E72D297353CC}">
              <c16:uniqueId val="{00000004-112A-453D-87B3-5B2361B1E35C}"/>
            </c:ext>
          </c:extLst>
        </c:ser>
        <c:ser>
          <c:idx val="3"/>
          <c:order val="5"/>
          <c:tx>
            <c:strRef>
              <c:f>Sheet1!$E$2</c:f>
              <c:strCache>
                <c:ptCount val="1"/>
                <c:pt idx="0">
                  <c:v>Steduto et al. (2012)</c:v>
                </c:pt>
              </c:strCache>
            </c:strRef>
          </c:tx>
          <c:marker>
            <c:symbol val="none"/>
          </c:marker>
          <c:cat>
            <c:strRef>
              <c:f>Sheet1!$A$3:$A$11</c:f>
              <c:strCache>
                <c:ptCount val="9"/>
                <c:pt idx="0">
                  <c:v>March</c:v>
                </c:pt>
                <c:pt idx="1">
                  <c:v>April</c:v>
                </c:pt>
                <c:pt idx="2">
                  <c:v>May</c:v>
                </c:pt>
                <c:pt idx="3">
                  <c:v>June</c:v>
                </c:pt>
                <c:pt idx="4">
                  <c:v>July</c:v>
                </c:pt>
                <c:pt idx="5">
                  <c:v>Aug.</c:v>
                </c:pt>
                <c:pt idx="6">
                  <c:v>Sept.</c:v>
                </c:pt>
                <c:pt idx="7">
                  <c:v>Oct.</c:v>
                </c:pt>
                <c:pt idx="8">
                  <c:v>Nov.</c:v>
                </c:pt>
              </c:strCache>
            </c:strRef>
          </c:cat>
          <c:val>
            <c:numRef>
              <c:f>Sheet1!$E$3:$E$10</c:f>
              <c:numCache>
                <c:formatCode>General</c:formatCode>
                <c:ptCount val="8"/>
                <c:pt idx="0">
                  <c:v>0.2</c:v>
                </c:pt>
                <c:pt idx="1">
                  <c:v>0.67</c:v>
                </c:pt>
                <c:pt idx="2">
                  <c:v>0.95</c:v>
                </c:pt>
                <c:pt idx="3">
                  <c:v>1.0900000000000001</c:v>
                </c:pt>
                <c:pt idx="4">
                  <c:v>1.1499999999999999</c:v>
                </c:pt>
                <c:pt idx="5">
                  <c:v>1.17</c:v>
                </c:pt>
                <c:pt idx="6">
                  <c:v>1.1200000000000001</c:v>
                </c:pt>
                <c:pt idx="7">
                  <c:v>0.85</c:v>
                </c:pt>
              </c:numCache>
            </c:numRef>
          </c:val>
          <c:smooth val="0"/>
          <c:extLst>
            <c:ext xmlns:c16="http://schemas.microsoft.com/office/drawing/2014/chart" uri="{C3380CC4-5D6E-409C-BE32-E72D297353CC}">
              <c16:uniqueId val="{00000005-112A-453D-87B3-5B2361B1E35C}"/>
            </c:ext>
          </c:extLst>
        </c:ser>
        <c:dLbls>
          <c:showLegendKey val="0"/>
          <c:showVal val="0"/>
          <c:showCatName val="0"/>
          <c:showSerName val="0"/>
          <c:showPercent val="0"/>
          <c:showBubbleSize val="0"/>
        </c:dLbls>
        <c:smooth val="0"/>
        <c:axId val="140596736"/>
        <c:axId val="140598272"/>
      </c:lineChart>
      <c:catAx>
        <c:axId val="140596736"/>
        <c:scaling>
          <c:orientation val="minMax"/>
        </c:scaling>
        <c:delete val="0"/>
        <c:axPos val="b"/>
        <c:numFmt formatCode="General" sourceLinked="0"/>
        <c:majorTickMark val="out"/>
        <c:minorTickMark val="none"/>
        <c:tickLblPos val="nextTo"/>
        <c:txPr>
          <a:bodyPr/>
          <a:lstStyle/>
          <a:p>
            <a:pPr>
              <a:defRPr sz="1000">
                <a:latin typeface="Book Antiqua" panose="02040602050305030304" pitchFamily="18" charset="0"/>
              </a:defRPr>
            </a:pPr>
            <a:endParaRPr lang="en-US"/>
          </a:p>
        </c:txPr>
        <c:crossAx val="140598272"/>
        <c:crosses val="autoZero"/>
        <c:auto val="1"/>
        <c:lblAlgn val="ctr"/>
        <c:lblOffset val="100"/>
        <c:noMultiLvlLbl val="0"/>
      </c:catAx>
      <c:valAx>
        <c:axId val="140598272"/>
        <c:scaling>
          <c:orientation val="minMax"/>
        </c:scaling>
        <c:delete val="0"/>
        <c:axPos val="l"/>
        <c:title>
          <c:tx>
            <c:rich>
              <a:bodyPr rot="-5400000" vert="horz"/>
              <a:lstStyle/>
              <a:p>
                <a:pPr>
                  <a:defRPr sz="1000" b="0">
                    <a:latin typeface="Book Antiqua" panose="02040602050305030304" pitchFamily="18" charset="0"/>
                  </a:defRPr>
                </a:pPr>
                <a:r>
                  <a:rPr lang="en-US" sz="1000" b="0">
                    <a:latin typeface="Book Antiqua" panose="02040602050305030304" pitchFamily="18" charset="0"/>
                  </a:rPr>
                  <a:t> Almond Crop Coefficients (Kc)</a:t>
                </a:r>
              </a:p>
            </c:rich>
          </c:tx>
          <c:overlay val="0"/>
        </c:title>
        <c:numFmt formatCode="General" sourceLinked="1"/>
        <c:majorTickMark val="out"/>
        <c:minorTickMark val="none"/>
        <c:tickLblPos val="nextTo"/>
        <c:txPr>
          <a:bodyPr/>
          <a:lstStyle/>
          <a:p>
            <a:pPr>
              <a:defRPr sz="1000">
                <a:latin typeface="Book Antiqua" panose="02040602050305030304" pitchFamily="18" charset="0"/>
              </a:defRPr>
            </a:pPr>
            <a:endParaRPr lang="en-US"/>
          </a:p>
        </c:txPr>
        <c:crossAx val="140596736"/>
        <c:crosses val="autoZero"/>
        <c:crossBetween val="between"/>
      </c:valAx>
    </c:plotArea>
    <c:legend>
      <c:legendPos val="r"/>
      <c:overlay val="0"/>
      <c:txPr>
        <a:bodyPr/>
        <a:lstStyle/>
        <a:p>
          <a:pPr>
            <a:defRPr sz="1000">
              <a:latin typeface="Book Antiqua" panose="02040602050305030304" pitchFamily="18" charset="0"/>
            </a:defRPr>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15</Pages>
  <Words>2867</Words>
  <Characters>16343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UC Davis</Company>
  <LinksUpToDate>false</LinksUpToDate>
  <CharactersWithSpaces>19172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Devine</dc:creator>
  <cp:keywords/>
  <dc:description/>
  <cp:lastModifiedBy>Scott Devine</cp:lastModifiedBy>
  <cp:revision>13</cp:revision>
  <dcterms:created xsi:type="dcterms:W3CDTF">2018-06-08T22:14:00Z</dcterms:created>
  <dcterms:modified xsi:type="dcterms:W3CDTF">2018-06-21T22:12:00Z</dcterms:modified>
</cp:coreProperties>
</file>