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C15" w:rsidRPr="006F2C15" w:rsidRDefault="006F2C15" w:rsidP="00DC23C1">
      <w:pPr>
        <w:spacing w:after="0" w:line="480" w:lineRule="auto"/>
        <w:ind w:firstLine="720"/>
        <w:rPr>
          <w:rFonts w:ascii="Book Antiqua" w:hAnsi="Book Antiqua"/>
          <w:sz w:val="24"/>
          <w:szCs w:val="24"/>
        </w:rPr>
      </w:pPr>
      <w:r>
        <w:rPr>
          <w:rFonts w:ascii="Book Antiqua" w:hAnsi="Book Antiqua"/>
          <w:i/>
          <w:sz w:val="24"/>
          <w:szCs w:val="24"/>
        </w:rPr>
        <w:t>From the Abstract</w:t>
      </w:r>
    </w:p>
    <w:p w:rsidR="00DC23C1" w:rsidRDefault="00DC23C1" w:rsidP="00DC23C1">
      <w:pPr>
        <w:spacing w:after="0" w:line="480" w:lineRule="auto"/>
        <w:ind w:firstLine="720"/>
        <w:rPr>
          <w:rFonts w:ascii="Book Antiqua" w:hAnsi="Book Antiqua"/>
          <w:sz w:val="24"/>
          <w:szCs w:val="24"/>
        </w:rPr>
      </w:pPr>
      <w:r>
        <w:rPr>
          <w:rFonts w:ascii="Book Antiqua" w:hAnsi="Book Antiqua"/>
          <w:sz w:val="24"/>
          <w:szCs w:val="24"/>
        </w:rPr>
        <w:t xml:space="preserve">The expansion of perennials to nearly half the irrigated landscape in California has shifted the cropping from mostly annuals, which can be fallowed during drought, to one of more and more orchards and vineyards and their hardened irrigation demand, which especially stresses groundwater resources during droughts. </w:t>
      </w:r>
      <w:r w:rsidRPr="00EA34FD">
        <w:rPr>
          <w:rFonts w:ascii="Book Antiqua" w:hAnsi="Book Antiqua"/>
          <w:sz w:val="24"/>
          <w:szCs w:val="24"/>
        </w:rPr>
        <w:t xml:space="preserve"> </w:t>
      </w:r>
    </w:p>
    <w:p w:rsidR="00AA0FBB" w:rsidRDefault="00AA0FBB" w:rsidP="00DC23C1">
      <w:pPr>
        <w:spacing w:after="0" w:line="480" w:lineRule="auto"/>
        <w:ind w:firstLine="720"/>
        <w:rPr>
          <w:rFonts w:ascii="Book Antiqua" w:hAnsi="Book Antiqua"/>
          <w:sz w:val="24"/>
          <w:szCs w:val="24"/>
        </w:rPr>
      </w:pPr>
      <w:r>
        <w:rPr>
          <w:rFonts w:ascii="Book Antiqua" w:hAnsi="Book Antiqua"/>
          <w:i/>
          <w:sz w:val="24"/>
          <w:szCs w:val="24"/>
        </w:rPr>
        <w:t>From the Intro</w:t>
      </w:r>
    </w:p>
    <w:p w:rsidR="00AA0FBB" w:rsidRDefault="00AA0FBB" w:rsidP="00DC23C1">
      <w:pPr>
        <w:spacing w:after="0" w:line="480" w:lineRule="auto"/>
        <w:ind w:firstLine="720"/>
        <w:rPr>
          <w:rFonts w:ascii="Book Antiqua" w:hAnsi="Book Antiqua"/>
          <w:sz w:val="24"/>
          <w:szCs w:val="24"/>
        </w:rPr>
      </w:pPr>
      <w:r>
        <w:rPr>
          <w:rFonts w:ascii="Book Antiqua" w:hAnsi="Book Antiqua"/>
          <w:sz w:val="24"/>
          <w:szCs w:val="24"/>
        </w:rPr>
        <w:t xml:space="preserve">Soils are able to temporarily store a volume of water equal to their total pore space, commonly 40-60% of the soil’s total volume.  But since the larger pores rapidly drain due to gravity, only some part of the total soil porosity is effectively storing water between storms.  The soil’s </w:t>
      </w:r>
      <w:r w:rsidRPr="00250603">
        <w:rPr>
          <w:rFonts w:ascii="Book Antiqua" w:hAnsi="Book Antiqua"/>
          <w:sz w:val="24"/>
          <w:szCs w:val="24"/>
        </w:rPr>
        <w:t>field capacity</w:t>
      </w:r>
      <w:r>
        <w:rPr>
          <w:rFonts w:ascii="Book Antiqua" w:hAnsi="Book Antiqua"/>
          <w:sz w:val="24"/>
          <w:szCs w:val="24"/>
        </w:rPr>
        <w:t xml:space="preserve"> is the water content at which the larger soil pores have been drained by gravity but is available to uptake by roots or evaporation at the surface</w:t>
      </w:r>
      <w:r w:rsidRPr="00250603">
        <w:rPr>
          <w:rFonts w:ascii="Book Antiqua" w:hAnsi="Book Antiqua"/>
          <w:sz w:val="24"/>
          <w:szCs w:val="24"/>
        </w:rPr>
        <w:t>.</w:t>
      </w:r>
      <w:r>
        <w:rPr>
          <w:rFonts w:ascii="Book Antiqua" w:hAnsi="Book Antiqua"/>
          <w:sz w:val="24"/>
          <w:szCs w:val="24"/>
        </w:rPr>
        <w:t xml:space="preserve">  At the other end of the spectrum, the water held in the smallest soil pores is not plant available, because the suction required to extract water from these pores is more than what crop roots can typically exert.  This volume of unavailable soil held water is called the </w:t>
      </w:r>
      <w:r w:rsidRPr="00250603">
        <w:rPr>
          <w:rFonts w:ascii="Book Antiqua" w:hAnsi="Book Antiqua"/>
          <w:sz w:val="24"/>
          <w:szCs w:val="24"/>
        </w:rPr>
        <w:t>wilting point.</w:t>
      </w:r>
      <w:r>
        <w:rPr>
          <w:rFonts w:ascii="Book Antiqua" w:hAnsi="Book Antiqua"/>
          <w:i/>
          <w:sz w:val="24"/>
          <w:szCs w:val="24"/>
        </w:rPr>
        <w:t xml:space="preserve">  </w:t>
      </w:r>
      <w:r>
        <w:rPr>
          <w:rFonts w:ascii="Book Antiqua" w:hAnsi="Book Antiqua"/>
          <w:sz w:val="24"/>
          <w:szCs w:val="24"/>
        </w:rPr>
        <w:t xml:space="preserve">The difference between </w:t>
      </w:r>
      <w:r w:rsidRPr="00250603">
        <w:rPr>
          <w:rFonts w:ascii="Book Antiqua" w:hAnsi="Book Antiqua"/>
          <w:sz w:val="24"/>
          <w:szCs w:val="24"/>
        </w:rPr>
        <w:t xml:space="preserve">field capacity </w:t>
      </w:r>
      <w:r>
        <w:rPr>
          <w:rFonts w:ascii="Book Antiqua" w:hAnsi="Book Antiqua"/>
          <w:sz w:val="24"/>
          <w:szCs w:val="24"/>
        </w:rPr>
        <w:t xml:space="preserve">and </w:t>
      </w:r>
      <w:r w:rsidRPr="00250603">
        <w:rPr>
          <w:rFonts w:ascii="Book Antiqua" w:hAnsi="Book Antiqua"/>
          <w:sz w:val="24"/>
          <w:szCs w:val="24"/>
        </w:rPr>
        <w:t>wilting point</w:t>
      </w:r>
      <w:r>
        <w:rPr>
          <w:rFonts w:ascii="Book Antiqua" w:hAnsi="Book Antiqua"/>
          <w:i/>
          <w:sz w:val="24"/>
          <w:szCs w:val="24"/>
        </w:rPr>
        <w:t xml:space="preserve"> </w:t>
      </w:r>
      <w:r>
        <w:rPr>
          <w:rFonts w:ascii="Book Antiqua" w:hAnsi="Book Antiqua"/>
          <w:sz w:val="24"/>
          <w:szCs w:val="24"/>
        </w:rPr>
        <w:t xml:space="preserve">is called the </w:t>
      </w:r>
      <w:r w:rsidRPr="00250603">
        <w:rPr>
          <w:rFonts w:ascii="Book Antiqua" w:hAnsi="Book Antiqua"/>
          <w:sz w:val="24"/>
          <w:szCs w:val="24"/>
        </w:rPr>
        <w:t>plant available water.</w:t>
      </w:r>
    </w:p>
    <w:p w:rsidR="00D011BC" w:rsidRDefault="00D011BC" w:rsidP="00DC23C1">
      <w:pPr>
        <w:spacing w:after="0" w:line="480" w:lineRule="auto"/>
        <w:ind w:firstLine="720"/>
        <w:rPr>
          <w:rFonts w:ascii="Book Antiqua" w:hAnsi="Book Antiqua"/>
          <w:i/>
          <w:sz w:val="24"/>
          <w:szCs w:val="24"/>
        </w:rPr>
      </w:pPr>
      <w:r>
        <w:rPr>
          <w:rFonts w:ascii="Book Antiqua" w:hAnsi="Book Antiqua"/>
          <w:i/>
          <w:sz w:val="24"/>
          <w:szCs w:val="24"/>
        </w:rPr>
        <w:t>From the Methods</w:t>
      </w:r>
    </w:p>
    <w:p w:rsidR="00D011BC" w:rsidRDefault="00D011BC" w:rsidP="00DC23C1">
      <w:pPr>
        <w:spacing w:after="0" w:line="480" w:lineRule="auto"/>
        <w:ind w:firstLine="720"/>
        <w:rPr>
          <w:rFonts w:ascii="Book Antiqua" w:hAnsi="Book Antiqua"/>
          <w:sz w:val="24"/>
          <w:szCs w:val="24"/>
        </w:rPr>
      </w:pPr>
      <w:r>
        <w:rPr>
          <w:rFonts w:ascii="Book Antiqua" w:eastAsiaTheme="minorEastAsia" w:hAnsi="Book Antiqua"/>
          <w:sz w:val="24"/>
          <w:szCs w:val="24"/>
        </w:rPr>
        <w:t xml:space="preserve">313,573 </w:t>
      </w:r>
      <w:r>
        <w:rPr>
          <w:rFonts w:ascii="Book Antiqua" w:hAnsi="Book Antiqua"/>
          <w:sz w:val="24"/>
          <w:szCs w:val="24"/>
        </w:rPr>
        <w:t>polygons were successfully modeled.  Of these polygons, there were 106,998 unique combinations of soil major component, climate, and crop.</w:t>
      </w:r>
    </w:p>
    <w:p w:rsidR="00C364B6" w:rsidRDefault="00C364B6" w:rsidP="00DC23C1">
      <w:pPr>
        <w:spacing w:after="0" w:line="480" w:lineRule="auto"/>
        <w:ind w:firstLine="720"/>
        <w:rPr>
          <w:rFonts w:ascii="Book Antiqua" w:hAnsi="Book Antiqua"/>
          <w:sz w:val="24"/>
          <w:szCs w:val="24"/>
        </w:rPr>
      </w:pPr>
      <w:r>
        <w:rPr>
          <w:rFonts w:ascii="Book Antiqua" w:hAnsi="Book Antiqua"/>
          <w:sz w:val="24"/>
          <w:szCs w:val="24"/>
        </w:rPr>
        <w:t xml:space="preserve">This simplifying model assumption likely has the effect of producing conservative estimates of plant available water for most soils, since any water content </w:t>
      </w:r>
      <w:r>
        <w:rPr>
          <w:rFonts w:ascii="Book Antiqua" w:hAnsi="Book Antiqua"/>
          <w:sz w:val="24"/>
          <w:szCs w:val="24"/>
        </w:rPr>
        <w:lastRenderedPageBreak/>
        <w:t xml:space="preserve">between field capacity and saturation becomes instantaneously unavailable as a loss to deep percolation.  </w:t>
      </w:r>
    </w:p>
    <w:p w:rsidR="00F53829" w:rsidRDefault="00F53829" w:rsidP="00DC23C1">
      <w:pPr>
        <w:spacing w:after="0" w:line="480" w:lineRule="auto"/>
        <w:ind w:firstLine="720"/>
        <w:rPr>
          <w:rFonts w:ascii="Book Antiqua" w:hAnsi="Book Antiqua"/>
          <w:sz w:val="24"/>
          <w:szCs w:val="24"/>
        </w:rPr>
      </w:pPr>
      <w:r>
        <w:rPr>
          <w:rFonts w:ascii="Book Antiqua" w:hAnsi="Book Antiqua"/>
          <w:sz w:val="24"/>
          <w:szCs w:val="24"/>
        </w:rPr>
        <w:t xml:space="preserve">This function submits a SQL query to the Soil Data Access website and returns the query as a </w:t>
      </w:r>
      <w:proofErr w:type="spellStart"/>
      <w:r>
        <w:rPr>
          <w:rFonts w:ascii="Book Antiqua" w:hAnsi="Book Antiqua"/>
          <w:sz w:val="24"/>
          <w:szCs w:val="24"/>
        </w:rPr>
        <w:t>dataframe</w:t>
      </w:r>
      <w:proofErr w:type="spellEnd"/>
      <w:r>
        <w:rPr>
          <w:rFonts w:ascii="Book Antiqua" w:hAnsi="Book Antiqua"/>
          <w:sz w:val="24"/>
          <w:szCs w:val="24"/>
        </w:rPr>
        <w:t xml:space="preserve"> for each level of the database</w:t>
      </w:r>
    </w:p>
    <w:p w:rsidR="00444D95" w:rsidRDefault="00444D95" w:rsidP="00DC23C1">
      <w:pPr>
        <w:spacing w:after="0" w:line="480" w:lineRule="auto"/>
        <w:ind w:firstLine="720"/>
        <w:rPr>
          <w:rFonts w:ascii="Book Antiqua" w:hAnsi="Book Antiqua"/>
          <w:sz w:val="24"/>
          <w:szCs w:val="24"/>
        </w:rPr>
      </w:pPr>
      <w:r>
        <w:rPr>
          <w:rFonts w:ascii="Book Antiqua" w:hAnsi="Book Antiqua"/>
          <w:sz w:val="24"/>
          <w:szCs w:val="24"/>
        </w:rPr>
        <w:t>Thus, assuming still mostly ‘green’, transpiring fields, this results in occasional to frequent winter crop water stress, depending on location.</w:t>
      </w:r>
    </w:p>
    <w:p w:rsidR="00952927" w:rsidRDefault="00952927" w:rsidP="00DC23C1">
      <w:pPr>
        <w:spacing w:after="0" w:line="480" w:lineRule="auto"/>
        <w:ind w:firstLine="720"/>
        <w:rPr>
          <w:rFonts w:ascii="Book Antiqua" w:eastAsiaTheme="minorEastAsia" w:hAnsi="Book Antiqua"/>
          <w:sz w:val="24"/>
          <w:szCs w:val="24"/>
        </w:rPr>
      </w:pPr>
      <w:r>
        <w:rPr>
          <w:rFonts w:ascii="Book Antiqua" w:eastAsiaTheme="minorEastAsia" w:hAnsi="Book Antiqua"/>
          <w:sz w:val="24"/>
          <w:szCs w:val="24"/>
        </w:rPr>
        <w:t xml:space="preserve">Grape’s </w:t>
      </w:r>
      <w:proofErr w:type="spellStart"/>
      <w:r>
        <w:rPr>
          <w:rFonts w:ascii="Book Antiqua" w:eastAsiaTheme="minorEastAsia" w:hAnsi="Book Antiqua"/>
          <w:sz w:val="24"/>
          <w:szCs w:val="24"/>
        </w:rPr>
        <w:t>footmultiple</w:t>
      </w:r>
      <w:proofErr w:type="spellEnd"/>
      <w:r>
        <w:rPr>
          <w:rFonts w:ascii="Book Antiqua" w:eastAsiaTheme="minorEastAsia" w:hAnsi="Book Antiqua"/>
          <w:sz w:val="24"/>
          <w:szCs w:val="24"/>
        </w:rPr>
        <w:t xml:space="preserve"> ecoregions: (a) the Cascades; (b) </w:t>
      </w:r>
      <w:r w:rsidRPr="005613DD">
        <w:rPr>
          <w:rFonts w:ascii="Book Antiqua" w:eastAsiaTheme="minorEastAsia" w:hAnsi="Book Antiqua"/>
          <w:sz w:val="24"/>
          <w:szCs w:val="24"/>
        </w:rPr>
        <w:t>Central California Foothills and Coastal Mountains</w:t>
      </w:r>
      <w:r>
        <w:rPr>
          <w:rFonts w:ascii="Book Antiqua" w:eastAsiaTheme="minorEastAsia" w:hAnsi="Book Antiqua"/>
          <w:sz w:val="24"/>
          <w:szCs w:val="24"/>
        </w:rPr>
        <w:t xml:space="preserve"> ecoregion units; (c) Coast Range; (d) </w:t>
      </w:r>
      <w:r w:rsidRPr="005613DD">
        <w:rPr>
          <w:rFonts w:ascii="Book Antiqua" w:eastAsiaTheme="minorEastAsia" w:hAnsi="Book Antiqua"/>
          <w:sz w:val="24"/>
          <w:szCs w:val="24"/>
        </w:rPr>
        <w:t>Eastern Cascades Slopes and Foothills</w:t>
      </w:r>
      <w:r>
        <w:rPr>
          <w:rFonts w:ascii="Book Antiqua" w:eastAsiaTheme="minorEastAsia" w:hAnsi="Book Antiqua"/>
          <w:sz w:val="24"/>
          <w:szCs w:val="24"/>
        </w:rPr>
        <w:t xml:space="preserve">; (e) </w:t>
      </w:r>
      <w:r w:rsidRPr="005613DD">
        <w:rPr>
          <w:rFonts w:ascii="Book Antiqua" w:eastAsiaTheme="minorEastAsia" w:hAnsi="Book Antiqua"/>
          <w:sz w:val="24"/>
          <w:szCs w:val="24"/>
        </w:rPr>
        <w:t>Klamath Mountains/California High North Coast Range</w:t>
      </w:r>
      <w:r>
        <w:rPr>
          <w:rFonts w:ascii="Book Antiqua" w:eastAsiaTheme="minorEastAsia" w:hAnsi="Book Antiqua"/>
          <w:sz w:val="24"/>
          <w:szCs w:val="24"/>
        </w:rPr>
        <w:t xml:space="preserve">; (6) </w:t>
      </w:r>
      <w:r w:rsidRPr="005613DD">
        <w:rPr>
          <w:rFonts w:ascii="Book Antiqua" w:eastAsiaTheme="minorEastAsia" w:hAnsi="Book Antiqua"/>
          <w:sz w:val="24"/>
          <w:szCs w:val="24"/>
        </w:rPr>
        <w:t>Sierra Nevada</w:t>
      </w:r>
      <w:r>
        <w:rPr>
          <w:rFonts w:ascii="Book Antiqua" w:eastAsiaTheme="minorEastAsia" w:hAnsi="Book Antiqua"/>
          <w:sz w:val="24"/>
          <w:szCs w:val="24"/>
        </w:rPr>
        <w:t xml:space="preserve">; (7) </w:t>
      </w:r>
      <w:r w:rsidRPr="005613DD">
        <w:rPr>
          <w:rFonts w:ascii="Book Antiqua" w:eastAsiaTheme="minorEastAsia" w:hAnsi="Book Antiqua"/>
          <w:sz w:val="24"/>
          <w:szCs w:val="24"/>
        </w:rPr>
        <w:t>Southern California Mountains</w:t>
      </w:r>
      <w:r>
        <w:rPr>
          <w:rFonts w:ascii="Book Antiqua" w:eastAsiaTheme="minorEastAsia" w:hAnsi="Book Antiqua"/>
          <w:sz w:val="24"/>
          <w:szCs w:val="24"/>
        </w:rPr>
        <w:t xml:space="preserve">; and (8) </w:t>
      </w:r>
      <w:r w:rsidRPr="005613DD">
        <w:rPr>
          <w:rFonts w:ascii="Book Antiqua" w:eastAsiaTheme="minorEastAsia" w:hAnsi="Book Antiqua"/>
          <w:sz w:val="24"/>
          <w:szCs w:val="24"/>
        </w:rPr>
        <w:t>Southern California/Northern Baja Coast</w:t>
      </w:r>
    </w:p>
    <w:p w:rsidR="00952927" w:rsidRDefault="00952927" w:rsidP="00DC23C1">
      <w:pPr>
        <w:spacing w:after="0" w:line="480" w:lineRule="auto"/>
        <w:ind w:firstLine="720"/>
        <w:rPr>
          <w:rFonts w:ascii="Book Antiqua" w:eastAsiaTheme="minorEastAsia" w:hAnsi="Book Antiqua"/>
          <w:sz w:val="24"/>
          <w:szCs w:val="24"/>
        </w:rPr>
      </w:pPr>
      <w:r>
        <w:rPr>
          <w:rFonts w:ascii="Book Antiqua" w:eastAsiaTheme="minorEastAsia" w:hAnsi="Book Antiqua"/>
          <w:sz w:val="24"/>
          <w:szCs w:val="24"/>
        </w:rPr>
        <w:t xml:space="preserve">and the (3) Intermountain region, which included multiple ecoregions:  (a) the Cascades; (b) </w:t>
      </w:r>
      <w:r w:rsidRPr="005613DD">
        <w:rPr>
          <w:rFonts w:ascii="Book Antiqua" w:eastAsiaTheme="minorEastAsia" w:hAnsi="Book Antiqua"/>
          <w:sz w:val="24"/>
          <w:szCs w:val="24"/>
        </w:rPr>
        <w:t>Eastern Cascades Slopes and Foothills</w:t>
      </w:r>
      <w:r>
        <w:rPr>
          <w:rFonts w:ascii="Book Antiqua" w:eastAsiaTheme="minorEastAsia" w:hAnsi="Book Antiqua"/>
          <w:sz w:val="24"/>
          <w:szCs w:val="24"/>
        </w:rPr>
        <w:t xml:space="preserve">; (c) </w:t>
      </w:r>
      <w:r w:rsidRPr="005613DD">
        <w:rPr>
          <w:rFonts w:ascii="Book Antiqua" w:eastAsiaTheme="minorEastAsia" w:hAnsi="Book Antiqua"/>
          <w:sz w:val="24"/>
          <w:szCs w:val="24"/>
        </w:rPr>
        <w:t>Klamath Mountains/California High North Coast Range</w:t>
      </w:r>
      <w:r>
        <w:rPr>
          <w:rFonts w:ascii="Book Antiqua" w:eastAsiaTheme="minorEastAsia" w:hAnsi="Book Antiqua"/>
          <w:sz w:val="24"/>
          <w:szCs w:val="24"/>
        </w:rPr>
        <w:t xml:space="preserve">; (d) </w:t>
      </w:r>
      <w:r w:rsidRPr="005613DD">
        <w:rPr>
          <w:rFonts w:ascii="Book Antiqua" w:eastAsiaTheme="minorEastAsia" w:hAnsi="Book Antiqua"/>
          <w:sz w:val="24"/>
          <w:szCs w:val="24"/>
        </w:rPr>
        <w:t>Sierra Nevada</w:t>
      </w:r>
      <w:r>
        <w:rPr>
          <w:rFonts w:ascii="Book Antiqua" w:eastAsiaTheme="minorEastAsia" w:hAnsi="Book Antiqua"/>
          <w:sz w:val="24"/>
          <w:szCs w:val="24"/>
        </w:rPr>
        <w:t>; (e) Northern Basin and Range; and (f) Central Basin and Range.</w:t>
      </w:r>
    </w:p>
    <w:p w:rsidR="00444D95" w:rsidRDefault="00444D95" w:rsidP="00DC23C1">
      <w:pPr>
        <w:spacing w:after="0" w:line="480" w:lineRule="auto"/>
        <w:ind w:firstLine="720"/>
        <w:rPr>
          <w:rFonts w:ascii="Book Antiqua" w:hAnsi="Book Antiqua"/>
          <w:sz w:val="24"/>
          <w:szCs w:val="24"/>
        </w:rPr>
      </w:pPr>
      <w:r>
        <w:rPr>
          <w:rFonts w:ascii="Book Antiqua" w:eastAsiaTheme="minorEastAsia" w:hAnsi="Book Antiqua"/>
          <w:sz w:val="24"/>
          <w:szCs w:val="24"/>
        </w:rPr>
        <w:t xml:space="preserve">Of these, there were 94,868 unique combinations of soil map unit, crop, and climate, which expanded to 106,998 combinations at the major soil component level (Figure 3).  </w:t>
      </w:r>
    </w:p>
    <w:p w:rsidR="00A41D4A" w:rsidRDefault="00A41D4A" w:rsidP="00DC23C1">
      <w:pPr>
        <w:spacing w:after="0" w:line="480" w:lineRule="auto"/>
        <w:ind w:firstLine="720"/>
        <w:rPr>
          <w:rFonts w:ascii="Book Antiqua" w:hAnsi="Book Antiqua"/>
          <w:i/>
          <w:sz w:val="24"/>
          <w:szCs w:val="24"/>
        </w:rPr>
      </w:pPr>
      <w:r>
        <w:rPr>
          <w:rFonts w:ascii="Book Antiqua" w:hAnsi="Book Antiqua"/>
          <w:i/>
          <w:sz w:val="24"/>
          <w:szCs w:val="24"/>
        </w:rPr>
        <w:t>From Results</w:t>
      </w:r>
    </w:p>
    <w:p w:rsidR="005324C7" w:rsidRDefault="005324C7" w:rsidP="005324C7">
      <w:pPr>
        <w:spacing w:after="0" w:line="480" w:lineRule="auto"/>
        <w:ind w:firstLine="720"/>
        <w:rPr>
          <w:rFonts w:ascii="Book Antiqua" w:hAnsi="Book Antiqua"/>
          <w:sz w:val="24"/>
          <w:szCs w:val="24"/>
        </w:rPr>
      </w:pPr>
      <w:r>
        <w:rPr>
          <w:rFonts w:ascii="Book Antiqua" w:eastAsiaTheme="minorEastAsia" w:hAnsi="Book Antiqua"/>
          <w:sz w:val="24"/>
          <w:szCs w:val="24"/>
        </w:rPr>
        <w:t xml:space="preserve">For annual accuracy in quantifying green water, all soil storage supplied ET must come from that preceding winter’s or in-season rainfall.  In 3.5% of simulations in all scenario years, the irrigation water applied is greater than the growing season ET for a </w:t>
      </w:r>
      <w:r>
        <w:rPr>
          <w:rFonts w:ascii="Book Antiqua" w:eastAsiaTheme="minorEastAsia" w:hAnsi="Book Antiqua"/>
          <w:sz w:val="24"/>
          <w:szCs w:val="24"/>
        </w:rPr>
        <w:lastRenderedPageBreak/>
        <w:t xml:space="preserve">given year.  This means that the green water resource is calculated as negative for that year.  Annual accuracy is diminished by </w:t>
      </w:r>
      <w:proofErr w:type="spellStart"/>
      <w:r>
        <w:rPr>
          <w:rFonts w:ascii="Book Antiqua" w:eastAsiaTheme="minorEastAsia" w:hAnsi="Book Antiqua"/>
          <w:sz w:val="24"/>
          <w:szCs w:val="24"/>
        </w:rPr>
        <w:t>interannual</w:t>
      </w:r>
      <w:proofErr w:type="spellEnd"/>
      <w:r>
        <w:rPr>
          <w:rFonts w:ascii="Book Antiqua" w:eastAsiaTheme="minorEastAsia" w:hAnsi="Book Antiqua"/>
          <w:sz w:val="24"/>
          <w:szCs w:val="24"/>
        </w:rPr>
        <w:t xml:space="preserve"> ΔS.  </w:t>
      </w:r>
    </w:p>
    <w:p w:rsidR="00A41D4A" w:rsidRDefault="00A41D4A" w:rsidP="00A41D4A">
      <w:pPr>
        <w:pStyle w:val="ListParagraph"/>
        <w:spacing w:after="0" w:line="480" w:lineRule="auto"/>
        <w:ind w:left="0" w:firstLine="720"/>
        <w:contextualSpacing w:val="0"/>
        <w:rPr>
          <w:rFonts w:ascii="Book Antiqua" w:hAnsi="Book Antiqua"/>
          <w:sz w:val="24"/>
          <w:szCs w:val="24"/>
        </w:rPr>
      </w:pPr>
      <w:r>
        <w:rPr>
          <w:rFonts w:ascii="Book Antiqua" w:hAnsi="Book Antiqua"/>
          <w:sz w:val="24"/>
          <w:szCs w:val="24"/>
        </w:rPr>
        <w:t xml:space="preserve">This begs the question as to whether cover crops could make use of this </w:t>
      </w:r>
      <w:proofErr w:type="gramStart"/>
      <w:r>
        <w:rPr>
          <w:rFonts w:ascii="Book Antiqua" w:hAnsi="Book Antiqua"/>
          <w:sz w:val="24"/>
          <w:szCs w:val="24"/>
        </w:rPr>
        <w:t>evaporated</w:t>
      </w:r>
      <w:proofErr w:type="gramEnd"/>
      <w:r>
        <w:rPr>
          <w:rFonts w:ascii="Book Antiqua" w:hAnsi="Book Antiqua"/>
          <w:sz w:val="24"/>
          <w:szCs w:val="24"/>
        </w:rPr>
        <w:t xml:space="preserve"> water and improve soil surface conditions without negatively affecting green water availability to perennial crops.</w:t>
      </w:r>
    </w:p>
    <w:p w:rsidR="003267E9" w:rsidRDefault="003267E9" w:rsidP="00A41D4A">
      <w:pPr>
        <w:pStyle w:val="ListParagraph"/>
        <w:spacing w:after="0" w:line="480" w:lineRule="auto"/>
        <w:ind w:left="0" w:firstLine="720"/>
        <w:contextualSpacing w:val="0"/>
        <w:rPr>
          <w:rFonts w:ascii="Book Antiqua" w:hAnsi="Book Antiqua"/>
          <w:sz w:val="24"/>
          <w:szCs w:val="24"/>
        </w:rPr>
      </w:pPr>
      <w:r>
        <w:rPr>
          <w:rFonts w:ascii="Book Antiqua" w:hAnsi="Book Antiqua"/>
          <w:sz w:val="24"/>
          <w:szCs w:val="24"/>
        </w:rPr>
        <w:t xml:space="preserve">This provides a useful target for root stock breeders looking to increase green water utilization.  </w:t>
      </w:r>
    </w:p>
    <w:p w:rsidR="003267E9" w:rsidRDefault="003267E9" w:rsidP="003267E9">
      <w:pPr>
        <w:spacing w:after="0" w:line="480" w:lineRule="auto"/>
        <w:ind w:firstLine="720"/>
        <w:rPr>
          <w:rFonts w:ascii="Book Antiqua" w:hAnsi="Book Antiqua"/>
          <w:sz w:val="24"/>
          <w:szCs w:val="24"/>
        </w:rPr>
      </w:pPr>
      <w:r>
        <w:rPr>
          <w:rFonts w:ascii="Book Antiqua" w:hAnsi="Book Antiqua"/>
          <w:sz w:val="24"/>
          <w:szCs w:val="24"/>
        </w:rPr>
        <w:t xml:space="preserve">While decreased deep percolation, especially early in the growing season when fertilizer applications are common, would be expected to reduce non-point source pollution, lack of natural deep percolation could eventually lead to problematic soil salinity unless leaching by irrigation water is practiced.   This is especially true where the irrigation water is saline.   In short, management for </w:t>
      </w:r>
      <w:r w:rsidRPr="00A070C3">
        <w:rPr>
          <w:rFonts w:ascii="Book Antiqua" w:hAnsi="Book Antiqua"/>
          <w:sz w:val="24"/>
          <w:szCs w:val="24"/>
        </w:rPr>
        <w:t>green water</w:t>
      </w:r>
      <w:r>
        <w:rPr>
          <w:rFonts w:ascii="Book Antiqua" w:hAnsi="Book Antiqua"/>
          <w:sz w:val="24"/>
          <w:szCs w:val="24"/>
        </w:rPr>
        <w:t xml:space="preserve"> can be at odds with management for soil salinity, especially in the drier climates such as the Tulare (X% of landscape but Y% of green water resource). </w:t>
      </w:r>
    </w:p>
    <w:p w:rsidR="000C5AD8" w:rsidRPr="009B5FEE" w:rsidRDefault="000C5AD8" w:rsidP="003267E9">
      <w:pPr>
        <w:spacing w:after="0" w:line="480" w:lineRule="auto"/>
        <w:ind w:firstLine="720"/>
        <w:rPr>
          <w:rFonts w:ascii="Book Antiqua" w:hAnsi="Book Antiqua"/>
          <w:sz w:val="24"/>
          <w:szCs w:val="24"/>
        </w:rPr>
      </w:pPr>
      <w:r>
        <w:rPr>
          <w:rFonts w:ascii="Book Antiqua" w:hAnsi="Book Antiqua"/>
          <w:sz w:val="24"/>
          <w:szCs w:val="24"/>
        </w:rPr>
        <w:t>(from Table 3 description): …</w:t>
      </w:r>
      <w:r>
        <w:rPr>
          <w:rFonts w:ascii="Book Antiqua" w:hAnsi="Book Antiqua"/>
          <w:sz w:val="24"/>
          <w:szCs w:val="24"/>
        </w:rPr>
        <w:t xml:space="preserve">in terms of 13 year cumulative  green water volume (2005-2017), the percentage of crop water demand met by green water, and the average annual availability as a depth over a region.  </w:t>
      </w:r>
    </w:p>
    <w:p w:rsidR="003267E9" w:rsidRDefault="00822F51" w:rsidP="00A41D4A">
      <w:pPr>
        <w:pStyle w:val="ListParagraph"/>
        <w:spacing w:after="0" w:line="480" w:lineRule="auto"/>
        <w:ind w:left="0" w:firstLine="720"/>
        <w:contextualSpacing w:val="0"/>
        <w:rPr>
          <w:rFonts w:ascii="Book Antiqua" w:hAnsi="Book Antiqua"/>
          <w:i/>
          <w:sz w:val="24"/>
          <w:szCs w:val="24"/>
        </w:rPr>
      </w:pPr>
      <w:r>
        <w:rPr>
          <w:rFonts w:ascii="Book Antiqua" w:hAnsi="Book Antiqua"/>
          <w:i/>
          <w:sz w:val="24"/>
          <w:szCs w:val="24"/>
        </w:rPr>
        <w:t>From Discussion</w:t>
      </w:r>
    </w:p>
    <w:p w:rsidR="00FE1A01" w:rsidRDefault="00FE1A01" w:rsidP="00A41D4A">
      <w:pPr>
        <w:pStyle w:val="ListParagraph"/>
        <w:spacing w:after="0" w:line="480" w:lineRule="auto"/>
        <w:ind w:left="0" w:firstLine="720"/>
        <w:contextualSpacing w:val="0"/>
        <w:rPr>
          <w:rFonts w:ascii="Book Antiqua" w:hAnsi="Book Antiqua"/>
          <w:sz w:val="24"/>
          <w:szCs w:val="24"/>
        </w:rPr>
      </w:pPr>
      <w:r>
        <w:rPr>
          <w:rFonts w:ascii="Book Antiqua" w:hAnsi="Book Antiqua"/>
          <w:sz w:val="24"/>
          <w:szCs w:val="24"/>
        </w:rPr>
        <w:t>On average, 1.9</w:t>
      </w:r>
      <w:r w:rsidRPr="0019733C">
        <w:rPr>
          <w:rFonts w:ascii="Book Antiqua" w:hAnsi="Book Antiqua"/>
          <w:sz w:val="24"/>
          <w:szCs w:val="24"/>
        </w:rPr>
        <w:t xml:space="preserve"> </w:t>
      </w:r>
      <w:r>
        <w:rPr>
          <w:rFonts w:ascii="Book Antiqua" w:hAnsi="Book Antiqua"/>
          <w:sz w:val="24"/>
          <w:szCs w:val="24"/>
        </w:rPr>
        <w:t>km</w:t>
      </w:r>
      <w:r>
        <w:rPr>
          <w:rFonts w:ascii="Book Antiqua" w:hAnsi="Book Antiqua"/>
          <w:sz w:val="24"/>
          <w:szCs w:val="24"/>
          <w:vertAlign w:val="superscript"/>
        </w:rPr>
        <w:t>3</w:t>
      </w:r>
      <w:r w:rsidRPr="0019733C">
        <w:rPr>
          <w:rFonts w:ascii="Book Antiqua" w:hAnsi="Book Antiqua"/>
          <w:sz w:val="24"/>
          <w:szCs w:val="24"/>
        </w:rPr>
        <w:t xml:space="preserve"> green water yr</w:t>
      </w:r>
      <w:r w:rsidRPr="0019733C">
        <w:rPr>
          <w:rFonts w:ascii="Book Antiqua" w:hAnsi="Book Antiqua"/>
          <w:sz w:val="24"/>
          <w:szCs w:val="24"/>
          <w:vertAlign w:val="superscript"/>
        </w:rPr>
        <w:t>-1</w:t>
      </w:r>
      <w:r w:rsidRPr="0019733C">
        <w:rPr>
          <w:rFonts w:ascii="Book Antiqua" w:hAnsi="Book Antiqua"/>
          <w:sz w:val="24"/>
          <w:szCs w:val="24"/>
        </w:rPr>
        <w:t xml:space="preserve"> </w:t>
      </w:r>
      <w:r>
        <w:rPr>
          <w:rFonts w:ascii="Book Antiqua" w:hAnsi="Book Antiqua"/>
          <w:sz w:val="24"/>
          <w:szCs w:val="24"/>
        </w:rPr>
        <w:t xml:space="preserve">is available </w:t>
      </w:r>
      <w:r w:rsidRPr="0019733C">
        <w:rPr>
          <w:rFonts w:ascii="Book Antiqua" w:hAnsi="Book Antiqua"/>
          <w:sz w:val="24"/>
          <w:szCs w:val="24"/>
        </w:rPr>
        <w:t xml:space="preserve">for </w:t>
      </w:r>
      <w:r>
        <w:rPr>
          <w:rFonts w:ascii="Book Antiqua" w:hAnsi="Book Antiqua"/>
          <w:sz w:val="24"/>
          <w:szCs w:val="24"/>
        </w:rPr>
        <w:t>1.46 million hectares of perennial crops in the moderate scenario with the 80</w:t>
      </w:r>
      <w:r w:rsidRPr="00751F0C">
        <w:rPr>
          <w:rFonts w:ascii="Book Antiqua" w:hAnsi="Book Antiqua"/>
          <w:sz w:val="24"/>
          <w:szCs w:val="24"/>
          <w:vertAlign w:val="superscript"/>
        </w:rPr>
        <w:t>th</w:t>
      </w:r>
      <w:r>
        <w:rPr>
          <w:rFonts w:ascii="Book Antiqua" w:hAnsi="Book Antiqua"/>
          <w:sz w:val="24"/>
          <w:szCs w:val="24"/>
        </w:rPr>
        <w:t xml:space="preserve"> percentile on the landscape at 195 mm green water availability yr</w:t>
      </w:r>
      <w:r>
        <w:rPr>
          <w:rFonts w:ascii="Book Antiqua" w:hAnsi="Book Antiqua"/>
          <w:sz w:val="24"/>
          <w:szCs w:val="24"/>
          <w:vertAlign w:val="superscript"/>
        </w:rPr>
        <w:t>-1</w:t>
      </w:r>
      <w:r>
        <w:rPr>
          <w:rFonts w:ascii="Book Antiqua" w:hAnsi="Book Antiqua"/>
          <w:sz w:val="24"/>
          <w:szCs w:val="24"/>
        </w:rPr>
        <w:t>.   Even in the shallowest soil reservoir scenario considered, 1.3 km</w:t>
      </w:r>
      <w:r>
        <w:rPr>
          <w:rFonts w:ascii="Book Antiqua" w:hAnsi="Book Antiqua"/>
          <w:sz w:val="24"/>
          <w:szCs w:val="24"/>
          <w:vertAlign w:val="superscript"/>
        </w:rPr>
        <w:t>3</w:t>
      </w:r>
      <w:r w:rsidRPr="0019733C">
        <w:rPr>
          <w:rFonts w:ascii="Book Antiqua" w:hAnsi="Book Antiqua"/>
          <w:sz w:val="24"/>
          <w:szCs w:val="24"/>
        </w:rPr>
        <w:t xml:space="preserve"> green water yr</w:t>
      </w:r>
      <w:r w:rsidRPr="0019733C">
        <w:rPr>
          <w:rFonts w:ascii="Book Antiqua" w:hAnsi="Book Antiqua"/>
          <w:sz w:val="24"/>
          <w:szCs w:val="24"/>
          <w:vertAlign w:val="superscript"/>
        </w:rPr>
        <w:t>-1</w:t>
      </w:r>
      <w:r w:rsidRPr="0019733C">
        <w:rPr>
          <w:rFonts w:ascii="Book Antiqua" w:hAnsi="Book Antiqua"/>
          <w:sz w:val="24"/>
          <w:szCs w:val="24"/>
        </w:rPr>
        <w:t xml:space="preserve"> </w:t>
      </w:r>
      <w:r>
        <w:rPr>
          <w:rFonts w:ascii="Book Antiqua" w:hAnsi="Book Antiqua"/>
          <w:sz w:val="24"/>
          <w:szCs w:val="24"/>
        </w:rPr>
        <w:t xml:space="preserve">is still available on average.  </w:t>
      </w:r>
    </w:p>
    <w:p w:rsidR="00822F51" w:rsidRDefault="00822F51" w:rsidP="00A41D4A">
      <w:pPr>
        <w:pStyle w:val="ListParagraph"/>
        <w:spacing w:after="0" w:line="480" w:lineRule="auto"/>
        <w:ind w:left="0" w:firstLine="720"/>
        <w:contextualSpacing w:val="0"/>
        <w:rPr>
          <w:rFonts w:ascii="Book Antiqua" w:hAnsi="Book Antiqua"/>
          <w:sz w:val="24"/>
          <w:szCs w:val="24"/>
        </w:rPr>
      </w:pPr>
      <w:r>
        <w:rPr>
          <w:rFonts w:ascii="Book Antiqua" w:hAnsi="Book Antiqua"/>
          <w:sz w:val="24"/>
          <w:szCs w:val="24"/>
        </w:rPr>
        <w:lastRenderedPageBreak/>
        <w:t xml:space="preserve">Besides their wetter climate, the main reason that the highest proportion of growing season ET is met by green water in wine grapes is due to assumed intentional </w:t>
      </w:r>
      <w:proofErr w:type="gramStart"/>
      <w:r>
        <w:rPr>
          <w:rFonts w:ascii="Book Antiqua" w:hAnsi="Book Antiqua"/>
          <w:sz w:val="24"/>
          <w:szCs w:val="24"/>
        </w:rPr>
        <w:t>crop</w:t>
      </w:r>
      <w:proofErr w:type="gramEnd"/>
      <w:r>
        <w:rPr>
          <w:rFonts w:ascii="Book Antiqua" w:hAnsi="Book Antiqua"/>
          <w:sz w:val="24"/>
          <w:szCs w:val="24"/>
        </w:rPr>
        <w:t xml:space="preserve"> water stress to increase crop quality at the expense of some yield.</w:t>
      </w:r>
    </w:p>
    <w:p w:rsidR="00DA3E7D" w:rsidRDefault="00893D96" w:rsidP="000E57B5">
      <w:pPr>
        <w:pStyle w:val="EndNoteBibliographyTitle"/>
        <w:spacing w:line="480" w:lineRule="auto"/>
        <w:ind w:firstLine="720"/>
        <w:jc w:val="left"/>
        <w:rPr>
          <w:rFonts w:ascii="Book Antiqua" w:hAnsi="Book Antiqua"/>
          <w:sz w:val="24"/>
          <w:szCs w:val="24"/>
        </w:rPr>
      </w:pPr>
      <w:r>
        <w:rPr>
          <w:rFonts w:ascii="Book Antiqua" w:hAnsi="Book Antiqua"/>
          <w:sz w:val="24"/>
          <w:szCs w:val="24"/>
        </w:rPr>
        <w:t>Third, there is a “fudge factor” built into irrigation management with the distribution uniformity coefficient (0 &lt; DU &lt; 1.), which quantifies the uniformity in irrigation management and, for example, a DU of 0.7 means that in order to get 1” to the driest quarter of the land covered by the irrigation system, then 1 / 0.7 = 1.43” need to be applied through the system.  This means substantial leaching for three-quarters of the field, on average.</w:t>
      </w:r>
    </w:p>
    <w:p w:rsidR="00E24436" w:rsidRPr="000E57B5" w:rsidRDefault="00E24436" w:rsidP="000E57B5">
      <w:pPr>
        <w:pStyle w:val="EndNoteBibliographyTitle"/>
        <w:spacing w:line="480" w:lineRule="auto"/>
        <w:ind w:firstLine="720"/>
        <w:jc w:val="left"/>
        <w:rPr>
          <w:rFonts w:ascii="Book Antiqua" w:hAnsi="Book Antiqua"/>
          <w:sz w:val="24"/>
          <w:szCs w:val="24"/>
        </w:rPr>
      </w:pPr>
      <w:r>
        <w:rPr>
          <w:rFonts w:ascii="Book Antiqua" w:hAnsi="Book Antiqua"/>
          <w:sz w:val="24"/>
          <w:szCs w:val="24"/>
        </w:rPr>
        <w:t>..</w:t>
      </w:r>
      <w:bookmarkStart w:id="0" w:name="_GoBack"/>
      <w:bookmarkEnd w:id="0"/>
      <w:r>
        <w:rPr>
          <w:rFonts w:ascii="Book Antiqua" w:hAnsi="Book Antiqua"/>
          <w:sz w:val="24"/>
          <w:szCs w:val="24"/>
        </w:rPr>
        <w:t>along with an improved network of precipitation gauges and some required input from farmers</w:t>
      </w:r>
    </w:p>
    <w:sectPr w:rsidR="00E24436" w:rsidRPr="000E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C1"/>
    <w:rsid w:val="000C5AD8"/>
    <w:rsid w:val="000E57B5"/>
    <w:rsid w:val="003267E9"/>
    <w:rsid w:val="00444D95"/>
    <w:rsid w:val="005324C7"/>
    <w:rsid w:val="00667E1E"/>
    <w:rsid w:val="006F2C15"/>
    <w:rsid w:val="00822F51"/>
    <w:rsid w:val="00870597"/>
    <w:rsid w:val="00893D96"/>
    <w:rsid w:val="00952927"/>
    <w:rsid w:val="00A23E1D"/>
    <w:rsid w:val="00A41D4A"/>
    <w:rsid w:val="00AA0FBB"/>
    <w:rsid w:val="00C364B6"/>
    <w:rsid w:val="00D011BC"/>
    <w:rsid w:val="00DC23C1"/>
    <w:rsid w:val="00E24436"/>
    <w:rsid w:val="00E813FE"/>
    <w:rsid w:val="00F53829"/>
    <w:rsid w:val="00FE1A01"/>
    <w:rsid w:val="00FE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A7A0"/>
  <w15:chartTrackingRefBased/>
  <w15:docId w15:val="{8D1DB410-DFCC-4D29-8F0D-01F649A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3C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4A"/>
    <w:pPr>
      <w:ind w:left="720"/>
      <w:contextualSpacing/>
    </w:pPr>
  </w:style>
  <w:style w:type="paragraph" w:customStyle="1" w:styleId="EndNoteBibliographyTitle">
    <w:name w:val="EndNote Bibliography Title"/>
    <w:basedOn w:val="Normal"/>
    <w:link w:val="EndNoteBibliographyTitleChar"/>
    <w:rsid w:val="00893D9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93D9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Devine</dc:creator>
  <cp:keywords/>
  <dc:description/>
  <cp:lastModifiedBy>Scott Devine</cp:lastModifiedBy>
  <cp:revision>9</cp:revision>
  <dcterms:created xsi:type="dcterms:W3CDTF">2018-06-20T17:16:00Z</dcterms:created>
  <dcterms:modified xsi:type="dcterms:W3CDTF">2018-06-29T16:19:00Z</dcterms:modified>
</cp:coreProperties>
</file>