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line="240" w:lineRule="auto"/>
        <w:contextualSpacing w:val="0"/>
      </w:pPr>
      <w:r w:rsidDel="00000000" w:rsidR="00000000" w:rsidRPr="00000000">
        <w:rPr>
          <w:rtl w:val="0"/>
        </w:rPr>
      </w:r>
    </w:p>
    <w:tbl>
      <w:tblPr>
        <w:tblStyle w:val="Table2"/>
        <w:bidi w:val="0"/>
        <w:tblW w:w="10560.0" w:type="dxa"/>
        <w:jc w:val="left"/>
        <w:tblLayout w:type="fixed"/>
        <w:tblLook w:val="0600"/>
      </w:tblPr>
      <w:tblGrid>
        <w:gridCol w:w="10560"/>
        <w:tblGridChange w:id="0">
          <w:tblGrid>
            <w:gridCol w:w="10560"/>
          </w:tblGrid>
        </w:tblGridChange>
      </w:tblGrid>
      <w:t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pPr>
              <w:spacing w:after="300" w:before="300" w:line="240" w:lineRule="auto"/>
              <w:contextualSpacing w:val="0"/>
              <w:jc w:val="center"/>
            </w:pPr>
            <w:r w:rsidDel="00000000" w:rsidR="00000000" w:rsidRPr="00000000">
              <w:rPr>
                <w:sz w:val="48"/>
                <w:szCs w:val="48"/>
                <w:rtl w:val="0"/>
              </w:rPr>
              <w:t xml:space="preserve">Due Diligence Checklist</w:t>
            </w:r>
          </w:p>
          <w:tbl>
            <w:tblPr>
              <w:tblStyle w:val="Table1"/>
              <w:bidi w:val="0"/>
              <w:tblW w:w="10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7080"/>
              <w:gridCol w:w="1215"/>
              <w:tblGridChange w:id="0">
                <w:tblGrid>
                  <w:gridCol w:w="2115"/>
                  <w:gridCol w:w="7080"/>
                  <w:gridCol w:w="1215"/>
                </w:tblGrid>
              </w:tblGridChange>
            </w:tblGrid>
            <w:tr>
              <w:trPr>
                <w:trHeight w:val="440" w:hRule="atLeast"/>
              </w:trPr>
              <w:tc>
                <w:tcPr>
                  <w:gridSpan w:val="3"/>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sz w:val="20"/>
                      <w:szCs w:val="20"/>
                      <w:rtl w:val="0"/>
                    </w:rPr>
                    <w:t xml:space="preserve">Organization/Corporate</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Initial Org</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Documents related to organization of the company prior to incorporation.</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Org Changes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Documents related to acquisitions, restructurings, reorganizations, bankruptcies, dispositions, repurchases, and changes of form (e.g. from a partnership to an LLC)</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Articles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Articles of incorporation and all amendments thereto</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Bylaws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Corporate bylaws and all amendments thereto</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Minutes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Minutes of the board of directors, including shareholder resolutions, written consents, and the minutes of any director or executive committees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Shareholder Communications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All communications with shareholders including annual reports, letters, solicitations and proxy statements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Stock Ledger</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The stock ledger for the Company and each subsidiary.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Share Records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list of all shares authorized, issued and outstanding.</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Securities Agreements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Agreements relating to options, option plans, voting trusts, warrants, agreements to issues securities, calls, agreements to purchase securities, puts, subscriptions, ESPPs, stock bonus plans, and convertible securities.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Equity Compensation</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All equity compensation agreements, including a list of all participants, the number of shares they own, the restrictions on those shares, and their exercise price.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Shareholder Agreements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All agreements with shareholders relating to voting, acquisition, redemption or disposition of securities.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Change of Control Plans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All documents relating to anti-takeover measures or any agreement, plan or document that contains change of control provisions.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Org Charts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Organization charts showing ownership and operational structure, including information related to subsidiaries, divisions, joint ventures and affiliates.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Certificates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Certificate of Good Standing from the secretary of state of incorporation, as well as any other</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List of Jurisdictions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List of all states, provinces, or countries where the Company owns or leases property, maintains employees, or is otherwise authorized to do business.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gridSpan w:val="3"/>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sz w:val="20"/>
                      <w:szCs w:val="20"/>
                      <w:rtl w:val="0"/>
                    </w:rPr>
                    <w:t xml:space="preserve">Financial Information</w:t>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Financial Statements</w:t>
                  </w:r>
                  <w:r w:rsidDel="00000000" w:rsidR="00000000" w:rsidRPr="00000000">
                    <w:rPr>
                      <w:rtl w:val="0"/>
                    </w:rPr>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All annual and quarterly financial statements for the past 5 years for the Company and all its subsidiaries.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Interim Financial Statements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The latest available interim financial information (e.g. unaudited monthly financial statements).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Auditor Communications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All communications with auditors, including auditors letters and replies, PBC lists, and other correspondence for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Budgets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All available company-wide and departmental budgets for the last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Projections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The latest financial projections and estimates for the Company and its subsidiaries, including a discussion of assumptions made.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Capital budgets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The latest available capital budget, including a discussion of essential, non-essential and strategic investments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Cash</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cash holdings and short-term investments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Inventory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inventory by product and geography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Accounts Receivable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aged schedule of accounts receivable by customer and geography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Long term investments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long term investments, including share holding, bonds and debt instruments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Property, Plant &amp; Equipment</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property, plant and equipment, including acquisition cost, accumulated depreciation, and depreciable life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Accounts payable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accounts payable by vendor</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Debt</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outstanding notes payable, bonds, mortgages and other long term debts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Orders booked</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by customer of orders booked for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Revenues and cost of sales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revenues and cost of sales broken down by customer, geography, and product for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SG&amp;A</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selling, general and administrative expenses by division, subsidiary and geography for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Contingent liabilities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contingent liabilities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Off-balance sheet items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off-balance sheet transactions including lease liabilities and credit derivatives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Capital expenditures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capital expenditures for the past 5 years, including a description of each major expenditure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Restructurings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any restructurings, reorganizations or major operational changes undertaken in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Accounting changes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schedule of any changes in accounting policies, principles or procedures in the past 5 years, including an explanation of why such changes were made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Controls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description of the Company’s internal controls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Reserves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Details of any reserves held (e.g. reserve for obsolete inventory)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Intercompany transactions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Details of all transactions between the company and its subsidiaries, parents, or other related parties.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Extraordinary items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Details and descriptions of any extraordinary or non-recurring items appearing in the financial statements during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Deferred income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deferred income items for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Accounting policies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description of all accounting policies, including depreciation methods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Breakeven cash flow analysis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An analysis of the company’s monthly breakeven cash flow, broken down by fixed and variable cash inflows and outflows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Financial services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Description of services provided by accountants, auditors, financial advisors, actuaries, brokers and other financial professionals for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gridSpan w:val="3"/>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sz w:val="20"/>
                      <w:szCs w:val="20"/>
                      <w:rtl w:val="0"/>
                    </w:rPr>
                    <w:t xml:space="preserve">Legal, Regulatory, Compliance:</w:t>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Litigation</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ongoing, pending and threatened action, arbitration, audit, examination, investigation, hearing, litigation, claim, suit, administrative proceeding, governmental investigation, or governmental inquiry affecting the Company, its assets or operations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Regulators correspondence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Copies of all correspondence, reports to and filings with all regulators, including but not limited to the Securities &amp; Exchange Commission, state securities authorities, foreign securities authorities, the Department of Justice, the Environmental Protection Agency, and the Department of Commerce.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Court orders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court orders, writs, judgments, injunctions, decrees and settlements to which the Company is a party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Notices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Copies of all notices of legal or regulatory violations and infringements including correspondence, reports, notices, and filings related to any dispute, alleged violation or infringement by the Company, its agents or employees of any local, state, federal or foreign lawn, regulation, order or permit relating to employment violations, unfair labor practices, equal opportunity, bribery, corruption, occupational safety and health, antitrust matters, intellectual property and environmental matters.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Permits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All local, state, federal and foreign approvals, authorizations, certifications, clearances, licenses, permits, registrations and waivers related to the Company, its operations or assets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Breaches and defaults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breaches or defaults that have occurred under agreements to which the Company is a party, including all agreements which would be affected by the contemplated transaction (e.g. change of control provisions).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gridSpan w:val="3"/>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sz w:val="20"/>
                      <w:szCs w:val="20"/>
                      <w:rtl w:val="0"/>
                    </w:rPr>
                    <w:t xml:space="preserve">Taxes</w:t>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Returns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All local, state, federal and foreign tax returns and filings (including sales tax returns) made by the Company for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Tax authority correspondence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All correspondence with local, state, federal and foreign tax authorities including audits, revenue agents’ reports and notices of proposed or final adjustments to the Company’s tax liabilities for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Determination Letters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Any determination letters from the IRS or other tax authority received in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Settlements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All agreements, consents, elections, requests, rulings, settlements and waivers made with any local, state, federal or foreign tax authority in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Compliance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All documents related to the Company’s compliance with tax laws and regulations for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Opinions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All tax opinions received from attorneys, accountants or other specialists for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Open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open years for local, state, federal and foreign taxes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Jurisdictions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tax jurisdictions (including sales tax jurisdictions) where the Company operates, maintains a physical presence of any kind or has employees or agents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Tax liabilities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tax liabilities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Tax basis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the tax basis of all assets, its accumulated depreciation and the depreciation method used</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Carryforwards and carrybacks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tax carryforwards and carrybacks, including their source (e.g. net operating loss or foreign tax credit), their expiration dates and any limitations on their use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 Tax free transactions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tax free transactions not listed on the Company’s tax returns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 Transfer pricing</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description of transfer pricing methodologies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Tax liens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tax liens against the Company’s assets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gridSpan w:val="3"/>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sz w:val="20"/>
                      <w:szCs w:val="20"/>
                      <w:rtl w:val="0"/>
                    </w:rPr>
                    <w:t xml:space="preserve">Intellectual Property</w:t>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IP portfolio</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patents, patent applications, trademarks, trademark applications, trade names, trade name applications, copyrights, copyright applications, service marks and service mark applications owned, held or used by the Company, including ownership, adverse claims made, involvement in litigation (if any), jurisdiction of registration and registration status.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Trade secrets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description of trade secrets and other unpatented proprietary information</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Know how</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description of significant technical know-how used by the Company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License agreements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license agreements to which the Company is a party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Royalty agreements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royalty agreements to which the Company is a party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Technology sharing</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technology sharing agreements to which the Company is a party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Other IP agreements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agreements related to intellectual property, including use of technology or information, disclosure of information and confidentiality.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Domain names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schedule of all internet websites and domain names owned or used by the Company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Software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software assets owned or licensed by the Company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Infringement</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potential or current matters relating to infringement, interference, or unfair competition</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gridSpan w:val="3"/>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sz w:val="20"/>
                      <w:szCs w:val="20"/>
                      <w:rtl w:val="0"/>
                    </w:rPr>
                    <w:t xml:space="preserve">Employee Matters</w:t>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Officers and directors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list of all officers and directors of the Company.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 Org charts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Organizational charts describing the Company’s management structure and lines of reporting</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Key employees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list of all key employees, their function, their salary, their resume and their importance to the business.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 Employee list</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list of all employees including position, salary, and location.</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Consultants &amp; Contractors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list of all consultants and contractors working for the Company.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Employment agreements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All employment, consulting, change-of-control, non-disclosure, non-solicitation , or non-competition agreements between the Company and any of its employees, contractors or consultants.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Bonus plans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Documents describing any bonus, incentive or profit-sharing plans including funding requirements and schedules of amounts paid under the plan for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Pension plans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Documents describing any retirement or pension plans including funding requirements; actuarial reports; financial reports or financial summaries; IRS Form 5500, 5310, or 5330; annual reports, reportable event notices, notices of intent to terminate a plan filed with the Pension Benefit Guarantee Corporation; any applications for determination filed with the IRS; and schedules of amounts paid under the plan for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Insurance plans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Documents describing any group life insurance, death benefit, disability, accident, cafeteria, health, major medical, medical expense reimbursement, dependent care or sick leave policies or programs, including funding requirements; actuarial reports; financial reports or financial summaries; IRS Form 5500, 5310, or 5330; annual reports, reportable event notices, notices of intent to terminate a plan filed with the Pension Benefit Guarantee Corporation; any applications for determination filed with the IRS; and schedules of amounts paid under the plan for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Vacation plans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Documents describing any holiday, vacation, leave-of-absence or sabbatical plans, including funding requirements; actuarial reports; financial reports or financial summaries; IRS Form 5500, 5310, or 5330; annual reports, reportable event notices, notices of intent to terminate a plan filed with the Pension Benefit Guarantee Corporation; any applications for determination filed with the IRS; and schedules of amounts paid under the plan for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 Stock plans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Documents describing any stock option, stock purchase, stock appreciation right, stock bonus, employee stock option and employee stock ownership plans, including funding requirements; actuarial reports; financial reports or financial summaries; IRS Form 5500, 5310, or 5330; annual reports, reportable event notices, notices of intent to terminate a plan filed with the Pension Benefit Guarantee Corporation; any applications for determination filed with the IRS; and schedules of amounts paid under the plan for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Savings plans and other employee benefit plans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Documents describing any savings, deferred compensation, supplemental unemployment benefit, welfare, salary continuation, severance pay, termination pay, change-in-control, worker’s compensation or other employee benefit plan, including funding requirements; actuarial reports; financial reports or financial summaries; IRS Form 5500, 5310, or 5330; annual reports, reportable event notices, notices of intent to terminate a plan filed with the Pension Benefit Guarantee Corporation; any applications for determination filed with the IRS; and schedules of amounts paid under the plan for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ERISA Plans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Documents describing any plan that qualifies as an “employee pension benefit plan” or “employee welfare benefit plan” as defined by Section 3 of the Employee Retirement Income Security Act of 1974</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Collective bargaining agreements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Copies of any collective bargaining agreements related to any labor unions or other employee groups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Reductions in force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Details of any reductions-in-force made by the Company within the past 12 months, including lists of employees made redundant and the costs of such reductions-in-force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Employee disputes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any allegations of wrongful termination, harassment, discrimination or other employee disputes for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Litigation</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employee or labor related litigation and investigations, whether settled, ongoing, or pending, over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Labor relations disputes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any labor disputes, requests for arbitration, or grievances filed or pending within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Code of ethics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Copies of codes of ethics or conduct used by the Company.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gridSpan w:val="3"/>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sz w:val="20"/>
                      <w:szCs w:val="20"/>
                      <w:rtl w:val="0"/>
                    </w:rPr>
                    <w:t xml:space="preserve">Contracts</w:t>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Contracts with other organizations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subsidiaries, partnerships, joint ventures and strategic alliances along with copies of all related agreements.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Contracts with related parties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Copies of all contracts between the Company and its officers, directors, shareholders and affiliates.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Contracts with creditors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Copies of all loan agreements, bank financing agreements, lines of credit, promissory notes, security agreements, mortgages, indentures, collateral pledges or other contracts with creditors.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Guaranties and indemnity agreements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Copies of all agreements that obligate the Company to indemnify a third party, or that otherwise commits the Company to provide a guarantee of any kind.</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Sales agreements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Copies of all contracts related to sales, agency, franchise, dealer, marketing or distribution agreements or arrangements.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Supply agreements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Copies of all contracts related to supplier or vendor agreements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Customer contracts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Copies of all customer agreements with a value of $______ or greater</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Licensing, franchise and conditional sales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Copies of all licensing agreements, franchise agreements and conditional sales agreements to which the Company is party.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Quotes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Copies of all outstanding bids, quotations or tenders with a potential value of $____ or greater.</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Purchase orders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Copies of the Company’s standard quote, purchase order and invoice forms, including standard terms and conditions.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 M&amp;A</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Copies of any memoranda of understanding, letters of intent, contracts, agreements, or closing documents related to any acquisition or disposition of corporate shares, companies, divisions, businesses, or other significant assets by the Company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Noncompetition agreements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Copies of any agreements that prohibit, limit or restrain the Company from engaging in any business activity or otherwise competing with another entity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Nondisclosure agreements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Copies of any nondisclosure agreements to which the Company is a party.f</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Other material agreements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Copies of all agreements with a value of $_____ or greater, or which have a material impact on the operation of the business, and are not requested elsewhere in this checklist.</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gridSpan w:val="3"/>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sz w:val="20"/>
                      <w:szCs w:val="20"/>
                      <w:rtl w:val="0"/>
                    </w:rPr>
                    <w:t xml:space="preserve">Real &amp; Personal Property</w:t>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Business locations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locations where Company business is transacted, including offices, warehouses, stores and factories.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Owned real estate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real estate owned by the Company.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Titles and rights to owned real estate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copy of the deed or title to any real estate owned by the Company as well as a description of all rights attached to the property (e.g. air or mineral rights)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Debts and encumbrances on owned real estate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debts, liens or other encumbrances on real estate owned by the Company.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Other documents related to owned real estate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copy of all surveys, zoning approvals, variances, use permits or appraisals related to real estate owned by the Company.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Leased real estate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real estate rented or leased by the Company. This schedule should contain a brief description of the lease terms, including amount and frequency of rent and the remaining term of the lease or rent agreement.</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Owned personal property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personal property owned by the Company with a value of $______ or greater. This schedule should include a description of the property, its location, its book value, and any debt or encumbrances on the property. This schedule should include all inventories, machinery and equipment, tools, furniture, office equipment, computer hardware and software, supplies, materials, vehicles and fixtures.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Leased personal property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personal property rented or leased by the Company with a value of $______ or greater. This schedule should include a description of the property, its location, its book value, the amount and frequency of rent and the remaining term of the lease or rent agreement. This schedule should include all inventories, machinery and equipment, tools, furniture, office equipment, computer hardware and software, supplies, materials, vehicles and fixtures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Lien search</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The results of any lien searches.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UCC filings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schedule of all UCC filings on the assets of the Company.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Capital equipment purchases and disposals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capital equipment purchases and dispositions made during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gridSpan w:val="3"/>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sz w:val="20"/>
                      <w:szCs w:val="20"/>
                      <w:rtl w:val="0"/>
                    </w:rPr>
                    <w:t xml:space="preserve">Credit Facilities</w:t>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 Long-term debt facilities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long-term debt facilities, including capitalized leases, guarantees and other contingent obligations, along with copies of all related documents.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 Short-term debt facilities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short-term debt facilities, including capitalized leases, guarantees and other contingent obligations, along with copies of all related documents.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Correspondence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Copies of all correspondence with lenders including consents, notices, waivers of default, and compliance certificates.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gridSpan w:val="3"/>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sz w:val="20"/>
                      <w:szCs w:val="20"/>
                      <w:rtl w:val="0"/>
                    </w:rPr>
                    <w:t xml:space="preserve">Environmental Matters</w:t>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Permits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permits, licenses, registrations, notices, approvals, certifications, contingency plans and any other authorization related to environmental, health or safety matters.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Audits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Environmental audits for each property owned or leased by the Company.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Hazardous materials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hazardous substances (including dangerous, toxic, radioactive, or infectious substances, materials, pollutants, contaminants or waste) that the Company has or may have used, stored, generated, treated, handled, released or disposed of.</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Disposal methods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description of the Company’s methods of handling, treating, storing, securing, transporting, recycling, reclaiming and disposing of hazardous materials. This should include a detailed schedule describing all wells, above-ground storage tanks, below-ground storage tanks, surface impoundments, and any other waste disposal facility owned, operated or used by the Company to store or dispose of hazardous materials.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 Internal reports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Copies of all internal reports (whether created by Company personnel or a 3rd Party) relating to environmental, health or safety matters. Such reports should include emissions monitoring results, sample testing results, laboratory analyses, and monitoring logs.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Regulators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Copies of all statements, reports and correspondence involving the Environmental Protection Agency or any other environmental, health or safety regulatory group, agency or body.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Environmental, health or safety related litigation</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environmental, health or safety related litigation and investigations, whether settled, ongoing, or pending, over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gridSpan w:val="3"/>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sz w:val="20"/>
                      <w:szCs w:val="20"/>
                      <w:rtl w:val="0"/>
                    </w:rPr>
                    <w:t xml:space="preserve">Related Parties</w:t>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Contracts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Copies of any contracts or agreements between the Company and any current or former director, officer, shareholder or affiliate of the Company.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Receivables and payables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any amounts owed by the Company to any current or former director, officer, shareholder or affiliate of the Company and any amount owed by any current or former director, officer, shareholder or affiliate of the Company to the Company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Other transactions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Copies of documents relating to any other transaction between the Company and any current or former director, officer, shareholder or affiliate of the Company.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Conflicts of interest</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Describe any interests of any current or former director, officer, shareholder or affiliate of the Company in any business that competes with, conducts any business similar to, or has any arrangement or agreement with the Company.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gridSpan w:val="3"/>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sz w:val="20"/>
                      <w:szCs w:val="20"/>
                      <w:rtl w:val="0"/>
                    </w:rPr>
                    <w:t xml:space="preserve">Securities &amp; Investments</w:t>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Equity investments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companies in which the Company holds an interest of 5% or more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Offering documents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Copies of all offering circulars, private placement memoranda, syndication documents, or other securities placement documents, prepared or used by the Company over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Engagement letters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Copies of contracts, agreements or engagement letters with investment bankers, finders, business brokers or other financial advisers pursuant to any contemplated financial transaction over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gridSpan w:val="3"/>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sz w:val="20"/>
                      <w:szCs w:val="20"/>
                      <w:rtl w:val="0"/>
                    </w:rPr>
                    <w:t xml:space="preserve">Imports &amp; Exports</w:t>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Imports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description of the Company’s major imports, the import process, and dealings with the US Customs Service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Exports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description of the Company’s major exports and the export process. Include a detailed schedule of the Company’s exports (both products and services), along with the annual amount of revenue derived from each export and the country to which the product or service was exported.</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FCPA</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description of the Company’s procedures and controls for complying with the Foreign Corrupt Practices Act. Include a detailed schedule of all sales representatives, commission agents, dealers and consultants dealing with foreign companies or agencies on the Company’s behalf</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gridSpan w:val="3"/>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sz w:val="20"/>
                      <w:szCs w:val="20"/>
                      <w:rtl w:val="0"/>
                    </w:rPr>
                    <w:t xml:space="preserve">Products &amp; Services</w:t>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Product and service lines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existing products and services offered by the Company.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Complaints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any complaints, warranty claims or litigation related to products or services offered by the Company.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Internal reports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Copies of any tests, evaluations, studies, surveys and other internal reports related to existing or contemplates products and services.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gridSpan w:val="3"/>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sz w:val="20"/>
                      <w:szCs w:val="20"/>
                      <w:rtl w:val="0"/>
                    </w:rPr>
                    <w:t xml:space="preserve">Customers</w:t>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Customer list</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the Company’s customers, along with annual sales to each customer over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Terms and conditions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description of the Company’s standard sales terms and conditions.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 Market activities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Description of all marketing research, campaigns, plans, programs, budget and materials.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Competitors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list of the Company’s 10 most significant competitors.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gridSpan w:val="3"/>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sz w:val="20"/>
                      <w:szCs w:val="20"/>
                      <w:rtl w:val="0"/>
                    </w:rPr>
                    <w:t xml:space="preserve">Other</w:t>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Professionals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all law firms, accounting firms, consulting firms and other professionals engaged by the Company over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Licenses and permits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Copies of all licenses, permits or consents held by the Company.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Press releases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Copies of all press releases issued by the Company over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Insurance policies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Copies of all insurance policies, whether by third parties or self insured.</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Claims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 detailed schedule of the Company’s insurance claims history over the past 5 years.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Other significant matters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sz w:val="20"/>
                      <w:szCs w:val="20"/>
                      <w:rtl w:val="0"/>
                    </w:rPr>
                    <w:t xml:space="preserve">Any other document or information that may be significant to the Company or its operations.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bl>
          <w:p w:rsidR="00000000" w:rsidDel="00000000" w:rsidP="00000000" w:rsidRDefault="00000000" w:rsidRPr="00000000">
            <w:pPr>
              <w:spacing w:after="300" w:before="300" w:line="240" w:lineRule="auto"/>
              <w:contextualSpacing w:val="0"/>
            </w:pPr>
            <w:r w:rsidDel="00000000" w:rsidR="00000000" w:rsidRPr="00000000">
              <w:rPr>
                <w:rtl w:val="0"/>
              </w:rPr>
            </w:r>
          </w:p>
          <w:p w:rsidR="00000000" w:rsidDel="00000000" w:rsidP="00000000" w:rsidRDefault="00000000" w:rsidRPr="00000000">
            <w:pPr>
              <w:spacing w:after="300" w:before="300" w:line="240" w:lineRule="auto"/>
              <w:contextualSpacing w:val="0"/>
            </w:pPr>
            <w:r w:rsidDel="00000000" w:rsidR="00000000" w:rsidRPr="00000000">
              <w:rPr>
                <w:rtl w:val="0"/>
              </w:rPr>
            </w:r>
          </w:p>
        </w:tc>
      </w:tr>
    </w:tbl>
    <w:p w:rsidR="00000000" w:rsidDel="00000000" w:rsidP="00000000" w:rsidRDefault="00000000" w:rsidRPr="00000000">
      <w:pPr>
        <w:spacing w:line="240" w:lineRule="auto"/>
        <w:contextualSpacing w:val="0"/>
      </w:pPr>
      <w:r w:rsidDel="00000000" w:rsidR="00000000" w:rsidRPr="00000000">
        <w:rPr>
          <w:rtl w:val="0"/>
        </w:rPr>
      </w:r>
    </w:p>
    <w:sectPr>
      <w:pgSz w:h="15840" w:w="12240"/>
      <w:pgMar w:bottom="720" w:top="720" w:left="720" w:right="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