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MTN Balanced Scorecard – Workshop Edition (Full Storyboard)</w:t>
      </w:r>
    </w:p>
    <w:p>
      <w:r>
        <w:t>Turning Strategy into Action @ MTN</w:t>
        <w:br/>
        <w:t>Based on McKeown (2011), Paroutis et al. (2016), and Kotter (1996)</w:t>
        <w:br/>
        <w:br/>
        <w:t>This storyboard contains the full 25-slide version of the Balanced Scorecard Workshop deck, including exercises, facilitator notes, and behavioural metrics.</w:t>
      </w:r>
    </w:p>
    <w:p>
      <w:pPr>
        <w:pStyle w:val="Heading2"/>
      </w:pPr>
      <w:r>
        <w:t>Slide 1: Title Slide</w:t>
      </w:r>
    </w:p>
    <w:p>
      <w:pPr>
        <w:pStyle w:val="ListBullet"/>
        <w:spacing w:after="60"/>
      </w:pPr>
      <w:r>
        <w:t>MTN Balanced Scorecard Workshop</w:t>
      </w:r>
    </w:p>
    <w:p>
      <w:pPr>
        <w:pStyle w:val="ListBullet"/>
        <w:spacing w:after="60"/>
      </w:pPr>
      <w:r>
        <w:t>Turning Strategy into Action @ MTN</w:t>
      </w:r>
    </w:p>
    <w:p>
      <w:pPr>
        <w:pStyle w:val="IntenseQuote"/>
      </w:pPr>
      <w:r>
        <w:t>Facilitator Notes: Welcome participants; outline goals — learn, apply, co-create MTN’s Balanced Scorecard.</w:t>
      </w:r>
    </w:p>
    <w:p/>
    <w:p>
      <w:pPr>
        <w:pStyle w:val="Heading2"/>
      </w:pPr>
      <w:r>
        <w:t>Slide 2: Why We’re Here – Our Current Challenges</w:t>
      </w:r>
    </w:p>
    <w:p>
      <w:pPr>
        <w:pStyle w:val="ListBullet"/>
        <w:spacing w:after="60"/>
      </w:pPr>
      <w:r>
        <w:t>Too many meetings / too few decisions</w:t>
      </w:r>
    </w:p>
    <w:p>
      <w:pPr>
        <w:pStyle w:val="ListBullet"/>
        <w:spacing w:after="60"/>
      </w:pPr>
      <w:r>
        <w:t>Objectives shift or cancel without accountability</w:t>
      </w:r>
    </w:p>
    <w:p>
      <w:pPr>
        <w:pStyle w:val="ListBullet"/>
        <w:spacing w:after="60"/>
      </w:pPr>
      <w:r>
        <w:t>People on multiple projects simultaneously</w:t>
      </w:r>
    </w:p>
    <w:p>
      <w:pPr>
        <w:pStyle w:val="ListBullet"/>
        <w:spacing w:after="60"/>
      </w:pPr>
      <w:r>
        <w:t>Agile disciplines ignored (sprint goals missed)</w:t>
      </w:r>
    </w:p>
    <w:p>
      <w:pPr>
        <w:pStyle w:val="ListBullet"/>
        <w:spacing w:after="60"/>
      </w:pPr>
      <w:r>
        <w:t>Work ≠ Strategic impact</w:t>
      </w:r>
    </w:p>
    <w:p>
      <w:pPr>
        <w:pStyle w:val="IntenseQuote"/>
      </w:pPr>
      <w:r>
        <w:t>Facilitator Notes: Ask teams which pain points they experience most.</w:t>
      </w:r>
    </w:p>
    <w:p/>
    <w:p>
      <w:pPr>
        <w:pStyle w:val="Heading2"/>
      </w:pPr>
      <w:r>
        <w:t>Slide 3: What Is a Balanced Scorecard?</w:t>
      </w:r>
    </w:p>
    <w:p>
      <w:pPr>
        <w:pStyle w:val="ListBullet"/>
        <w:spacing w:after="60"/>
      </w:pPr>
      <w:r>
        <w:t>A framework to translate strategy into action</w:t>
      </w:r>
    </w:p>
    <w:p>
      <w:pPr>
        <w:pStyle w:val="ListBullet"/>
        <w:spacing w:after="60"/>
      </w:pPr>
      <w:r>
        <w:t>Balances financial &amp; non-financial measures</w:t>
      </w:r>
    </w:p>
    <w:p>
      <w:pPr>
        <w:pStyle w:val="ListBullet"/>
        <w:spacing w:after="60"/>
      </w:pPr>
      <w:r>
        <w:t>Aligns teams around a shared vision</w:t>
      </w:r>
    </w:p>
    <w:p>
      <w:pPr>
        <w:pStyle w:val="IntenseQuote"/>
      </w:pPr>
      <w:r>
        <w:t>Facilitator Notes: Introduce Kaplan &amp; Norton; highlight relevance to MTN.</w:t>
      </w:r>
    </w:p>
    <w:p/>
    <w:p>
      <w:pPr>
        <w:pStyle w:val="Heading2"/>
      </w:pPr>
      <w:r>
        <w:t>Slide 4: The Four Perspectives</w:t>
      </w:r>
    </w:p>
    <w:p>
      <w:pPr>
        <w:pStyle w:val="ListBullet"/>
        <w:spacing w:after="60"/>
      </w:pPr>
      <w:r>
        <w:t>Financial – How do we create value?</w:t>
      </w:r>
    </w:p>
    <w:p>
      <w:pPr>
        <w:pStyle w:val="ListBullet"/>
        <w:spacing w:after="60"/>
      </w:pPr>
      <w:r>
        <w:t>Customer – How do customers see us?</w:t>
      </w:r>
    </w:p>
    <w:p>
      <w:pPr>
        <w:pStyle w:val="ListBullet"/>
        <w:spacing w:after="60"/>
      </w:pPr>
      <w:r>
        <w:t>Internal Process – What must we excel at?</w:t>
      </w:r>
    </w:p>
    <w:p>
      <w:pPr>
        <w:pStyle w:val="ListBullet"/>
        <w:spacing w:after="60"/>
      </w:pPr>
      <w:r>
        <w:t>Learning &amp; Growth – How do we improve?</w:t>
      </w:r>
    </w:p>
    <w:p>
      <w:pPr>
        <w:pStyle w:val="IntenseQuote"/>
      </w:pPr>
      <w:r>
        <w:t>Facilitator Notes: Use quadrant graphic; fade-in each perspective.</w:t>
      </w:r>
    </w:p>
    <w:p/>
    <w:p>
      <w:pPr>
        <w:pStyle w:val="Heading2"/>
      </w:pPr>
      <w:r>
        <w:t>Slide 5: Translating Strategy into Action</w:t>
      </w:r>
    </w:p>
    <w:p>
      <w:pPr>
        <w:pStyle w:val="ListBullet"/>
        <w:spacing w:after="60"/>
      </w:pPr>
      <w:r>
        <w:t>Vision → Objectives → Measures → Targets → Initiatives</w:t>
      </w:r>
    </w:p>
    <w:p>
      <w:pPr>
        <w:pStyle w:val="ListBullet"/>
        <w:spacing w:after="60"/>
      </w:pPr>
      <w:r>
        <w:t>Ensures focus and alignment across MTN</w:t>
      </w:r>
    </w:p>
    <w:p>
      <w:pPr>
        <w:pStyle w:val="IntenseQuote"/>
      </w:pPr>
      <w:r>
        <w:t>Facilitator Notes: Explain the flow from strategy to daily action.</w:t>
      </w:r>
    </w:p>
    <w:p/>
    <w:p>
      <w:pPr>
        <w:pStyle w:val="Heading2"/>
      </w:pPr>
      <w:r>
        <w:t>Slide 6: MTN’s Strategic Priorities (Example)</w:t>
      </w:r>
    </w:p>
    <w:p>
      <w:pPr>
        <w:pStyle w:val="ListBullet"/>
        <w:spacing w:after="60"/>
      </w:pPr>
      <w:r>
        <w:t>Improve ROI on projects ≥ 15%</w:t>
      </w:r>
    </w:p>
    <w:p>
      <w:pPr>
        <w:pStyle w:val="ListBullet"/>
        <w:spacing w:after="60"/>
      </w:pPr>
      <w:r>
        <w:t>Increase Customer NPS +10 points</w:t>
      </w:r>
    </w:p>
    <w:p>
      <w:pPr>
        <w:pStyle w:val="ListBullet"/>
        <w:spacing w:after="60"/>
      </w:pPr>
      <w:r>
        <w:t>Reduce rework &amp; meeting time by 30%</w:t>
      </w:r>
    </w:p>
    <w:p>
      <w:pPr>
        <w:pStyle w:val="IntenseQuote"/>
      </w:pPr>
      <w:r>
        <w:t>Facilitator Notes: Customise with MTN’s actual corporate goals.</w:t>
      </w:r>
    </w:p>
    <w:p/>
    <w:p>
      <w:pPr>
        <w:pStyle w:val="Heading2"/>
      </w:pPr>
      <w:r>
        <w:t>Slide 7: Practicing Strategy (Paroutis et al.)</w:t>
      </w:r>
    </w:p>
    <w:p>
      <w:pPr>
        <w:pStyle w:val="ListBullet"/>
        <w:spacing w:after="60"/>
      </w:pPr>
      <w:r>
        <w:t>Strategy = what people do daily</w:t>
      </w:r>
    </w:p>
    <w:p>
      <w:pPr>
        <w:pStyle w:val="ListBullet"/>
        <w:spacing w:after="60"/>
      </w:pPr>
      <w:r>
        <w:t>Tools + Routines + Behaviours = Performance</w:t>
      </w:r>
    </w:p>
    <w:p>
      <w:pPr>
        <w:pStyle w:val="IntenseQuote"/>
      </w:pPr>
      <w:r>
        <w:t>Facilitator Notes: Transition from planning to practice; discuss everyday strategy.</w:t>
      </w:r>
    </w:p>
    <w:p/>
    <w:p>
      <w:pPr>
        <w:pStyle w:val="Heading2"/>
      </w:pPr>
      <w:r>
        <w:t>Slide 8: The 3P Framework</w:t>
      </w:r>
    </w:p>
    <w:p>
      <w:pPr>
        <w:pStyle w:val="ListBullet"/>
        <w:spacing w:after="60"/>
      </w:pPr>
      <w:r>
        <w:t>Practitioners – People who do strategy</w:t>
      </w:r>
    </w:p>
    <w:p>
      <w:pPr>
        <w:pStyle w:val="ListBullet"/>
        <w:spacing w:after="60"/>
      </w:pPr>
      <w:r>
        <w:t>Practices – Tools &amp; routines (e.g., BSC, Agile, PMO)</w:t>
      </w:r>
    </w:p>
    <w:p>
      <w:pPr>
        <w:pStyle w:val="ListBullet"/>
        <w:spacing w:after="60"/>
      </w:pPr>
      <w:r>
        <w:t>Praxis – What actually happens day-to-day</w:t>
      </w:r>
    </w:p>
    <w:p>
      <w:pPr>
        <w:pStyle w:val="IntenseQuote"/>
      </w:pPr>
      <w:r>
        <w:t>Facilitator Notes: Ask participants which ‘P’ breaks down most at MTN.</w:t>
      </w:r>
    </w:p>
    <w:p/>
    <w:p>
      <w:pPr>
        <w:pStyle w:val="Heading2"/>
      </w:pPr>
      <w:r>
        <w:t>Slide 9: Diagnosing Our Work Habits</w:t>
      </w:r>
    </w:p>
    <w:p>
      <w:pPr>
        <w:pStyle w:val="ListBullet"/>
        <w:spacing w:after="60"/>
      </w:pPr>
      <w:r>
        <w:t>Which practices help alignment?</w:t>
      </w:r>
    </w:p>
    <w:p>
      <w:pPr>
        <w:pStyle w:val="ListBullet"/>
        <w:spacing w:after="60"/>
      </w:pPr>
      <w:r>
        <w:t>Which create noise or waste?</w:t>
      </w:r>
    </w:p>
    <w:p>
      <w:pPr>
        <w:pStyle w:val="IntenseQuote"/>
      </w:pPr>
      <w:r>
        <w:t>Facilitator Notes: Group discussion; capture examples on board.</w:t>
      </w:r>
    </w:p>
    <w:p/>
    <w:p>
      <w:pPr>
        <w:pStyle w:val="Heading2"/>
      </w:pPr>
      <w:r>
        <w:t>Slide 10: Where We Lose Focus</w:t>
      </w:r>
    </w:p>
    <w:p>
      <w:pPr>
        <w:pStyle w:val="ListBullet"/>
        <w:spacing w:after="60"/>
      </w:pPr>
      <w:r>
        <w:t>Too many initiatives → thin resources</w:t>
      </w:r>
    </w:p>
    <w:p>
      <w:pPr>
        <w:pStyle w:val="ListBullet"/>
        <w:spacing w:after="60"/>
      </w:pPr>
      <w:r>
        <w:t>Objectives shift mid-sprint</w:t>
      </w:r>
    </w:p>
    <w:p>
      <w:pPr>
        <w:pStyle w:val="ListBullet"/>
        <w:spacing w:after="60"/>
      </w:pPr>
      <w:r>
        <w:t>Follow-up gaps after meetings</w:t>
      </w:r>
    </w:p>
    <w:p>
      <w:pPr>
        <w:pStyle w:val="IntenseQuote"/>
      </w:pPr>
      <w:r>
        <w:t>Facilitator Notes: Ask: Which of these hurts delivery most?</w:t>
      </w:r>
    </w:p>
    <w:p/>
    <w:p>
      <w:pPr>
        <w:pStyle w:val="Heading2"/>
      </w:pPr>
      <w:r>
        <w:t>Slide 11: Driving Alignment Through Conversations</w:t>
      </w:r>
    </w:p>
    <w:p>
      <w:pPr>
        <w:pStyle w:val="ListBullet"/>
        <w:spacing w:after="60"/>
      </w:pPr>
      <w:r>
        <w:t>Every meeting must link to a BSC objective</w:t>
      </w:r>
    </w:p>
    <w:p>
      <w:pPr>
        <w:pStyle w:val="ListBullet"/>
        <w:spacing w:after="60"/>
      </w:pPr>
      <w:r>
        <w:t>Replace status updates with learning discussions</w:t>
      </w:r>
    </w:p>
    <w:p>
      <w:pPr>
        <w:pStyle w:val="IntenseQuote"/>
      </w:pPr>
      <w:r>
        <w:t>Facilitator Notes: Introduce ‘Strategy Practice Reviews’ concept.</w:t>
      </w:r>
    </w:p>
    <w:p/>
    <w:p>
      <w:pPr>
        <w:pStyle w:val="Heading2"/>
      </w:pPr>
      <w:r>
        <w:t>Slide 12: Workshop Activity – Map Objectives to Perspectives</w:t>
      </w:r>
    </w:p>
    <w:p>
      <w:pPr>
        <w:pStyle w:val="ListBullet"/>
        <w:spacing w:after="60"/>
      </w:pPr>
      <w:r>
        <w:t>Team Task: Map current objectives to the four perspectives</w:t>
      </w:r>
    </w:p>
    <w:p>
      <w:pPr>
        <w:pStyle w:val="IntenseQuote"/>
      </w:pPr>
      <w:r>
        <w:t>Facilitator Notes: Give teams blank templates or digital workspace to fill.</w:t>
      </w:r>
    </w:p>
    <w:p/>
    <w:p>
      <w:pPr>
        <w:pStyle w:val="Heading2"/>
      </w:pPr>
      <w:r>
        <w:t>Slide 13: Blank Balanced Scorecard Template</w:t>
      </w:r>
    </w:p>
    <w:p>
      <w:pPr>
        <w:pStyle w:val="ListBullet"/>
        <w:spacing w:after="60"/>
      </w:pPr>
      <w:r>
        <w:t>Perspective | Objective | Measure | Target | Owner</w:t>
      </w:r>
    </w:p>
    <w:p>
      <w:pPr>
        <w:pStyle w:val="IntenseQuote"/>
      </w:pPr>
      <w:r>
        <w:t>Facilitator Notes: Facilitator to explain each column; encourage collaboration.</w:t>
      </w:r>
    </w:p>
    <w:p/>
    <w:p>
      <w:pPr>
        <w:pStyle w:val="Heading2"/>
      </w:pPr>
      <w:r>
        <w:t>Slide 14: Strategic Discipline Dashboard – Purpose</w:t>
      </w:r>
    </w:p>
    <w:p>
      <w:pPr>
        <w:pStyle w:val="ListBullet"/>
        <w:spacing w:after="60"/>
      </w:pPr>
      <w:r>
        <w:t>Make behaviours visible</w:t>
      </w:r>
    </w:p>
    <w:p>
      <w:pPr>
        <w:pStyle w:val="ListBullet"/>
        <w:spacing w:after="60"/>
      </w:pPr>
      <w:r>
        <w:t>Track focus, follow-through, accountability</w:t>
      </w:r>
    </w:p>
    <w:p>
      <w:pPr>
        <w:pStyle w:val="IntenseQuote"/>
      </w:pPr>
      <w:r>
        <w:t>Facilitator Notes: Introduce behavioural metrics concept.</w:t>
      </w:r>
    </w:p>
    <w:p/>
    <w:p>
      <w:pPr>
        <w:pStyle w:val="Heading2"/>
      </w:pPr>
      <w:r>
        <w:t>Slide 15: Example Metrics for MTN Telecoms</w:t>
      </w:r>
    </w:p>
    <w:p>
      <w:pPr>
        <w:pStyle w:val="ListBullet"/>
        <w:spacing w:after="60"/>
      </w:pPr>
      <w:r>
        <w:t>Focus &amp; delivery discipline – % on one project ≥80%</w:t>
      </w:r>
    </w:p>
    <w:p>
      <w:pPr>
        <w:pStyle w:val="ListBullet"/>
        <w:spacing w:after="60"/>
      </w:pPr>
      <w:r>
        <w:t>Leadership accountability – Cancelled projects logged 100%</w:t>
      </w:r>
    </w:p>
    <w:p>
      <w:pPr>
        <w:pStyle w:val="ListBullet"/>
        <w:spacing w:after="60"/>
      </w:pPr>
      <w:r>
        <w:t>Agile discipline – % of teams meeting sprint commitments ≥85%</w:t>
      </w:r>
    </w:p>
    <w:p>
      <w:pPr>
        <w:pStyle w:val="IntenseQuote"/>
      </w:pPr>
      <w:r>
        <w:t>Facilitator Notes: Show sample dashboard; discuss application.</w:t>
      </w:r>
    </w:p>
    <w:p/>
    <w:p>
      <w:pPr>
        <w:pStyle w:val="Heading2"/>
      </w:pPr>
      <w:r>
        <w:t>Slide 16: Activity – Design Our Behavioural Metrics</w:t>
      </w:r>
    </w:p>
    <w:p>
      <w:pPr>
        <w:pStyle w:val="ListBullet"/>
        <w:spacing w:after="60"/>
      </w:pPr>
      <w:r>
        <w:t>What behaviours drive success?</w:t>
      </w:r>
    </w:p>
    <w:p>
      <w:pPr>
        <w:pStyle w:val="ListBullet"/>
        <w:spacing w:after="60"/>
      </w:pPr>
      <w:r>
        <w:t>How can we measure and reinforce them?</w:t>
      </w:r>
    </w:p>
    <w:p>
      <w:pPr>
        <w:pStyle w:val="IntenseQuote"/>
      </w:pPr>
      <w:r>
        <w:t>Facilitator Notes: Interactive group design session.</w:t>
      </w:r>
    </w:p>
    <w:p/>
    <w:p>
      <w:pPr>
        <w:pStyle w:val="Heading2"/>
      </w:pPr>
      <w:r>
        <w:t>Slide 17: Kotter’s 8 Steps for Change</w:t>
      </w:r>
    </w:p>
    <w:p>
      <w:pPr>
        <w:pStyle w:val="ListBullet"/>
        <w:spacing w:after="60"/>
      </w:pPr>
      <w:r>
        <w:t>1. Create Urgency</w:t>
      </w:r>
    </w:p>
    <w:p>
      <w:pPr>
        <w:pStyle w:val="ListBullet"/>
        <w:spacing w:after="60"/>
      </w:pPr>
      <w:r>
        <w:t>2. Build Coalition</w:t>
      </w:r>
    </w:p>
    <w:p>
      <w:pPr>
        <w:pStyle w:val="ListBullet"/>
        <w:spacing w:after="60"/>
      </w:pPr>
      <w:r>
        <w:t>3. Form Vision</w:t>
      </w:r>
    </w:p>
    <w:p>
      <w:pPr>
        <w:pStyle w:val="ListBullet"/>
        <w:spacing w:after="60"/>
      </w:pPr>
      <w:r>
        <w:t>4. Communicate Vision</w:t>
      </w:r>
    </w:p>
    <w:p>
      <w:pPr>
        <w:pStyle w:val="ListBullet"/>
        <w:spacing w:after="60"/>
      </w:pPr>
      <w:r>
        <w:t>5. Empower Action</w:t>
      </w:r>
    </w:p>
    <w:p>
      <w:pPr>
        <w:pStyle w:val="ListBullet"/>
        <w:spacing w:after="60"/>
      </w:pPr>
      <w:r>
        <w:t>6. Generate Wins</w:t>
      </w:r>
    </w:p>
    <w:p>
      <w:pPr>
        <w:pStyle w:val="ListBullet"/>
        <w:spacing w:after="60"/>
      </w:pPr>
      <w:r>
        <w:t>7. Consolidate</w:t>
      </w:r>
    </w:p>
    <w:p>
      <w:pPr>
        <w:pStyle w:val="ListBullet"/>
        <w:spacing w:after="60"/>
      </w:pPr>
      <w:r>
        <w:t>8. Anchor Change</w:t>
      </w:r>
    </w:p>
    <w:p>
      <w:pPr>
        <w:pStyle w:val="IntenseQuote"/>
      </w:pPr>
      <w:r>
        <w:t>Facilitator Notes: Review steps; link each to BSC process.</w:t>
      </w:r>
    </w:p>
    <w:p/>
    <w:p>
      <w:pPr>
        <w:pStyle w:val="Heading2"/>
      </w:pPr>
      <w:r>
        <w:t>Slide 18: MTN Change Roadmap</w:t>
      </w:r>
    </w:p>
    <w:p>
      <w:pPr>
        <w:pStyle w:val="ListBullet"/>
        <w:spacing w:after="60"/>
      </w:pPr>
      <w:r>
        <w:t>Visual: map Kotter’s steps to BSC implementation milestones</w:t>
      </w:r>
    </w:p>
    <w:p>
      <w:pPr>
        <w:pStyle w:val="IntenseQuote"/>
      </w:pPr>
      <w:r>
        <w:t>Facilitator Notes: Show timeline from pilot to full rollout.</w:t>
      </w:r>
    </w:p>
    <w:p/>
    <w:p>
      <w:pPr>
        <w:pStyle w:val="Heading2"/>
      </w:pPr>
      <w:r>
        <w:t>Slide 19: Quarterly Learning &amp; Growth Cycle</w:t>
      </w:r>
    </w:p>
    <w:p>
      <w:pPr>
        <w:pStyle w:val="ListBullet"/>
        <w:spacing w:after="60"/>
      </w:pPr>
      <w:r>
        <w:t>Review → Reflect → Refine → Realign</w:t>
      </w:r>
    </w:p>
    <w:p>
      <w:pPr>
        <w:pStyle w:val="IntenseQuote"/>
      </w:pPr>
      <w:r>
        <w:t>Facilitator Notes: Emphasise continuous improvement.</w:t>
      </w:r>
    </w:p>
    <w:p/>
    <w:p>
      <w:pPr>
        <w:pStyle w:val="Heading2"/>
      </w:pPr>
      <w:r>
        <w:t>Slide 20: Reflection Exercise – Stop / Start / Continue</w:t>
      </w:r>
    </w:p>
    <w:p>
      <w:pPr>
        <w:pStyle w:val="ListBullet"/>
        <w:spacing w:after="60"/>
      </w:pPr>
      <w:r>
        <w:t>Stop – low-value habits</w:t>
      </w:r>
    </w:p>
    <w:p>
      <w:pPr>
        <w:pStyle w:val="ListBullet"/>
        <w:spacing w:after="60"/>
      </w:pPr>
      <w:r>
        <w:t>Start – new discipline practices</w:t>
      </w:r>
    </w:p>
    <w:p>
      <w:pPr>
        <w:pStyle w:val="ListBullet"/>
        <w:spacing w:after="60"/>
      </w:pPr>
      <w:r>
        <w:t>Continue – effective routines</w:t>
      </w:r>
    </w:p>
    <w:p>
      <w:pPr>
        <w:pStyle w:val="IntenseQuote"/>
      </w:pPr>
      <w:r>
        <w:t>Facilitator Notes: Facilitated 5-minute team reflection.</w:t>
      </w:r>
    </w:p>
    <w:p/>
    <w:p>
      <w:pPr>
        <w:pStyle w:val="Heading2"/>
      </w:pPr>
      <w:r>
        <w:t>Slide 21: Embedding Accountability</w:t>
      </w:r>
    </w:p>
    <w:p>
      <w:pPr>
        <w:pStyle w:val="ListBullet"/>
        <w:spacing w:after="60"/>
      </w:pPr>
      <w:r>
        <w:t>Assign owners to each BSC objective</w:t>
      </w:r>
    </w:p>
    <w:p>
      <w:pPr>
        <w:pStyle w:val="ListBullet"/>
        <w:spacing w:after="60"/>
      </w:pPr>
      <w:r>
        <w:t>Report quarterly progress</w:t>
      </w:r>
    </w:p>
    <w:p>
      <w:pPr>
        <w:pStyle w:val="ListBullet"/>
        <w:spacing w:after="60"/>
      </w:pPr>
      <w:r>
        <w:t>Celebrate discipline wins</w:t>
      </w:r>
    </w:p>
    <w:p>
      <w:pPr>
        <w:pStyle w:val="IntenseQuote"/>
      </w:pPr>
      <w:r>
        <w:t>Facilitator Notes: Link to behavioural metrics and leadership accountability.</w:t>
      </w:r>
    </w:p>
    <w:p/>
    <w:p>
      <w:pPr>
        <w:pStyle w:val="Heading2"/>
      </w:pPr>
      <w:r>
        <w:t>Slide 22: Summary – Tool + Practice + Change</w:t>
      </w:r>
    </w:p>
    <w:p>
      <w:pPr>
        <w:pStyle w:val="ListBullet"/>
        <w:spacing w:after="60"/>
      </w:pPr>
      <w:r>
        <w:t>McKeown – Structure &amp; measures</w:t>
      </w:r>
    </w:p>
    <w:p>
      <w:pPr>
        <w:pStyle w:val="ListBullet"/>
        <w:spacing w:after="60"/>
      </w:pPr>
      <w:r>
        <w:t>Paroutis – Daily behaviours</w:t>
      </w:r>
    </w:p>
    <w:p>
      <w:pPr>
        <w:pStyle w:val="ListBullet"/>
        <w:spacing w:after="60"/>
      </w:pPr>
      <w:r>
        <w:t>Kotter – Change momentum</w:t>
      </w:r>
    </w:p>
    <w:p>
      <w:pPr>
        <w:pStyle w:val="IntenseQuote"/>
      </w:pPr>
      <w:r>
        <w:t>Facilitator Notes: Reinforce integration of all three frameworks.</w:t>
      </w:r>
    </w:p>
    <w:p/>
    <w:p>
      <w:pPr>
        <w:pStyle w:val="Heading2"/>
      </w:pPr>
      <w:r>
        <w:t>Slide 23: Our 90-Day Commitments</w:t>
      </w:r>
    </w:p>
    <w:p>
      <w:pPr>
        <w:pStyle w:val="ListBullet"/>
        <w:spacing w:after="60"/>
      </w:pPr>
      <w:r>
        <w:t>Define top 3 objectives for next quarter</w:t>
      </w:r>
    </w:p>
    <w:p>
      <w:pPr>
        <w:pStyle w:val="ListBullet"/>
        <w:spacing w:after="60"/>
      </w:pPr>
      <w:r>
        <w:t>Assign owners and targets</w:t>
      </w:r>
    </w:p>
    <w:p>
      <w:pPr>
        <w:pStyle w:val="ListBullet"/>
        <w:spacing w:after="60"/>
      </w:pPr>
      <w:r>
        <w:t>Plan first review session</w:t>
      </w:r>
    </w:p>
    <w:p>
      <w:pPr>
        <w:pStyle w:val="IntenseQuote"/>
      </w:pPr>
      <w:r>
        <w:t>Facilitator Notes: End with concrete next steps.</w:t>
      </w:r>
    </w:p>
    <w:p/>
    <w:p>
      <w:pPr>
        <w:pStyle w:val="Heading2"/>
      </w:pPr>
      <w:r>
        <w:t>Slide 24: Facilitator Tips</w:t>
      </w:r>
    </w:p>
    <w:p>
      <w:pPr>
        <w:pStyle w:val="ListBullet"/>
        <w:spacing w:after="60"/>
      </w:pPr>
      <w:r>
        <w:t>Keep sessions time-boxed</w:t>
      </w:r>
    </w:p>
    <w:p>
      <w:pPr>
        <w:pStyle w:val="ListBullet"/>
        <w:spacing w:after="60"/>
      </w:pPr>
      <w:r>
        <w:t>Capture examples visibly</w:t>
      </w:r>
    </w:p>
    <w:p>
      <w:pPr>
        <w:pStyle w:val="ListBullet"/>
        <w:spacing w:after="60"/>
      </w:pPr>
      <w:r>
        <w:t>Revisit BSC quarterly</w:t>
      </w:r>
    </w:p>
    <w:p>
      <w:pPr>
        <w:pStyle w:val="IntenseQuote"/>
      </w:pPr>
      <w:r>
        <w:t>Facilitator Notes: For internal facilitators.</w:t>
      </w:r>
    </w:p>
    <w:p/>
    <w:p>
      <w:pPr>
        <w:pStyle w:val="Heading2"/>
      </w:pPr>
      <w:r>
        <w:t>Slide 25: References</w:t>
      </w:r>
    </w:p>
    <w:p>
      <w:pPr>
        <w:pStyle w:val="ListBullet"/>
        <w:spacing w:after="60"/>
      </w:pPr>
      <w:r>
        <w:t>McKeown (2011) The Strategy Book</w:t>
      </w:r>
    </w:p>
    <w:p>
      <w:pPr>
        <w:pStyle w:val="ListBullet"/>
        <w:spacing w:after="60"/>
      </w:pPr>
      <w:r>
        <w:t>Paroutis et al. (2016) Practicing Strategy</w:t>
      </w:r>
    </w:p>
    <w:p>
      <w:pPr>
        <w:pStyle w:val="ListBullet"/>
        <w:spacing w:after="60"/>
      </w:pPr>
      <w:r>
        <w:t>Kotter (1996) Leading Change</w:t>
      </w:r>
    </w:p>
    <w:p>
      <w:pPr>
        <w:pStyle w:val="ListBullet"/>
        <w:spacing w:after="60"/>
      </w:pPr>
      <w:r>
        <w:t>Kaplan &amp; Norton (1996) The Balanced Scorecard</w:t>
      </w:r>
    </w:p>
    <w:p>
      <w:pPr>
        <w:pStyle w:val="IntenseQuote"/>
      </w:pPr>
      <w:r>
        <w:t>Facilitator Notes: Include MTN branding &amp; closing fade transition.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