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6855" w:rsidRDefault="00F65D63" w:rsidP="00F65D63">
      <w:pPr>
        <w:pStyle w:val="Default"/>
        <w:jc w:val="right"/>
      </w:pPr>
      <w:r>
        <w:t>Thesis Prospectus</w:t>
      </w:r>
    </w:p>
    <w:p w:rsidR="00F65D63" w:rsidRDefault="00F65D63" w:rsidP="00F65D63">
      <w:pPr>
        <w:pStyle w:val="Default"/>
        <w:jc w:val="right"/>
      </w:pPr>
      <w:r>
        <w:t xml:space="preserve">Mike Smeltzer </w:t>
      </w:r>
    </w:p>
    <w:p w:rsidR="00F65D63" w:rsidRDefault="00F65D63" w:rsidP="00F65D63">
      <w:pPr>
        <w:pStyle w:val="Default"/>
        <w:jc w:val="right"/>
      </w:pPr>
      <w:r>
        <w:t>2/6/15</w:t>
      </w:r>
    </w:p>
    <w:p w:rsidR="00F65D63" w:rsidRDefault="00F65D63" w:rsidP="00F65D63">
      <w:pPr>
        <w:spacing w:line="480" w:lineRule="auto"/>
        <w:ind w:firstLine="720"/>
        <w:rPr>
          <w:sz w:val="24"/>
          <w:szCs w:val="24"/>
        </w:rPr>
      </w:pPr>
    </w:p>
    <w:p w:rsidR="00EB2EE6" w:rsidRPr="00F73E2B" w:rsidRDefault="00B66855" w:rsidP="00F65D63">
      <w:pPr>
        <w:spacing w:line="480" w:lineRule="auto"/>
        <w:ind w:firstLine="720"/>
        <w:rPr>
          <w:sz w:val="24"/>
          <w:szCs w:val="24"/>
        </w:rPr>
      </w:pPr>
      <w:r w:rsidRPr="00F73E2B">
        <w:rPr>
          <w:sz w:val="24"/>
          <w:szCs w:val="24"/>
        </w:rPr>
        <w:t xml:space="preserve">Since the collapse of the Soviet Union, the Russian Federation has struggled to decide which system for selecting regional leaders is best for the country. The government has changed the selection process twice in the last 20 or more years. From election to appointment, and once again returning the selection of the regional executive to the citizens by direct election. The arguments used by the government to justify this vacillation in method are various and, in part, based on the time period in which they happened. In 2004, in response to the Beslan crisis, in which </w:t>
      </w:r>
      <w:r w:rsidR="00733FC8">
        <w:rPr>
          <w:sz w:val="24"/>
          <w:szCs w:val="24"/>
        </w:rPr>
        <w:t>hundreds of</w:t>
      </w:r>
      <w:bookmarkStart w:id="0" w:name="_GoBack"/>
      <w:bookmarkEnd w:id="0"/>
      <w:r w:rsidRPr="00F73E2B">
        <w:rPr>
          <w:sz w:val="24"/>
          <w:szCs w:val="24"/>
        </w:rPr>
        <w:t xml:space="preserve"> school children were taken hostage and killed, Russian President Vladimir Putin introduced a bill to return the selection of governors to a system of appointment. His justification for this significant reform was “to strengthen the unity of the country and prevent further crises.”</w:t>
      </w:r>
      <w:r w:rsidRPr="00F73E2B">
        <w:rPr>
          <w:rStyle w:val="FootnoteReference"/>
          <w:sz w:val="24"/>
          <w:szCs w:val="24"/>
        </w:rPr>
        <w:footnoteReference w:id="1"/>
      </w:r>
      <w:r w:rsidRPr="00F73E2B">
        <w:rPr>
          <w:sz w:val="24"/>
          <w:szCs w:val="24"/>
        </w:rPr>
        <w:t xml:space="preserve"> Whether or not Russian President Dmitry Medvedev felt the country was stronger, more unified, or better equipped to handle crises in the regions in 2012 is unknown. Yet, at this time, Medvedev announced the return of the direct election of regional executives. Possibly, the Kremlin felt Russia had left those crises behind. Or, perhaps, the reform was in response to the 2011-2012 protests following the nationwide Duma elections. Nevertheless, the repeated reforming of the selection process for Russia’s regional executives seems to suggest the importance of</w:t>
      </w:r>
      <w:r w:rsidR="00B55990" w:rsidRPr="00F73E2B">
        <w:rPr>
          <w:sz w:val="24"/>
          <w:szCs w:val="24"/>
        </w:rPr>
        <w:t xml:space="preserve"> and an uncertainty about the role of the</w:t>
      </w:r>
      <w:r w:rsidRPr="00F73E2B">
        <w:rPr>
          <w:sz w:val="24"/>
          <w:szCs w:val="24"/>
        </w:rPr>
        <w:t xml:space="preserve"> regional leaders </w:t>
      </w:r>
      <w:r w:rsidR="00B55990" w:rsidRPr="00F73E2B">
        <w:rPr>
          <w:sz w:val="24"/>
          <w:szCs w:val="24"/>
        </w:rPr>
        <w:t>in post-Soviet Russia</w:t>
      </w:r>
      <w:r w:rsidRPr="00F73E2B">
        <w:rPr>
          <w:sz w:val="24"/>
          <w:szCs w:val="24"/>
        </w:rPr>
        <w:t xml:space="preserve">.  </w:t>
      </w:r>
    </w:p>
    <w:p w:rsidR="00FF726C" w:rsidRPr="00F73E2B" w:rsidRDefault="00FF726C" w:rsidP="00F65D63">
      <w:pPr>
        <w:spacing w:line="480" w:lineRule="auto"/>
        <w:rPr>
          <w:sz w:val="24"/>
          <w:szCs w:val="24"/>
        </w:rPr>
      </w:pPr>
      <w:r w:rsidRPr="00F73E2B">
        <w:rPr>
          <w:sz w:val="24"/>
          <w:szCs w:val="24"/>
        </w:rPr>
        <w:lastRenderedPageBreak/>
        <w:t>While there has been some research conducted on regional governance (in particular, on the economic and political consequences of the selection method), I believe that there is room to further examine the role that Russia’s regional executives play, particularly in light of the developing theory on patronal politics in Eurasian regimes</w:t>
      </w:r>
      <w:r w:rsidRPr="00F73E2B">
        <w:rPr>
          <w:rStyle w:val="FootnoteReference"/>
          <w:sz w:val="24"/>
          <w:szCs w:val="24"/>
        </w:rPr>
        <w:footnoteReference w:id="2"/>
      </w:r>
      <w:r w:rsidRPr="00F73E2B">
        <w:rPr>
          <w:sz w:val="24"/>
          <w:szCs w:val="24"/>
        </w:rPr>
        <w:t xml:space="preserve">.  </w:t>
      </w:r>
      <w:r w:rsidR="004C1CFD" w:rsidRPr="00F73E2B">
        <w:rPr>
          <w:sz w:val="24"/>
          <w:szCs w:val="24"/>
        </w:rPr>
        <w:t xml:space="preserve">Henry Hale points out in his article, </w:t>
      </w:r>
      <w:r w:rsidR="004C1CFD" w:rsidRPr="00F73E2B">
        <w:rPr>
          <w:i/>
          <w:sz w:val="24"/>
          <w:szCs w:val="24"/>
        </w:rPr>
        <w:t>Eurasian Politics as Hybrid Regimes: The Case of Putin’s Russia</w:t>
      </w:r>
      <w:r w:rsidR="004C1CFD" w:rsidRPr="00F73E2B">
        <w:rPr>
          <w:rStyle w:val="FootnoteReference"/>
          <w:i/>
          <w:sz w:val="24"/>
          <w:szCs w:val="24"/>
        </w:rPr>
        <w:footnoteReference w:id="3"/>
      </w:r>
      <w:r w:rsidR="004C1CFD" w:rsidRPr="00F73E2B">
        <w:rPr>
          <w:sz w:val="24"/>
          <w:szCs w:val="24"/>
        </w:rPr>
        <w:t>, that Russia is an electoral patronal system. That is, power is maintained in Russia through elections and that the nation’s competing spheres of influence have been reined into Putin’s own single-pyramid and the “Power Vertical”. According to Hale, “[t]he first set of subpatrons to be reined in consisted of regional leaders.”</w:t>
      </w:r>
      <w:r w:rsidR="004C1CFD" w:rsidRPr="00F73E2B">
        <w:rPr>
          <w:rStyle w:val="FootnoteReference"/>
          <w:sz w:val="24"/>
          <w:szCs w:val="24"/>
        </w:rPr>
        <w:footnoteReference w:id="4"/>
      </w:r>
      <w:r w:rsidR="004C1CFD" w:rsidRPr="00F73E2B">
        <w:rPr>
          <w:sz w:val="24"/>
          <w:szCs w:val="24"/>
        </w:rPr>
        <w:t xml:space="preserve"> He goes on to say that “[t]he result of all these reforms has been a radical reduction in the degree to which governors… could act autonomously to influence federal politics.”</w:t>
      </w:r>
      <w:r w:rsidR="004C1CFD" w:rsidRPr="00F73E2B">
        <w:rPr>
          <w:rStyle w:val="FootnoteReference"/>
          <w:sz w:val="24"/>
          <w:szCs w:val="24"/>
        </w:rPr>
        <w:footnoteReference w:id="5"/>
      </w:r>
      <w:r w:rsidR="004C1CFD" w:rsidRPr="00F73E2B">
        <w:rPr>
          <w:sz w:val="24"/>
          <w:szCs w:val="24"/>
        </w:rPr>
        <w:t xml:space="preserve">  </w:t>
      </w:r>
      <w:r w:rsidR="004C1CFD" w:rsidRPr="00F65D63">
        <w:rPr>
          <w:sz w:val="24"/>
          <w:szCs w:val="24"/>
        </w:rPr>
        <w:t>This raises the question of to what extent Russia’s regional leaders possess the power to advocate and bring about positive change for their regions.</w:t>
      </w:r>
      <w:r w:rsidR="007B65FA" w:rsidRPr="00F73E2B">
        <w:rPr>
          <w:sz w:val="24"/>
          <w:szCs w:val="24"/>
        </w:rPr>
        <w:t xml:space="preserve"> </w:t>
      </w:r>
    </w:p>
    <w:p w:rsidR="007B65FA" w:rsidRDefault="00F65D63" w:rsidP="00F65D63">
      <w:pPr>
        <w:spacing w:line="480" w:lineRule="auto"/>
        <w:ind w:firstLine="720"/>
        <w:rPr>
          <w:sz w:val="24"/>
          <w:szCs w:val="24"/>
        </w:rPr>
      </w:pPr>
      <w:r>
        <w:rPr>
          <w:sz w:val="24"/>
          <w:szCs w:val="24"/>
        </w:rPr>
        <w:t xml:space="preserve">Connecting this to soviet </w:t>
      </w:r>
      <w:r w:rsidR="007B65FA" w:rsidRPr="00F73E2B">
        <w:rPr>
          <w:sz w:val="24"/>
          <w:szCs w:val="24"/>
        </w:rPr>
        <w:t>history, one might look at the role that soviet prefects played in their time. Soviet historian Jerry Hough, in 1969, found that the role of the prefect had evolved over time.</w:t>
      </w:r>
      <w:r w:rsidR="00985468" w:rsidRPr="00F73E2B">
        <w:rPr>
          <w:rStyle w:val="FootnoteReference"/>
          <w:sz w:val="24"/>
          <w:szCs w:val="24"/>
        </w:rPr>
        <w:footnoteReference w:id="6"/>
      </w:r>
      <w:r w:rsidR="007B65FA" w:rsidRPr="00F73E2B">
        <w:rPr>
          <w:sz w:val="24"/>
          <w:szCs w:val="24"/>
        </w:rPr>
        <w:t xml:space="preserve"> These regional leaders had changed from being “law-and-order” prefect[s]”, that is, charged with maintain law and order as defined by the Soviet administration, “into what we will call a ‘developmental prefect’”.</w:t>
      </w:r>
      <w:r w:rsidR="00985468" w:rsidRPr="00F73E2B">
        <w:rPr>
          <w:rStyle w:val="FootnoteReference"/>
          <w:sz w:val="24"/>
          <w:szCs w:val="24"/>
        </w:rPr>
        <w:footnoteReference w:id="7"/>
      </w:r>
      <w:r w:rsidR="007B65FA" w:rsidRPr="00F73E2B">
        <w:rPr>
          <w:sz w:val="24"/>
          <w:szCs w:val="24"/>
        </w:rPr>
        <w:t xml:space="preserve"> This “developmental </w:t>
      </w:r>
      <w:r w:rsidR="007B65FA" w:rsidRPr="00F73E2B">
        <w:rPr>
          <w:sz w:val="24"/>
          <w:szCs w:val="24"/>
        </w:rPr>
        <w:lastRenderedPageBreak/>
        <w:t>prefect” coordinated the efforts of local economic organizations, i.e., industries, to allocate funds where they were most needed and would produce the most benefit.</w:t>
      </w:r>
    </w:p>
    <w:p w:rsidR="00A51C15" w:rsidRDefault="00DC4026" w:rsidP="00F65D63">
      <w:pPr>
        <w:spacing w:line="480" w:lineRule="auto"/>
        <w:ind w:firstLine="720"/>
        <w:rPr>
          <w:sz w:val="24"/>
          <w:szCs w:val="24"/>
        </w:rPr>
      </w:pPr>
      <w:r>
        <w:rPr>
          <w:sz w:val="24"/>
          <w:szCs w:val="24"/>
        </w:rPr>
        <w:t>Given my topic of inquiry, my research will primarily be qualitative in nature. I plan to examine the roles of Russia’s governors through a careful reading of the political science and historical literature regarding Russia’s political and economic system.  As the Russian Federation is made up of 85 regional subjects led by 85 regional leaders, I will need to narrow the scope of my research to 2-4 regions. After selecting those regions, I will utilize local</w:t>
      </w:r>
      <w:r w:rsidR="006B0177">
        <w:rPr>
          <w:sz w:val="24"/>
          <w:szCs w:val="24"/>
        </w:rPr>
        <w:t>, Russian-language</w:t>
      </w:r>
      <w:r>
        <w:rPr>
          <w:sz w:val="24"/>
          <w:szCs w:val="24"/>
        </w:rPr>
        <w:t xml:space="preserve"> reports, produced by journalists and state officials to further examine what </w:t>
      </w:r>
      <w:r w:rsidR="00271784">
        <w:rPr>
          <w:sz w:val="24"/>
          <w:szCs w:val="24"/>
        </w:rPr>
        <w:t xml:space="preserve">actions </w:t>
      </w:r>
      <w:r w:rsidR="006B0177">
        <w:rPr>
          <w:sz w:val="24"/>
          <w:szCs w:val="24"/>
        </w:rPr>
        <w:t>Russia regional leaders take</w:t>
      </w:r>
      <w:r>
        <w:rPr>
          <w:sz w:val="24"/>
          <w:szCs w:val="24"/>
        </w:rPr>
        <w:t xml:space="preserve">. </w:t>
      </w:r>
    </w:p>
    <w:p w:rsidR="00163715" w:rsidRDefault="00DC4026" w:rsidP="00F65D63">
      <w:pPr>
        <w:spacing w:line="480" w:lineRule="auto"/>
        <w:ind w:firstLine="720"/>
        <w:rPr>
          <w:sz w:val="24"/>
          <w:szCs w:val="24"/>
        </w:rPr>
      </w:pPr>
      <w:r>
        <w:rPr>
          <w:sz w:val="24"/>
          <w:szCs w:val="24"/>
        </w:rPr>
        <w:t xml:space="preserve">Some of the questions that I will seek to examine in my research include: Do Russia’s regional executives primarily promote and act in favor of their regions’ interests or the interests of the central administration? </w:t>
      </w:r>
      <w:r w:rsidR="00091EE2">
        <w:rPr>
          <w:sz w:val="24"/>
          <w:szCs w:val="24"/>
        </w:rPr>
        <w:t>Are the roles that Russia’s regional leaders play dependent upon the time in which they serve or are they more anachronistic and based on when they were selected for their position? Does the current electoral patronal system of governance in Russia hinder the regional heads from expressing their own opinions concerning solutions to local problems</w:t>
      </w:r>
      <w:r w:rsidR="006B0177">
        <w:rPr>
          <w:sz w:val="24"/>
          <w:szCs w:val="24"/>
        </w:rPr>
        <w:t>, i.e., are these leaders merely the mouthpieces of the federal government or local interests</w:t>
      </w:r>
      <w:r w:rsidR="00091EE2">
        <w:rPr>
          <w:sz w:val="24"/>
          <w:szCs w:val="24"/>
        </w:rPr>
        <w:t xml:space="preserve">?  </w:t>
      </w:r>
      <w:r w:rsidR="00163715">
        <w:rPr>
          <w:sz w:val="24"/>
          <w:szCs w:val="24"/>
        </w:rPr>
        <w:t>In researching t</w:t>
      </w:r>
      <w:r w:rsidR="00F65D63">
        <w:rPr>
          <w:sz w:val="24"/>
          <w:szCs w:val="24"/>
        </w:rPr>
        <w:t>hese questions</w:t>
      </w:r>
      <w:r w:rsidR="00163715">
        <w:rPr>
          <w:sz w:val="24"/>
          <w:szCs w:val="24"/>
        </w:rPr>
        <w:t xml:space="preserve">, I hope to come to better understanding of the Russian Federation’s political system and the role of the “power vertical” on regional governance. </w:t>
      </w:r>
    </w:p>
    <w:p w:rsidR="006B0177" w:rsidRDefault="006B0177" w:rsidP="00B66855">
      <w:pPr>
        <w:rPr>
          <w:sz w:val="24"/>
          <w:szCs w:val="24"/>
        </w:rPr>
      </w:pPr>
    </w:p>
    <w:p w:rsidR="00205C2C" w:rsidRDefault="00205C2C">
      <w:pPr>
        <w:rPr>
          <w:sz w:val="24"/>
          <w:szCs w:val="24"/>
        </w:rPr>
      </w:pPr>
      <w:r>
        <w:rPr>
          <w:sz w:val="24"/>
          <w:szCs w:val="24"/>
        </w:rPr>
        <w:br w:type="page"/>
      </w:r>
    </w:p>
    <w:p w:rsidR="00205C2C" w:rsidRDefault="00205C2C" w:rsidP="00205C2C">
      <w:pPr>
        <w:jc w:val="center"/>
        <w:rPr>
          <w:sz w:val="24"/>
          <w:szCs w:val="24"/>
        </w:rPr>
      </w:pPr>
      <w:r>
        <w:rPr>
          <w:sz w:val="24"/>
          <w:szCs w:val="24"/>
        </w:rPr>
        <w:lastRenderedPageBreak/>
        <w:t>Bibliography</w:t>
      </w:r>
    </w:p>
    <w:p w:rsidR="004367EB" w:rsidRDefault="004367EB" w:rsidP="004367EB">
      <w:pPr>
        <w:spacing w:line="480" w:lineRule="auto"/>
        <w:rPr>
          <w:sz w:val="24"/>
          <w:szCs w:val="24"/>
        </w:rPr>
      </w:pPr>
      <w:r w:rsidRPr="004367EB">
        <w:rPr>
          <w:sz w:val="24"/>
          <w:szCs w:val="24"/>
        </w:rPr>
        <w:t xml:space="preserve">Baker, Peter. "Putin Moves to Centralize Authority." Washington Post, September 14, 2004. </w:t>
      </w:r>
      <w:r>
        <w:rPr>
          <w:sz w:val="24"/>
          <w:szCs w:val="24"/>
        </w:rPr>
        <w:tab/>
      </w:r>
      <w:r w:rsidRPr="004367EB">
        <w:rPr>
          <w:sz w:val="24"/>
          <w:szCs w:val="24"/>
        </w:rPr>
        <w:t xml:space="preserve">Accessed November 21, 2014. </w:t>
      </w:r>
      <w:hyperlink r:id="rId7" w:history="1">
        <w:r w:rsidRPr="00E55288">
          <w:rPr>
            <w:rStyle w:val="Hyperlink"/>
            <w:sz w:val="24"/>
            <w:szCs w:val="24"/>
          </w:rPr>
          <w:t>http://www.washingtonpost.com/wp-dyn/articles/A17838-2004Sep13.html</w:t>
        </w:r>
      </w:hyperlink>
      <w:r w:rsidRPr="004367EB">
        <w:rPr>
          <w:sz w:val="24"/>
          <w:szCs w:val="24"/>
        </w:rPr>
        <w:t>.</w:t>
      </w:r>
    </w:p>
    <w:p w:rsidR="00185F55" w:rsidRPr="004367EB" w:rsidRDefault="00185F55" w:rsidP="004367EB">
      <w:pPr>
        <w:spacing w:line="480" w:lineRule="auto"/>
        <w:rPr>
          <w:sz w:val="24"/>
          <w:szCs w:val="24"/>
        </w:rPr>
      </w:pPr>
      <w:r w:rsidRPr="004367EB">
        <w:rPr>
          <w:sz w:val="24"/>
          <w:szCs w:val="24"/>
        </w:rPr>
        <w:t xml:space="preserve">Buckley, Noah, Timothy Frye, Guzel Garifullina, and Ora John Reuter. The Political Economy of </w:t>
      </w:r>
      <w:r>
        <w:rPr>
          <w:sz w:val="24"/>
          <w:szCs w:val="24"/>
        </w:rPr>
        <w:tab/>
      </w:r>
      <w:r w:rsidRPr="004367EB">
        <w:rPr>
          <w:sz w:val="24"/>
          <w:szCs w:val="24"/>
        </w:rPr>
        <w:t xml:space="preserve">Russian Gubernatorial Election and Appointment. SSRN Scholarly Paper. Rochester, NY: </w:t>
      </w:r>
      <w:r>
        <w:rPr>
          <w:sz w:val="24"/>
          <w:szCs w:val="24"/>
        </w:rPr>
        <w:tab/>
      </w:r>
      <w:r w:rsidRPr="004367EB">
        <w:rPr>
          <w:sz w:val="24"/>
          <w:szCs w:val="24"/>
        </w:rPr>
        <w:t>Social Science Resea</w:t>
      </w:r>
      <w:r>
        <w:rPr>
          <w:sz w:val="24"/>
          <w:szCs w:val="24"/>
        </w:rPr>
        <w:t>rch Network, December 30, 2011.</w:t>
      </w:r>
    </w:p>
    <w:p w:rsidR="004367EB" w:rsidRPr="004367EB" w:rsidRDefault="004367EB" w:rsidP="004367EB">
      <w:pPr>
        <w:spacing w:line="480" w:lineRule="auto"/>
        <w:rPr>
          <w:sz w:val="24"/>
          <w:szCs w:val="24"/>
        </w:rPr>
      </w:pPr>
      <w:r w:rsidRPr="004367EB">
        <w:rPr>
          <w:sz w:val="24"/>
          <w:szCs w:val="24"/>
        </w:rPr>
        <w:t xml:space="preserve">Hale, Henry E. “Eurasian Polities as Hybrid Regimes: The Case of Putin’s Russia.” Journal of </w:t>
      </w:r>
      <w:r>
        <w:rPr>
          <w:sz w:val="24"/>
          <w:szCs w:val="24"/>
        </w:rPr>
        <w:tab/>
      </w:r>
      <w:r w:rsidRPr="004367EB">
        <w:rPr>
          <w:sz w:val="24"/>
          <w:szCs w:val="24"/>
        </w:rPr>
        <w:t>Eurasian Studies 1, no. 1 (January 2010): 33–41. doi:10.1016/j.euras.2009.11.001.</w:t>
      </w:r>
    </w:p>
    <w:p w:rsidR="004367EB" w:rsidRPr="004367EB" w:rsidRDefault="004367EB" w:rsidP="004367EB">
      <w:pPr>
        <w:spacing w:line="480" w:lineRule="auto"/>
        <w:rPr>
          <w:sz w:val="24"/>
          <w:szCs w:val="24"/>
        </w:rPr>
      </w:pPr>
      <w:r w:rsidRPr="004367EB">
        <w:rPr>
          <w:sz w:val="24"/>
          <w:szCs w:val="24"/>
        </w:rPr>
        <w:t xml:space="preserve">Hale, Henry E. Patronal Politics: Eurasian Regime Dynamics in Comparative Perspective. New </w:t>
      </w:r>
      <w:r>
        <w:rPr>
          <w:sz w:val="24"/>
          <w:szCs w:val="24"/>
        </w:rPr>
        <w:tab/>
      </w:r>
      <w:r w:rsidRPr="004367EB">
        <w:rPr>
          <w:sz w:val="24"/>
          <w:szCs w:val="24"/>
        </w:rPr>
        <w:t>York, NY: Cambridge University Press, 2015.</w:t>
      </w:r>
    </w:p>
    <w:p w:rsidR="004367EB" w:rsidRPr="004367EB" w:rsidRDefault="004367EB" w:rsidP="004367EB">
      <w:pPr>
        <w:spacing w:line="480" w:lineRule="auto"/>
        <w:rPr>
          <w:sz w:val="24"/>
          <w:szCs w:val="24"/>
        </w:rPr>
      </w:pPr>
      <w:r w:rsidRPr="004367EB">
        <w:rPr>
          <w:sz w:val="24"/>
          <w:szCs w:val="24"/>
        </w:rPr>
        <w:t xml:space="preserve">Hough, Jerry F. The Soviet prefects: the local party organs in industrial decision-making. </w:t>
      </w:r>
      <w:r>
        <w:rPr>
          <w:sz w:val="24"/>
          <w:szCs w:val="24"/>
        </w:rPr>
        <w:tab/>
      </w:r>
      <w:r w:rsidRPr="004367EB">
        <w:rPr>
          <w:sz w:val="24"/>
          <w:szCs w:val="24"/>
        </w:rPr>
        <w:t>Cambridge (Mass.) London: Harvard U.P Distributed by Oxford U.P, 1969. Print.</w:t>
      </w:r>
    </w:p>
    <w:p w:rsidR="004367EB" w:rsidRPr="004367EB" w:rsidRDefault="004367EB" w:rsidP="004367EB">
      <w:pPr>
        <w:spacing w:line="480" w:lineRule="auto"/>
        <w:rPr>
          <w:sz w:val="24"/>
          <w:szCs w:val="24"/>
        </w:rPr>
      </w:pPr>
      <w:r>
        <w:rPr>
          <w:sz w:val="24"/>
          <w:szCs w:val="24"/>
        </w:rPr>
        <w:tab/>
      </w:r>
      <w:r w:rsidRPr="004367EB">
        <w:rPr>
          <w:sz w:val="24"/>
          <w:szCs w:val="24"/>
        </w:rPr>
        <w:t>http://papers.ssrn.com/abstract=2005704.</w:t>
      </w:r>
    </w:p>
    <w:p w:rsidR="004367EB" w:rsidRPr="004367EB" w:rsidRDefault="004367EB" w:rsidP="004367EB">
      <w:pPr>
        <w:spacing w:line="480" w:lineRule="auto"/>
        <w:rPr>
          <w:sz w:val="24"/>
          <w:szCs w:val="24"/>
        </w:rPr>
      </w:pPr>
      <w:r w:rsidRPr="004367EB">
        <w:rPr>
          <w:sz w:val="24"/>
          <w:szCs w:val="24"/>
        </w:rPr>
        <w:t xml:space="preserve">Konitzer, Andrew. Voting for Russia’s Governors : Regional Elections and Accountability under </w:t>
      </w:r>
      <w:r>
        <w:rPr>
          <w:sz w:val="24"/>
          <w:szCs w:val="24"/>
        </w:rPr>
        <w:tab/>
      </w:r>
      <w:r w:rsidRPr="004367EB">
        <w:rPr>
          <w:sz w:val="24"/>
          <w:szCs w:val="24"/>
        </w:rPr>
        <w:t xml:space="preserve">Yeltsin and Putin. Washington, DC: Woodrow Wilson Center Press ; Baltimore, Md, </w:t>
      </w:r>
      <w:r w:rsidR="00F11EEF">
        <w:rPr>
          <w:sz w:val="24"/>
          <w:szCs w:val="24"/>
        </w:rPr>
        <w:tab/>
      </w:r>
      <w:r w:rsidRPr="004367EB">
        <w:rPr>
          <w:sz w:val="24"/>
          <w:szCs w:val="24"/>
        </w:rPr>
        <w:t>2005.</w:t>
      </w:r>
    </w:p>
    <w:p w:rsidR="004367EB" w:rsidRPr="004367EB" w:rsidRDefault="004367EB" w:rsidP="004367EB">
      <w:pPr>
        <w:spacing w:line="480" w:lineRule="auto"/>
        <w:rPr>
          <w:sz w:val="24"/>
          <w:szCs w:val="24"/>
        </w:rPr>
      </w:pPr>
      <w:r w:rsidRPr="004367EB">
        <w:rPr>
          <w:sz w:val="24"/>
          <w:szCs w:val="24"/>
        </w:rPr>
        <w:t xml:space="preserve">Reuter, Ora John. “The Politics of Dominant Party Formation: United Russia and Russia’s </w:t>
      </w:r>
      <w:r w:rsidR="00F11EEF">
        <w:rPr>
          <w:sz w:val="24"/>
          <w:szCs w:val="24"/>
        </w:rPr>
        <w:tab/>
      </w:r>
      <w:r w:rsidRPr="004367EB">
        <w:rPr>
          <w:sz w:val="24"/>
          <w:szCs w:val="24"/>
        </w:rPr>
        <w:t>Governors.” Europe-Asia Studies 62, no.</w:t>
      </w:r>
      <w:r w:rsidR="00F11EEF">
        <w:rPr>
          <w:sz w:val="24"/>
          <w:szCs w:val="24"/>
        </w:rPr>
        <w:t xml:space="preserve"> 2 (February 5, 2010): 293–327</w:t>
      </w:r>
      <w:r w:rsidRPr="004367EB">
        <w:rPr>
          <w:sz w:val="24"/>
          <w:szCs w:val="24"/>
        </w:rPr>
        <w:t>.</w:t>
      </w:r>
    </w:p>
    <w:p w:rsidR="004367EB" w:rsidRPr="00F73E2B" w:rsidRDefault="004367EB" w:rsidP="004367EB">
      <w:pPr>
        <w:spacing w:line="480" w:lineRule="auto"/>
        <w:rPr>
          <w:sz w:val="24"/>
          <w:szCs w:val="24"/>
        </w:rPr>
      </w:pPr>
      <w:r w:rsidRPr="004367EB">
        <w:rPr>
          <w:sz w:val="24"/>
          <w:szCs w:val="24"/>
        </w:rPr>
        <w:lastRenderedPageBreak/>
        <w:t xml:space="preserve">Reuter, Ora John, and Graeme B. Robertson. “Subnational Appointments in Authoritarian </w:t>
      </w:r>
      <w:r w:rsidR="00F11EEF">
        <w:rPr>
          <w:sz w:val="24"/>
          <w:szCs w:val="24"/>
        </w:rPr>
        <w:tab/>
      </w:r>
      <w:r w:rsidR="00F11EEF">
        <w:rPr>
          <w:sz w:val="24"/>
          <w:szCs w:val="24"/>
        </w:rPr>
        <w:tab/>
      </w:r>
      <w:r w:rsidRPr="004367EB">
        <w:rPr>
          <w:sz w:val="24"/>
          <w:szCs w:val="24"/>
        </w:rPr>
        <w:t xml:space="preserve">Regimes: Evidence from Russian Gubernatorial Appointments.” The Journal of Politics </w:t>
      </w:r>
      <w:r w:rsidR="00F11EEF">
        <w:rPr>
          <w:sz w:val="24"/>
          <w:szCs w:val="24"/>
        </w:rPr>
        <w:tab/>
      </w:r>
      <w:r w:rsidRPr="004367EB">
        <w:rPr>
          <w:sz w:val="24"/>
          <w:szCs w:val="24"/>
        </w:rPr>
        <w:t xml:space="preserve">74, no. 04 (October 2012): 1023–37. </w:t>
      </w:r>
    </w:p>
    <w:sectPr w:rsidR="004367EB" w:rsidRPr="00F73E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6621" w:rsidRDefault="00AA6621" w:rsidP="00B66855">
      <w:pPr>
        <w:spacing w:after="0" w:line="240" w:lineRule="auto"/>
      </w:pPr>
      <w:r>
        <w:separator/>
      </w:r>
    </w:p>
  </w:endnote>
  <w:endnote w:type="continuationSeparator" w:id="0">
    <w:p w:rsidR="00AA6621" w:rsidRDefault="00AA6621" w:rsidP="00B66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6621" w:rsidRDefault="00AA6621" w:rsidP="00B66855">
      <w:pPr>
        <w:spacing w:after="0" w:line="240" w:lineRule="auto"/>
      </w:pPr>
      <w:r>
        <w:separator/>
      </w:r>
    </w:p>
  </w:footnote>
  <w:footnote w:type="continuationSeparator" w:id="0">
    <w:p w:rsidR="00AA6621" w:rsidRDefault="00AA6621" w:rsidP="00B66855">
      <w:pPr>
        <w:spacing w:after="0" w:line="240" w:lineRule="auto"/>
      </w:pPr>
      <w:r>
        <w:continuationSeparator/>
      </w:r>
    </w:p>
  </w:footnote>
  <w:footnote w:id="1">
    <w:p w:rsidR="00B66855" w:rsidRDefault="00B66855">
      <w:pPr>
        <w:pStyle w:val="FootnoteText"/>
      </w:pPr>
      <w:r>
        <w:rPr>
          <w:rStyle w:val="FootnoteReference"/>
        </w:rPr>
        <w:footnoteRef/>
      </w:r>
      <w:r>
        <w:t xml:space="preserve"> </w:t>
      </w:r>
      <w:r w:rsidRPr="00B66855">
        <w:t>Baker, Peter. "Putin Moves to Centralize Authority." Washington Post, September 14, 2004. Accessed November 21, 2014. http://www.washingtonpost.com/wp-dyn/articles/A17838-2004Sep13.html.</w:t>
      </w:r>
    </w:p>
  </w:footnote>
  <w:footnote w:id="2">
    <w:p w:rsidR="00FF726C" w:rsidRDefault="00FF726C">
      <w:pPr>
        <w:pStyle w:val="FootnoteText"/>
      </w:pPr>
      <w:r>
        <w:rPr>
          <w:rStyle w:val="FootnoteReference"/>
        </w:rPr>
        <w:footnoteRef/>
      </w:r>
      <w:r>
        <w:t xml:space="preserve"> Hale, Henry E. Patronal Politics: Eurasian Regime Dynamics in Comparative P</w:t>
      </w:r>
      <w:r w:rsidRPr="00FF726C">
        <w:t>erspective. New York, NY: Cambridge University Press, 2015.</w:t>
      </w:r>
    </w:p>
  </w:footnote>
  <w:footnote w:id="3">
    <w:p w:rsidR="004C1CFD" w:rsidRDefault="004C1CFD">
      <w:pPr>
        <w:pStyle w:val="FootnoteText"/>
      </w:pPr>
      <w:r>
        <w:rPr>
          <w:rStyle w:val="FootnoteReference"/>
        </w:rPr>
        <w:footnoteRef/>
      </w:r>
      <w:r>
        <w:t xml:space="preserve"> </w:t>
      </w:r>
      <w:r w:rsidRPr="004C1CFD">
        <w:t>Hale, Henry E. “Eurasian Polities as Hybrid Regimes: The Case of Putin’s Russia.” Journal of Eurasian Studies 1, no. 1 (January 2010): 33–41. doi:10.1016/j.euras.2009.11.001.</w:t>
      </w:r>
    </w:p>
  </w:footnote>
  <w:footnote w:id="4">
    <w:p w:rsidR="004C1CFD" w:rsidRDefault="004C1CFD">
      <w:pPr>
        <w:pStyle w:val="FootnoteText"/>
      </w:pPr>
      <w:r>
        <w:rPr>
          <w:rStyle w:val="FootnoteReference"/>
        </w:rPr>
        <w:footnoteRef/>
      </w:r>
      <w:r>
        <w:t xml:space="preserve"> Ibid. p 37.</w:t>
      </w:r>
    </w:p>
  </w:footnote>
  <w:footnote w:id="5">
    <w:p w:rsidR="004C1CFD" w:rsidRDefault="004C1CFD">
      <w:pPr>
        <w:pStyle w:val="FootnoteText"/>
      </w:pPr>
      <w:r>
        <w:rPr>
          <w:rStyle w:val="FootnoteReference"/>
        </w:rPr>
        <w:footnoteRef/>
      </w:r>
      <w:r>
        <w:t xml:space="preserve"> Ibid. p 37.</w:t>
      </w:r>
    </w:p>
  </w:footnote>
  <w:footnote w:id="6">
    <w:p w:rsidR="00985468" w:rsidRDefault="00985468" w:rsidP="00985468">
      <w:pPr>
        <w:pStyle w:val="FootnoteText"/>
      </w:pPr>
      <w:r>
        <w:rPr>
          <w:rStyle w:val="FootnoteReference"/>
        </w:rPr>
        <w:footnoteRef/>
      </w:r>
      <w:r>
        <w:t xml:space="preserve"> Hough, Jerry F. The Soviet prefects: the local party organs in industrial decision-making. Cambridge (Mass.) London: Harvard U.P Distributed by Oxford U.P, 1969. Print.</w:t>
      </w:r>
    </w:p>
  </w:footnote>
  <w:footnote w:id="7">
    <w:p w:rsidR="00985468" w:rsidRDefault="00985468">
      <w:pPr>
        <w:pStyle w:val="FootnoteText"/>
      </w:pPr>
      <w:r>
        <w:rPr>
          <w:rStyle w:val="FootnoteReference"/>
        </w:rPr>
        <w:footnoteRef/>
      </w:r>
      <w:r>
        <w:t xml:space="preserve"> Ibid. pg 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855"/>
    <w:rsid w:val="00091EE2"/>
    <w:rsid w:val="00163715"/>
    <w:rsid w:val="001829EE"/>
    <w:rsid w:val="00185F55"/>
    <w:rsid w:val="00205C2C"/>
    <w:rsid w:val="00271784"/>
    <w:rsid w:val="004367EB"/>
    <w:rsid w:val="004C1CFD"/>
    <w:rsid w:val="006B0177"/>
    <w:rsid w:val="00733FC8"/>
    <w:rsid w:val="007B65FA"/>
    <w:rsid w:val="00985468"/>
    <w:rsid w:val="009D2A54"/>
    <w:rsid w:val="00A51C15"/>
    <w:rsid w:val="00AA6621"/>
    <w:rsid w:val="00B55990"/>
    <w:rsid w:val="00B66855"/>
    <w:rsid w:val="00BF1D89"/>
    <w:rsid w:val="00DC4026"/>
    <w:rsid w:val="00E60B5B"/>
    <w:rsid w:val="00EB2EE6"/>
    <w:rsid w:val="00F11EEF"/>
    <w:rsid w:val="00F65D63"/>
    <w:rsid w:val="00F73E2B"/>
    <w:rsid w:val="00FF7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EFEFD3-ED10-49E1-A1B2-B9D3367B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66855"/>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B6685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6855"/>
    <w:rPr>
      <w:sz w:val="20"/>
      <w:szCs w:val="20"/>
    </w:rPr>
  </w:style>
  <w:style w:type="character" w:styleId="FootnoteReference">
    <w:name w:val="footnote reference"/>
    <w:basedOn w:val="DefaultParagraphFont"/>
    <w:uiPriority w:val="99"/>
    <w:semiHidden/>
    <w:unhideWhenUsed/>
    <w:rsid w:val="00B66855"/>
    <w:rPr>
      <w:vertAlign w:val="superscript"/>
    </w:rPr>
  </w:style>
  <w:style w:type="character" w:styleId="Hyperlink">
    <w:name w:val="Hyperlink"/>
    <w:basedOn w:val="DefaultParagraphFont"/>
    <w:uiPriority w:val="99"/>
    <w:unhideWhenUsed/>
    <w:rsid w:val="004367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293315">
      <w:bodyDiv w:val="1"/>
      <w:marLeft w:val="0"/>
      <w:marRight w:val="0"/>
      <w:marTop w:val="0"/>
      <w:marBottom w:val="0"/>
      <w:divBdr>
        <w:top w:val="none" w:sz="0" w:space="0" w:color="auto"/>
        <w:left w:val="none" w:sz="0" w:space="0" w:color="auto"/>
        <w:bottom w:val="none" w:sz="0" w:space="0" w:color="auto"/>
        <w:right w:val="none" w:sz="0" w:space="0" w:color="auto"/>
      </w:divBdr>
      <w:divsChild>
        <w:div w:id="413477869">
          <w:marLeft w:val="0"/>
          <w:marRight w:val="0"/>
          <w:marTop w:val="0"/>
          <w:marBottom w:val="0"/>
          <w:divBdr>
            <w:top w:val="none" w:sz="0" w:space="0" w:color="auto"/>
            <w:left w:val="none" w:sz="0" w:space="0" w:color="auto"/>
            <w:bottom w:val="none" w:sz="0" w:space="0" w:color="auto"/>
            <w:right w:val="none" w:sz="0" w:space="0" w:color="auto"/>
          </w:divBdr>
          <w:divsChild>
            <w:div w:id="1120369843">
              <w:marLeft w:val="0"/>
              <w:marRight w:val="0"/>
              <w:marTop w:val="0"/>
              <w:marBottom w:val="0"/>
              <w:divBdr>
                <w:top w:val="none" w:sz="0" w:space="0" w:color="auto"/>
                <w:left w:val="none" w:sz="0" w:space="0" w:color="auto"/>
                <w:bottom w:val="none" w:sz="0" w:space="0" w:color="auto"/>
                <w:right w:val="none" w:sz="0" w:space="0" w:color="auto"/>
              </w:divBdr>
            </w:div>
            <w:div w:id="343021409">
              <w:marLeft w:val="0"/>
              <w:marRight w:val="0"/>
              <w:marTop w:val="0"/>
              <w:marBottom w:val="0"/>
              <w:divBdr>
                <w:top w:val="none" w:sz="0" w:space="0" w:color="auto"/>
                <w:left w:val="none" w:sz="0" w:space="0" w:color="auto"/>
                <w:bottom w:val="none" w:sz="0" w:space="0" w:color="auto"/>
                <w:right w:val="none" w:sz="0" w:space="0" w:color="auto"/>
              </w:divBdr>
            </w:div>
            <w:div w:id="1941984586">
              <w:marLeft w:val="0"/>
              <w:marRight w:val="0"/>
              <w:marTop w:val="0"/>
              <w:marBottom w:val="0"/>
              <w:divBdr>
                <w:top w:val="none" w:sz="0" w:space="0" w:color="auto"/>
                <w:left w:val="none" w:sz="0" w:space="0" w:color="auto"/>
                <w:bottom w:val="none" w:sz="0" w:space="0" w:color="auto"/>
                <w:right w:val="none" w:sz="0" w:space="0" w:color="auto"/>
              </w:divBdr>
            </w:div>
            <w:div w:id="1770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ashingtonpost.com/wp-dyn/articles/A17838-2004Sep13.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D7B0A-2BF2-4D3B-8320-082AF9AC4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5</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Smeltzer</dc:creator>
  <cp:keywords/>
  <dc:description/>
  <cp:lastModifiedBy>Michael Smeltzer</cp:lastModifiedBy>
  <cp:revision>16</cp:revision>
  <dcterms:created xsi:type="dcterms:W3CDTF">2015-02-05T14:53:00Z</dcterms:created>
  <dcterms:modified xsi:type="dcterms:W3CDTF">2015-03-22T13:47:00Z</dcterms:modified>
</cp:coreProperties>
</file>