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5F1F4" w14:textId="765D92C7" w:rsidR="00A82B5E" w:rsidRDefault="003957C1">
      <w:r w:rsidRPr="003957C1">
        <w:drawing>
          <wp:inline distT="0" distB="0" distL="0" distR="0" wp14:anchorId="7ED4D932" wp14:editId="31EEE03F">
            <wp:extent cx="2651760" cy="1104900"/>
            <wp:effectExtent l="0" t="0" r="0" b="0"/>
            <wp:docPr id="114349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946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6781" w14:textId="77777777" w:rsidR="002F3342" w:rsidRDefault="002F3342"/>
    <w:p w14:paraId="3D10D80D" w14:textId="77777777" w:rsidR="002F3342" w:rsidRDefault="002F3342"/>
    <w:p w14:paraId="2CC3CB3E" w14:textId="77777777" w:rsidR="002F3342" w:rsidRDefault="002F3342"/>
    <w:p w14:paraId="7F1AA246" w14:textId="4A3D4D1A" w:rsidR="002F3342" w:rsidRDefault="002F3342">
      <w:r>
        <w:rPr>
          <w:noProof/>
        </w:rPr>
        <w:drawing>
          <wp:inline distT="0" distB="0" distL="0" distR="0" wp14:anchorId="4F78B8C9" wp14:editId="006DD555">
            <wp:extent cx="4762500" cy="3489960"/>
            <wp:effectExtent l="0" t="0" r="0" b="0"/>
            <wp:docPr id="2058347256" name="Picture 1" descr="Figure 1 The Health Stigma and Discrimination Frame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 The Health Stigma and Discrimination Framework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50D5" w14:textId="77777777" w:rsidR="00BF67A3" w:rsidRDefault="00BF67A3"/>
    <w:p w14:paraId="30F9E3B0" w14:textId="77777777" w:rsidR="00BF67A3" w:rsidRDefault="00BF67A3" w:rsidP="00BF67A3">
      <w:pPr>
        <w:keepNext/>
      </w:pPr>
      <w:r>
        <w:rPr>
          <w:noProof/>
        </w:rPr>
        <w:lastRenderedPageBreak/>
        <w:drawing>
          <wp:inline distT="0" distB="0" distL="0" distR="0" wp14:anchorId="32A4C361" wp14:editId="6A547F6A">
            <wp:extent cx="5943600" cy="2065545"/>
            <wp:effectExtent l="0" t="0" r="0" b="0"/>
            <wp:docPr id="2" name="Picture 1" descr="A graph of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aph of black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2E7C" w14:textId="56432E4F" w:rsidR="00BF67A3" w:rsidRDefault="00BF67A3" w:rsidP="00BF67A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sociodemographic predictors of maternal morbidity by race / ethnicity (Ragsdale </w:t>
      </w:r>
      <w:proofErr w:type="gramStart"/>
      <w:r>
        <w:t>et al. )</w:t>
      </w:r>
      <w:proofErr w:type="gramEnd"/>
    </w:p>
    <w:p w14:paraId="6DEA561F" w14:textId="77777777" w:rsidR="001A6CC6" w:rsidRDefault="001A6CC6" w:rsidP="001A6CC6"/>
    <w:p w14:paraId="03C3E91F" w14:textId="60A82015" w:rsidR="001A6CC6" w:rsidRDefault="001A6CC6" w:rsidP="001A6C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Ragsdale, A. S., Al-Hammadi, N., Bass, S., &amp; Chavan, N. R. (2024). Racial and Ethnic Disparities Among Pregnancies with Substance Use Disorder: Impact on Perinatal Outcomes.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Women's Health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4E7DF11" w14:textId="58BAB201" w:rsidR="001A6CC6" w:rsidRPr="001A6CC6" w:rsidRDefault="001A6CC6" w:rsidP="001A6CC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Weber,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Miskle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Lynch, A., Arndt,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 (2021). Substance use in pregnancy: identifying stigma and improving care.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Substance Abuse and Rehabilitation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105-121.</w:t>
      </w:r>
    </w:p>
    <w:sectPr w:rsidR="001A6CC6" w:rsidRPr="001A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C1"/>
    <w:rsid w:val="00170DA3"/>
    <w:rsid w:val="001A51EF"/>
    <w:rsid w:val="001A6CC6"/>
    <w:rsid w:val="002A4847"/>
    <w:rsid w:val="002F3342"/>
    <w:rsid w:val="003957C1"/>
    <w:rsid w:val="00A163E0"/>
    <w:rsid w:val="00A82B5E"/>
    <w:rsid w:val="00B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DA10"/>
  <w15:chartTrackingRefBased/>
  <w15:docId w15:val="{4A0A157F-2755-4708-85A7-DC301CE9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7C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F67A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 graves</dc:creator>
  <cp:keywords/>
  <dc:description/>
  <cp:lastModifiedBy>sade graves</cp:lastModifiedBy>
  <cp:revision>1</cp:revision>
  <dcterms:created xsi:type="dcterms:W3CDTF">2024-07-23T12:44:00Z</dcterms:created>
  <dcterms:modified xsi:type="dcterms:W3CDTF">2024-07-23T21:11:00Z</dcterms:modified>
</cp:coreProperties>
</file>