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0B60" w14:textId="43527881" w:rsidR="00F4308E" w:rsidRDefault="000C10F5" w:rsidP="00DA45C1">
      <w:r>
        <w:t>66+20+4=90</w:t>
      </w:r>
    </w:p>
    <w:p w14:paraId="055A9E2B" w14:textId="579C70DC" w:rsidR="000C10F5" w:rsidRDefault="000C10F5" w:rsidP="00DA45C1">
      <w:r>
        <w:t>1+4+8 = 13</w:t>
      </w:r>
    </w:p>
    <w:p w14:paraId="09685A20" w14:textId="3BC64913" w:rsidR="000E6C05" w:rsidRPr="00A60F90" w:rsidRDefault="00DA45C1" w:rsidP="00BD1758">
      <w:pPr>
        <w:rPr>
          <w:lang w:val="fr-FR"/>
        </w:rPr>
      </w:pPr>
      <w:proofErr w:type="spellStart"/>
      <w:r w:rsidRPr="00A60F90">
        <w:rPr>
          <w:lang w:val="fr-FR"/>
        </w:rPr>
        <w:t>hypoxia</w:t>
      </w:r>
      <w:proofErr w:type="spellEnd"/>
      <w:r w:rsidRPr="00A60F90">
        <w:rPr>
          <w:lang w:val="fr-FR"/>
        </w:rPr>
        <w:t xml:space="preserve"> signature cancer </w:t>
      </w:r>
      <w:proofErr w:type="spellStart"/>
      <w:r w:rsidRPr="00A60F90">
        <w:rPr>
          <w:lang w:val="fr-FR"/>
        </w:rPr>
        <w:t>microenvironment</w:t>
      </w:r>
      <w:proofErr w:type="spellEnd"/>
      <w:r w:rsidRPr="00A60F90">
        <w:rPr>
          <w:lang w:val="fr-FR"/>
        </w:rPr>
        <w:t>: 386</w:t>
      </w:r>
    </w:p>
    <w:p w14:paraId="2A2368FD" w14:textId="77777777" w:rsidR="00B126E6" w:rsidRDefault="00B126E6" w:rsidP="00B126E6">
      <w:pPr>
        <w:rPr>
          <w:lang w:val="fr-FR"/>
        </w:rPr>
      </w:pPr>
      <w:proofErr w:type="spellStart"/>
      <w:r w:rsidRPr="003D7377">
        <w:rPr>
          <w:lang w:val="fr-FR"/>
        </w:rPr>
        <w:t>hypoxia</w:t>
      </w:r>
      <w:proofErr w:type="spellEnd"/>
      <w:r w:rsidRPr="003D7377">
        <w:rPr>
          <w:lang w:val="fr-FR"/>
        </w:rPr>
        <w:t xml:space="preserve"> signature cancer </w:t>
      </w:r>
      <w:proofErr w:type="spellStart"/>
      <w:r w:rsidRPr="003D7377">
        <w:rPr>
          <w:lang w:val="fr-FR"/>
        </w:rPr>
        <w:t>microenvironment</w:t>
      </w:r>
      <w:proofErr w:type="spellEnd"/>
      <w:r w:rsidRPr="003D7377">
        <w:rPr>
          <w:lang w:val="fr-FR"/>
        </w:rPr>
        <w:t xml:space="preserve"> </w:t>
      </w:r>
      <w:proofErr w:type="spellStart"/>
      <w:r w:rsidRPr="003D7377">
        <w:rPr>
          <w:lang w:val="fr-FR"/>
        </w:rPr>
        <w:t>autoencoder</w:t>
      </w:r>
      <w:proofErr w:type="spellEnd"/>
      <w:r w:rsidRPr="003D7377">
        <w:rPr>
          <w:rFonts w:hint="eastAsia"/>
          <w:lang w:val="fr-FR"/>
        </w:rPr>
        <w:t>:</w:t>
      </w:r>
      <w:r w:rsidRPr="003D7377">
        <w:rPr>
          <w:lang w:val="fr-FR"/>
        </w:rPr>
        <w:t xml:space="preserve"> 0</w:t>
      </w:r>
    </w:p>
    <w:p w14:paraId="1E5D78A3" w14:textId="7C9839FB" w:rsidR="004C5A2D" w:rsidRDefault="004C5A2D" w:rsidP="00BD1758">
      <w:bookmarkStart w:id="0" w:name="_Hlk155220819"/>
      <w:r>
        <w:t>Purposive and sensitive</w:t>
      </w:r>
      <w:r w:rsidR="001B49DE">
        <w:t xml:space="preserve"> search strategy and explain</w:t>
      </w:r>
    </w:p>
    <w:p w14:paraId="015B644C" w14:textId="2C1435B7" w:rsidR="00B126E6" w:rsidRPr="004C5A2D" w:rsidRDefault="004C5A2D" w:rsidP="00BD1758">
      <w:r>
        <w:t xml:space="preserve">Boolean search operator </w:t>
      </w:r>
      <w:bookmarkEnd w:id="0"/>
      <w:r>
        <w:t>(</w:t>
      </w:r>
      <w:proofErr w:type="spellStart"/>
      <w:r>
        <w:t>vien</w:t>
      </w:r>
      <w:proofErr w:type="spellEnd"/>
      <w:r>
        <w:t>)</w:t>
      </w:r>
    </w:p>
    <w:p w14:paraId="53CE2260" w14:textId="31B1759B" w:rsidR="00C00C80" w:rsidRDefault="00C00C80" w:rsidP="0094518A">
      <w:r w:rsidRPr="000E6C05">
        <w:t>(hypoxia) and (signature)</w:t>
      </w:r>
      <w:r>
        <w:t xml:space="preserve"> </w:t>
      </w:r>
      <w:r w:rsidRPr="00F26A9D">
        <w:t>and ((cancer) or (tumour)) and ((micro-environment) or (TME) or (microenvironment))</w:t>
      </w:r>
      <w:r w:rsidR="00435CC7">
        <w:t xml:space="preserve"> </w:t>
      </w:r>
      <w:r w:rsidR="00435CC7" w:rsidRPr="000E6C05">
        <w:t xml:space="preserve">and ((develop) or (autoencoders) or </w:t>
      </w:r>
      <w:r w:rsidR="00675A32">
        <w:t xml:space="preserve">(AE) or </w:t>
      </w:r>
      <w:r w:rsidR="00435CC7" w:rsidRPr="000E6C05">
        <w:t>(machine learning) or (deep learning))</w:t>
      </w:r>
      <w:r w:rsidR="00435CC7">
        <w:t>: 19</w:t>
      </w:r>
      <w:r w:rsidR="00675A32">
        <w:t>9</w:t>
      </w:r>
      <w:r w:rsidR="008D29EB">
        <w:t>/4</w:t>
      </w:r>
    </w:p>
    <w:p w14:paraId="59ACE1C5" w14:textId="1EE8AF7B" w:rsidR="00675A32" w:rsidRDefault="00675A32" w:rsidP="00675A32">
      <w:bookmarkStart w:id="1" w:name="_Hlk155221103"/>
      <w:r w:rsidRPr="000E6C05">
        <w:t>(hypoxia) and (signature) and (transcriptomic) and ((cancer) or (tumour)) and ((micro-environment) or (TME) or (microenvironment)) and ((develop) or (autoencoders) or</w:t>
      </w:r>
      <w:r>
        <w:t xml:space="preserve"> (AE)</w:t>
      </w:r>
      <w:r w:rsidRPr="000E6C05">
        <w:t xml:space="preserve"> </w:t>
      </w:r>
      <w:r>
        <w:t xml:space="preserve">or </w:t>
      </w:r>
      <w:r w:rsidRPr="000E6C05">
        <w:t>(machine learning) or (deep learning))</w:t>
      </w:r>
      <w:bookmarkEnd w:id="1"/>
      <w:r>
        <w:t>:66</w:t>
      </w:r>
      <w:r w:rsidR="008D29EB">
        <w:t>/1</w:t>
      </w:r>
    </w:p>
    <w:p w14:paraId="6BB3834F" w14:textId="1C9C65CF" w:rsidR="006216FB" w:rsidRDefault="00D962C8" w:rsidP="0094518A">
      <w:r w:rsidRPr="00D962C8">
        <w:t>(hypoxia) and (signature) and ((cancer) or (tumour)) and ((micro-environment) or (TME) or (microenvironment)) and (</w:t>
      </w:r>
      <w:r w:rsidR="00675A32">
        <w:t xml:space="preserve">(develop) or </w:t>
      </w:r>
      <w:r w:rsidRPr="00D962C8">
        <w:t>(autoencoders) or (AE) or (machine learning) or (deep learning))</w:t>
      </w:r>
      <w:r>
        <w:t>:20</w:t>
      </w:r>
      <w:r w:rsidR="008D29EB">
        <w:t>/4</w:t>
      </w:r>
    </w:p>
    <w:p w14:paraId="2D1A052A" w14:textId="4639333E" w:rsidR="000A4770" w:rsidRDefault="00675A32" w:rsidP="00B126E6">
      <w:r w:rsidRPr="000E6C05">
        <w:t>(hypoxia) and (signature) and (transcriptomic) and ((cancer) or (tumour)) and ((micro-environment) or (TME) or (microenvironment)) and ((autoencoders) or (machine learning) or (deep learning))</w:t>
      </w:r>
      <w:r>
        <w:t>:4</w:t>
      </w:r>
      <w:r w:rsidR="008D29EB">
        <w:t>/8</w:t>
      </w:r>
    </w:p>
    <w:p w14:paraId="556955B6" w14:textId="77777777" w:rsidR="00B126E6" w:rsidRPr="0094518A" w:rsidRDefault="00B126E6" w:rsidP="00B126E6"/>
    <w:p w14:paraId="41F81C87" w14:textId="63BD4E44" w:rsidR="00D57018" w:rsidRPr="000157D1" w:rsidRDefault="00D57018">
      <w:pPr>
        <w:rPr>
          <w:lang w:val="en-US"/>
        </w:rPr>
      </w:pPr>
      <w:r w:rsidRPr="00D57018">
        <w:t>not AE or other m</w:t>
      </w:r>
      <w:r>
        <w:t>achine learning method (</w:t>
      </w:r>
      <w:r w:rsidRPr="00D57018">
        <w:t>Molecular profiling</w:t>
      </w:r>
      <w:r>
        <w:t>) or not cancer</w:t>
      </w:r>
      <w:r w:rsidR="0094518A">
        <w:t>(</w:t>
      </w:r>
      <w:bookmarkStart w:id="2" w:name="_Hlk155225073"/>
      <w:r w:rsidR="0094518A" w:rsidRPr="0094518A">
        <w:t>DSS-induced colitis</w:t>
      </w:r>
      <w:bookmarkEnd w:id="2"/>
      <w:r w:rsidR="0094518A">
        <w:t>)</w:t>
      </w:r>
      <w:r>
        <w:t xml:space="preserve"> or not hypoxia</w:t>
      </w:r>
      <w:r w:rsidR="00A60F90">
        <w:t xml:space="preserve"> (</w:t>
      </w:r>
      <w:proofErr w:type="spellStart"/>
      <w:r w:rsidR="00A60F90">
        <w:t>immue</w:t>
      </w:r>
      <w:proofErr w:type="spellEnd"/>
      <w:r w:rsidR="00A60F90">
        <w:t>-related</w:t>
      </w:r>
      <w:r w:rsidR="00CE44C3">
        <w:t>/KCNK Gene Signature</w:t>
      </w:r>
      <w:r w:rsidR="00A60F90">
        <w:t>)</w:t>
      </w:r>
      <w:r>
        <w:t xml:space="preserve"> or not </w:t>
      </w:r>
      <w:r w:rsidR="00F26A9D">
        <w:t>gene signature (</w:t>
      </w:r>
      <w:bookmarkStart w:id="3" w:name="_Hlk155225047"/>
      <w:r w:rsidR="00F26A9D">
        <w:rPr>
          <w:rFonts w:ascii="Segoe UI" w:hAnsi="Segoe UI" w:cs="Segoe UI"/>
          <w:color w:val="212121"/>
          <w:shd w:val="clear" w:color="auto" w:fill="FFFFFF"/>
        </w:rPr>
        <w:t>hypoxia-inducible factor (HIF)</w:t>
      </w:r>
      <w:r w:rsidR="00F26A9D">
        <w:t>)</w:t>
      </w:r>
      <w:r w:rsidR="0094518A">
        <w:t xml:space="preserve"> </w:t>
      </w:r>
      <w:bookmarkEnd w:id="3"/>
      <w:r w:rsidR="0094518A">
        <w:t>not gene level(</w:t>
      </w:r>
      <w:proofErr w:type="spellStart"/>
      <w:r w:rsidR="0094518A">
        <w:rPr>
          <w:rFonts w:ascii="Segoe UI" w:hAnsi="Segoe UI" w:cs="Segoe UI"/>
          <w:color w:val="212121"/>
          <w:shd w:val="clear" w:color="auto" w:fill="FFFFFF"/>
        </w:rPr>
        <w:t>tumor</w:t>
      </w:r>
      <w:proofErr w:type="spellEnd"/>
      <w:r w:rsidR="0094518A">
        <w:rPr>
          <w:rFonts w:ascii="Segoe UI" w:hAnsi="Segoe UI" w:cs="Segoe UI"/>
          <w:color w:val="212121"/>
          <w:shd w:val="clear" w:color="auto" w:fill="FFFFFF"/>
        </w:rPr>
        <w:t xml:space="preserve"> biopsies sampled</w:t>
      </w:r>
      <w:r w:rsidR="0094518A">
        <w:t>)</w:t>
      </w:r>
      <w:r w:rsidR="000157D1">
        <w:t xml:space="preserve"> not </w:t>
      </w:r>
      <w:bookmarkStart w:id="4" w:name="_Hlk155224476"/>
      <w:r w:rsidR="000157D1" w:rsidRPr="000157D1">
        <w:t>Retracted</w:t>
      </w:r>
      <w:bookmarkEnd w:id="4"/>
    </w:p>
    <w:p w14:paraId="37107D2E" w14:textId="77777777" w:rsidR="009A47CE" w:rsidRDefault="009A47CE"/>
    <w:p w14:paraId="075BE4D3" w14:textId="0B28AE84" w:rsidR="009A47CE" w:rsidRDefault="009A47CE">
      <w:r>
        <w:t>Before machine learning:</w:t>
      </w:r>
    </w:p>
    <w:p w14:paraId="67153AC3" w14:textId="646E180E" w:rsidR="009A47CE" w:rsidRDefault="00E5751E">
      <w:pPr>
        <w:rPr>
          <w:lang w:val="en-US"/>
        </w:rPr>
      </w:pPr>
      <w:hyperlink r:id="rId7" w:history="1">
        <w:r w:rsidR="009A47CE" w:rsidRPr="006C7946">
          <w:rPr>
            <w:rStyle w:val="Hyperlink"/>
            <w:lang w:val="en-US"/>
          </w:rPr>
          <w:t>https://www.scopus.com/record/display.uri?eid=2-s2.0-79551542410&amp;origin=inward&amp;txGid=8d609ca3bfeb2cbd481fbfc38d7208cb</w:t>
        </w:r>
      </w:hyperlink>
    </w:p>
    <w:p w14:paraId="0F1E3AA5" w14:textId="659EC39B" w:rsidR="009A47CE" w:rsidRDefault="009A47CE">
      <w:pPr>
        <w:rPr>
          <w:lang w:val="en-US"/>
        </w:rPr>
      </w:pPr>
      <w:r>
        <w:rPr>
          <w:rFonts w:ascii="Georgia" w:hAnsi="Georgia"/>
          <w:color w:val="2E2E2E"/>
          <w:shd w:val="clear" w:color="auto" w:fill="FFFFFF"/>
        </w:rPr>
        <w:t xml:space="preserve">We used the hypoxia marker EF5 coupled with laser-capture microdissection to isolate RNA from viable hypoxic and </w:t>
      </w:r>
      <w:proofErr w:type="spellStart"/>
      <w:r>
        <w:rPr>
          <w:rFonts w:ascii="Georgia" w:hAnsi="Georgia"/>
          <w:color w:val="2E2E2E"/>
          <w:shd w:val="clear" w:color="auto" w:fill="FFFFFF"/>
        </w:rPr>
        <w:t>normoxic</w:t>
      </w:r>
      <w:proofErr w:type="spellEnd"/>
      <w:r>
        <w:rPr>
          <w:rFonts w:ascii="Georgia" w:hAnsi="Georgia"/>
          <w:color w:val="2E2E2E"/>
          <w:shd w:val="clear" w:color="auto" w:fill="FFFFFF"/>
        </w:rPr>
        <w:t xml:space="preserve"> regions of 9L experimental gliomas. Through microarray analysis,</w:t>
      </w:r>
    </w:p>
    <w:p w14:paraId="65B96BE0" w14:textId="4127CC7B" w:rsidR="009A47CE" w:rsidRPr="009A47CE" w:rsidRDefault="00E5751E">
      <w:hyperlink r:id="rId8" w:history="1">
        <w:r w:rsidR="009A47CE" w:rsidRPr="009A47CE">
          <w:rPr>
            <w:rStyle w:val="Hyperlink"/>
          </w:rPr>
          <w:t>https://www.scopus.com/record/display.uri?eid=2-s2.0-34250323878&amp;origin=inward&amp;txGid=6e4a89151f9d233fa372d066bb0aa5af</w:t>
        </w:r>
      </w:hyperlink>
      <w:r w:rsidR="009A47CE" w:rsidRPr="009A47CE">
        <w:t>:</w:t>
      </w:r>
      <w:r w:rsidR="009A47CE" w:rsidRPr="009A47CE">
        <w:rPr>
          <w:rFonts w:ascii="Georgia" w:hAnsi="Georgia"/>
          <w:color w:val="2E2E2E"/>
          <w:shd w:val="clear" w:color="auto" w:fill="FFFFFF"/>
        </w:rPr>
        <w:t xml:space="preserve"> </w:t>
      </w:r>
      <w:proofErr w:type="spellStart"/>
      <w:r w:rsidR="009A47CE" w:rsidRPr="009A47CE">
        <w:rPr>
          <w:rFonts w:ascii="Georgia" w:hAnsi="Georgia"/>
          <w:color w:val="2E2E2E"/>
          <w:shd w:val="clear" w:color="auto" w:fill="FFFFFF"/>
        </w:rPr>
        <w:t xml:space="preserve">meta </w:t>
      </w:r>
      <w:r w:rsidR="009A47CE">
        <w:rPr>
          <w:rFonts w:ascii="Georgia" w:hAnsi="Georgia"/>
          <w:color w:val="2E2E2E"/>
          <w:shd w:val="clear" w:color="auto" w:fill="FFFFFF"/>
        </w:rPr>
        <w:t>analysis</w:t>
      </w:r>
      <w:proofErr w:type="spellEnd"/>
      <w:r w:rsidR="009A47CE">
        <w:rPr>
          <w:rFonts w:ascii="Georgia" w:hAnsi="Georgia"/>
          <w:color w:val="2E2E2E"/>
          <w:shd w:val="clear" w:color="auto" w:fill="FFFFFF"/>
        </w:rPr>
        <w:t>,</w:t>
      </w:r>
      <w:r w:rsidR="009A47CE" w:rsidRPr="009A47CE">
        <w:rPr>
          <w:rFonts w:ascii="Georgia" w:hAnsi="Georgia"/>
          <w:color w:val="2E2E2E"/>
          <w:shd w:val="clear" w:color="auto" w:fill="FFFFFF"/>
        </w:rPr>
        <w:t xml:space="preserve"> </w:t>
      </w:r>
      <w:r w:rsidR="009A47CE">
        <w:rPr>
          <w:rFonts w:ascii="Georgia" w:hAnsi="Georgia"/>
          <w:color w:val="2E2E2E"/>
          <w:shd w:val="clear" w:color="auto" w:fill="FFFFFF"/>
        </w:rPr>
        <w:t xml:space="preserve">microarray based gene signatures, </w:t>
      </w:r>
      <w:r w:rsidR="009A47CE" w:rsidRPr="009A47CE">
        <w:rPr>
          <w:rFonts w:ascii="Georgia" w:hAnsi="Georgia"/>
          <w:color w:val="2E2E2E"/>
          <w:shd w:val="clear" w:color="auto" w:fill="FFFFFF"/>
        </w:rPr>
        <w:t>univariate, and multivariate analysis</w:t>
      </w:r>
    </w:p>
    <w:p w14:paraId="576AEE4C" w14:textId="383B9893" w:rsidR="009A47CE" w:rsidRDefault="00E5751E">
      <w:pPr>
        <w:rPr>
          <w:lang w:val="en-US"/>
        </w:rPr>
      </w:pPr>
      <w:hyperlink r:id="rId9" w:history="1">
        <w:r w:rsidR="009A47CE" w:rsidRPr="006C7946">
          <w:rPr>
            <w:rStyle w:val="Hyperlink"/>
            <w:lang w:val="en-US"/>
          </w:rPr>
          <w:t>https://www.scopus.com/record/display.uri?eid=2-s2.0-75649117850&amp;origin=inward&amp;txGid=cd9e43883c0db2007efaa995ef2848db</w:t>
        </w:r>
      </w:hyperlink>
    </w:p>
    <w:p w14:paraId="59E944C1" w14:textId="424793F3" w:rsidR="009A47CE" w:rsidRPr="00F26A9D" w:rsidRDefault="009A47CE">
      <w:pPr>
        <w:rPr>
          <w:lang w:val="en-US"/>
        </w:rPr>
      </w:pPr>
      <w:r>
        <w:rPr>
          <w:rFonts w:ascii="Georgia" w:hAnsi="Georgia"/>
          <w:color w:val="2E2E2E"/>
          <w:shd w:val="clear" w:color="auto" w:fill="FFFFFF"/>
        </w:rPr>
        <w:t xml:space="preserve">An approach for deriving signatures that combine knowledge of gene function and analysis of in vivo co-expression patterns was used to define a common </w:t>
      </w:r>
      <w:r>
        <w:rPr>
          <w:rFonts w:ascii="Georgia" w:hAnsi="Georgia"/>
          <w:color w:val="2E2E2E"/>
          <w:shd w:val="clear" w:color="auto" w:fill="FFFFFF"/>
        </w:rPr>
        <w:lastRenderedPageBreak/>
        <w:t>hypoxia signature from three head and neck and five breast cancer studies.</w:t>
      </w:r>
    </w:p>
    <w:p w14:paraId="2838E4FD" w14:textId="77777777" w:rsidR="00FF6980" w:rsidRPr="00D57018" w:rsidRDefault="00FF6980"/>
    <w:tbl>
      <w:tblPr>
        <w:tblStyle w:val="TableGrid"/>
        <w:tblW w:w="13953" w:type="dxa"/>
        <w:tblLayout w:type="fixed"/>
        <w:tblLook w:val="04A0" w:firstRow="1" w:lastRow="0" w:firstColumn="1" w:lastColumn="0" w:noHBand="0" w:noVBand="1"/>
      </w:tblPr>
      <w:tblGrid>
        <w:gridCol w:w="2270"/>
        <w:gridCol w:w="1697"/>
        <w:gridCol w:w="2265"/>
        <w:gridCol w:w="2835"/>
        <w:gridCol w:w="4886"/>
      </w:tblGrid>
      <w:tr w:rsidR="00041E56" w:rsidRPr="000123BF" w14:paraId="560041F0" w14:textId="77777777" w:rsidTr="000818CE">
        <w:trPr>
          <w:trHeight w:val="498"/>
        </w:trPr>
        <w:tc>
          <w:tcPr>
            <w:tcW w:w="2270" w:type="dxa"/>
          </w:tcPr>
          <w:p w14:paraId="70FC6F31" w14:textId="4F197B08" w:rsidR="002D5221" w:rsidRPr="000123BF" w:rsidRDefault="002D5221" w:rsidP="00DD4996">
            <w:pPr>
              <w:jc w:val="left"/>
              <w:rPr>
                <w:sz w:val="15"/>
                <w:szCs w:val="15"/>
              </w:rPr>
            </w:pPr>
            <w:r w:rsidRPr="000123BF">
              <w:rPr>
                <w:rFonts w:hint="eastAsia"/>
                <w:sz w:val="15"/>
                <w:szCs w:val="15"/>
              </w:rPr>
              <w:t>T</w:t>
            </w:r>
            <w:r w:rsidRPr="000123BF">
              <w:rPr>
                <w:sz w:val="15"/>
                <w:szCs w:val="15"/>
              </w:rPr>
              <w:t>itle</w:t>
            </w:r>
          </w:p>
        </w:tc>
        <w:tc>
          <w:tcPr>
            <w:tcW w:w="1697" w:type="dxa"/>
          </w:tcPr>
          <w:p w14:paraId="1F429042" w14:textId="058B7D5D" w:rsidR="002D5221" w:rsidRPr="000123BF" w:rsidRDefault="002D5221" w:rsidP="00DD4996">
            <w:pPr>
              <w:jc w:val="left"/>
              <w:rPr>
                <w:sz w:val="15"/>
                <w:szCs w:val="15"/>
              </w:rPr>
            </w:pPr>
            <w:r w:rsidRPr="000123BF">
              <w:rPr>
                <w:rFonts w:hint="eastAsia"/>
                <w:sz w:val="15"/>
                <w:szCs w:val="15"/>
              </w:rPr>
              <w:t>T</w:t>
            </w:r>
            <w:r w:rsidRPr="000123BF">
              <w:rPr>
                <w:sz w:val="15"/>
                <w:szCs w:val="15"/>
              </w:rPr>
              <w:t>ype/Topic</w:t>
            </w:r>
          </w:p>
        </w:tc>
        <w:tc>
          <w:tcPr>
            <w:tcW w:w="2265" w:type="dxa"/>
          </w:tcPr>
          <w:p w14:paraId="57A4E55A" w14:textId="2AAEEE1F" w:rsidR="002D5221" w:rsidRPr="000123BF" w:rsidRDefault="002D5221" w:rsidP="00DD4996">
            <w:pPr>
              <w:jc w:val="left"/>
              <w:rPr>
                <w:sz w:val="15"/>
                <w:szCs w:val="15"/>
              </w:rPr>
            </w:pPr>
            <w:r w:rsidRPr="000123BF">
              <w:rPr>
                <w:rFonts w:hint="eastAsia"/>
                <w:sz w:val="15"/>
                <w:szCs w:val="15"/>
              </w:rPr>
              <w:t>D</w:t>
            </w:r>
            <w:r w:rsidRPr="000123BF">
              <w:rPr>
                <w:sz w:val="15"/>
                <w:szCs w:val="15"/>
              </w:rPr>
              <w:t>ata</w:t>
            </w:r>
            <w:r w:rsidR="00B20FBD">
              <w:rPr>
                <w:sz w:val="15"/>
                <w:szCs w:val="15"/>
              </w:rPr>
              <w:t>/</w:t>
            </w:r>
            <w:r w:rsidR="00B20FBD">
              <w:t xml:space="preserve"> </w:t>
            </w:r>
            <w:r w:rsidR="00B20FBD" w:rsidRPr="00B20FBD">
              <w:rPr>
                <w:sz w:val="15"/>
                <w:szCs w:val="15"/>
              </w:rPr>
              <w:t>Data Availability</w:t>
            </w:r>
          </w:p>
        </w:tc>
        <w:tc>
          <w:tcPr>
            <w:tcW w:w="2835" w:type="dxa"/>
          </w:tcPr>
          <w:p w14:paraId="6BFFA26E" w14:textId="1D73D5E2" w:rsidR="002D5221" w:rsidRPr="000123BF" w:rsidRDefault="002D5221" w:rsidP="00DD4996">
            <w:pPr>
              <w:jc w:val="left"/>
              <w:rPr>
                <w:sz w:val="15"/>
                <w:szCs w:val="15"/>
              </w:rPr>
            </w:pPr>
            <w:r w:rsidRPr="000123BF">
              <w:rPr>
                <w:rFonts w:hint="eastAsia"/>
                <w:sz w:val="15"/>
                <w:szCs w:val="15"/>
              </w:rPr>
              <w:t>M</w:t>
            </w:r>
            <w:r w:rsidRPr="000123BF">
              <w:rPr>
                <w:sz w:val="15"/>
                <w:szCs w:val="15"/>
              </w:rPr>
              <w:t>ethod</w:t>
            </w:r>
            <w:r w:rsidR="00B20FBD">
              <w:rPr>
                <w:sz w:val="15"/>
                <w:szCs w:val="15"/>
              </w:rPr>
              <w:t>/</w:t>
            </w:r>
            <w:r w:rsidR="00B20FBD">
              <w:t xml:space="preserve"> </w:t>
            </w:r>
            <w:r w:rsidR="00B20FBD" w:rsidRPr="00B20FBD">
              <w:rPr>
                <w:sz w:val="15"/>
                <w:szCs w:val="15"/>
              </w:rPr>
              <w:t>Performance Metrics</w:t>
            </w:r>
            <w:r w:rsidR="00B20FBD">
              <w:rPr>
                <w:sz w:val="15"/>
                <w:szCs w:val="15"/>
              </w:rPr>
              <w:t>/</w:t>
            </w:r>
          </w:p>
        </w:tc>
        <w:tc>
          <w:tcPr>
            <w:tcW w:w="4886" w:type="dxa"/>
          </w:tcPr>
          <w:p w14:paraId="49075603" w14:textId="2738C9A3" w:rsidR="002D5221" w:rsidRPr="000123BF" w:rsidRDefault="002D5221" w:rsidP="00DD4996">
            <w:pPr>
              <w:jc w:val="left"/>
              <w:rPr>
                <w:sz w:val="15"/>
                <w:szCs w:val="15"/>
              </w:rPr>
            </w:pPr>
            <w:r w:rsidRPr="000123BF">
              <w:rPr>
                <w:rFonts w:hint="eastAsia"/>
                <w:sz w:val="15"/>
                <w:szCs w:val="15"/>
              </w:rPr>
              <w:t>R</w:t>
            </w:r>
            <w:r w:rsidRPr="000123BF">
              <w:rPr>
                <w:sz w:val="15"/>
                <w:szCs w:val="15"/>
              </w:rPr>
              <w:t>esult</w:t>
            </w:r>
          </w:p>
        </w:tc>
      </w:tr>
      <w:tr w:rsidR="000123BF" w:rsidRPr="000123BF" w14:paraId="10920462" w14:textId="77777777" w:rsidTr="008D77B7">
        <w:trPr>
          <w:trHeight w:val="1312"/>
        </w:trPr>
        <w:tc>
          <w:tcPr>
            <w:tcW w:w="2270" w:type="dxa"/>
          </w:tcPr>
          <w:p w14:paraId="1808C750" w14:textId="64BDF679" w:rsidR="000123BF" w:rsidRPr="000123BF" w:rsidRDefault="000123BF" w:rsidP="00041E56">
            <w:pPr>
              <w:jc w:val="left"/>
              <w:rPr>
                <w:rStyle w:val="Hyperlink"/>
                <w:sz w:val="15"/>
                <w:szCs w:val="15"/>
              </w:rPr>
            </w:pPr>
            <w:r w:rsidRPr="000123BF">
              <w:rPr>
                <w:sz w:val="15"/>
                <w:szCs w:val="15"/>
              </w:rPr>
              <w:fldChar w:fldCharType="begin"/>
            </w:r>
            <w:r w:rsidRPr="000123BF">
              <w:rPr>
                <w:sz w:val="15"/>
                <w:szCs w:val="15"/>
              </w:rPr>
              <w:instrText xml:space="preserve"> HYPERLINK "https://aacrjournals.org/clincancerres/article/25/17/5315/81611/Development-and-Validation-of-a-Combined-Hypoxia" </w:instrText>
            </w:r>
            <w:r w:rsidRPr="000123BF">
              <w:rPr>
                <w:sz w:val="15"/>
                <w:szCs w:val="15"/>
              </w:rPr>
            </w:r>
            <w:r w:rsidRPr="000123BF">
              <w:rPr>
                <w:sz w:val="15"/>
                <w:szCs w:val="15"/>
              </w:rPr>
              <w:fldChar w:fldCharType="separate"/>
            </w:r>
            <w:r w:rsidRPr="000123BF">
              <w:rPr>
                <w:rStyle w:val="Hyperlink"/>
                <w:sz w:val="15"/>
                <w:szCs w:val="15"/>
              </w:rPr>
              <w:t>Development and Validation of a Combined</w:t>
            </w:r>
          </w:p>
          <w:p w14:paraId="23D2F9BE" w14:textId="77777777" w:rsidR="000123BF" w:rsidRPr="000123BF" w:rsidRDefault="000123BF" w:rsidP="00041E56">
            <w:pPr>
              <w:jc w:val="left"/>
              <w:rPr>
                <w:rStyle w:val="Hyperlink"/>
                <w:sz w:val="15"/>
                <w:szCs w:val="15"/>
              </w:rPr>
            </w:pPr>
            <w:r w:rsidRPr="000123BF">
              <w:rPr>
                <w:rStyle w:val="Hyperlink"/>
                <w:sz w:val="15"/>
                <w:szCs w:val="15"/>
              </w:rPr>
              <w:t>Hypoxia and Immune Prognostic Classifier for</w:t>
            </w:r>
          </w:p>
          <w:p w14:paraId="302A79C1" w14:textId="49EE82B7" w:rsidR="000123BF" w:rsidRPr="000123BF" w:rsidRDefault="000123BF" w:rsidP="00041E56">
            <w:pPr>
              <w:jc w:val="left"/>
              <w:rPr>
                <w:sz w:val="15"/>
                <w:szCs w:val="15"/>
              </w:rPr>
            </w:pPr>
            <w:r w:rsidRPr="000123BF">
              <w:rPr>
                <w:rStyle w:val="Hyperlink"/>
                <w:sz w:val="15"/>
                <w:szCs w:val="15"/>
              </w:rPr>
              <w:t>Head and Neck Cancer</w:t>
            </w:r>
            <w:r w:rsidRPr="000123BF">
              <w:rPr>
                <w:sz w:val="15"/>
                <w:szCs w:val="15"/>
              </w:rPr>
              <w:fldChar w:fldCharType="end"/>
            </w:r>
          </w:p>
        </w:tc>
        <w:tc>
          <w:tcPr>
            <w:tcW w:w="1697" w:type="dxa"/>
          </w:tcPr>
          <w:p w14:paraId="5A50BA10" w14:textId="77777777" w:rsidR="000123BF" w:rsidRPr="00EC7BFA" w:rsidRDefault="000123BF" w:rsidP="00041E56">
            <w:pPr>
              <w:jc w:val="left"/>
              <w:rPr>
                <w:sz w:val="15"/>
                <w:szCs w:val="15"/>
                <w:highlight w:val="yellow"/>
              </w:rPr>
            </w:pPr>
            <w:r w:rsidRPr="00EC7BFA">
              <w:rPr>
                <w:rFonts w:hint="eastAsia"/>
                <w:sz w:val="15"/>
                <w:szCs w:val="15"/>
                <w:highlight w:val="yellow"/>
              </w:rPr>
              <w:t>Primary</w:t>
            </w:r>
          </w:p>
          <w:p w14:paraId="688DA286" w14:textId="65FEED26" w:rsidR="000123BF" w:rsidRPr="00EC7BFA" w:rsidRDefault="000123BF" w:rsidP="00041E56">
            <w:pPr>
              <w:jc w:val="left"/>
              <w:rPr>
                <w:sz w:val="15"/>
                <w:szCs w:val="15"/>
                <w:highlight w:val="yellow"/>
              </w:rPr>
            </w:pPr>
            <w:r w:rsidRPr="00EC7BFA">
              <w:rPr>
                <w:sz w:val="15"/>
                <w:szCs w:val="15"/>
                <w:highlight w:val="yellow"/>
              </w:rPr>
              <w:t>Head and Neck Cancer</w:t>
            </w:r>
          </w:p>
        </w:tc>
        <w:tc>
          <w:tcPr>
            <w:tcW w:w="2265" w:type="dxa"/>
          </w:tcPr>
          <w:p w14:paraId="1CA0DE7A" w14:textId="0480394F" w:rsidR="000123BF" w:rsidRPr="000123BF" w:rsidRDefault="000123BF" w:rsidP="00041E56">
            <w:pPr>
              <w:jc w:val="left"/>
              <w:rPr>
                <w:sz w:val="15"/>
                <w:szCs w:val="15"/>
              </w:rPr>
            </w:pPr>
            <w:r w:rsidRPr="000123BF">
              <w:rPr>
                <w:sz w:val="15"/>
                <w:szCs w:val="15"/>
              </w:rPr>
              <w:t xml:space="preserve">A 54-gene hypoxia-immune signature was constructed based on a literature review and </w:t>
            </w:r>
            <w:proofErr w:type="spellStart"/>
            <w:r w:rsidRPr="000123BF">
              <w:rPr>
                <w:sz w:val="15"/>
                <w:szCs w:val="15"/>
              </w:rPr>
              <w:t>analyzed</w:t>
            </w:r>
            <w:proofErr w:type="spellEnd"/>
            <w:r w:rsidRPr="000123BF">
              <w:rPr>
                <w:sz w:val="15"/>
                <w:szCs w:val="15"/>
              </w:rPr>
              <w:t xml:space="preserve"> using gene expression data from the Cancer Genome Atlas (TCGA) HNC dataset.</w:t>
            </w:r>
          </w:p>
        </w:tc>
        <w:tc>
          <w:tcPr>
            <w:tcW w:w="2835" w:type="dxa"/>
          </w:tcPr>
          <w:p w14:paraId="6283A218" w14:textId="0DF58DA6" w:rsidR="000123BF" w:rsidRPr="000123BF" w:rsidRDefault="000123BF" w:rsidP="00041E56">
            <w:pPr>
              <w:jc w:val="left"/>
              <w:rPr>
                <w:sz w:val="15"/>
                <w:szCs w:val="15"/>
              </w:rPr>
            </w:pPr>
            <w:r w:rsidRPr="000123BF">
              <w:rPr>
                <w:sz w:val="15"/>
                <w:szCs w:val="15"/>
              </w:rPr>
              <w:t>unsupervised hierarchical clustering, to classify patients based on gene expression patterns.</w:t>
            </w:r>
          </w:p>
        </w:tc>
        <w:tc>
          <w:tcPr>
            <w:tcW w:w="4886" w:type="dxa"/>
          </w:tcPr>
          <w:p w14:paraId="6EEE6043" w14:textId="167ACAB8" w:rsidR="000123BF" w:rsidRPr="000123BF" w:rsidRDefault="000123BF" w:rsidP="00041E56">
            <w:pPr>
              <w:jc w:val="left"/>
              <w:rPr>
                <w:sz w:val="15"/>
                <w:szCs w:val="15"/>
              </w:rPr>
            </w:pPr>
            <w:r w:rsidRPr="000123BF">
              <w:rPr>
                <w:sz w:val="15"/>
                <w:szCs w:val="15"/>
              </w:rPr>
              <w:t>demonstrated the potential of the hypoxia-immune prognostic classifier to predict clinical outcomes in HNC patients. The findings suggest that considering both hypoxia and immune response signatures may provide valuable prognostic information for personalized treatment strategies in HNC.</w:t>
            </w:r>
          </w:p>
        </w:tc>
      </w:tr>
      <w:tr w:rsidR="000123BF" w:rsidRPr="000123BF" w14:paraId="59B389C5" w14:textId="77777777" w:rsidTr="001C3260">
        <w:trPr>
          <w:trHeight w:val="2221"/>
        </w:trPr>
        <w:tc>
          <w:tcPr>
            <w:tcW w:w="2270" w:type="dxa"/>
          </w:tcPr>
          <w:p w14:paraId="5478673B" w14:textId="0DD8C383" w:rsidR="000123BF" w:rsidRPr="000123BF" w:rsidRDefault="000123BF" w:rsidP="007A3A14">
            <w:pPr>
              <w:jc w:val="left"/>
              <w:rPr>
                <w:rStyle w:val="Hyperlink"/>
                <w:sz w:val="15"/>
                <w:szCs w:val="15"/>
              </w:rPr>
            </w:pPr>
            <w:r w:rsidRPr="000123BF">
              <w:rPr>
                <w:sz w:val="15"/>
                <w:szCs w:val="15"/>
              </w:rPr>
              <w:fldChar w:fldCharType="begin"/>
            </w:r>
            <w:r w:rsidRPr="000123BF">
              <w:rPr>
                <w:sz w:val="15"/>
                <w:szCs w:val="15"/>
              </w:rPr>
              <w:instrText xml:space="preserve"> HYPERLINK "https://www.mdpi.com/2072-6694/13/9/2013" </w:instrText>
            </w:r>
            <w:r w:rsidRPr="000123BF">
              <w:rPr>
                <w:sz w:val="15"/>
                <w:szCs w:val="15"/>
              </w:rPr>
            </w:r>
            <w:r w:rsidRPr="000123BF">
              <w:rPr>
                <w:sz w:val="15"/>
                <w:szCs w:val="15"/>
              </w:rPr>
              <w:fldChar w:fldCharType="separate"/>
            </w:r>
            <w:r w:rsidRPr="000123BF">
              <w:rPr>
                <w:rStyle w:val="Hyperlink"/>
                <w:sz w:val="15"/>
                <w:szCs w:val="15"/>
              </w:rPr>
              <w:t>Performance Comparison of Deep Learning Autoencoders for</w:t>
            </w:r>
          </w:p>
          <w:p w14:paraId="4CBEE5FD" w14:textId="4AC2BC5D" w:rsidR="000123BF" w:rsidRPr="000123BF" w:rsidRDefault="000123BF" w:rsidP="007A3A14">
            <w:pPr>
              <w:jc w:val="left"/>
              <w:rPr>
                <w:sz w:val="15"/>
                <w:szCs w:val="15"/>
              </w:rPr>
            </w:pPr>
            <w:r w:rsidRPr="000123BF">
              <w:rPr>
                <w:rStyle w:val="Hyperlink"/>
                <w:sz w:val="15"/>
                <w:szCs w:val="15"/>
              </w:rPr>
              <w:t>Cancer Subtype Detection Using Multi-Omics Data</w:t>
            </w:r>
            <w:r w:rsidRPr="000123BF">
              <w:rPr>
                <w:sz w:val="15"/>
                <w:szCs w:val="15"/>
              </w:rPr>
              <w:fldChar w:fldCharType="end"/>
            </w:r>
          </w:p>
        </w:tc>
        <w:tc>
          <w:tcPr>
            <w:tcW w:w="1697" w:type="dxa"/>
          </w:tcPr>
          <w:p w14:paraId="40E67357" w14:textId="77777777" w:rsidR="000123BF" w:rsidRPr="000123BF" w:rsidRDefault="000123BF" w:rsidP="00041E56">
            <w:pPr>
              <w:jc w:val="left"/>
              <w:rPr>
                <w:sz w:val="15"/>
                <w:szCs w:val="15"/>
              </w:rPr>
            </w:pPr>
            <w:r w:rsidRPr="00EC7BFA">
              <w:rPr>
                <w:rFonts w:hint="eastAsia"/>
                <w:sz w:val="15"/>
                <w:szCs w:val="15"/>
                <w:highlight w:val="yellow"/>
              </w:rPr>
              <w:t>Primary</w:t>
            </w:r>
          </w:p>
          <w:p w14:paraId="5289F233" w14:textId="63E3A499" w:rsidR="000123BF" w:rsidRPr="000123BF" w:rsidRDefault="000123BF" w:rsidP="00041E56">
            <w:pPr>
              <w:jc w:val="left"/>
              <w:rPr>
                <w:sz w:val="15"/>
                <w:szCs w:val="15"/>
              </w:rPr>
            </w:pPr>
            <w:r w:rsidRPr="000123BF">
              <w:rPr>
                <w:sz w:val="15"/>
                <w:szCs w:val="15"/>
              </w:rPr>
              <w:t>Cancer Subtype Detection: Glioblastoma multiforme, Colon Adenocarcinoma, Kidney renal clear cell carcinoma, and Breast invasive carcinoma</w:t>
            </w:r>
          </w:p>
        </w:tc>
        <w:tc>
          <w:tcPr>
            <w:tcW w:w="2265" w:type="dxa"/>
          </w:tcPr>
          <w:p w14:paraId="111D7FD2" w14:textId="2A84852F" w:rsidR="000123BF" w:rsidRPr="000123BF" w:rsidRDefault="000123BF" w:rsidP="00041E56">
            <w:pPr>
              <w:jc w:val="left"/>
              <w:rPr>
                <w:sz w:val="15"/>
                <w:szCs w:val="15"/>
              </w:rPr>
            </w:pPr>
            <w:r w:rsidRPr="000123BF">
              <w:rPr>
                <w:rFonts w:ascii="Segoe UI" w:hAnsi="Segoe UI" w:cs="Segoe UI"/>
                <w:sz w:val="15"/>
                <w:szCs w:val="15"/>
                <w:shd w:val="clear" w:color="auto" w:fill="FFFFFF"/>
              </w:rPr>
              <w:t>gene expression, DNA methylation, and miRNA expression</w:t>
            </w:r>
          </w:p>
        </w:tc>
        <w:tc>
          <w:tcPr>
            <w:tcW w:w="2835" w:type="dxa"/>
          </w:tcPr>
          <w:p w14:paraId="33BD6758" w14:textId="64A8B8DE" w:rsidR="000123BF" w:rsidRPr="000123BF" w:rsidRDefault="000123BF" w:rsidP="00041E56">
            <w:pPr>
              <w:jc w:val="left"/>
              <w:rPr>
                <w:sz w:val="15"/>
                <w:szCs w:val="15"/>
              </w:rPr>
            </w:pPr>
            <w:r w:rsidRPr="000123BF">
              <w:rPr>
                <w:rFonts w:ascii="Segoe UI" w:hAnsi="Segoe UI" w:cs="Segoe UI"/>
                <w:sz w:val="15"/>
                <w:szCs w:val="15"/>
                <w:shd w:val="clear" w:color="auto" w:fill="FFFFFF"/>
              </w:rPr>
              <w:t>vanilla, denoising, sparse, and variational autoencoders</w:t>
            </w:r>
          </w:p>
        </w:tc>
        <w:tc>
          <w:tcPr>
            <w:tcW w:w="4886" w:type="dxa"/>
          </w:tcPr>
          <w:p w14:paraId="04325C76" w14:textId="7F1BDDB1" w:rsidR="000123BF" w:rsidRPr="000123BF" w:rsidRDefault="000123BF" w:rsidP="00041E56">
            <w:pPr>
              <w:jc w:val="left"/>
              <w:rPr>
                <w:sz w:val="15"/>
                <w:szCs w:val="15"/>
              </w:rPr>
            </w:pPr>
            <w:r w:rsidRPr="000123BF">
              <w:rPr>
                <w:rFonts w:ascii="Segoe UI" w:hAnsi="Segoe UI" w:cs="Segoe UI"/>
                <w:sz w:val="15"/>
                <w:szCs w:val="15"/>
                <w:shd w:val="clear" w:color="auto" w:fill="FFFFFF"/>
              </w:rPr>
              <w:t>autoencoders were able to detect distinct subtypes of cancer based on the multi-omics data, and the identified subtypes exhibited significant differences in survival profiles.</w:t>
            </w:r>
          </w:p>
        </w:tc>
      </w:tr>
      <w:tr w:rsidR="00447BBE" w:rsidRPr="000123BF" w14:paraId="29B7007F" w14:textId="77777777" w:rsidTr="001C3260">
        <w:trPr>
          <w:trHeight w:val="2221"/>
        </w:trPr>
        <w:tc>
          <w:tcPr>
            <w:tcW w:w="2270" w:type="dxa"/>
          </w:tcPr>
          <w:p w14:paraId="594F9EC9" w14:textId="7EAEEF3E" w:rsidR="00447BBE" w:rsidRPr="000123BF" w:rsidRDefault="00447BBE" w:rsidP="007A3A14">
            <w:pPr>
              <w:jc w:val="left"/>
              <w:rPr>
                <w:sz w:val="15"/>
                <w:szCs w:val="15"/>
              </w:rPr>
            </w:pPr>
            <w:hyperlink r:id="rId10" w:history="1">
              <w:r w:rsidRPr="00447BBE">
                <w:rPr>
                  <w:rStyle w:val="Hyperlink"/>
                  <w:sz w:val="15"/>
                  <w:szCs w:val="15"/>
                </w:rPr>
                <w:t xml:space="preserve">A new thinking: extended application of genomic selection to screen </w:t>
              </w:r>
              <w:proofErr w:type="spellStart"/>
              <w:r w:rsidRPr="00447BBE">
                <w:rPr>
                  <w:rStyle w:val="Hyperlink"/>
                  <w:sz w:val="15"/>
                  <w:szCs w:val="15"/>
                </w:rPr>
                <w:t>multiomics</w:t>
              </w:r>
              <w:proofErr w:type="spellEnd"/>
              <w:r w:rsidRPr="00447BBE">
                <w:rPr>
                  <w:rStyle w:val="Hyperlink"/>
                  <w:sz w:val="15"/>
                  <w:szCs w:val="15"/>
                </w:rPr>
                <w:t xml:space="preserve"> data for development of novel hypoxia-immune biomarkers and target therapy of clear cell renal cell carcinoma</w:t>
              </w:r>
            </w:hyperlink>
          </w:p>
        </w:tc>
        <w:tc>
          <w:tcPr>
            <w:tcW w:w="1697" w:type="dxa"/>
          </w:tcPr>
          <w:p w14:paraId="5E8B770F" w14:textId="77777777" w:rsidR="00447BBE" w:rsidRPr="00EC7BFA" w:rsidRDefault="00447BBE" w:rsidP="00041E56">
            <w:pPr>
              <w:jc w:val="left"/>
              <w:rPr>
                <w:rFonts w:hint="eastAsia"/>
                <w:sz w:val="15"/>
                <w:szCs w:val="15"/>
                <w:highlight w:val="yellow"/>
              </w:rPr>
            </w:pPr>
          </w:p>
        </w:tc>
        <w:tc>
          <w:tcPr>
            <w:tcW w:w="2265" w:type="dxa"/>
          </w:tcPr>
          <w:p w14:paraId="276365D3" w14:textId="77777777" w:rsidR="00447BBE" w:rsidRPr="000123BF" w:rsidRDefault="00447BBE" w:rsidP="00041E56">
            <w:pPr>
              <w:jc w:val="left"/>
              <w:rPr>
                <w:rFonts w:ascii="Segoe UI" w:hAnsi="Segoe UI" w:cs="Segoe UI"/>
                <w:sz w:val="15"/>
                <w:szCs w:val="15"/>
                <w:shd w:val="clear" w:color="auto" w:fill="FFFFFF"/>
              </w:rPr>
            </w:pPr>
          </w:p>
        </w:tc>
        <w:tc>
          <w:tcPr>
            <w:tcW w:w="2835" w:type="dxa"/>
          </w:tcPr>
          <w:p w14:paraId="2B460E4B" w14:textId="11C3D06C" w:rsidR="00447BBE" w:rsidRPr="000123BF" w:rsidRDefault="000157D1" w:rsidP="00041E56">
            <w:pPr>
              <w:jc w:val="left"/>
              <w:rPr>
                <w:rFonts w:ascii="Segoe UI" w:hAnsi="Segoe UI" w:cs="Segoe UI"/>
                <w:sz w:val="15"/>
                <w:szCs w:val="15"/>
                <w:shd w:val="clear" w:color="auto" w:fill="FFFFFF"/>
              </w:rPr>
            </w:pPr>
            <w:r w:rsidRPr="000157D1">
              <w:rPr>
                <w:rFonts w:ascii="Segoe UI" w:hAnsi="Segoe UI" w:cs="Segoe UI"/>
                <w:sz w:val="15"/>
                <w:szCs w:val="15"/>
                <w:shd w:val="clear" w:color="auto" w:fill="FFFFFF"/>
              </w:rPr>
              <w:t xml:space="preserve">First, t-SNE and </w:t>
            </w:r>
            <w:proofErr w:type="spellStart"/>
            <w:r w:rsidRPr="000157D1">
              <w:rPr>
                <w:rFonts w:ascii="Segoe UI" w:hAnsi="Segoe UI" w:cs="Segoe UI"/>
                <w:sz w:val="15"/>
                <w:szCs w:val="15"/>
                <w:shd w:val="clear" w:color="auto" w:fill="FFFFFF"/>
              </w:rPr>
              <w:t>ssGSEA</w:t>
            </w:r>
            <w:proofErr w:type="spellEnd"/>
            <w:r w:rsidRPr="000157D1">
              <w:rPr>
                <w:rFonts w:ascii="Segoe UI" w:hAnsi="Segoe UI" w:cs="Segoe UI"/>
                <w:sz w:val="15"/>
                <w:szCs w:val="15"/>
                <w:shd w:val="clear" w:color="auto" w:fill="FFFFFF"/>
              </w:rPr>
              <w:t xml:space="preserve"> analysis were used to establish </w:t>
            </w:r>
            <w:proofErr w:type="spellStart"/>
            <w:r w:rsidRPr="000157D1">
              <w:rPr>
                <w:rFonts w:ascii="Segoe UI" w:hAnsi="Segoe UI" w:cs="Segoe UI"/>
                <w:sz w:val="15"/>
                <w:szCs w:val="15"/>
                <w:shd w:val="clear" w:color="auto" w:fill="FFFFFF"/>
              </w:rPr>
              <w:t>tumor</w:t>
            </w:r>
            <w:proofErr w:type="spellEnd"/>
            <w:r w:rsidRPr="000157D1">
              <w:rPr>
                <w:rFonts w:ascii="Segoe UI" w:hAnsi="Segoe UI" w:cs="Segoe UI"/>
                <w:sz w:val="15"/>
                <w:szCs w:val="15"/>
                <w:shd w:val="clear" w:color="auto" w:fill="FFFFFF"/>
              </w:rPr>
              <w:t xml:space="preserve"> subtypes related to hypoxia-immune, and we investigated the hypoxia-immune-related differences in three types of genetic or epigenetic characteristics (gene expression profiles, somatic mutation, and DNA methylation) by </w:t>
            </w:r>
            <w:proofErr w:type="spellStart"/>
            <w:r w:rsidRPr="000157D1">
              <w:rPr>
                <w:rFonts w:ascii="Segoe UI" w:hAnsi="Segoe UI" w:cs="Segoe UI"/>
                <w:sz w:val="15"/>
                <w:szCs w:val="15"/>
                <w:shd w:val="clear" w:color="auto" w:fill="FFFFFF"/>
              </w:rPr>
              <w:t>analyzing</w:t>
            </w:r>
            <w:proofErr w:type="spellEnd"/>
            <w:r w:rsidRPr="000157D1">
              <w:rPr>
                <w:rFonts w:ascii="Segoe UI" w:hAnsi="Segoe UI" w:cs="Segoe UI"/>
                <w:sz w:val="15"/>
                <w:szCs w:val="15"/>
                <w:shd w:val="clear" w:color="auto" w:fill="FFFFFF"/>
              </w:rPr>
              <w:t xml:space="preserve"> the </w:t>
            </w:r>
            <w:proofErr w:type="spellStart"/>
            <w:r w:rsidRPr="000157D1">
              <w:rPr>
                <w:rFonts w:ascii="Segoe UI" w:hAnsi="Segoe UI" w:cs="Segoe UI"/>
                <w:sz w:val="15"/>
                <w:szCs w:val="15"/>
                <w:shd w:val="clear" w:color="auto" w:fill="FFFFFF"/>
              </w:rPr>
              <w:t>multiomics</w:t>
            </w:r>
            <w:proofErr w:type="spellEnd"/>
            <w:r w:rsidRPr="000157D1">
              <w:rPr>
                <w:rFonts w:ascii="Segoe UI" w:hAnsi="Segoe UI" w:cs="Segoe UI"/>
                <w:sz w:val="15"/>
                <w:szCs w:val="15"/>
                <w:shd w:val="clear" w:color="auto" w:fill="FFFFFF"/>
              </w:rPr>
              <w:t xml:space="preserve"> data from The Cancer Genome Atlas (TCGA) portal. Additionally, a four-step strategy based on lasso regression and Cox regression</w:t>
            </w:r>
          </w:p>
        </w:tc>
        <w:tc>
          <w:tcPr>
            <w:tcW w:w="4886" w:type="dxa"/>
          </w:tcPr>
          <w:p w14:paraId="399F2764" w14:textId="77777777" w:rsidR="00447BBE" w:rsidRPr="000123BF" w:rsidRDefault="00447BBE" w:rsidP="00041E56">
            <w:pPr>
              <w:jc w:val="left"/>
              <w:rPr>
                <w:rFonts w:ascii="Segoe UI" w:hAnsi="Segoe UI" w:cs="Segoe UI"/>
                <w:sz w:val="15"/>
                <w:szCs w:val="15"/>
                <w:shd w:val="clear" w:color="auto" w:fill="FFFFFF"/>
              </w:rPr>
            </w:pPr>
          </w:p>
        </w:tc>
      </w:tr>
      <w:tr w:rsidR="00447BBE" w:rsidRPr="000123BF" w14:paraId="2D66ECF8" w14:textId="77777777" w:rsidTr="001C3260">
        <w:trPr>
          <w:trHeight w:val="2221"/>
        </w:trPr>
        <w:tc>
          <w:tcPr>
            <w:tcW w:w="2270" w:type="dxa"/>
          </w:tcPr>
          <w:p w14:paraId="2FE4634B" w14:textId="462ACC09" w:rsidR="00447BBE" w:rsidRPr="00447BBE" w:rsidRDefault="00447BBE" w:rsidP="007A3A14">
            <w:pPr>
              <w:jc w:val="left"/>
              <w:rPr>
                <w:sz w:val="15"/>
                <w:szCs w:val="15"/>
                <w:highlight w:val="green"/>
              </w:rPr>
            </w:pPr>
            <w:hyperlink r:id="rId11" w:history="1">
              <w:r w:rsidRPr="00447BBE">
                <w:rPr>
                  <w:rStyle w:val="Hyperlink"/>
                  <w:sz w:val="15"/>
                  <w:szCs w:val="15"/>
                  <w:highlight w:val="green"/>
                </w:rPr>
                <w:t>Identification and Development of Subtypes with Poor Prognosis in Gastric Cancer Based on Both Hypoxia and Immune Cell Infiltration</w:t>
              </w:r>
            </w:hyperlink>
          </w:p>
        </w:tc>
        <w:tc>
          <w:tcPr>
            <w:tcW w:w="1697" w:type="dxa"/>
          </w:tcPr>
          <w:p w14:paraId="67C1FF52" w14:textId="77777777" w:rsidR="00447BBE" w:rsidRPr="00EC7BFA" w:rsidRDefault="00447BBE" w:rsidP="00041E56">
            <w:pPr>
              <w:jc w:val="left"/>
              <w:rPr>
                <w:rFonts w:hint="eastAsia"/>
                <w:sz w:val="15"/>
                <w:szCs w:val="15"/>
                <w:highlight w:val="yellow"/>
              </w:rPr>
            </w:pPr>
          </w:p>
        </w:tc>
        <w:tc>
          <w:tcPr>
            <w:tcW w:w="2265" w:type="dxa"/>
          </w:tcPr>
          <w:p w14:paraId="186CED25" w14:textId="77777777" w:rsidR="00447BBE" w:rsidRPr="000123BF" w:rsidRDefault="00447BBE" w:rsidP="00041E56">
            <w:pPr>
              <w:jc w:val="left"/>
              <w:rPr>
                <w:rFonts w:ascii="Segoe UI" w:hAnsi="Segoe UI" w:cs="Segoe UI"/>
                <w:sz w:val="15"/>
                <w:szCs w:val="15"/>
                <w:shd w:val="clear" w:color="auto" w:fill="FFFFFF"/>
              </w:rPr>
            </w:pPr>
          </w:p>
        </w:tc>
        <w:tc>
          <w:tcPr>
            <w:tcW w:w="2835" w:type="dxa"/>
          </w:tcPr>
          <w:p w14:paraId="25D25DB0" w14:textId="78AB2B35" w:rsidR="00447BBE" w:rsidRPr="000123BF" w:rsidRDefault="00447BBE" w:rsidP="00041E56">
            <w:pPr>
              <w:jc w:val="left"/>
              <w:rPr>
                <w:rFonts w:ascii="Segoe UI" w:hAnsi="Segoe UI" w:cs="Segoe UI"/>
                <w:sz w:val="15"/>
                <w:szCs w:val="15"/>
                <w:shd w:val="clear" w:color="auto" w:fill="FFFFFF"/>
              </w:rPr>
            </w:pPr>
            <w:r w:rsidRPr="00447BBE">
              <w:rPr>
                <w:rFonts w:ascii="Segoe UI" w:hAnsi="Segoe UI" w:cs="Segoe UI"/>
                <w:sz w:val="15"/>
                <w:szCs w:val="15"/>
                <w:shd w:val="clear" w:color="auto" w:fill="FFFFFF"/>
              </w:rPr>
              <w:t>Based on the results, unsupervised clustering was performed to obtain different gastric cancer subtypes.</w:t>
            </w:r>
          </w:p>
        </w:tc>
        <w:tc>
          <w:tcPr>
            <w:tcW w:w="4886" w:type="dxa"/>
          </w:tcPr>
          <w:p w14:paraId="1260FA17" w14:textId="77777777" w:rsidR="00447BBE" w:rsidRPr="000123BF" w:rsidRDefault="00447BBE" w:rsidP="00041E56">
            <w:pPr>
              <w:jc w:val="left"/>
              <w:rPr>
                <w:rFonts w:ascii="Segoe UI" w:hAnsi="Segoe UI" w:cs="Segoe UI"/>
                <w:sz w:val="15"/>
                <w:szCs w:val="15"/>
                <w:shd w:val="clear" w:color="auto" w:fill="FFFFFF"/>
              </w:rPr>
            </w:pPr>
          </w:p>
        </w:tc>
      </w:tr>
      <w:tr w:rsidR="006749E3" w:rsidRPr="000123BF" w14:paraId="031161B3" w14:textId="77777777" w:rsidTr="001C3260">
        <w:trPr>
          <w:trHeight w:val="2221"/>
        </w:trPr>
        <w:tc>
          <w:tcPr>
            <w:tcW w:w="2270" w:type="dxa"/>
          </w:tcPr>
          <w:p w14:paraId="143008E8" w14:textId="04931BFC" w:rsidR="006749E3" w:rsidRPr="00447BBE" w:rsidRDefault="006749E3" w:rsidP="007A3A14">
            <w:pPr>
              <w:jc w:val="left"/>
              <w:rPr>
                <w:sz w:val="15"/>
                <w:szCs w:val="15"/>
                <w:highlight w:val="green"/>
              </w:rPr>
            </w:pPr>
            <w:hyperlink r:id="rId12" w:history="1">
              <w:r w:rsidRPr="006749E3">
                <w:rPr>
                  <w:rStyle w:val="Hyperlink"/>
                  <w:sz w:val="15"/>
                  <w:szCs w:val="15"/>
                </w:rPr>
                <w:t>A Novel Hypoxia-Related Gene Signature with Strong Predicting Ability in Non-Small-Cell Lung Cancer Identified by Comprehensive Profiling</w:t>
              </w:r>
            </w:hyperlink>
          </w:p>
        </w:tc>
        <w:tc>
          <w:tcPr>
            <w:tcW w:w="1697" w:type="dxa"/>
          </w:tcPr>
          <w:p w14:paraId="11D2648E" w14:textId="77777777" w:rsidR="006749E3" w:rsidRPr="00EC7BFA" w:rsidRDefault="006749E3" w:rsidP="00041E56">
            <w:pPr>
              <w:jc w:val="left"/>
              <w:rPr>
                <w:rFonts w:hint="eastAsia"/>
                <w:sz w:val="15"/>
                <w:szCs w:val="15"/>
                <w:highlight w:val="yellow"/>
              </w:rPr>
            </w:pPr>
          </w:p>
        </w:tc>
        <w:tc>
          <w:tcPr>
            <w:tcW w:w="2265" w:type="dxa"/>
          </w:tcPr>
          <w:p w14:paraId="4F685EDF" w14:textId="77777777" w:rsidR="006749E3" w:rsidRPr="000123BF" w:rsidRDefault="006749E3" w:rsidP="00041E56">
            <w:pPr>
              <w:jc w:val="left"/>
              <w:rPr>
                <w:rFonts w:ascii="Segoe UI" w:hAnsi="Segoe UI" w:cs="Segoe UI"/>
                <w:sz w:val="15"/>
                <w:szCs w:val="15"/>
                <w:shd w:val="clear" w:color="auto" w:fill="FFFFFF"/>
              </w:rPr>
            </w:pPr>
          </w:p>
        </w:tc>
        <w:tc>
          <w:tcPr>
            <w:tcW w:w="2835" w:type="dxa"/>
          </w:tcPr>
          <w:p w14:paraId="720C6F32" w14:textId="1BE075A6" w:rsidR="006749E3" w:rsidRPr="00447BBE" w:rsidRDefault="006749E3" w:rsidP="00041E56">
            <w:pPr>
              <w:jc w:val="left"/>
              <w:rPr>
                <w:rFonts w:ascii="Segoe UI" w:hAnsi="Segoe UI" w:cs="Segoe UI"/>
                <w:sz w:val="15"/>
                <w:szCs w:val="15"/>
                <w:shd w:val="clear" w:color="auto" w:fill="FFFFFF"/>
              </w:rPr>
            </w:pPr>
            <w:r>
              <w:rPr>
                <w:rFonts w:ascii="Segoe UI" w:hAnsi="Segoe UI" w:cs="Segoe UI"/>
                <w:sz w:val="15"/>
                <w:szCs w:val="15"/>
                <w:shd w:val="clear" w:color="auto" w:fill="FFFFFF"/>
              </w:rPr>
              <w:t>Cox</w:t>
            </w:r>
          </w:p>
        </w:tc>
        <w:tc>
          <w:tcPr>
            <w:tcW w:w="4886" w:type="dxa"/>
          </w:tcPr>
          <w:p w14:paraId="6212B75D" w14:textId="77777777" w:rsidR="006749E3" w:rsidRPr="000123BF" w:rsidRDefault="006749E3" w:rsidP="00041E56">
            <w:pPr>
              <w:jc w:val="left"/>
              <w:rPr>
                <w:rFonts w:ascii="Segoe UI" w:hAnsi="Segoe UI" w:cs="Segoe UI"/>
                <w:sz w:val="15"/>
                <w:szCs w:val="15"/>
                <w:shd w:val="clear" w:color="auto" w:fill="FFFFFF"/>
              </w:rPr>
            </w:pPr>
          </w:p>
        </w:tc>
      </w:tr>
      <w:tr w:rsidR="006749E3" w:rsidRPr="000123BF" w14:paraId="7BCB15CA" w14:textId="77777777" w:rsidTr="001C3260">
        <w:trPr>
          <w:trHeight w:val="2221"/>
        </w:trPr>
        <w:tc>
          <w:tcPr>
            <w:tcW w:w="2270" w:type="dxa"/>
          </w:tcPr>
          <w:p w14:paraId="7B0760CA" w14:textId="586E3082" w:rsidR="006749E3" w:rsidRPr="00447BBE" w:rsidRDefault="006749E3" w:rsidP="007A3A14">
            <w:pPr>
              <w:jc w:val="left"/>
              <w:rPr>
                <w:sz w:val="15"/>
                <w:szCs w:val="15"/>
                <w:highlight w:val="green"/>
              </w:rPr>
            </w:pPr>
            <w:hyperlink r:id="rId13" w:history="1">
              <w:r w:rsidRPr="006749E3">
                <w:rPr>
                  <w:rStyle w:val="Hyperlink"/>
                  <w:sz w:val="15"/>
                  <w:szCs w:val="15"/>
                </w:rPr>
                <w:t>Construction of a 3-mRNA hypoxia prognostic model to evaluate immune microenvironment in hepatocellular carcinoma</w:t>
              </w:r>
            </w:hyperlink>
          </w:p>
        </w:tc>
        <w:tc>
          <w:tcPr>
            <w:tcW w:w="1697" w:type="dxa"/>
          </w:tcPr>
          <w:p w14:paraId="65192030" w14:textId="77777777" w:rsidR="006749E3" w:rsidRPr="00EC7BFA" w:rsidRDefault="006749E3" w:rsidP="00041E56">
            <w:pPr>
              <w:jc w:val="left"/>
              <w:rPr>
                <w:rFonts w:hint="eastAsia"/>
                <w:sz w:val="15"/>
                <w:szCs w:val="15"/>
                <w:highlight w:val="yellow"/>
              </w:rPr>
            </w:pPr>
          </w:p>
        </w:tc>
        <w:tc>
          <w:tcPr>
            <w:tcW w:w="2265" w:type="dxa"/>
          </w:tcPr>
          <w:p w14:paraId="0FF4C68E" w14:textId="77777777" w:rsidR="006749E3" w:rsidRPr="000123BF" w:rsidRDefault="006749E3" w:rsidP="00041E56">
            <w:pPr>
              <w:jc w:val="left"/>
              <w:rPr>
                <w:rFonts w:ascii="Segoe UI" w:hAnsi="Segoe UI" w:cs="Segoe UI"/>
                <w:sz w:val="15"/>
                <w:szCs w:val="15"/>
                <w:shd w:val="clear" w:color="auto" w:fill="FFFFFF"/>
              </w:rPr>
            </w:pPr>
          </w:p>
        </w:tc>
        <w:tc>
          <w:tcPr>
            <w:tcW w:w="2835" w:type="dxa"/>
          </w:tcPr>
          <w:p w14:paraId="3C71E564" w14:textId="2247FDDD" w:rsidR="006749E3" w:rsidRPr="00447BBE" w:rsidRDefault="006749E3" w:rsidP="00041E56">
            <w:pPr>
              <w:jc w:val="left"/>
              <w:rPr>
                <w:rFonts w:ascii="Segoe UI" w:hAnsi="Segoe UI" w:cs="Segoe UI"/>
                <w:sz w:val="15"/>
                <w:szCs w:val="15"/>
                <w:shd w:val="clear" w:color="auto" w:fill="FFFFFF"/>
              </w:rPr>
            </w:pPr>
            <w:proofErr w:type="spellStart"/>
            <w:r w:rsidRPr="006749E3">
              <w:rPr>
                <w:rFonts w:ascii="Segoe UI" w:hAnsi="Segoe UI" w:cs="Segoe UI"/>
                <w:sz w:val="15"/>
                <w:szCs w:val="15"/>
                <w:shd w:val="clear" w:color="auto" w:fill="FFFFFF"/>
              </w:rPr>
              <w:t>nivariate</w:t>
            </w:r>
            <w:proofErr w:type="spellEnd"/>
            <w:r w:rsidRPr="006749E3">
              <w:rPr>
                <w:rFonts w:ascii="Segoe UI" w:hAnsi="Segoe UI" w:cs="Segoe UI"/>
                <w:sz w:val="15"/>
                <w:szCs w:val="15"/>
                <w:shd w:val="clear" w:color="auto" w:fill="FFFFFF"/>
              </w:rPr>
              <w:t xml:space="preserve"> Cox regression analysis. Then, the hypoxia prognosis model was established via multivariate Cox regression analysis,</w:t>
            </w:r>
          </w:p>
        </w:tc>
        <w:tc>
          <w:tcPr>
            <w:tcW w:w="4886" w:type="dxa"/>
          </w:tcPr>
          <w:p w14:paraId="787A02D1" w14:textId="77777777" w:rsidR="006749E3" w:rsidRPr="000123BF" w:rsidRDefault="006749E3" w:rsidP="00041E56">
            <w:pPr>
              <w:jc w:val="left"/>
              <w:rPr>
                <w:rFonts w:ascii="Segoe UI" w:hAnsi="Segoe UI" w:cs="Segoe UI"/>
                <w:sz w:val="15"/>
                <w:szCs w:val="15"/>
                <w:shd w:val="clear" w:color="auto" w:fill="FFFFFF"/>
              </w:rPr>
            </w:pPr>
          </w:p>
        </w:tc>
      </w:tr>
      <w:tr w:rsidR="006749E3" w:rsidRPr="000123BF" w14:paraId="0F0238CF" w14:textId="77777777" w:rsidTr="001C3260">
        <w:trPr>
          <w:trHeight w:val="2221"/>
        </w:trPr>
        <w:tc>
          <w:tcPr>
            <w:tcW w:w="2270" w:type="dxa"/>
          </w:tcPr>
          <w:p w14:paraId="11EB6ABC" w14:textId="0E8F0FDB" w:rsidR="006749E3" w:rsidRPr="00447BBE" w:rsidRDefault="006749E3" w:rsidP="007A3A14">
            <w:pPr>
              <w:jc w:val="left"/>
              <w:rPr>
                <w:sz w:val="15"/>
                <w:szCs w:val="15"/>
                <w:highlight w:val="green"/>
              </w:rPr>
            </w:pPr>
            <w:hyperlink r:id="rId14" w:history="1">
              <w:r w:rsidRPr="006749E3">
                <w:rPr>
                  <w:rStyle w:val="Hyperlink"/>
                  <w:sz w:val="15"/>
                  <w:szCs w:val="15"/>
                </w:rPr>
                <w:t xml:space="preserve">Development of a prediction model for radiotherapy response among patients with head and neck squamous cell carcinoma based on the </w:t>
              </w:r>
              <w:proofErr w:type="spellStart"/>
              <w:r w:rsidRPr="006749E3">
                <w:rPr>
                  <w:rStyle w:val="Hyperlink"/>
                  <w:sz w:val="15"/>
                  <w:szCs w:val="15"/>
                </w:rPr>
                <w:t>tumor</w:t>
              </w:r>
              <w:proofErr w:type="spellEnd"/>
              <w:r w:rsidRPr="006749E3">
                <w:rPr>
                  <w:rStyle w:val="Hyperlink"/>
                  <w:sz w:val="15"/>
                  <w:szCs w:val="15"/>
                </w:rPr>
                <w:t xml:space="preserve"> immune microenvironment and hypoxia signature</w:t>
              </w:r>
            </w:hyperlink>
          </w:p>
        </w:tc>
        <w:tc>
          <w:tcPr>
            <w:tcW w:w="1697" w:type="dxa"/>
          </w:tcPr>
          <w:p w14:paraId="0F6A6A18" w14:textId="77777777" w:rsidR="006749E3" w:rsidRPr="00EC7BFA" w:rsidRDefault="006749E3" w:rsidP="00041E56">
            <w:pPr>
              <w:jc w:val="left"/>
              <w:rPr>
                <w:rFonts w:hint="eastAsia"/>
                <w:sz w:val="15"/>
                <w:szCs w:val="15"/>
                <w:highlight w:val="yellow"/>
              </w:rPr>
            </w:pPr>
          </w:p>
        </w:tc>
        <w:tc>
          <w:tcPr>
            <w:tcW w:w="2265" w:type="dxa"/>
          </w:tcPr>
          <w:p w14:paraId="0074CC40" w14:textId="77777777" w:rsidR="006749E3" w:rsidRPr="000123BF" w:rsidRDefault="006749E3" w:rsidP="00041E56">
            <w:pPr>
              <w:jc w:val="left"/>
              <w:rPr>
                <w:rFonts w:ascii="Segoe UI" w:hAnsi="Segoe UI" w:cs="Segoe UI"/>
                <w:sz w:val="15"/>
                <w:szCs w:val="15"/>
                <w:shd w:val="clear" w:color="auto" w:fill="FFFFFF"/>
              </w:rPr>
            </w:pPr>
          </w:p>
        </w:tc>
        <w:tc>
          <w:tcPr>
            <w:tcW w:w="2835" w:type="dxa"/>
          </w:tcPr>
          <w:p w14:paraId="1BCC6933" w14:textId="16AD4D71" w:rsidR="006749E3" w:rsidRPr="00447BBE" w:rsidRDefault="006749E3" w:rsidP="00041E56">
            <w:pPr>
              <w:jc w:val="left"/>
              <w:rPr>
                <w:rFonts w:ascii="Segoe UI" w:hAnsi="Segoe UI" w:cs="Segoe UI"/>
                <w:sz w:val="15"/>
                <w:szCs w:val="15"/>
                <w:shd w:val="clear" w:color="auto" w:fill="FFFFFF"/>
              </w:rPr>
            </w:pPr>
            <w:r w:rsidRPr="006749E3">
              <w:rPr>
                <w:rFonts w:ascii="Segoe UI" w:hAnsi="Segoe UI" w:cs="Segoe UI"/>
                <w:sz w:val="15"/>
                <w:szCs w:val="15"/>
                <w:shd w:val="clear" w:color="auto" w:fill="FFFFFF"/>
              </w:rPr>
              <w:t xml:space="preserve">We first evaluated the hypoxia status and </w:t>
            </w:r>
            <w:proofErr w:type="spellStart"/>
            <w:r w:rsidRPr="006749E3">
              <w:rPr>
                <w:rFonts w:ascii="Segoe UI" w:hAnsi="Segoe UI" w:cs="Segoe UI"/>
                <w:sz w:val="15"/>
                <w:szCs w:val="15"/>
                <w:shd w:val="clear" w:color="auto" w:fill="FFFFFF"/>
              </w:rPr>
              <w:t>tumor</w:t>
            </w:r>
            <w:proofErr w:type="spellEnd"/>
            <w:r w:rsidRPr="006749E3">
              <w:rPr>
                <w:rFonts w:ascii="Segoe UI" w:hAnsi="Segoe UI" w:cs="Segoe UI"/>
                <w:sz w:val="15"/>
                <w:szCs w:val="15"/>
                <w:shd w:val="clear" w:color="auto" w:fill="FFFFFF"/>
              </w:rPr>
              <w:t xml:space="preserve"> immune microenvironment in the Cancer Genome Atlas (TCGA) cohort by using transcriptomic data. Differentially expressed genes (DEGs) were identified between the "high immunity and low hypoxia" and "low immunity and high hypoxia" groups and those DEGs significantly associated with disease-specific survival in the univariate Cox regression analysis were selected as the prognostic DEGs. We selected the immune hypoxia-related genes (IHRGs) by intersecting prognostic DEGs with immune and hypoxia gene sets. We used the IHRGs to train a multivariate Cox regression model in the TCGA cohort, based on which we calculated the IHRG </w:t>
            </w:r>
            <w:r w:rsidRPr="006749E3">
              <w:rPr>
                <w:rFonts w:ascii="Segoe UI" w:hAnsi="Segoe UI" w:cs="Segoe UI"/>
                <w:sz w:val="15"/>
                <w:szCs w:val="15"/>
                <w:shd w:val="clear" w:color="auto" w:fill="FFFFFF"/>
              </w:rPr>
              <w:lastRenderedPageBreak/>
              <w:t>prognostic index (IHRGPI) for each patient and validated its efficacy in predicting radiotherapy response in the Gene Expression Omnibus cohorts. Furthermore, we explored potential mechanisms and effective combinational treatment strategies for different IHRGPI groups.</w:t>
            </w:r>
          </w:p>
        </w:tc>
        <w:tc>
          <w:tcPr>
            <w:tcW w:w="4886" w:type="dxa"/>
          </w:tcPr>
          <w:p w14:paraId="0BEC9AFB" w14:textId="77777777" w:rsidR="006749E3" w:rsidRPr="000123BF" w:rsidRDefault="006749E3" w:rsidP="00041E56">
            <w:pPr>
              <w:jc w:val="left"/>
              <w:rPr>
                <w:rFonts w:ascii="Segoe UI" w:hAnsi="Segoe UI" w:cs="Segoe UI"/>
                <w:sz w:val="15"/>
                <w:szCs w:val="15"/>
                <w:shd w:val="clear" w:color="auto" w:fill="FFFFFF"/>
              </w:rPr>
            </w:pPr>
          </w:p>
        </w:tc>
      </w:tr>
      <w:tr w:rsidR="000123BF" w:rsidRPr="000123BF" w14:paraId="0517C338" w14:textId="77777777" w:rsidTr="003A758D">
        <w:trPr>
          <w:trHeight w:val="1575"/>
        </w:trPr>
        <w:tc>
          <w:tcPr>
            <w:tcW w:w="2270" w:type="dxa"/>
          </w:tcPr>
          <w:p w14:paraId="37D4E3B6" w14:textId="30C5F908" w:rsidR="000123BF" w:rsidRPr="000123BF" w:rsidRDefault="000123BF" w:rsidP="007A3A14">
            <w:pPr>
              <w:jc w:val="left"/>
              <w:rPr>
                <w:rStyle w:val="Hyperlink"/>
                <w:sz w:val="15"/>
                <w:szCs w:val="15"/>
              </w:rPr>
            </w:pPr>
            <w:r w:rsidRPr="000123BF">
              <w:rPr>
                <w:sz w:val="15"/>
                <w:szCs w:val="15"/>
              </w:rPr>
              <w:fldChar w:fldCharType="begin"/>
            </w:r>
            <w:r w:rsidRPr="000123BF">
              <w:rPr>
                <w:sz w:val="15"/>
                <w:szCs w:val="15"/>
              </w:rPr>
              <w:instrText xml:space="preserve"> HYPERLINK "https://translational-medicine.biomedcentral.com/articles/10.1186/s12967-020-02366-0" </w:instrText>
            </w:r>
            <w:r w:rsidRPr="000123BF">
              <w:rPr>
                <w:sz w:val="15"/>
                <w:szCs w:val="15"/>
              </w:rPr>
            </w:r>
            <w:r w:rsidRPr="000123BF">
              <w:rPr>
                <w:sz w:val="15"/>
                <w:szCs w:val="15"/>
              </w:rPr>
              <w:fldChar w:fldCharType="separate"/>
            </w:r>
            <w:r w:rsidRPr="000123BF">
              <w:rPr>
                <w:rStyle w:val="Hyperlink"/>
                <w:sz w:val="15"/>
                <w:szCs w:val="15"/>
              </w:rPr>
              <w:t>Development and validation</w:t>
            </w:r>
          </w:p>
          <w:p w14:paraId="7D309B73" w14:textId="77777777" w:rsidR="000123BF" w:rsidRPr="000123BF" w:rsidRDefault="000123BF" w:rsidP="007A3A14">
            <w:pPr>
              <w:jc w:val="left"/>
              <w:rPr>
                <w:rStyle w:val="Hyperlink"/>
                <w:sz w:val="15"/>
                <w:szCs w:val="15"/>
              </w:rPr>
            </w:pPr>
            <w:r w:rsidRPr="000123BF">
              <w:rPr>
                <w:rStyle w:val="Hyperlink"/>
                <w:sz w:val="15"/>
                <w:szCs w:val="15"/>
              </w:rPr>
              <w:t>of a hypoxia-immune-based microenvironment</w:t>
            </w:r>
          </w:p>
          <w:p w14:paraId="4CC87EEA" w14:textId="77777777" w:rsidR="000123BF" w:rsidRPr="000123BF" w:rsidRDefault="000123BF" w:rsidP="007A3A14">
            <w:pPr>
              <w:jc w:val="left"/>
              <w:rPr>
                <w:rStyle w:val="Hyperlink"/>
                <w:sz w:val="15"/>
                <w:szCs w:val="15"/>
              </w:rPr>
            </w:pPr>
            <w:r w:rsidRPr="000123BF">
              <w:rPr>
                <w:rStyle w:val="Hyperlink"/>
                <w:sz w:val="15"/>
                <w:szCs w:val="15"/>
              </w:rPr>
              <w:t>gene signature for risk stratification in gastric</w:t>
            </w:r>
          </w:p>
          <w:p w14:paraId="75096AF8" w14:textId="4049F0B0" w:rsidR="000123BF" w:rsidRPr="000123BF" w:rsidRDefault="000123BF" w:rsidP="007A3A14">
            <w:pPr>
              <w:jc w:val="left"/>
              <w:rPr>
                <w:sz w:val="15"/>
                <w:szCs w:val="15"/>
              </w:rPr>
            </w:pPr>
            <w:r w:rsidRPr="000123BF">
              <w:rPr>
                <w:rStyle w:val="Hyperlink"/>
                <w:sz w:val="15"/>
                <w:szCs w:val="15"/>
              </w:rPr>
              <w:t>cancer</w:t>
            </w:r>
            <w:r w:rsidRPr="000123BF">
              <w:rPr>
                <w:sz w:val="15"/>
                <w:szCs w:val="15"/>
              </w:rPr>
              <w:fldChar w:fldCharType="end"/>
            </w:r>
          </w:p>
        </w:tc>
        <w:tc>
          <w:tcPr>
            <w:tcW w:w="1697" w:type="dxa"/>
          </w:tcPr>
          <w:p w14:paraId="593BBA6A" w14:textId="77777777" w:rsidR="000123BF" w:rsidRPr="00EC7BFA" w:rsidRDefault="000123BF" w:rsidP="00041E56">
            <w:pPr>
              <w:jc w:val="left"/>
              <w:rPr>
                <w:sz w:val="15"/>
                <w:szCs w:val="15"/>
                <w:highlight w:val="yellow"/>
              </w:rPr>
            </w:pPr>
            <w:r w:rsidRPr="00EC7BFA">
              <w:rPr>
                <w:rFonts w:hint="eastAsia"/>
                <w:sz w:val="15"/>
                <w:szCs w:val="15"/>
                <w:highlight w:val="yellow"/>
              </w:rPr>
              <w:t>Primary</w:t>
            </w:r>
          </w:p>
          <w:p w14:paraId="636B6739" w14:textId="77777777" w:rsidR="000123BF" w:rsidRPr="00EC7BFA" w:rsidRDefault="000123BF" w:rsidP="00BF1260">
            <w:pPr>
              <w:jc w:val="left"/>
              <w:rPr>
                <w:sz w:val="15"/>
                <w:szCs w:val="15"/>
                <w:highlight w:val="yellow"/>
              </w:rPr>
            </w:pPr>
            <w:r w:rsidRPr="00EC7BFA">
              <w:rPr>
                <w:sz w:val="15"/>
                <w:szCs w:val="15"/>
                <w:highlight w:val="yellow"/>
              </w:rPr>
              <w:t>gastric</w:t>
            </w:r>
          </w:p>
          <w:p w14:paraId="0559A6D5" w14:textId="2A63D312" w:rsidR="000123BF" w:rsidRPr="00EC7BFA" w:rsidRDefault="000123BF" w:rsidP="00BF1260">
            <w:pPr>
              <w:jc w:val="left"/>
              <w:rPr>
                <w:sz w:val="15"/>
                <w:szCs w:val="15"/>
                <w:highlight w:val="yellow"/>
              </w:rPr>
            </w:pPr>
            <w:r w:rsidRPr="00EC7BFA">
              <w:rPr>
                <w:sz w:val="15"/>
                <w:szCs w:val="15"/>
                <w:highlight w:val="yellow"/>
              </w:rPr>
              <w:t>cancer</w:t>
            </w:r>
          </w:p>
        </w:tc>
        <w:tc>
          <w:tcPr>
            <w:tcW w:w="2265" w:type="dxa"/>
          </w:tcPr>
          <w:p w14:paraId="5B61DADF" w14:textId="45E80109" w:rsidR="000123BF" w:rsidRPr="000123BF" w:rsidRDefault="000123BF" w:rsidP="00041E56">
            <w:pPr>
              <w:jc w:val="left"/>
              <w:rPr>
                <w:sz w:val="15"/>
                <w:szCs w:val="15"/>
              </w:rPr>
            </w:pPr>
            <w:r w:rsidRPr="000123BF">
              <w:rPr>
                <w:sz w:val="15"/>
                <w:szCs w:val="15"/>
              </w:rPr>
              <w:t>the GEO database, which included 357 gastric cancer patients</w:t>
            </w:r>
          </w:p>
        </w:tc>
        <w:tc>
          <w:tcPr>
            <w:tcW w:w="2835" w:type="dxa"/>
          </w:tcPr>
          <w:p w14:paraId="54167E45" w14:textId="7371721D" w:rsidR="000123BF" w:rsidRPr="000123BF" w:rsidRDefault="000123BF" w:rsidP="00041E56">
            <w:pPr>
              <w:jc w:val="left"/>
              <w:rPr>
                <w:sz w:val="15"/>
                <w:szCs w:val="15"/>
              </w:rPr>
            </w:pPr>
            <w:r w:rsidRPr="000123BF">
              <w:rPr>
                <w:sz w:val="15"/>
                <w:szCs w:val="15"/>
              </w:rPr>
              <w:t>LASSO Cox regression was used to select the most prognostic gene signature from the identified hypoxia-immune-related DEGs and to derive the individual-level risk scores for developing the prognosis classifier.</w:t>
            </w:r>
          </w:p>
        </w:tc>
        <w:tc>
          <w:tcPr>
            <w:tcW w:w="4886" w:type="dxa"/>
          </w:tcPr>
          <w:p w14:paraId="7DF6EE0F" w14:textId="10F9A894" w:rsidR="000123BF" w:rsidRPr="000123BF" w:rsidRDefault="000123BF" w:rsidP="00BF1260">
            <w:pPr>
              <w:tabs>
                <w:tab w:val="left" w:pos="1152"/>
              </w:tabs>
              <w:rPr>
                <w:sz w:val="15"/>
                <w:szCs w:val="15"/>
              </w:rPr>
            </w:pPr>
            <w:r w:rsidRPr="000123BF">
              <w:rPr>
                <w:sz w:val="15"/>
                <w:szCs w:val="15"/>
              </w:rPr>
              <w:t>a hypoxia-immune-based prognosis classifier that could stratify patients into different risk groups and predict survival outcomes.</w:t>
            </w:r>
          </w:p>
        </w:tc>
      </w:tr>
      <w:tr w:rsidR="000123BF" w:rsidRPr="000123BF" w14:paraId="1531F8CA" w14:textId="77777777" w:rsidTr="004B5284">
        <w:trPr>
          <w:trHeight w:val="2406"/>
        </w:trPr>
        <w:tc>
          <w:tcPr>
            <w:tcW w:w="2270" w:type="dxa"/>
          </w:tcPr>
          <w:p w14:paraId="24E6C6B2" w14:textId="5D2D751C" w:rsidR="000123BF" w:rsidRPr="000123BF" w:rsidRDefault="00E5751E" w:rsidP="0096112F">
            <w:pPr>
              <w:jc w:val="left"/>
              <w:rPr>
                <w:sz w:val="15"/>
                <w:szCs w:val="15"/>
              </w:rPr>
            </w:pPr>
            <w:hyperlink r:id="rId15" w:history="1">
              <w:r w:rsidR="000123BF" w:rsidRPr="000123BF">
                <w:rPr>
                  <w:rStyle w:val="Hyperlink"/>
                  <w:sz w:val="15"/>
                  <w:szCs w:val="15"/>
                </w:rPr>
                <w:t>A Hypoxia-Related Signature for Predicting Prognosis, Cellular Processes, Immune Microenvironment and Targeted Compounds in Lung Squamous Cell Carcinoma</w:t>
              </w:r>
            </w:hyperlink>
          </w:p>
        </w:tc>
        <w:tc>
          <w:tcPr>
            <w:tcW w:w="1697" w:type="dxa"/>
          </w:tcPr>
          <w:p w14:paraId="3A56400A" w14:textId="77777777" w:rsidR="000123BF" w:rsidRPr="000123BF" w:rsidRDefault="000123BF" w:rsidP="0096112F">
            <w:pPr>
              <w:jc w:val="left"/>
              <w:rPr>
                <w:sz w:val="15"/>
                <w:szCs w:val="15"/>
              </w:rPr>
            </w:pPr>
            <w:r w:rsidRPr="000123BF">
              <w:rPr>
                <w:rFonts w:hint="eastAsia"/>
                <w:sz w:val="15"/>
                <w:szCs w:val="15"/>
              </w:rPr>
              <w:t>Primary</w:t>
            </w:r>
          </w:p>
          <w:p w14:paraId="4461649E" w14:textId="19E3A1B7" w:rsidR="000123BF" w:rsidRPr="000123BF" w:rsidRDefault="000123BF" w:rsidP="0096112F">
            <w:pPr>
              <w:jc w:val="left"/>
              <w:rPr>
                <w:sz w:val="15"/>
                <w:szCs w:val="15"/>
              </w:rPr>
            </w:pPr>
            <w:r w:rsidRPr="000123BF">
              <w:rPr>
                <w:sz w:val="15"/>
                <w:szCs w:val="15"/>
              </w:rPr>
              <w:t>Lung Squamous Cell Cancer</w:t>
            </w:r>
          </w:p>
        </w:tc>
        <w:tc>
          <w:tcPr>
            <w:tcW w:w="2265" w:type="dxa"/>
          </w:tcPr>
          <w:p w14:paraId="675DE5F3" w14:textId="55FF8126" w:rsidR="000123BF" w:rsidRPr="000123BF" w:rsidRDefault="000123BF" w:rsidP="0096112F">
            <w:pPr>
              <w:jc w:val="left"/>
              <w:rPr>
                <w:sz w:val="15"/>
                <w:szCs w:val="15"/>
              </w:rPr>
            </w:pPr>
            <w:r w:rsidRPr="000123BF">
              <w:rPr>
                <w:rFonts w:ascii="Segoe UI" w:hAnsi="Segoe UI" w:cs="Segoe UI"/>
                <w:color w:val="0F0F0F"/>
                <w:sz w:val="15"/>
                <w:szCs w:val="15"/>
              </w:rPr>
              <w:t>Transcriptome data and clinical information for LUSC were obtained from The Cancer Genome Atlas (TCGA) database.</w:t>
            </w:r>
          </w:p>
        </w:tc>
        <w:tc>
          <w:tcPr>
            <w:tcW w:w="2835" w:type="dxa"/>
          </w:tcPr>
          <w:p w14:paraId="184B9257" w14:textId="568F0E7C" w:rsidR="000123BF" w:rsidRPr="000123BF" w:rsidRDefault="000123BF" w:rsidP="0096112F">
            <w:pPr>
              <w:jc w:val="left"/>
              <w:rPr>
                <w:sz w:val="15"/>
                <w:szCs w:val="15"/>
              </w:rPr>
            </w:pPr>
            <w:r w:rsidRPr="000123BF">
              <w:rPr>
                <w:sz w:val="15"/>
                <w:szCs w:val="15"/>
              </w:rPr>
              <w:t xml:space="preserve">GSVA algorithm for calculating hypoxia scores, weighted gene co-expression network analysis (WGCNA), differential expression analysis, and various enrichment analyses like Gene Ontology (GO) and Kyoto </w:t>
            </w:r>
            <w:proofErr w:type="spellStart"/>
            <w:r w:rsidRPr="000123BF">
              <w:rPr>
                <w:sz w:val="15"/>
                <w:szCs w:val="15"/>
              </w:rPr>
              <w:t>Encyclopedia</w:t>
            </w:r>
            <w:proofErr w:type="spellEnd"/>
            <w:r w:rsidRPr="000123BF">
              <w:rPr>
                <w:sz w:val="15"/>
                <w:szCs w:val="15"/>
              </w:rPr>
              <w:t xml:space="preserve"> of Genes and Genomes (KEGG)</w:t>
            </w:r>
          </w:p>
        </w:tc>
        <w:tc>
          <w:tcPr>
            <w:tcW w:w="4886" w:type="dxa"/>
          </w:tcPr>
          <w:p w14:paraId="26C49B78" w14:textId="77777777" w:rsidR="000123BF" w:rsidRPr="000123BF" w:rsidRDefault="000123BF" w:rsidP="003D604D">
            <w:pPr>
              <w:rPr>
                <w:sz w:val="15"/>
                <w:szCs w:val="15"/>
              </w:rPr>
            </w:pPr>
            <w:r w:rsidRPr="000123BF">
              <w:rPr>
                <w:sz w:val="15"/>
                <w:szCs w:val="15"/>
              </w:rPr>
              <w:t>Prognostic Signature Development: A 3-gene prognostic signature for LUSC, including HELLS, GPRIN1, and FAM83A, was developed and validated.</w:t>
            </w:r>
          </w:p>
          <w:p w14:paraId="5F8D24BB" w14:textId="77777777" w:rsidR="000123BF" w:rsidRPr="000123BF" w:rsidRDefault="000123BF" w:rsidP="003D604D">
            <w:pPr>
              <w:rPr>
                <w:sz w:val="15"/>
                <w:szCs w:val="15"/>
              </w:rPr>
            </w:pPr>
            <w:r w:rsidRPr="000123BF">
              <w:rPr>
                <w:sz w:val="15"/>
                <w:szCs w:val="15"/>
              </w:rPr>
              <w:t>Risk Score as an Independent Factor: The risk score was found to be an independent prognostic factor for LUSC.</w:t>
            </w:r>
          </w:p>
          <w:p w14:paraId="2639DF23" w14:textId="44C7077B" w:rsidR="000123BF" w:rsidRPr="000123BF" w:rsidRDefault="000123BF" w:rsidP="003D604D">
            <w:pPr>
              <w:jc w:val="left"/>
              <w:rPr>
                <w:sz w:val="15"/>
                <w:szCs w:val="15"/>
              </w:rPr>
            </w:pPr>
            <w:r w:rsidRPr="000123BF">
              <w:rPr>
                <w:sz w:val="15"/>
                <w:szCs w:val="15"/>
              </w:rPr>
              <w:t>Immune Microenvironment Influence: Functional enrichment and immune landscape analyses suggested that the risk scoring system might alter the immune microenvironment of LUSC patients, influencing patient outcomes.</w:t>
            </w:r>
          </w:p>
        </w:tc>
      </w:tr>
      <w:tr w:rsidR="00447BBE" w:rsidRPr="000123BF" w14:paraId="5AC69EB0" w14:textId="77777777" w:rsidTr="004B5284">
        <w:trPr>
          <w:trHeight w:val="2406"/>
        </w:trPr>
        <w:tc>
          <w:tcPr>
            <w:tcW w:w="2270" w:type="dxa"/>
          </w:tcPr>
          <w:p w14:paraId="7F4502D6" w14:textId="0A17F3F6" w:rsidR="00447BBE" w:rsidRDefault="00447BBE" w:rsidP="0096112F">
            <w:pPr>
              <w:jc w:val="left"/>
            </w:pPr>
            <w:hyperlink r:id="rId16" w:history="1">
              <w:r w:rsidRPr="00447BBE">
                <w:rPr>
                  <w:rStyle w:val="Hyperlink"/>
                </w:rPr>
                <w:t>Hypoxic Char</w:t>
              </w:r>
              <w:r w:rsidRPr="00447BBE">
                <w:rPr>
                  <w:rStyle w:val="Hyperlink"/>
                </w:rPr>
                <w:t>a</w:t>
              </w:r>
              <w:r w:rsidRPr="00447BBE">
                <w:rPr>
                  <w:rStyle w:val="Hyperlink"/>
                </w:rPr>
                <w:t>cteristic Genes Predict Response to Immunotherapy for Urothelial Carcinoma</w:t>
              </w:r>
            </w:hyperlink>
          </w:p>
        </w:tc>
        <w:tc>
          <w:tcPr>
            <w:tcW w:w="1697" w:type="dxa"/>
          </w:tcPr>
          <w:p w14:paraId="158AC521" w14:textId="77777777" w:rsidR="00447BBE" w:rsidRPr="000123BF" w:rsidRDefault="00447BBE" w:rsidP="0096112F">
            <w:pPr>
              <w:jc w:val="left"/>
              <w:rPr>
                <w:rFonts w:hint="eastAsia"/>
                <w:sz w:val="15"/>
                <w:szCs w:val="15"/>
              </w:rPr>
            </w:pPr>
          </w:p>
        </w:tc>
        <w:tc>
          <w:tcPr>
            <w:tcW w:w="2265" w:type="dxa"/>
          </w:tcPr>
          <w:p w14:paraId="07B9405C" w14:textId="77777777" w:rsidR="00447BBE" w:rsidRPr="000123BF" w:rsidRDefault="00447BBE" w:rsidP="0096112F">
            <w:pPr>
              <w:jc w:val="left"/>
              <w:rPr>
                <w:rFonts w:ascii="Segoe UI" w:hAnsi="Segoe UI" w:cs="Segoe UI"/>
                <w:color w:val="0F0F0F"/>
                <w:sz w:val="15"/>
                <w:szCs w:val="15"/>
              </w:rPr>
            </w:pPr>
          </w:p>
        </w:tc>
        <w:tc>
          <w:tcPr>
            <w:tcW w:w="2835" w:type="dxa"/>
          </w:tcPr>
          <w:p w14:paraId="68E6B3D4" w14:textId="77777777" w:rsidR="00447BBE" w:rsidRPr="000123BF" w:rsidRDefault="00447BBE" w:rsidP="0096112F">
            <w:pPr>
              <w:jc w:val="left"/>
              <w:rPr>
                <w:sz w:val="15"/>
                <w:szCs w:val="15"/>
              </w:rPr>
            </w:pPr>
          </w:p>
        </w:tc>
        <w:tc>
          <w:tcPr>
            <w:tcW w:w="4886" w:type="dxa"/>
          </w:tcPr>
          <w:p w14:paraId="758DC4DF" w14:textId="77777777" w:rsidR="00447BBE" w:rsidRPr="000123BF" w:rsidRDefault="00447BBE" w:rsidP="003D604D">
            <w:pPr>
              <w:rPr>
                <w:sz w:val="15"/>
                <w:szCs w:val="15"/>
              </w:rPr>
            </w:pPr>
          </w:p>
        </w:tc>
      </w:tr>
      <w:tr w:rsidR="00DE234D" w:rsidRPr="000123BF" w14:paraId="15026719" w14:textId="77777777" w:rsidTr="004B5284">
        <w:trPr>
          <w:trHeight w:val="2406"/>
        </w:trPr>
        <w:tc>
          <w:tcPr>
            <w:tcW w:w="2270" w:type="dxa"/>
          </w:tcPr>
          <w:p w14:paraId="10A2C968" w14:textId="34955634" w:rsidR="00DE234D" w:rsidRPr="000123BF" w:rsidRDefault="00E5751E" w:rsidP="0096112F">
            <w:pPr>
              <w:jc w:val="left"/>
              <w:rPr>
                <w:sz w:val="15"/>
                <w:szCs w:val="15"/>
              </w:rPr>
            </w:pPr>
            <w:hyperlink r:id="rId17" w:history="1">
              <w:r w:rsidR="00DE234D" w:rsidRPr="00DE6CB6">
                <w:rPr>
                  <w:rStyle w:val="Hyperlink"/>
                  <w:sz w:val="15"/>
                  <w:szCs w:val="15"/>
                  <w:highlight w:val="yellow"/>
                </w:rPr>
                <w:t>Tumour genomic and microenvironmental heterogeneity for integrated prediction of 5-year biochemical recurrence of prostate cancer: a retrospective cohort study</w:t>
              </w:r>
            </w:hyperlink>
          </w:p>
        </w:tc>
        <w:tc>
          <w:tcPr>
            <w:tcW w:w="1697" w:type="dxa"/>
          </w:tcPr>
          <w:p w14:paraId="59FF93ED" w14:textId="77777777" w:rsidR="00DE234D" w:rsidRPr="000123BF" w:rsidRDefault="00DE234D" w:rsidP="00DE234D">
            <w:pPr>
              <w:jc w:val="left"/>
              <w:rPr>
                <w:sz w:val="15"/>
                <w:szCs w:val="15"/>
              </w:rPr>
            </w:pPr>
            <w:r w:rsidRPr="000123BF">
              <w:rPr>
                <w:rFonts w:hint="eastAsia"/>
                <w:sz w:val="15"/>
                <w:szCs w:val="15"/>
              </w:rPr>
              <w:t>Primary</w:t>
            </w:r>
          </w:p>
          <w:p w14:paraId="50154C88" w14:textId="4009C00D" w:rsidR="00DE234D" w:rsidRPr="000123BF" w:rsidRDefault="00DE234D" w:rsidP="00DE234D">
            <w:pPr>
              <w:jc w:val="left"/>
              <w:rPr>
                <w:sz w:val="15"/>
                <w:szCs w:val="15"/>
              </w:rPr>
            </w:pPr>
            <w:r w:rsidRPr="00DE234D">
              <w:rPr>
                <w:sz w:val="15"/>
                <w:szCs w:val="15"/>
              </w:rPr>
              <w:t>prostate cancer</w:t>
            </w:r>
          </w:p>
        </w:tc>
        <w:tc>
          <w:tcPr>
            <w:tcW w:w="2265" w:type="dxa"/>
          </w:tcPr>
          <w:p w14:paraId="5C25EE9F" w14:textId="1EEA2FDD" w:rsidR="00DE234D" w:rsidRPr="000123BF" w:rsidRDefault="00FF6980" w:rsidP="0096112F">
            <w:pPr>
              <w:jc w:val="left"/>
              <w:rPr>
                <w:rFonts w:ascii="Segoe UI" w:hAnsi="Segoe UI" w:cs="Segoe UI"/>
                <w:color w:val="0F0F0F"/>
                <w:sz w:val="15"/>
                <w:szCs w:val="15"/>
              </w:rPr>
            </w:pPr>
            <w:r w:rsidRPr="00FF6980">
              <w:rPr>
                <w:rFonts w:ascii="Segoe UI" w:hAnsi="Segoe UI" w:cs="Segoe UI"/>
                <w:color w:val="0F0F0F"/>
                <w:sz w:val="15"/>
                <w:szCs w:val="15"/>
              </w:rPr>
              <w:t xml:space="preserve">Copy-Number Profiles: Taken from 126 pre-image-guided radiotherapy diagnostic biopsies, these profiles were </w:t>
            </w:r>
            <w:proofErr w:type="spellStart"/>
            <w:r w:rsidRPr="00FF6980">
              <w:rPr>
                <w:rFonts w:ascii="Segoe UI" w:hAnsi="Segoe UI" w:cs="Segoe UI"/>
                <w:color w:val="0F0F0F"/>
                <w:sz w:val="15"/>
                <w:szCs w:val="15"/>
              </w:rPr>
              <w:t>analyzed</w:t>
            </w:r>
            <w:proofErr w:type="spellEnd"/>
            <w:r w:rsidRPr="00FF6980">
              <w:rPr>
                <w:rFonts w:ascii="Segoe UI" w:hAnsi="Segoe UI" w:cs="Segoe UI"/>
                <w:color w:val="0F0F0F"/>
                <w:sz w:val="15"/>
                <w:szCs w:val="15"/>
              </w:rPr>
              <w:t xml:space="preserve"> using machine learning techniques to develop prognostic signatures.</w:t>
            </w:r>
          </w:p>
        </w:tc>
        <w:tc>
          <w:tcPr>
            <w:tcW w:w="2835" w:type="dxa"/>
          </w:tcPr>
          <w:p w14:paraId="36403536" w14:textId="1CF995C5" w:rsidR="00DE234D" w:rsidRPr="000123BF" w:rsidRDefault="00DE234D" w:rsidP="0096112F">
            <w:pPr>
              <w:jc w:val="left"/>
              <w:rPr>
                <w:sz w:val="15"/>
                <w:szCs w:val="15"/>
              </w:rPr>
            </w:pPr>
            <w:r w:rsidRPr="00DE234D">
              <w:rPr>
                <w:sz w:val="15"/>
                <w:szCs w:val="15"/>
              </w:rPr>
              <w:t>unsupervised and supervised machine learning techniques to the copy-number profiles of 126 pre-image-guided radiotherapy diagnostic biopsies to develop prognostic signatures</w:t>
            </w:r>
          </w:p>
        </w:tc>
        <w:tc>
          <w:tcPr>
            <w:tcW w:w="4886" w:type="dxa"/>
          </w:tcPr>
          <w:p w14:paraId="58461E39" w14:textId="57A8F192" w:rsidR="00DE234D" w:rsidRPr="000123BF" w:rsidRDefault="00FF6980" w:rsidP="003D604D">
            <w:pPr>
              <w:rPr>
                <w:sz w:val="15"/>
                <w:szCs w:val="15"/>
              </w:rPr>
            </w:pPr>
            <w:r w:rsidRPr="00FF6980">
              <w:rPr>
                <w:sz w:val="15"/>
                <w:szCs w:val="15"/>
              </w:rPr>
              <w:t>A novel 100-loci DNA signature was developed, which accurately classified treatment outcomes in the MSKCC low-risk to intermediate-risk cohort and was more effective in predicting biochemical relapse than 23 previously published RNA signatures.</w:t>
            </w:r>
          </w:p>
        </w:tc>
      </w:tr>
      <w:bookmarkStart w:id="5" w:name="_Hlk154612339"/>
      <w:tr w:rsidR="000123BF" w:rsidRPr="000123BF" w14:paraId="0571189E" w14:textId="77777777" w:rsidTr="003C050B">
        <w:trPr>
          <w:trHeight w:val="2164"/>
        </w:trPr>
        <w:tc>
          <w:tcPr>
            <w:tcW w:w="2270" w:type="dxa"/>
          </w:tcPr>
          <w:p w14:paraId="27D31F13" w14:textId="2B8D78B0" w:rsidR="000123BF" w:rsidRPr="000123BF" w:rsidRDefault="000F47FC" w:rsidP="0096112F">
            <w:pPr>
              <w:jc w:val="left"/>
              <w:rPr>
                <w:sz w:val="15"/>
                <w:szCs w:val="15"/>
                <w:lang w:val="en-US"/>
              </w:rPr>
            </w:pPr>
            <w:r>
              <w:fldChar w:fldCharType="begin"/>
            </w:r>
            <w:r>
              <w:instrText>HYPERLINK "https://pubmed.ncbi.nlm.nih.gov/36275774/"</w:instrText>
            </w:r>
            <w:r>
              <w:fldChar w:fldCharType="separate"/>
            </w:r>
            <w:r w:rsidR="000123BF" w:rsidRPr="00170833">
              <w:rPr>
                <w:rStyle w:val="Hyperlink"/>
                <w:sz w:val="15"/>
                <w:szCs w:val="15"/>
                <w:highlight w:val="yellow"/>
                <w:lang w:val="en-US"/>
              </w:rPr>
              <w:t>A novel hypoxia- and lactate metabolism-related signature to predict prognosis and immunotherapy responses for breast cancer by integrating machine learning and bioinformatic analyses</w:t>
            </w:r>
            <w:r>
              <w:rPr>
                <w:rStyle w:val="Hyperlink"/>
                <w:sz w:val="15"/>
                <w:szCs w:val="15"/>
                <w:highlight w:val="yellow"/>
                <w:lang w:val="en-US"/>
              </w:rPr>
              <w:fldChar w:fldCharType="end"/>
            </w:r>
            <w:bookmarkEnd w:id="5"/>
          </w:p>
        </w:tc>
        <w:tc>
          <w:tcPr>
            <w:tcW w:w="1697" w:type="dxa"/>
          </w:tcPr>
          <w:p w14:paraId="381AA7DE" w14:textId="77777777" w:rsidR="000123BF" w:rsidRPr="000123BF" w:rsidRDefault="000123BF" w:rsidP="0096112F">
            <w:pPr>
              <w:jc w:val="left"/>
              <w:rPr>
                <w:sz w:val="15"/>
                <w:szCs w:val="15"/>
                <w:lang w:val="en-US"/>
              </w:rPr>
            </w:pPr>
            <w:r w:rsidRPr="000123BF">
              <w:rPr>
                <w:rFonts w:hint="eastAsia"/>
                <w:sz w:val="15"/>
                <w:szCs w:val="15"/>
              </w:rPr>
              <w:t>Primary</w:t>
            </w:r>
          </w:p>
          <w:p w14:paraId="695BD465" w14:textId="71A6D0AE" w:rsidR="000123BF" w:rsidRPr="000123BF" w:rsidRDefault="000123BF" w:rsidP="0096112F">
            <w:pPr>
              <w:jc w:val="left"/>
              <w:rPr>
                <w:sz w:val="15"/>
                <w:szCs w:val="15"/>
                <w:lang w:val="en-US"/>
              </w:rPr>
            </w:pPr>
            <w:r w:rsidRPr="000123BF">
              <w:rPr>
                <w:sz w:val="15"/>
                <w:szCs w:val="15"/>
                <w:lang w:val="en-US"/>
              </w:rPr>
              <w:t>breast cancer</w:t>
            </w:r>
          </w:p>
        </w:tc>
        <w:tc>
          <w:tcPr>
            <w:tcW w:w="2265" w:type="dxa"/>
          </w:tcPr>
          <w:p w14:paraId="02F02540" w14:textId="6DD4D099" w:rsidR="000123BF" w:rsidRPr="000123BF" w:rsidRDefault="000123BF" w:rsidP="0096112F">
            <w:pPr>
              <w:jc w:val="left"/>
              <w:rPr>
                <w:sz w:val="15"/>
                <w:szCs w:val="15"/>
              </w:rPr>
            </w:pPr>
            <w:r w:rsidRPr="000123BF">
              <w:rPr>
                <w:sz w:val="15"/>
                <w:szCs w:val="15"/>
              </w:rPr>
              <w:t>RNA sequencing and clinical data were obtained from The Cancer Genome Atlas database and Gene Expression Omnibus.</w:t>
            </w:r>
          </w:p>
        </w:tc>
        <w:tc>
          <w:tcPr>
            <w:tcW w:w="2835" w:type="dxa"/>
          </w:tcPr>
          <w:p w14:paraId="51D1B3B5" w14:textId="5F13D39A" w:rsidR="000123BF" w:rsidRPr="000123BF" w:rsidRDefault="000123BF" w:rsidP="0096112F">
            <w:pPr>
              <w:jc w:val="left"/>
              <w:rPr>
                <w:sz w:val="15"/>
                <w:szCs w:val="15"/>
              </w:rPr>
            </w:pPr>
            <w:r w:rsidRPr="000123BF">
              <w:rPr>
                <w:sz w:val="15"/>
                <w:szCs w:val="15"/>
              </w:rPr>
              <w:t>Univariate Cox regression, random survival forest (RSF), and stepwise multivariate Cox regression analyses were employed to construct the hypoxia-lactate metabolism-related prognostic model (HLMRPM).</w:t>
            </w:r>
          </w:p>
        </w:tc>
        <w:tc>
          <w:tcPr>
            <w:tcW w:w="4886" w:type="dxa"/>
          </w:tcPr>
          <w:p w14:paraId="0A893870" w14:textId="77777777" w:rsidR="000123BF" w:rsidRPr="000123BF" w:rsidRDefault="000123BF" w:rsidP="0065036C">
            <w:pPr>
              <w:rPr>
                <w:rFonts w:ascii="Segoe UI" w:hAnsi="Segoe UI" w:cs="Segoe UI"/>
                <w:color w:val="0F0F0F"/>
                <w:sz w:val="15"/>
                <w:szCs w:val="15"/>
              </w:rPr>
            </w:pPr>
            <w:r w:rsidRPr="000123BF">
              <w:rPr>
                <w:rFonts w:ascii="Segoe UI" w:hAnsi="Segoe UI" w:cs="Segoe UI"/>
                <w:color w:val="0F0F0F"/>
                <w:sz w:val="15"/>
                <w:szCs w:val="15"/>
              </w:rPr>
              <w:t>Prognostic Model Establishment: The HLMRPM was established using RSF and stepwise multivariate Cox regression analysis, incorporating five HLMRGs.</w:t>
            </w:r>
          </w:p>
          <w:p w14:paraId="74E80E14" w14:textId="4D46DB6E" w:rsidR="000123BF" w:rsidRPr="000123BF" w:rsidRDefault="000123BF" w:rsidP="0065036C">
            <w:pPr>
              <w:jc w:val="left"/>
              <w:rPr>
                <w:rFonts w:ascii="Segoe UI" w:hAnsi="Segoe UI" w:cs="Segoe UI"/>
                <w:color w:val="0F0F0F"/>
                <w:sz w:val="15"/>
                <w:szCs w:val="15"/>
              </w:rPr>
            </w:pPr>
            <w:r w:rsidRPr="000123BF">
              <w:rPr>
                <w:rFonts w:ascii="Segoe UI" w:hAnsi="Segoe UI" w:cs="Segoe UI"/>
                <w:color w:val="0F0F0F"/>
                <w:sz w:val="15"/>
                <w:szCs w:val="15"/>
              </w:rPr>
              <w:t>Risk Group Classification: Patients were divided into high- and low-risk groups based on the medium-risk score. Patients in the high-risk group had a worse prognosis than those in the low-risk group.</w:t>
            </w:r>
          </w:p>
        </w:tc>
      </w:tr>
      <w:tr w:rsidR="000123BF" w:rsidRPr="000123BF" w14:paraId="77C6C4C0" w14:textId="77777777" w:rsidTr="004779B3">
        <w:trPr>
          <w:trHeight w:val="2164"/>
        </w:trPr>
        <w:tc>
          <w:tcPr>
            <w:tcW w:w="2270" w:type="dxa"/>
          </w:tcPr>
          <w:p w14:paraId="3F70583C" w14:textId="587D2E27" w:rsidR="000123BF" w:rsidRPr="000123BF" w:rsidRDefault="00E5751E" w:rsidP="0096112F">
            <w:pPr>
              <w:jc w:val="left"/>
              <w:rPr>
                <w:sz w:val="15"/>
                <w:szCs w:val="15"/>
              </w:rPr>
            </w:pPr>
            <w:hyperlink r:id="rId18" w:history="1">
              <w:r w:rsidR="000123BF" w:rsidRPr="000123BF">
                <w:rPr>
                  <w:rStyle w:val="Hyperlink"/>
                  <w:sz w:val="15"/>
                  <w:szCs w:val="15"/>
                </w:rPr>
                <w:t>Identification and validation of hypoxia-derived gene signatures to predict clinical outcomes and therapeutic responses in stage I lung adenocarcinoma patients</w:t>
              </w:r>
            </w:hyperlink>
          </w:p>
        </w:tc>
        <w:tc>
          <w:tcPr>
            <w:tcW w:w="1697" w:type="dxa"/>
          </w:tcPr>
          <w:p w14:paraId="16E1F3C4" w14:textId="77777777" w:rsidR="000123BF" w:rsidRPr="000123BF" w:rsidRDefault="000123BF" w:rsidP="0096112F">
            <w:pPr>
              <w:jc w:val="left"/>
              <w:rPr>
                <w:sz w:val="15"/>
                <w:szCs w:val="15"/>
              </w:rPr>
            </w:pPr>
            <w:r w:rsidRPr="000123BF">
              <w:rPr>
                <w:rFonts w:hint="eastAsia"/>
                <w:sz w:val="15"/>
                <w:szCs w:val="15"/>
              </w:rPr>
              <w:t>Primary</w:t>
            </w:r>
          </w:p>
          <w:p w14:paraId="53F5C67E" w14:textId="75516D28" w:rsidR="000123BF" w:rsidRPr="000123BF" w:rsidRDefault="000123BF" w:rsidP="0096112F">
            <w:pPr>
              <w:jc w:val="left"/>
              <w:rPr>
                <w:sz w:val="15"/>
                <w:szCs w:val="15"/>
              </w:rPr>
            </w:pPr>
            <w:r w:rsidRPr="000123BF">
              <w:rPr>
                <w:sz w:val="15"/>
                <w:szCs w:val="15"/>
              </w:rPr>
              <w:t>lung adenocarcinoma</w:t>
            </w:r>
          </w:p>
        </w:tc>
        <w:tc>
          <w:tcPr>
            <w:tcW w:w="2265" w:type="dxa"/>
          </w:tcPr>
          <w:p w14:paraId="16CCC1AB" w14:textId="5804C9B0" w:rsidR="000123BF" w:rsidRPr="000123BF" w:rsidRDefault="000123BF" w:rsidP="0096112F">
            <w:pPr>
              <w:jc w:val="left"/>
              <w:rPr>
                <w:sz w:val="15"/>
                <w:szCs w:val="15"/>
              </w:rPr>
            </w:pPr>
            <w:r w:rsidRPr="000123BF">
              <w:rPr>
                <w:sz w:val="15"/>
                <w:szCs w:val="15"/>
              </w:rPr>
              <w:t xml:space="preserve">The study </w:t>
            </w:r>
            <w:proofErr w:type="spellStart"/>
            <w:r w:rsidRPr="000123BF">
              <w:rPr>
                <w:sz w:val="15"/>
                <w:szCs w:val="15"/>
              </w:rPr>
              <w:t>analyzed</w:t>
            </w:r>
            <w:proofErr w:type="spellEnd"/>
            <w:r w:rsidRPr="000123BF">
              <w:rPr>
                <w:sz w:val="15"/>
                <w:szCs w:val="15"/>
              </w:rPr>
              <w:t xml:space="preserve"> transcriptome profiles and clinical parameters of 1,400 stage I LUAD patients from 14 public datasets, including 13 microarray datasets and 1 RNA-</w:t>
            </w:r>
            <w:proofErr w:type="spellStart"/>
            <w:r w:rsidRPr="000123BF">
              <w:rPr>
                <w:sz w:val="15"/>
                <w:szCs w:val="15"/>
              </w:rPr>
              <w:t>Seq</w:t>
            </w:r>
            <w:proofErr w:type="spellEnd"/>
            <w:r w:rsidRPr="000123BF">
              <w:rPr>
                <w:sz w:val="15"/>
                <w:szCs w:val="15"/>
              </w:rPr>
              <w:t xml:space="preserve"> dataset from The Cancer Genome Atlas (TCGA).</w:t>
            </w:r>
          </w:p>
        </w:tc>
        <w:tc>
          <w:tcPr>
            <w:tcW w:w="2835" w:type="dxa"/>
          </w:tcPr>
          <w:p w14:paraId="482E7431" w14:textId="3B9B9D54" w:rsidR="000123BF" w:rsidRPr="000123BF" w:rsidRDefault="000123BF" w:rsidP="0096112F">
            <w:pPr>
              <w:jc w:val="left"/>
              <w:rPr>
                <w:sz w:val="15"/>
                <w:szCs w:val="15"/>
              </w:rPr>
            </w:pPr>
            <w:r w:rsidRPr="000123BF">
              <w:rPr>
                <w:sz w:val="15"/>
                <w:szCs w:val="15"/>
              </w:rPr>
              <w:t xml:space="preserve">Bioinformatic and Machine Learning Approaches: These methods were combined to establish hypoxia-derived signatures to predict overall survival and immune checkpoint blockade (ICB) therapy response in stage I patients. Additionally, pathways, genomic, and copy number alterations were </w:t>
            </w:r>
            <w:proofErr w:type="spellStart"/>
            <w:r w:rsidRPr="000123BF">
              <w:rPr>
                <w:sz w:val="15"/>
                <w:szCs w:val="15"/>
              </w:rPr>
              <w:t>analyzed</w:t>
            </w:r>
            <w:proofErr w:type="spellEnd"/>
            <w:r w:rsidRPr="000123BF">
              <w:rPr>
                <w:sz w:val="15"/>
                <w:szCs w:val="15"/>
              </w:rPr>
              <w:t xml:space="preserve"> in different risk subgroups</w:t>
            </w:r>
          </w:p>
        </w:tc>
        <w:tc>
          <w:tcPr>
            <w:tcW w:w="4886" w:type="dxa"/>
          </w:tcPr>
          <w:p w14:paraId="392C690C" w14:textId="447DB575" w:rsidR="000123BF" w:rsidRPr="000123BF" w:rsidRDefault="000123BF" w:rsidP="0096112F">
            <w:pPr>
              <w:jc w:val="left"/>
              <w:rPr>
                <w:sz w:val="15"/>
                <w:szCs w:val="15"/>
              </w:rPr>
            </w:pPr>
            <w:r w:rsidRPr="000123BF">
              <w:rPr>
                <w:sz w:val="15"/>
                <w:szCs w:val="15"/>
              </w:rPr>
              <w:t>Prognostic Risk Score (HPRS): The study developed a hypoxia-related prognostic risk score (HPRS), which showed a more powerful capacity for survival prediction compared to traditional clinicopathological features.</w:t>
            </w:r>
          </w:p>
        </w:tc>
      </w:tr>
      <w:tr w:rsidR="000415CD" w:rsidRPr="000123BF" w14:paraId="77DE52AC" w14:textId="77777777" w:rsidTr="004779B3">
        <w:trPr>
          <w:trHeight w:val="2164"/>
        </w:trPr>
        <w:tc>
          <w:tcPr>
            <w:tcW w:w="2270" w:type="dxa"/>
          </w:tcPr>
          <w:p w14:paraId="108C914F" w14:textId="3DFEAAE2" w:rsidR="000415CD" w:rsidRDefault="000415CD" w:rsidP="0096112F">
            <w:pPr>
              <w:jc w:val="left"/>
            </w:pPr>
            <w:hyperlink r:id="rId19" w:history="1">
              <w:r w:rsidRPr="000415CD">
                <w:rPr>
                  <w:rStyle w:val="Hyperlink"/>
                </w:rPr>
                <w:t>Integrated analysis of hypoxia-associated lncRNA signature to predict prognosis and immune microenvironment of lung adenocarcinoma patients</w:t>
              </w:r>
            </w:hyperlink>
          </w:p>
        </w:tc>
        <w:tc>
          <w:tcPr>
            <w:tcW w:w="1697" w:type="dxa"/>
          </w:tcPr>
          <w:p w14:paraId="7BAF50A6" w14:textId="77777777" w:rsidR="000415CD" w:rsidRPr="000123BF" w:rsidRDefault="000415CD" w:rsidP="0096112F">
            <w:pPr>
              <w:jc w:val="left"/>
              <w:rPr>
                <w:rFonts w:hint="eastAsia"/>
                <w:sz w:val="15"/>
                <w:szCs w:val="15"/>
              </w:rPr>
            </w:pPr>
          </w:p>
        </w:tc>
        <w:tc>
          <w:tcPr>
            <w:tcW w:w="2265" w:type="dxa"/>
          </w:tcPr>
          <w:p w14:paraId="0FB5DF0D" w14:textId="77777777" w:rsidR="000415CD" w:rsidRPr="000123BF" w:rsidRDefault="000415CD" w:rsidP="0096112F">
            <w:pPr>
              <w:jc w:val="left"/>
              <w:rPr>
                <w:sz w:val="15"/>
                <w:szCs w:val="15"/>
              </w:rPr>
            </w:pPr>
          </w:p>
        </w:tc>
        <w:tc>
          <w:tcPr>
            <w:tcW w:w="2835" w:type="dxa"/>
          </w:tcPr>
          <w:p w14:paraId="4F3ABB2E" w14:textId="083156BC" w:rsidR="000415CD" w:rsidRPr="000123BF" w:rsidRDefault="000415CD" w:rsidP="0096112F">
            <w:pPr>
              <w:jc w:val="left"/>
              <w:rPr>
                <w:sz w:val="15"/>
                <w:szCs w:val="15"/>
              </w:rPr>
            </w:pPr>
            <w:r w:rsidRPr="000415CD">
              <w:rPr>
                <w:sz w:val="15"/>
                <w:szCs w:val="15"/>
              </w:rPr>
              <w:t xml:space="preserve">Consensus cluster analysis characterized the hypoxia status of LUAD patients. Cox regression analysis with the least absolute shrinkage and selection operator (LASSO) method determined significantly prognosis-related </w:t>
            </w:r>
            <w:proofErr w:type="spellStart"/>
            <w:r w:rsidRPr="000415CD">
              <w:rPr>
                <w:sz w:val="15"/>
                <w:szCs w:val="15"/>
              </w:rPr>
              <w:t>lncRNAs</w:t>
            </w:r>
            <w:proofErr w:type="spellEnd"/>
            <w:r w:rsidRPr="000415CD">
              <w:rPr>
                <w:sz w:val="15"/>
                <w:szCs w:val="15"/>
              </w:rPr>
              <w:t xml:space="preserve"> which were used to create a prognostic model.</w:t>
            </w:r>
          </w:p>
        </w:tc>
        <w:tc>
          <w:tcPr>
            <w:tcW w:w="4886" w:type="dxa"/>
          </w:tcPr>
          <w:p w14:paraId="1B2BBC2A" w14:textId="77777777" w:rsidR="000415CD" w:rsidRPr="000123BF" w:rsidRDefault="000415CD" w:rsidP="0096112F">
            <w:pPr>
              <w:jc w:val="left"/>
              <w:rPr>
                <w:sz w:val="15"/>
                <w:szCs w:val="15"/>
              </w:rPr>
            </w:pPr>
          </w:p>
        </w:tc>
      </w:tr>
      <w:tr w:rsidR="004204CD" w:rsidRPr="000123BF" w14:paraId="4BCECE7F" w14:textId="77777777" w:rsidTr="004779B3">
        <w:trPr>
          <w:trHeight w:val="2164"/>
        </w:trPr>
        <w:tc>
          <w:tcPr>
            <w:tcW w:w="2270" w:type="dxa"/>
          </w:tcPr>
          <w:p w14:paraId="09275B58" w14:textId="213B29A0" w:rsidR="004204CD" w:rsidRPr="004204CD" w:rsidRDefault="004204CD" w:rsidP="0096112F">
            <w:pPr>
              <w:jc w:val="left"/>
              <w:rPr>
                <w:highlight w:val="green"/>
                <w:lang w:val="en-US"/>
              </w:rPr>
            </w:pPr>
            <w:hyperlink r:id="rId20" w:history="1">
              <w:r w:rsidRPr="004204CD">
                <w:rPr>
                  <w:rStyle w:val="Hyperlink"/>
                  <w:highlight w:val="green"/>
                  <w:lang w:val="en-US"/>
                </w:rPr>
                <w:t>A hypoxia-related signature for clinically predicting diagnosis, prognosis and immune microenvironment of hepatocellular carcinoma patients</w:t>
              </w:r>
            </w:hyperlink>
          </w:p>
        </w:tc>
        <w:tc>
          <w:tcPr>
            <w:tcW w:w="1697" w:type="dxa"/>
          </w:tcPr>
          <w:p w14:paraId="45E7F12C" w14:textId="67626DA3" w:rsidR="004204CD" w:rsidRPr="000123BF" w:rsidRDefault="004204CD" w:rsidP="0096112F">
            <w:pPr>
              <w:jc w:val="left"/>
              <w:rPr>
                <w:rFonts w:hint="eastAsia"/>
                <w:sz w:val="15"/>
                <w:szCs w:val="15"/>
              </w:rPr>
            </w:pPr>
            <w:r w:rsidRPr="004204CD">
              <w:rPr>
                <w:sz w:val="15"/>
                <w:szCs w:val="15"/>
              </w:rPr>
              <w:t>hepatocellular carcinoma</w:t>
            </w:r>
          </w:p>
        </w:tc>
        <w:tc>
          <w:tcPr>
            <w:tcW w:w="2265" w:type="dxa"/>
          </w:tcPr>
          <w:p w14:paraId="6E1BF348" w14:textId="77777777" w:rsidR="004204CD" w:rsidRPr="000123BF" w:rsidRDefault="004204CD" w:rsidP="0096112F">
            <w:pPr>
              <w:jc w:val="left"/>
              <w:rPr>
                <w:sz w:val="15"/>
                <w:szCs w:val="15"/>
              </w:rPr>
            </w:pPr>
          </w:p>
        </w:tc>
        <w:tc>
          <w:tcPr>
            <w:tcW w:w="2835" w:type="dxa"/>
          </w:tcPr>
          <w:p w14:paraId="41510A3E" w14:textId="0A0B5440" w:rsidR="004204CD" w:rsidRPr="000123BF" w:rsidRDefault="004204CD" w:rsidP="0096112F">
            <w:pPr>
              <w:jc w:val="left"/>
              <w:rPr>
                <w:sz w:val="15"/>
                <w:szCs w:val="15"/>
              </w:rPr>
            </w:pPr>
            <w:r w:rsidRPr="004204CD">
              <w:rPr>
                <w:sz w:val="15"/>
                <w:szCs w:val="15"/>
              </w:rPr>
              <w:t>consistent clustering analysis. Three DEGs closely related to overall survival (OS) were identified using Cox regression and LASSO analysis.</w:t>
            </w:r>
          </w:p>
        </w:tc>
        <w:tc>
          <w:tcPr>
            <w:tcW w:w="4886" w:type="dxa"/>
          </w:tcPr>
          <w:p w14:paraId="5D02B461" w14:textId="77777777" w:rsidR="004204CD" w:rsidRPr="000123BF" w:rsidRDefault="004204CD" w:rsidP="0096112F">
            <w:pPr>
              <w:jc w:val="left"/>
              <w:rPr>
                <w:sz w:val="15"/>
                <w:szCs w:val="15"/>
              </w:rPr>
            </w:pPr>
          </w:p>
        </w:tc>
      </w:tr>
      <w:tr w:rsidR="000415CD" w:rsidRPr="000123BF" w14:paraId="7137CB79" w14:textId="77777777" w:rsidTr="004779B3">
        <w:trPr>
          <w:trHeight w:val="2164"/>
        </w:trPr>
        <w:tc>
          <w:tcPr>
            <w:tcW w:w="2270" w:type="dxa"/>
          </w:tcPr>
          <w:p w14:paraId="7E4A5F2F" w14:textId="796403BB" w:rsidR="000415CD" w:rsidRPr="004204CD" w:rsidRDefault="000415CD" w:rsidP="0096112F">
            <w:pPr>
              <w:jc w:val="left"/>
              <w:rPr>
                <w:highlight w:val="green"/>
                <w:lang w:val="en-US"/>
              </w:rPr>
            </w:pPr>
            <w:hyperlink r:id="rId21" w:history="1">
              <w:r w:rsidRPr="000415CD">
                <w:rPr>
                  <w:rStyle w:val="Hyperlink"/>
                  <w:lang w:val="en-US"/>
                </w:rPr>
                <w:t>A novel hypoxia gene signature indicates prognosis and immune microenvironments characters in patients with hepatocellular carcinoma</w:t>
              </w:r>
            </w:hyperlink>
          </w:p>
        </w:tc>
        <w:tc>
          <w:tcPr>
            <w:tcW w:w="1697" w:type="dxa"/>
          </w:tcPr>
          <w:p w14:paraId="06327807" w14:textId="77777777" w:rsidR="000415CD" w:rsidRPr="004204CD" w:rsidRDefault="000415CD" w:rsidP="0096112F">
            <w:pPr>
              <w:jc w:val="left"/>
              <w:rPr>
                <w:sz w:val="15"/>
                <w:szCs w:val="15"/>
              </w:rPr>
            </w:pPr>
          </w:p>
        </w:tc>
        <w:tc>
          <w:tcPr>
            <w:tcW w:w="2265" w:type="dxa"/>
          </w:tcPr>
          <w:p w14:paraId="59335206" w14:textId="77777777" w:rsidR="000415CD" w:rsidRPr="000123BF" w:rsidRDefault="000415CD" w:rsidP="0096112F">
            <w:pPr>
              <w:jc w:val="left"/>
              <w:rPr>
                <w:sz w:val="15"/>
                <w:szCs w:val="15"/>
              </w:rPr>
            </w:pPr>
          </w:p>
        </w:tc>
        <w:tc>
          <w:tcPr>
            <w:tcW w:w="2835" w:type="dxa"/>
          </w:tcPr>
          <w:p w14:paraId="20DE93D6" w14:textId="53C354DC" w:rsidR="000415CD" w:rsidRPr="004204CD" w:rsidRDefault="000415CD" w:rsidP="0096112F">
            <w:pPr>
              <w:jc w:val="left"/>
              <w:rPr>
                <w:sz w:val="15"/>
                <w:szCs w:val="15"/>
              </w:rPr>
            </w:pPr>
            <w:r w:rsidRPr="000415CD">
              <w:rPr>
                <w:sz w:val="15"/>
                <w:szCs w:val="15"/>
              </w:rPr>
              <w:t>microarray analysis and a robust rank aggregation algorithm.</w:t>
            </w:r>
          </w:p>
        </w:tc>
        <w:tc>
          <w:tcPr>
            <w:tcW w:w="4886" w:type="dxa"/>
          </w:tcPr>
          <w:p w14:paraId="15DA428D" w14:textId="77777777" w:rsidR="000415CD" w:rsidRPr="000123BF" w:rsidRDefault="000415CD" w:rsidP="0096112F">
            <w:pPr>
              <w:jc w:val="left"/>
              <w:rPr>
                <w:sz w:val="15"/>
                <w:szCs w:val="15"/>
              </w:rPr>
            </w:pPr>
          </w:p>
        </w:tc>
      </w:tr>
      <w:tr w:rsidR="000415CD" w:rsidRPr="000123BF" w14:paraId="6B23C71D" w14:textId="77777777" w:rsidTr="004779B3">
        <w:trPr>
          <w:trHeight w:val="2164"/>
        </w:trPr>
        <w:tc>
          <w:tcPr>
            <w:tcW w:w="2270" w:type="dxa"/>
          </w:tcPr>
          <w:p w14:paraId="5E374FF7" w14:textId="05A21D91" w:rsidR="000415CD" w:rsidRDefault="000415CD" w:rsidP="0096112F">
            <w:pPr>
              <w:jc w:val="left"/>
              <w:rPr>
                <w:lang w:val="en-US"/>
              </w:rPr>
            </w:pPr>
            <w:hyperlink r:id="rId22" w:history="1">
              <w:r w:rsidRPr="000415CD">
                <w:rPr>
                  <w:rStyle w:val="Hyperlink"/>
                  <w:lang w:val="en-US"/>
                </w:rPr>
                <w:t>A hypoxia-linked gene signature for prognosis prediction and evaluating the immune microenvironment in patients with hepatocellular carcinoma</w:t>
              </w:r>
            </w:hyperlink>
          </w:p>
        </w:tc>
        <w:tc>
          <w:tcPr>
            <w:tcW w:w="1697" w:type="dxa"/>
          </w:tcPr>
          <w:p w14:paraId="0B0398BD" w14:textId="77777777" w:rsidR="000415CD" w:rsidRPr="004204CD" w:rsidRDefault="000415CD" w:rsidP="0096112F">
            <w:pPr>
              <w:jc w:val="left"/>
              <w:rPr>
                <w:sz w:val="15"/>
                <w:szCs w:val="15"/>
              </w:rPr>
            </w:pPr>
          </w:p>
        </w:tc>
        <w:tc>
          <w:tcPr>
            <w:tcW w:w="2265" w:type="dxa"/>
          </w:tcPr>
          <w:p w14:paraId="2407549E" w14:textId="77777777" w:rsidR="000415CD" w:rsidRPr="000123BF" w:rsidRDefault="000415CD" w:rsidP="0096112F">
            <w:pPr>
              <w:jc w:val="left"/>
              <w:rPr>
                <w:sz w:val="15"/>
                <w:szCs w:val="15"/>
              </w:rPr>
            </w:pPr>
          </w:p>
        </w:tc>
        <w:tc>
          <w:tcPr>
            <w:tcW w:w="2835" w:type="dxa"/>
          </w:tcPr>
          <w:p w14:paraId="4845EF97" w14:textId="5B2D6654" w:rsidR="000415CD" w:rsidRPr="000415CD" w:rsidRDefault="000415CD" w:rsidP="0096112F">
            <w:pPr>
              <w:jc w:val="left"/>
              <w:rPr>
                <w:sz w:val="15"/>
                <w:szCs w:val="15"/>
              </w:rPr>
            </w:pPr>
            <w:r w:rsidRPr="000415CD">
              <w:rPr>
                <w:sz w:val="15"/>
                <w:szCs w:val="15"/>
              </w:rPr>
              <w:t>Univariate along with multivariate Cox regression were adopted to create the prediction model.</w:t>
            </w:r>
          </w:p>
        </w:tc>
        <w:tc>
          <w:tcPr>
            <w:tcW w:w="4886" w:type="dxa"/>
          </w:tcPr>
          <w:p w14:paraId="3E05448E" w14:textId="77777777" w:rsidR="000415CD" w:rsidRPr="000123BF" w:rsidRDefault="000415CD" w:rsidP="0096112F">
            <w:pPr>
              <w:jc w:val="left"/>
              <w:rPr>
                <w:sz w:val="15"/>
                <w:szCs w:val="15"/>
              </w:rPr>
            </w:pPr>
          </w:p>
        </w:tc>
      </w:tr>
      <w:tr w:rsidR="000415CD" w:rsidRPr="000123BF" w14:paraId="2F16B005" w14:textId="77777777" w:rsidTr="004779B3">
        <w:trPr>
          <w:trHeight w:val="2164"/>
        </w:trPr>
        <w:tc>
          <w:tcPr>
            <w:tcW w:w="2270" w:type="dxa"/>
          </w:tcPr>
          <w:p w14:paraId="211C9EB0" w14:textId="65BACF3B" w:rsidR="000415CD" w:rsidRDefault="000415CD" w:rsidP="0096112F">
            <w:pPr>
              <w:jc w:val="left"/>
              <w:rPr>
                <w:lang w:val="en-US"/>
              </w:rPr>
            </w:pPr>
            <w:hyperlink r:id="rId23" w:history="1">
              <w:r w:rsidRPr="000415CD">
                <w:rPr>
                  <w:rStyle w:val="Hyperlink"/>
                  <w:lang w:val="en-US"/>
                </w:rPr>
                <w:t>A 4-gene-based hypoxia signature is associated with tumor immune microenvironment and predicts the prognosis of pancreatic cancer patients</w:t>
              </w:r>
            </w:hyperlink>
          </w:p>
        </w:tc>
        <w:tc>
          <w:tcPr>
            <w:tcW w:w="1697" w:type="dxa"/>
          </w:tcPr>
          <w:p w14:paraId="62009390" w14:textId="77777777" w:rsidR="000415CD" w:rsidRPr="004204CD" w:rsidRDefault="000415CD" w:rsidP="0096112F">
            <w:pPr>
              <w:jc w:val="left"/>
              <w:rPr>
                <w:sz w:val="15"/>
                <w:szCs w:val="15"/>
              </w:rPr>
            </w:pPr>
          </w:p>
        </w:tc>
        <w:tc>
          <w:tcPr>
            <w:tcW w:w="2265" w:type="dxa"/>
          </w:tcPr>
          <w:p w14:paraId="4B29DC0B" w14:textId="77777777" w:rsidR="000415CD" w:rsidRPr="000123BF" w:rsidRDefault="000415CD" w:rsidP="0096112F">
            <w:pPr>
              <w:jc w:val="left"/>
              <w:rPr>
                <w:sz w:val="15"/>
                <w:szCs w:val="15"/>
              </w:rPr>
            </w:pPr>
          </w:p>
        </w:tc>
        <w:tc>
          <w:tcPr>
            <w:tcW w:w="2835" w:type="dxa"/>
          </w:tcPr>
          <w:p w14:paraId="1FEB7EF2" w14:textId="6128968A" w:rsidR="000415CD" w:rsidRPr="000415CD" w:rsidRDefault="000415CD" w:rsidP="0096112F">
            <w:pPr>
              <w:jc w:val="left"/>
              <w:rPr>
                <w:sz w:val="15"/>
                <w:szCs w:val="15"/>
              </w:rPr>
            </w:pPr>
            <w:r w:rsidRPr="000415CD">
              <w:rPr>
                <w:sz w:val="15"/>
                <w:szCs w:val="15"/>
              </w:rPr>
              <w:t xml:space="preserve">univariable Cox regression analysis on the hypoxia core genes to obtain prognostic-related hypoxia genes. They were then </w:t>
            </w:r>
            <w:proofErr w:type="spellStart"/>
            <w:r w:rsidRPr="000415CD">
              <w:rPr>
                <w:sz w:val="15"/>
                <w:szCs w:val="15"/>
              </w:rPr>
              <w:t>analyzed</w:t>
            </w:r>
            <w:proofErr w:type="spellEnd"/>
            <w:r w:rsidRPr="000415CD">
              <w:rPr>
                <w:sz w:val="15"/>
                <w:szCs w:val="15"/>
              </w:rPr>
              <w:t xml:space="preserve"> by multivariable Cox regression</w:t>
            </w:r>
          </w:p>
        </w:tc>
        <w:tc>
          <w:tcPr>
            <w:tcW w:w="4886" w:type="dxa"/>
          </w:tcPr>
          <w:p w14:paraId="2871C170" w14:textId="77777777" w:rsidR="000415CD" w:rsidRPr="000123BF" w:rsidRDefault="000415CD" w:rsidP="0096112F">
            <w:pPr>
              <w:jc w:val="left"/>
              <w:rPr>
                <w:sz w:val="15"/>
                <w:szCs w:val="15"/>
              </w:rPr>
            </w:pPr>
          </w:p>
        </w:tc>
      </w:tr>
      <w:tr w:rsidR="000415CD" w:rsidRPr="000123BF" w14:paraId="3B9F0D5A" w14:textId="77777777" w:rsidTr="004779B3">
        <w:trPr>
          <w:trHeight w:val="2164"/>
        </w:trPr>
        <w:tc>
          <w:tcPr>
            <w:tcW w:w="2270" w:type="dxa"/>
          </w:tcPr>
          <w:p w14:paraId="67143595" w14:textId="611FB546" w:rsidR="000415CD" w:rsidRPr="004204CD" w:rsidRDefault="000415CD" w:rsidP="0096112F">
            <w:pPr>
              <w:jc w:val="left"/>
              <w:rPr>
                <w:highlight w:val="green"/>
                <w:lang w:val="en-US"/>
              </w:rPr>
            </w:pPr>
            <w:hyperlink r:id="rId24" w:history="1">
              <w:r w:rsidRPr="000415CD">
                <w:rPr>
                  <w:rStyle w:val="Hyperlink"/>
                  <w:lang w:val="en-US"/>
                </w:rPr>
                <w:t xml:space="preserve">Employing hypoxia characterization to predict </w:t>
              </w:r>
              <w:proofErr w:type="spellStart"/>
              <w:r w:rsidRPr="000415CD">
                <w:rPr>
                  <w:rStyle w:val="Hyperlink"/>
                  <w:lang w:val="en-US"/>
                </w:rPr>
                <w:t>tumour</w:t>
              </w:r>
              <w:proofErr w:type="spellEnd"/>
              <w:r w:rsidRPr="000415CD">
                <w:rPr>
                  <w:rStyle w:val="Hyperlink"/>
                  <w:lang w:val="en-US"/>
                </w:rPr>
                <w:t xml:space="preserve"> immune microenvironment, treatment sensitivity and prognosis in hepatocellular carcinoma</w:t>
              </w:r>
            </w:hyperlink>
          </w:p>
        </w:tc>
        <w:tc>
          <w:tcPr>
            <w:tcW w:w="1697" w:type="dxa"/>
          </w:tcPr>
          <w:p w14:paraId="0D588A9F" w14:textId="77777777" w:rsidR="000415CD" w:rsidRPr="004204CD" w:rsidRDefault="000415CD" w:rsidP="0096112F">
            <w:pPr>
              <w:jc w:val="left"/>
              <w:rPr>
                <w:sz w:val="15"/>
                <w:szCs w:val="15"/>
              </w:rPr>
            </w:pPr>
          </w:p>
        </w:tc>
        <w:tc>
          <w:tcPr>
            <w:tcW w:w="2265" w:type="dxa"/>
          </w:tcPr>
          <w:p w14:paraId="18CAAD83" w14:textId="77777777" w:rsidR="000415CD" w:rsidRPr="000123BF" w:rsidRDefault="000415CD" w:rsidP="0096112F">
            <w:pPr>
              <w:jc w:val="left"/>
              <w:rPr>
                <w:sz w:val="15"/>
                <w:szCs w:val="15"/>
              </w:rPr>
            </w:pPr>
          </w:p>
        </w:tc>
        <w:tc>
          <w:tcPr>
            <w:tcW w:w="2835" w:type="dxa"/>
          </w:tcPr>
          <w:p w14:paraId="326F3376" w14:textId="43176BE7" w:rsidR="000415CD" w:rsidRPr="004204CD" w:rsidRDefault="000415CD" w:rsidP="0096112F">
            <w:pPr>
              <w:jc w:val="left"/>
              <w:rPr>
                <w:sz w:val="15"/>
                <w:szCs w:val="15"/>
              </w:rPr>
            </w:pPr>
            <w:r w:rsidRPr="000415CD">
              <w:rPr>
                <w:sz w:val="15"/>
                <w:szCs w:val="15"/>
              </w:rPr>
              <w:t>200 hypoxia-related genes were downloaded from Gene Set Enrichment Analysis (hallmark-hypoxia). The differentially expressed hypoxia-related genes (p &lt; 0.05, |Log2-fold change (FC)|</w:t>
            </w:r>
            <w:r w:rsidRPr="000415CD">
              <w:rPr>
                <w:rFonts w:ascii="Times New Roman" w:hAnsi="Times New Roman" w:cs="Times New Roman"/>
                <w:sz w:val="15"/>
                <w:szCs w:val="15"/>
              </w:rPr>
              <w:t> </w:t>
            </w:r>
            <w:r w:rsidRPr="000415CD">
              <w:rPr>
                <w:sz w:val="15"/>
                <w:szCs w:val="15"/>
              </w:rPr>
              <w:t>&gt;</w:t>
            </w:r>
            <w:r w:rsidRPr="000415CD">
              <w:rPr>
                <w:rFonts w:ascii="Times New Roman" w:hAnsi="Times New Roman" w:cs="Times New Roman"/>
                <w:sz w:val="15"/>
                <w:szCs w:val="15"/>
              </w:rPr>
              <w:t> </w:t>
            </w:r>
            <w:r w:rsidRPr="000415CD">
              <w:rPr>
                <w:sz w:val="15"/>
                <w:szCs w:val="15"/>
              </w:rPr>
              <w:t xml:space="preserve">1) were </w:t>
            </w:r>
            <w:proofErr w:type="spellStart"/>
            <w:r w:rsidRPr="000415CD">
              <w:rPr>
                <w:sz w:val="15"/>
                <w:szCs w:val="15"/>
              </w:rPr>
              <w:t>analyzed</w:t>
            </w:r>
            <w:proofErr w:type="spellEnd"/>
            <w:r w:rsidRPr="000415CD">
              <w:rPr>
                <w:sz w:val="15"/>
                <w:szCs w:val="15"/>
              </w:rPr>
              <w:t xml:space="preserve"> by univariable and multivariable Cox regression.</w:t>
            </w:r>
          </w:p>
        </w:tc>
        <w:tc>
          <w:tcPr>
            <w:tcW w:w="4886" w:type="dxa"/>
          </w:tcPr>
          <w:p w14:paraId="6F160A89" w14:textId="77777777" w:rsidR="000415CD" w:rsidRPr="000123BF" w:rsidRDefault="000415CD" w:rsidP="0096112F">
            <w:pPr>
              <w:jc w:val="left"/>
              <w:rPr>
                <w:sz w:val="15"/>
                <w:szCs w:val="15"/>
              </w:rPr>
            </w:pPr>
          </w:p>
        </w:tc>
      </w:tr>
      <w:tr w:rsidR="000123BF" w:rsidRPr="000123BF" w14:paraId="6B13ACD8" w14:textId="77777777" w:rsidTr="00986E89">
        <w:trPr>
          <w:trHeight w:val="2184"/>
        </w:trPr>
        <w:tc>
          <w:tcPr>
            <w:tcW w:w="2270" w:type="dxa"/>
          </w:tcPr>
          <w:p w14:paraId="0CC0E7E6" w14:textId="138DECC2" w:rsidR="000123BF" w:rsidRPr="000123BF" w:rsidRDefault="00E5751E" w:rsidP="00E90408">
            <w:pPr>
              <w:jc w:val="left"/>
              <w:rPr>
                <w:sz w:val="15"/>
                <w:szCs w:val="15"/>
                <w:lang w:val="en-US"/>
              </w:rPr>
            </w:pPr>
            <w:hyperlink r:id="rId25" w:history="1">
              <w:r w:rsidR="000123BF" w:rsidRPr="000123BF">
                <w:rPr>
                  <w:rStyle w:val="Hyperlink"/>
                  <w:sz w:val="15"/>
                  <w:szCs w:val="15"/>
                  <w:lang w:val="en-US"/>
                </w:rPr>
                <w:t>Development and validation of a hypoxia-associated signature for lung adenocarcinoma</w:t>
              </w:r>
            </w:hyperlink>
          </w:p>
        </w:tc>
        <w:tc>
          <w:tcPr>
            <w:tcW w:w="1697" w:type="dxa"/>
          </w:tcPr>
          <w:p w14:paraId="00DEDB05" w14:textId="77777777" w:rsidR="000123BF" w:rsidRPr="000123BF" w:rsidRDefault="000123BF" w:rsidP="00E90408">
            <w:pPr>
              <w:jc w:val="left"/>
              <w:rPr>
                <w:sz w:val="15"/>
                <w:szCs w:val="15"/>
              </w:rPr>
            </w:pPr>
            <w:r w:rsidRPr="000123BF">
              <w:rPr>
                <w:rFonts w:hint="eastAsia"/>
                <w:sz w:val="15"/>
                <w:szCs w:val="15"/>
              </w:rPr>
              <w:t>Primary</w:t>
            </w:r>
          </w:p>
          <w:p w14:paraId="5F8D28D6" w14:textId="0084F8C8" w:rsidR="000123BF" w:rsidRPr="000123BF" w:rsidRDefault="000123BF" w:rsidP="00E90408">
            <w:pPr>
              <w:jc w:val="left"/>
              <w:rPr>
                <w:sz w:val="15"/>
                <w:szCs w:val="15"/>
              </w:rPr>
            </w:pPr>
            <w:r w:rsidRPr="000123BF">
              <w:rPr>
                <w:sz w:val="15"/>
                <w:szCs w:val="15"/>
              </w:rPr>
              <w:t>lung adenocarcinoma</w:t>
            </w:r>
          </w:p>
        </w:tc>
        <w:tc>
          <w:tcPr>
            <w:tcW w:w="2265" w:type="dxa"/>
          </w:tcPr>
          <w:p w14:paraId="4564821E" w14:textId="2CD21647" w:rsidR="000123BF" w:rsidRPr="000123BF" w:rsidRDefault="000123BF" w:rsidP="00E90408">
            <w:pPr>
              <w:jc w:val="left"/>
              <w:rPr>
                <w:sz w:val="15"/>
                <w:szCs w:val="15"/>
              </w:rPr>
            </w:pPr>
            <w:r w:rsidRPr="000123BF">
              <w:rPr>
                <w:sz w:val="15"/>
                <w:szCs w:val="15"/>
              </w:rPr>
              <w:t>RNA sequencing was used to identify genes significantly differentially expressed under hypoxia (1% O2) in four LUAD cell lines</w:t>
            </w:r>
          </w:p>
        </w:tc>
        <w:tc>
          <w:tcPr>
            <w:tcW w:w="2835" w:type="dxa"/>
          </w:tcPr>
          <w:p w14:paraId="3BE093B6" w14:textId="2E104ECD" w:rsidR="000123BF" w:rsidRPr="000123BF" w:rsidRDefault="000123BF" w:rsidP="00E90408">
            <w:pPr>
              <w:jc w:val="left"/>
              <w:rPr>
                <w:sz w:val="15"/>
                <w:szCs w:val="15"/>
              </w:rPr>
            </w:pPr>
            <w:r w:rsidRPr="000123BF">
              <w:rPr>
                <w:sz w:val="15"/>
                <w:szCs w:val="15"/>
              </w:rPr>
              <w:t>The identified genes were used for unsupervised clustering of a TCGA-LUAD training dataset (252 samples) and in a machine learning approach to build the hypoxia-related signature.</w:t>
            </w:r>
          </w:p>
        </w:tc>
        <w:tc>
          <w:tcPr>
            <w:tcW w:w="4886" w:type="dxa"/>
          </w:tcPr>
          <w:p w14:paraId="610BECD5" w14:textId="77777777" w:rsidR="000123BF" w:rsidRPr="000123BF" w:rsidRDefault="000123BF" w:rsidP="00324B55">
            <w:pPr>
              <w:rPr>
                <w:sz w:val="15"/>
                <w:szCs w:val="15"/>
              </w:rPr>
            </w:pPr>
            <w:r w:rsidRPr="000123BF">
              <w:rPr>
                <w:sz w:val="15"/>
                <w:szCs w:val="15"/>
              </w:rPr>
              <w:t>Prognostic Value: The 28-gene LUAD hypoxia-related signature was found to be prognostic in the TCGA training and test datasets, with hazard ratios (HR) indicating a significant association with overall survival.</w:t>
            </w:r>
          </w:p>
          <w:p w14:paraId="21899440" w14:textId="77777777" w:rsidR="000123BF" w:rsidRPr="000123BF" w:rsidRDefault="000123BF" w:rsidP="00324B55">
            <w:pPr>
              <w:rPr>
                <w:sz w:val="15"/>
                <w:szCs w:val="15"/>
              </w:rPr>
            </w:pPr>
            <w:r w:rsidRPr="000123BF">
              <w:rPr>
                <w:sz w:val="15"/>
                <w:szCs w:val="15"/>
              </w:rPr>
              <w:t>Overall Survival Meta-analysis: In a meta-analysis of nine other datasets (1257 samples in total), the signature also showed prognostic value for overall survival.</w:t>
            </w:r>
          </w:p>
          <w:p w14:paraId="318F8CA7" w14:textId="3609322B" w:rsidR="000123BF" w:rsidRPr="000123BF" w:rsidRDefault="000123BF" w:rsidP="00324B55">
            <w:pPr>
              <w:jc w:val="left"/>
              <w:rPr>
                <w:sz w:val="15"/>
                <w:szCs w:val="15"/>
              </w:rPr>
            </w:pPr>
            <w:r w:rsidRPr="000123BF">
              <w:rPr>
                <w:sz w:val="15"/>
                <w:szCs w:val="15"/>
              </w:rPr>
              <w:t xml:space="preserve">Immune Response Association: The hypoxia-high group, as defined by the signature, was enriched in pathways involved in immune responses, indicating a potential link between hypoxia and immune activity in the </w:t>
            </w:r>
            <w:proofErr w:type="spellStart"/>
            <w:r w:rsidRPr="000123BF">
              <w:rPr>
                <w:sz w:val="15"/>
                <w:szCs w:val="15"/>
              </w:rPr>
              <w:t>tumor</w:t>
            </w:r>
            <w:proofErr w:type="spellEnd"/>
            <w:r w:rsidRPr="000123BF">
              <w:rPr>
                <w:sz w:val="15"/>
                <w:szCs w:val="15"/>
              </w:rPr>
              <w:t xml:space="preserve"> microenvironment.</w:t>
            </w:r>
          </w:p>
        </w:tc>
      </w:tr>
      <w:tr w:rsidR="00DE234D" w:rsidRPr="000123BF" w14:paraId="47F07BEC" w14:textId="77777777" w:rsidTr="00986E89">
        <w:trPr>
          <w:trHeight w:val="2184"/>
        </w:trPr>
        <w:tc>
          <w:tcPr>
            <w:tcW w:w="2270" w:type="dxa"/>
          </w:tcPr>
          <w:p w14:paraId="23FFE0A8" w14:textId="1DCA450C" w:rsidR="00DE234D" w:rsidRPr="00DE234D" w:rsidRDefault="00E5751E" w:rsidP="00E90408">
            <w:pPr>
              <w:jc w:val="left"/>
              <w:rPr>
                <w:sz w:val="15"/>
                <w:szCs w:val="15"/>
                <w:lang w:val="en-US"/>
              </w:rPr>
            </w:pPr>
            <w:hyperlink r:id="rId26" w:history="1">
              <w:r w:rsidR="00DE234D" w:rsidRPr="00170833">
                <w:rPr>
                  <w:rStyle w:val="Hyperlink"/>
                  <w:sz w:val="15"/>
                  <w:szCs w:val="15"/>
                  <w:highlight w:val="yellow"/>
                  <w:lang w:val="en-US"/>
                </w:rPr>
                <w:t>Establishment and External Validation of a Hypoxia-Derived Gene Signature for Robustly Predicting Prognosis and Therapeutic Responses in Glioblastoma Multiforme</w:t>
              </w:r>
            </w:hyperlink>
          </w:p>
        </w:tc>
        <w:tc>
          <w:tcPr>
            <w:tcW w:w="1697" w:type="dxa"/>
          </w:tcPr>
          <w:p w14:paraId="241A8657" w14:textId="77777777" w:rsidR="00DE234D" w:rsidRPr="000123BF" w:rsidRDefault="00DE234D" w:rsidP="00DE234D">
            <w:pPr>
              <w:jc w:val="left"/>
              <w:rPr>
                <w:sz w:val="15"/>
                <w:szCs w:val="15"/>
              </w:rPr>
            </w:pPr>
            <w:r w:rsidRPr="000123BF">
              <w:rPr>
                <w:rFonts w:hint="eastAsia"/>
                <w:sz w:val="15"/>
                <w:szCs w:val="15"/>
              </w:rPr>
              <w:t>Primary</w:t>
            </w:r>
          </w:p>
          <w:p w14:paraId="2A5A459B" w14:textId="5C86CEF2" w:rsidR="00DE234D" w:rsidRPr="000123BF" w:rsidRDefault="00DE234D" w:rsidP="00E90408">
            <w:pPr>
              <w:jc w:val="left"/>
              <w:rPr>
                <w:sz w:val="15"/>
                <w:szCs w:val="15"/>
              </w:rPr>
            </w:pPr>
            <w:r w:rsidRPr="00DE234D">
              <w:rPr>
                <w:sz w:val="15"/>
                <w:szCs w:val="15"/>
              </w:rPr>
              <w:t>Glioblastoma Multiforme</w:t>
            </w:r>
          </w:p>
        </w:tc>
        <w:tc>
          <w:tcPr>
            <w:tcW w:w="2265" w:type="dxa"/>
          </w:tcPr>
          <w:p w14:paraId="642D041A" w14:textId="307F3677" w:rsidR="00DE234D" w:rsidRPr="000123BF" w:rsidRDefault="00DE234D" w:rsidP="00E90408">
            <w:pPr>
              <w:jc w:val="left"/>
              <w:rPr>
                <w:sz w:val="15"/>
                <w:szCs w:val="15"/>
              </w:rPr>
            </w:pPr>
            <w:r w:rsidRPr="00DE234D">
              <w:rPr>
                <w:sz w:val="15"/>
                <w:szCs w:val="15"/>
              </w:rPr>
              <w:t>transcriptome profiling and clinicopathological characteristics of GBM from The Cancer Genome Atlas (TCGA) and Chinese Glioma Genome Atlas (CGGA) cohorts</w:t>
            </w:r>
          </w:p>
        </w:tc>
        <w:tc>
          <w:tcPr>
            <w:tcW w:w="2835" w:type="dxa"/>
          </w:tcPr>
          <w:p w14:paraId="2E034D83" w14:textId="4964B7BA" w:rsidR="00DE234D" w:rsidRPr="000123BF" w:rsidRDefault="00DE234D" w:rsidP="00E90408">
            <w:pPr>
              <w:jc w:val="left"/>
              <w:rPr>
                <w:sz w:val="15"/>
                <w:szCs w:val="15"/>
              </w:rPr>
            </w:pPr>
            <w:r w:rsidRPr="00DE234D">
              <w:rPr>
                <w:sz w:val="15"/>
                <w:szCs w:val="15"/>
              </w:rPr>
              <w:t xml:space="preserve">receiver operator characteristic (ROC) and </w:t>
            </w:r>
            <w:proofErr w:type="spellStart"/>
            <w:r w:rsidRPr="00DE234D">
              <w:rPr>
                <w:sz w:val="15"/>
                <w:szCs w:val="15"/>
              </w:rPr>
              <w:t>uni</w:t>
            </w:r>
            <w:proofErr w:type="spellEnd"/>
            <w:r w:rsidRPr="00DE234D">
              <w:rPr>
                <w:sz w:val="15"/>
                <w:szCs w:val="15"/>
              </w:rPr>
              <w:t>- and multivariate cox regression analysis</w:t>
            </w:r>
          </w:p>
        </w:tc>
        <w:tc>
          <w:tcPr>
            <w:tcW w:w="4886" w:type="dxa"/>
          </w:tcPr>
          <w:p w14:paraId="4FC15BED" w14:textId="52EF120B" w:rsidR="00DE234D" w:rsidRPr="000123BF" w:rsidRDefault="00DE234D" w:rsidP="00324B55">
            <w:pPr>
              <w:rPr>
                <w:sz w:val="15"/>
                <w:szCs w:val="15"/>
              </w:rPr>
            </w:pPr>
            <w:r w:rsidRPr="00DE234D">
              <w:rPr>
                <w:sz w:val="15"/>
                <w:szCs w:val="15"/>
              </w:rPr>
              <w:t xml:space="preserve">Among hallmarks of cancer, hypoxia acted as a prominent risk factor of GBM prognosis. A hypoxia-derived gene signature displayed efficient ability in predicting clinical outcomes. High risk score indicated undesirable prognosis, recurrence, and progression of GBM. Moreover, this risk score displayed positive correlations to immunity and stromal activation. Combining immunotherapeutic response predictors, high-risk patients more benefited from immunotherapy. ALDH3B1 and CTSZ </w:t>
            </w:r>
            <w:r w:rsidRPr="00DE234D">
              <w:rPr>
                <w:sz w:val="15"/>
                <w:szCs w:val="15"/>
              </w:rPr>
              <w:lastRenderedPageBreak/>
              <w:t>expression had prominent upregulation in glioma cells than normal glial cells.</w:t>
            </w:r>
          </w:p>
        </w:tc>
      </w:tr>
      <w:tr w:rsidR="00D57018" w:rsidRPr="000123BF" w14:paraId="4970D85E" w14:textId="77777777" w:rsidTr="00986E89">
        <w:trPr>
          <w:trHeight w:val="2184"/>
        </w:trPr>
        <w:tc>
          <w:tcPr>
            <w:tcW w:w="2270" w:type="dxa"/>
          </w:tcPr>
          <w:p w14:paraId="51F51FFD" w14:textId="44D464D5" w:rsidR="00D57018" w:rsidRPr="00170833" w:rsidRDefault="00E5751E" w:rsidP="00E90408">
            <w:pPr>
              <w:jc w:val="left"/>
              <w:rPr>
                <w:highlight w:val="yellow"/>
              </w:rPr>
            </w:pPr>
            <w:hyperlink r:id="rId27" w:history="1">
              <w:r w:rsidR="00D57018" w:rsidRPr="00D57018">
                <w:rPr>
                  <w:rStyle w:val="Hyperlink"/>
                </w:rPr>
                <w:t>Novel Immune-Related Gene-Based Signature Characterizing an Inflamed Microenvironment Predicts Prognosis and Radiotherapy Efficacy in Glioblastoma</w:t>
              </w:r>
            </w:hyperlink>
          </w:p>
        </w:tc>
        <w:tc>
          <w:tcPr>
            <w:tcW w:w="1697" w:type="dxa"/>
          </w:tcPr>
          <w:p w14:paraId="43D90314" w14:textId="7DE1DD73" w:rsidR="00D57018" w:rsidRPr="000123BF" w:rsidRDefault="00A60F90" w:rsidP="00DE234D">
            <w:pPr>
              <w:jc w:val="left"/>
              <w:rPr>
                <w:sz w:val="15"/>
                <w:szCs w:val="15"/>
              </w:rPr>
            </w:pPr>
            <w:r>
              <w:rPr>
                <w:sz w:val="15"/>
                <w:szCs w:val="15"/>
              </w:rPr>
              <w:t xml:space="preserve">/ </w:t>
            </w:r>
            <w:proofErr w:type="spellStart"/>
            <w:r>
              <w:rPr>
                <w:sz w:val="15"/>
                <w:szCs w:val="15"/>
              </w:rPr>
              <w:t>Immue</w:t>
            </w:r>
            <w:proofErr w:type="spellEnd"/>
            <w:r>
              <w:rPr>
                <w:sz w:val="15"/>
                <w:szCs w:val="15"/>
              </w:rPr>
              <w:t xml:space="preserve"> related</w:t>
            </w:r>
          </w:p>
        </w:tc>
        <w:tc>
          <w:tcPr>
            <w:tcW w:w="2265" w:type="dxa"/>
          </w:tcPr>
          <w:p w14:paraId="7757EBC1" w14:textId="58282EB3" w:rsidR="00D57018" w:rsidRPr="00DE234D" w:rsidRDefault="00A60F90" w:rsidP="00E90408">
            <w:pPr>
              <w:jc w:val="left"/>
              <w:rPr>
                <w:sz w:val="15"/>
                <w:szCs w:val="15"/>
              </w:rPr>
            </w:pPr>
            <w:r>
              <w:rPr>
                <w:sz w:val="15"/>
                <w:szCs w:val="15"/>
              </w:rPr>
              <w:t>K-mean, cox regression</w:t>
            </w:r>
          </w:p>
        </w:tc>
        <w:tc>
          <w:tcPr>
            <w:tcW w:w="2835" w:type="dxa"/>
          </w:tcPr>
          <w:p w14:paraId="02FC54FC" w14:textId="77777777" w:rsidR="00D57018" w:rsidRPr="00DE234D" w:rsidRDefault="00D57018" w:rsidP="00E90408">
            <w:pPr>
              <w:jc w:val="left"/>
              <w:rPr>
                <w:sz w:val="15"/>
                <w:szCs w:val="15"/>
              </w:rPr>
            </w:pPr>
          </w:p>
        </w:tc>
        <w:tc>
          <w:tcPr>
            <w:tcW w:w="4886" w:type="dxa"/>
          </w:tcPr>
          <w:p w14:paraId="2555036B" w14:textId="77777777" w:rsidR="00D57018" w:rsidRPr="00DE234D" w:rsidRDefault="00D57018" w:rsidP="00324B55">
            <w:pPr>
              <w:rPr>
                <w:sz w:val="15"/>
                <w:szCs w:val="15"/>
              </w:rPr>
            </w:pPr>
          </w:p>
        </w:tc>
      </w:tr>
      <w:tr w:rsidR="00D57018" w:rsidRPr="000123BF" w14:paraId="5EF2D162" w14:textId="77777777" w:rsidTr="00986E89">
        <w:trPr>
          <w:trHeight w:val="2184"/>
        </w:trPr>
        <w:tc>
          <w:tcPr>
            <w:tcW w:w="2270" w:type="dxa"/>
          </w:tcPr>
          <w:p w14:paraId="2C9F67B0" w14:textId="5A798E35" w:rsidR="00D57018" w:rsidRDefault="00E5751E" w:rsidP="00E90408">
            <w:pPr>
              <w:jc w:val="left"/>
            </w:pPr>
            <w:hyperlink r:id="rId28" w:history="1">
              <w:r w:rsidR="00D57018" w:rsidRPr="00D57018">
                <w:rPr>
                  <w:rStyle w:val="Hyperlink"/>
                </w:rPr>
                <w:t>Integrative Analysis of KCNK Genes and Establishment of a Specific Prognostic Signature for Breast Cancer</w:t>
              </w:r>
            </w:hyperlink>
          </w:p>
        </w:tc>
        <w:tc>
          <w:tcPr>
            <w:tcW w:w="1697" w:type="dxa"/>
          </w:tcPr>
          <w:p w14:paraId="7A5992CA" w14:textId="486B9C80" w:rsidR="00D57018" w:rsidRPr="000123BF" w:rsidRDefault="00CE44C3" w:rsidP="00DE234D">
            <w:pPr>
              <w:jc w:val="left"/>
              <w:rPr>
                <w:sz w:val="15"/>
                <w:szCs w:val="15"/>
              </w:rPr>
            </w:pPr>
            <w:r>
              <w:rPr>
                <w:sz w:val="15"/>
                <w:szCs w:val="15"/>
              </w:rPr>
              <w:t>/cox regression</w:t>
            </w:r>
          </w:p>
        </w:tc>
        <w:tc>
          <w:tcPr>
            <w:tcW w:w="2265" w:type="dxa"/>
          </w:tcPr>
          <w:p w14:paraId="59615700" w14:textId="77777777" w:rsidR="00D57018" w:rsidRPr="00DE234D" w:rsidRDefault="00D57018" w:rsidP="00E90408">
            <w:pPr>
              <w:jc w:val="left"/>
              <w:rPr>
                <w:sz w:val="15"/>
                <w:szCs w:val="15"/>
              </w:rPr>
            </w:pPr>
          </w:p>
        </w:tc>
        <w:tc>
          <w:tcPr>
            <w:tcW w:w="2835" w:type="dxa"/>
          </w:tcPr>
          <w:p w14:paraId="06539284" w14:textId="77777777" w:rsidR="00D57018" w:rsidRPr="00DE234D" w:rsidRDefault="00D57018" w:rsidP="00E90408">
            <w:pPr>
              <w:jc w:val="left"/>
              <w:rPr>
                <w:sz w:val="15"/>
                <w:szCs w:val="15"/>
              </w:rPr>
            </w:pPr>
          </w:p>
        </w:tc>
        <w:tc>
          <w:tcPr>
            <w:tcW w:w="4886" w:type="dxa"/>
          </w:tcPr>
          <w:p w14:paraId="4F287A90" w14:textId="77777777" w:rsidR="00D57018" w:rsidRPr="00DE234D" w:rsidRDefault="00D57018" w:rsidP="00324B55">
            <w:pPr>
              <w:rPr>
                <w:sz w:val="15"/>
                <w:szCs w:val="15"/>
              </w:rPr>
            </w:pPr>
          </w:p>
        </w:tc>
      </w:tr>
      <w:tr w:rsidR="00D57018" w:rsidRPr="000123BF" w14:paraId="72373A8D" w14:textId="77777777" w:rsidTr="00986E89">
        <w:trPr>
          <w:trHeight w:val="2184"/>
        </w:trPr>
        <w:tc>
          <w:tcPr>
            <w:tcW w:w="2270" w:type="dxa"/>
          </w:tcPr>
          <w:p w14:paraId="1A26BC93" w14:textId="77777777" w:rsidR="00D57018" w:rsidRPr="00D57018" w:rsidRDefault="00D57018" w:rsidP="00E90408">
            <w:pPr>
              <w:jc w:val="left"/>
            </w:pPr>
          </w:p>
        </w:tc>
        <w:tc>
          <w:tcPr>
            <w:tcW w:w="1697" w:type="dxa"/>
          </w:tcPr>
          <w:p w14:paraId="5B1D07ED" w14:textId="77777777" w:rsidR="00D57018" w:rsidRPr="000123BF" w:rsidRDefault="00D57018" w:rsidP="00DE234D">
            <w:pPr>
              <w:jc w:val="left"/>
              <w:rPr>
                <w:sz w:val="15"/>
                <w:szCs w:val="15"/>
              </w:rPr>
            </w:pPr>
          </w:p>
        </w:tc>
        <w:tc>
          <w:tcPr>
            <w:tcW w:w="2265" w:type="dxa"/>
          </w:tcPr>
          <w:p w14:paraId="03C5F59B" w14:textId="77777777" w:rsidR="00D57018" w:rsidRPr="00DE234D" w:rsidRDefault="00D57018" w:rsidP="00E90408">
            <w:pPr>
              <w:jc w:val="left"/>
              <w:rPr>
                <w:sz w:val="15"/>
                <w:szCs w:val="15"/>
              </w:rPr>
            </w:pPr>
          </w:p>
        </w:tc>
        <w:tc>
          <w:tcPr>
            <w:tcW w:w="2835" w:type="dxa"/>
          </w:tcPr>
          <w:p w14:paraId="5C6BDB00" w14:textId="77777777" w:rsidR="00D57018" w:rsidRPr="00DE234D" w:rsidRDefault="00D57018" w:rsidP="00E90408">
            <w:pPr>
              <w:jc w:val="left"/>
              <w:rPr>
                <w:sz w:val="15"/>
                <w:szCs w:val="15"/>
              </w:rPr>
            </w:pPr>
          </w:p>
        </w:tc>
        <w:tc>
          <w:tcPr>
            <w:tcW w:w="4886" w:type="dxa"/>
          </w:tcPr>
          <w:p w14:paraId="30BD88D6" w14:textId="77777777" w:rsidR="00D57018" w:rsidRPr="00DE234D" w:rsidRDefault="00D57018" w:rsidP="00324B55">
            <w:pPr>
              <w:rPr>
                <w:sz w:val="15"/>
                <w:szCs w:val="15"/>
              </w:rPr>
            </w:pPr>
          </w:p>
        </w:tc>
      </w:tr>
      <w:tr w:rsidR="0089305C" w:rsidRPr="000123BF" w14:paraId="1C960A09" w14:textId="77777777" w:rsidTr="00986E89">
        <w:trPr>
          <w:trHeight w:val="2184"/>
        </w:trPr>
        <w:tc>
          <w:tcPr>
            <w:tcW w:w="2270" w:type="dxa"/>
          </w:tcPr>
          <w:p w14:paraId="71C58031" w14:textId="3B2DCDFE" w:rsidR="0089305C" w:rsidRPr="0089305C" w:rsidRDefault="00E5751E" w:rsidP="00E90408">
            <w:pPr>
              <w:jc w:val="left"/>
              <w:rPr>
                <w:sz w:val="15"/>
                <w:szCs w:val="15"/>
                <w:lang w:val="en-US"/>
              </w:rPr>
            </w:pPr>
            <w:hyperlink r:id="rId29" w:history="1">
              <w:r w:rsidR="0089305C" w:rsidRPr="00D57018">
                <w:rPr>
                  <w:rStyle w:val="Hyperlink"/>
                  <w:sz w:val="15"/>
                  <w:szCs w:val="15"/>
                  <w:highlight w:val="yellow"/>
                  <w:lang w:val="en-US"/>
                </w:rPr>
                <w:t>Development and validation of a hypoxia-stemness-based prognostic signature in pancreatic adenocarcinoma</w:t>
              </w:r>
            </w:hyperlink>
          </w:p>
        </w:tc>
        <w:tc>
          <w:tcPr>
            <w:tcW w:w="1697" w:type="dxa"/>
          </w:tcPr>
          <w:p w14:paraId="185DF852" w14:textId="77777777" w:rsidR="0089305C" w:rsidRPr="000123BF" w:rsidRDefault="0089305C" w:rsidP="0089305C">
            <w:pPr>
              <w:jc w:val="left"/>
              <w:rPr>
                <w:sz w:val="15"/>
                <w:szCs w:val="15"/>
              </w:rPr>
            </w:pPr>
            <w:r w:rsidRPr="000123BF">
              <w:rPr>
                <w:rFonts w:hint="eastAsia"/>
                <w:sz w:val="15"/>
                <w:szCs w:val="15"/>
              </w:rPr>
              <w:t>Primary</w:t>
            </w:r>
          </w:p>
          <w:p w14:paraId="40D3CFFC" w14:textId="5E0E3FB5" w:rsidR="0089305C" w:rsidRPr="000123BF" w:rsidRDefault="0089305C" w:rsidP="00E90408">
            <w:pPr>
              <w:jc w:val="left"/>
              <w:rPr>
                <w:sz w:val="15"/>
                <w:szCs w:val="15"/>
              </w:rPr>
            </w:pPr>
            <w:r w:rsidRPr="0089305C">
              <w:rPr>
                <w:sz w:val="15"/>
                <w:szCs w:val="15"/>
              </w:rPr>
              <w:t>pancreatic adenocarcinoma</w:t>
            </w:r>
          </w:p>
        </w:tc>
        <w:tc>
          <w:tcPr>
            <w:tcW w:w="2265" w:type="dxa"/>
          </w:tcPr>
          <w:p w14:paraId="18DEDDE0" w14:textId="1D51171D" w:rsidR="0089305C" w:rsidRPr="000123BF" w:rsidRDefault="0089305C" w:rsidP="00E90408">
            <w:pPr>
              <w:jc w:val="left"/>
              <w:rPr>
                <w:sz w:val="15"/>
                <w:szCs w:val="15"/>
              </w:rPr>
            </w:pPr>
            <w:r w:rsidRPr="0089305C">
              <w:rPr>
                <w:sz w:val="15"/>
                <w:szCs w:val="15"/>
              </w:rPr>
              <w:t>The mRNA expression-based stemness index (</w:t>
            </w:r>
            <w:proofErr w:type="spellStart"/>
            <w:r w:rsidRPr="0089305C">
              <w:rPr>
                <w:sz w:val="15"/>
                <w:szCs w:val="15"/>
              </w:rPr>
              <w:t>mRNAsi</w:t>
            </w:r>
            <w:proofErr w:type="spellEnd"/>
            <w:r w:rsidRPr="0089305C">
              <w:rPr>
                <w:sz w:val="15"/>
                <w:szCs w:val="15"/>
              </w:rPr>
              <w:t>) data of PAAD samples from The Cancer Genome Atlas (TCGA) database</w:t>
            </w:r>
          </w:p>
        </w:tc>
        <w:tc>
          <w:tcPr>
            <w:tcW w:w="2835" w:type="dxa"/>
          </w:tcPr>
          <w:p w14:paraId="38F2A05C" w14:textId="3C36C4FD" w:rsidR="0089305C" w:rsidRPr="000123BF" w:rsidRDefault="0089305C" w:rsidP="00E90408">
            <w:pPr>
              <w:jc w:val="left"/>
              <w:rPr>
                <w:sz w:val="15"/>
                <w:szCs w:val="15"/>
              </w:rPr>
            </w:pPr>
            <w:r w:rsidRPr="0089305C">
              <w:rPr>
                <w:sz w:val="15"/>
                <w:szCs w:val="15"/>
              </w:rPr>
              <w:t>one-class logistic regression (OCLR) machine learning algorithm. Univariate Cox regression and LASSO regression analyses were then performed to establish a hypoxia-</w:t>
            </w:r>
            <w:proofErr w:type="spellStart"/>
            <w:r w:rsidRPr="0089305C">
              <w:rPr>
                <w:sz w:val="15"/>
                <w:szCs w:val="15"/>
              </w:rPr>
              <w:t>mRNAsi</w:t>
            </w:r>
            <w:proofErr w:type="spellEnd"/>
            <w:r w:rsidRPr="0089305C">
              <w:rPr>
                <w:sz w:val="15"/>
                <w:szCs w:val="15"/>
              </w:rPr>
              <w:t xml:space="preserve">-related gene signature, and its prognostic performance was verified in both the TCGA-PAAD and GSE62452 </w:t>
            </w:r>
            <w:proofErr w:type="spellStart"/>
            <w:r w:rsidRPr="0089305C">
              <w:rPr>
                <w:sz w:val="15"/>
                <w:szCs w:val="15"/>
              </w:rPr>
              <w:t>corhorts</w:t>
            </w:r>
            <w:proofErr w:type="spellEnd"/>
            <w:r w:rsidRPr="0089305C">
              <w:rPr>
                <w:sz w:val="15"/>
                <w:szCs w:val="15"/>
              </w:rPr>
              <w:t xml:space="preserve"> by Kaplan-Meier and receiver operating characteristic (ROC) analyses.</w:t>
            </w:r>
          </w:p>
        </w:tc>
        <w:tc>
          <w:tcPr>
            <w:tcW w:w="4886" w:type="dxa"/>
          </w:tcPr>
          <w:p w14:paraId="4EFEB5EC" w14:textId="10B787EA" w:rsidR="0089305C" w:rsidRPr="000123BF" w:rsidRDefault="0089305C" w:rsidP="00324B55">
            <w:pPr>
              <w:rPr>
                <w:sz w:val="15"/>
                <w:szCs w:val="15"/>
              </w:rPr>
            </w:pPr>
            <w:r w:rsidRPr="0089305C">
              <w:rPr>
                <w:sz w:val="15"/>
                <w:szCs w:val="15"/>
              </w:rPr>
              <w:t>A novel prognostic risk model was successfully constructed based on the eight-gene signature comprising JMJD6, NDST1, ENO3, LDHA, TES, ANKZF1, CITED, and SIAH2, which could accurately predict the 1-, 3-, and 5-year OS of PAAD patients in both the training and external validation datasets.</w:t>
            </w:r>
          </w:p>
        </w:tc>
      </w:tr>
      <w:tr w:rsidR="004204CD" w:rsidRPr="000123BF" w14:paraId="050BD82A" w14:textId="77777777" w:rsidTr="00986E89">
        <w:trPr>
          <w:trHeight w:val="2184"/>
        </w:trPr>
        <w:tc>
          <w:tcPr>
            <w:tcW w:w="2270" w:type="dxa"/>
          </w:tcPr>
          <w:p w14:paraId="085559BC" w14:textId="128A9358" w:rsidR="004204CD" w:rsidRDefault="004204CD" w:rsidP="00E90408">
            <w:pPr>
              <w:jc w:val="left"/>
            </w:pPr>
            <w:hyperlink r:id="rId30" w:history="1">
              <w:r w:rsidRPr="004204CD">
                <w:rPr>
                  <w:rStyle w:val="Hyperlink"/>
                </w:rPr>
                <w:t>Development and Verification of the Hypoxia- and Immune-Associated Prognostic Signature for Pancreatic Ductal Adenocarcinoma</w:t>
              </w:r>
            </w:hyperlink>
          </w:p>
        </w:tc>
        <w:tc>
          <w:tcPr>
            <w:tcW w:w="1697" w:type="dxa"/>
          </w:tcPr>
          <w:p w14:paraId="4D603ED0" w14:textId="3399F760" w:rsidR="004204CD" w:rsidRPr="000123BF" w:rsidRDefault="004204CD" w:rsidP="0089305C">
            <w:pPr>
              <w:jc w:val="left"/>
              <w:rPr>
                <w:rFonts w:hint="eastAsia"/>
                <w:sz w:val="15"/>
                <w:szCs w:val="15"/>
              </w:rPr>
            </w:pPr>
            <w:r w:rsidRPr="004204CD">
              <w:rPr>
                <w:sz w:val="15"/>
                <w:szCs w:val="15"/>
              </w:rPr>
              <w:t>Pancreatic Ductal Adenocarcinoma</w:t>
            </w:r>
          </w:p>
        </w:tc>
        <w:tc>
          <w:tcPr>
            <w:tcW w:w="2265" w:type="dxa"/>
          </w:tcPr>
          <w:p w14:paraId="00569047" w14:textId="77777777" w:rsidR="004204CD" w:rsidRPr="0089305C" w:rsidRDefault="004204CD" w:rsidP="00E90408">
            <w:pPr>
              <w:jc w:val="left"/>
              <w:rPr>
                <w:sz w:val="15"/>
                <w:szCs w:val="15"/>
              </w:rPr>
            </w:pPr>
          </w:p>
        </w:tc>
        <w:tc>
          <w:tcPr>
            <w:tcW w:w="2835" w:type="dxa"/>
          </w:tcPr>
          <w:p w14:paraId="13E997B0" w14:textId="5FBA17D0" w:rsidR="004204CD" w:rsidRPr="004204CD" w:rsidRDefault="004204CD" w:rsidP="00E90408">
            <w:pPr>
              <w:jc w:val="left"/>
              <w:rPr>
                <w:b/>
                <w:bCs/>
                <w:sz w:val="15"/>
                <w:szCs w:val="15"/>
              </w:rPr>
            </w:pPr>
            <w:r w:rsidRPr="004204CD">
              <w:rPr>
                <w:b/>
                <w:bCs/>
                <w:sz w:val="15"/>
                <w:szCs w:val="15"/>
              </w:rPr>
              <w:t>Seven hypoxia and immune-associated signature genes (S100A16, PPP3CA, SEMA3C, PLAU, IL18, GDF11, and NR0B1) were identified to construct a risk score model using the Univariate Cox regression and the Least Absolute Shrinkage and Selection Operator (LASSO) Cox regression,</w:t>
            </w:r>
          </w:p>
        </w:tc>
        <w:tc>
          <w:tcPr>
            <w:tcW w:w="4886" w:type="dxa"/>
          </w:tcPr>
          <w:p w14:paraId="036CEEA5" w14:textId="77777777" w:rsidR="004204CD" w:rsidRPr="0089305C" w:rsidRDefault="004204CD" w:rsidP="00324B55">
            <w:pPr>
              <w:rPr>
                <w:sz w:val="15"/>
                <w:szCs w:val="15"/>
              </w:rPr>
            </w:pPr>
          </w:p>
        </w:tc>
      </w:tr>
      <w:tr w:rsidR="002E3D3D" w:rsidRPr="000123BF" w14:paraId="35BE663A" w14:textId="77777777" w:rsidTr="00986E89">
        <w:trPr>
          <w:trHeight w:val="2184"/>
        </w:trPr>
        <w:tc>
          <w:tcPr>
            <w:tcW w:w="2270" w:type="dxa"/>
          </w:tcPr>
          <w:p w14:paraId="71B829B8" w14:textId="77777777" w:rsidR="002E3D3D" w:rsidRPr="002E3D3D" w:rsidRDefault="002E3D3D" w:rsidP="002E3D3D">
            <w:pPr>
              <w:pStyle w:val="Heading1"/>
              <w:shd w:val="clear" w:color="auto" w:fill="FFFFFF"/>
              <w:rPr>
                <w:rStyle w:val="Hyperlink"/>
                <w:rFonts w:asciiTheme="minorHAnsi" w:eastAsiaTheme="minorEastAsia" w:hAnsiTheme="minorHAnsi" w:cstheme="minorBidi"/>
                <w:b w:val="0"/>
                <w:bCs w:val="0"/>
                <w:kern w:val="2"/>
                <w:sz w:val="21"/>
                <w:szCs w:val="22"/>
                <w:lang w:val="en-GB"/>
              </w:rPr>
            </w:pPr>
            <w:r w:rsidRPr="002E3D3D">
              <w:rPr>
                <w:rStyle w:val="Hyperlink"/>
                <w:rFonts w:asciiTheme="minorHAnsi" w:eastAsiaTheme="minorEastAsia" w:hAnsiTheme="minorHAnsi" w:cstheme="minorBidi"/>
                <w:b w:val="0"/>
                <w:bCs w:val="0"/>
                <w:kern w:val="2"/>
                <w:sz w:val="21"/>
                <w:szCs w:val="22"/>
                <w:lang w:val="en-GB"/>
              </w:rPr>
              <w:lastRenderedPageBreak/>
              <w:t>A signature of hypoxia-related factors reveals functional dysregulation and robustly predicts clinical outcomes in stage I/II colorectal cancer patients</w:t>
            </w:r>
          </w:p>
          <w:p w14:paraId="347697D0" w14:textId="77777777" w:rsidR="002E3D3D" w:rsidRPr="002E3D3D" w:rsidRDefault="002E3D3D" w:rsidP="00E90408">
            <w:pPr>
              <w:jc w:val="left"/>
              <w:rPr>
                <w:rStyle w:val="Hyperlink"/>
              </w:rPr>
            </w:pPr>
          </w:p>
        </w:tc>
        <w:tc>
          <w:tcPr>
            <w:tcW w:w="1697" w:type="dxa"/>
          </w:tcPr>
          <w:p w14:paraId="44AAE5CC" w14:textId="3C73FF41" w:rsidR="002E3D3D" w:rsidRPr="004204CD" w:rsidRDefault="002E3D3D" w:rsidP="0089305C">
            <w:pPr>
              <w:jc w:val="left"/>
              <w:rPr>
                <w:sz w:val="15"/>
                <w:szCs w:val="15"/>
              </w:rPr>
            </w:pPr>
            <w:r w:rsidRPr="002E3D3D">
              <w:rPr>
                <w:sz w:val="15"/>
                <w:szCs w:val="15"/>
              </w:rPr>
              <w:t>https://pubmed.ncbi.nlm.nih.gov/31572060/</w:t>
            </w:r>
          </w:p>
        </w:tc>
        <w:tc>
          <w:tcPr>
            <w:tcW w:w="2265" w:type="dxa"/>
          </w:tcPr>
          <w:p w14:paraId="6B3E97C7" w14:textId="77777777" w:rsidR="002E3D3D" w:rsidRPr="0089305C" w:rsidRDefault="002E3D3D" w:rsidP="00E90408">
            <w:pPr>
              <w:jc w:val="left"/>
              <w:rPr>
                <w:sz w:val="15"/>
                <w:szCs w:val="15"/>
              </w:rPr>
            </w:pPr>
          </w:p>
        </w:tc>
        <w:tc>
          <w:tcPr>
            <w:tcW w:w="2835" w:type="dxa"/>
          </w:tcPr>
          <w:p w14:paraId="5B5190DF" w14:textId="471F4DC5" w:rsidR="002E3D3D" w:rsidRPr="004204CD" w:rsidRDefault="002E3D3D" w:rsidP="00E90408">
            <w:pPr>
              <w:jc w:val="left"/>
              <w:rPr>
                <w:b/>
                <w:bCs/>
                <w:sz w:val="15"/>
                <w:szCs w:val="15"/>
              </w:rPr>
            </w:pPr>
            <w:r w:rsidRPr="004204CD">
              <w:rPr>
                <w:b/>
                <w:bCs/>
                <w:sz w:val="15"/>
                <w:szCs w:val="15"/>
              </w:rPr>
              <w:t>Univariate</w:t>
            </w:r>
          </w:p>
        </w:tc>
        <w:tc>
          <w:tcPr>
            <w:tcW w:w="4886" w:type="dxa"/>
          </w:tcPr>
          <w:p w14:paraId="632FA449" w14:textId="77777777" w:rsidR="002E3D3D" w:rsidRPr="0089305C" w:rsidRDefault="002E3D3D" w:rsidP="00324B55">
            <w:pPr>
              <w:rPr>
                <w:sz w:val="15"/>
                <w:szCs w:val="15"/>
              </w:rPr>
            </w:pPr>
          </w:p>
        </w:tc>
      </w:tr>
      <w:tr w:rsidR="0077231C" w:rsidRPr="000123BF" w14:paraId="482CDBA8" w14:textId="77777777" w:rsidTr="00986E89">
        <w:trPr>
          <w:trHeight w:val="2184"/>
        </w:trPr>
        <w:tc>
          <w:tcPr>
            <w:tcW w:w="2270" w:type="dxa"/>
          </w:tcPr>
          <w:p w14:paraId="4B1B83AC" w14:textId="6C77008E" w:rsidR="0077231C" w:rsidRDefault="0077231C" w:rsidP="00E90408">
            <w:pPr>
              <w:jc w:val="left"/>
            </w:pPr>
            <w:hyperlink r:id="rId31" w:history="1">
              <w:r w:rsidRPr="0077231C">
                <w:rPr>
                  <w:rStyle w:val="Hyperlink"/>
                </w:rPr>
                <w:t xml:space="preserve">Determination of hypoxia signature to predict prognosis and the </w:t>
              </w:r>
              <w:proofErr w:type="spellStart"/>
              <w:r w:rsidRPr="0077231C">
                <w:rPr>
                  <w:rStyle w:val="Hyperlink"/>
                </w:rPr>
                <w:t>tumor</w:t>
              </w:r>
              <w:proofErr w:type="spellEnd"/>
              <w:r w:rsidRPr="0077231C">
                <w:rPr>
                  <w:rStyle w:val="Hyperlink"/>
                </w:rPr>
                <w:t xml:space="preserve"> immune microenvironment in melanoma</w:t>
              </w:r>
            </w:hyperlink>
          </w:p>
        </w:tc>
        <w:tc>
          <w:tcPr>
            <w:tcW w:w="1697" w:type="dxa"/>
          </w:tcPr>
          <w:p w14:paraId="79974AE0" w14:textId="77777777" w:rsidR="0077231C" w:rsidRPr="004204CD" w:rsidRDefault="0077231C" w:rsidP="0089305C">
            <w:pPr>
              <w:jc w:val="left"/>
              <w:rPr>
                <w:sz w:val="15"/>
                <w:szCs w:val="15"/>
              </w:rPr>
            </w:pPr>
          </w:p>
        </w:tc>
        <w:tc>
          <w:tcPr>
            <w:tcW w:w="2265" w:type="dxa"/>
          </w:tcPr>
          <w:p w14:paraId="3C207B12" w14:textId="77777777" w:rsidR="0077231C" w:rsidRPr="0089305C" w:rsidRDefault="0077231C" w:rsidP="00E90408">
            <w:pPr>
              <w:jc w:val="left"/>
              <w:rPr>
                <w:sz w:val="15"/>
                <w:szCs w:val="15"/>
              </w:rPr>
            </w:pPr>
          </w:p>
        </w:tc>
        <w:tc>
          <w:tcPr>
            <w:tcW w:w="2835" w:type="dxa"/>
          </w:tcPr>
          <w:p w14:paraId="451E3994" w14:textId="2D7F41F5" w:rsidR="0077231C" w:rsidRPr="004204CD" w:rsidRDefault="0077231C" w:rsidP="00E90408">
            <w:pPr>
              <w:jc w:val="left"/>
              <w:rPr>
                <w:b/>
                <w:bCs/>
                <w:sz w:val="15"/>
                <w:szCs w:val="15"/>
              </w:rPr>
            </w:pPr>
            <w:r w:rsidRPr="0077231C">
              <w:rPr>
                <w:b/>
                <w:bCs/>
                <w:sz w:val="15"/>
                <w:szCs w:val="15"/>
              </w:rPr>
              <w:t xml:space="preserve">Using Lasso Cox regression, a hypoxia model was constructed. The receiver operating characteristic and the Kaplan-Meier curve were used to evaluate the predictive capacity of the model. With the CIBERSORT algorithm, the abundance of 22 immune cells in the melanoma microenvironment was </w:t>
            </w:r>
            <w:proofErr w:type="spellStart"/>
            <w:r w:rsidRPr="0077231C">
              <w:rPr>
                <w:b/>
                <w:bCs/>
                <w:sz w:val="15"/>
                <w:szCs w:val="15"/>
              </w:rPr>
              <w:t>analyzed</w:t>
            </w:r>
            <w:proofErr w:type="spellEnd"/>
            <w:r w:rsidRPr="0077231C">
              <w:rPr>
                <w:b/>
                <w:bCs/>
                <w:sz w:val="15"/>
                <w:szCs w:val="15"/>
              </w:rPr>
              <w:t xml:space="preserve">. A total of 20 hypoxia-related genes were significantly related to prognosis in the log-rank test. Lasso regression showed that FBP1, SDC3, FOXO3, IGFBP1, S100A4, EGFR, ISG20, CP, PPARGC1A, KIF5A, and DPYSL4 </w:t>
            </w:r>
            <w:r w:rsidRPr="0077231C">
              <w:rPr>
                <w:b/>
                <w:bCs/>
                <w:sz w:val="15"/>
                <w:szCs w:val="15"/>
              </w:rPr>
              <w:lastRenderedPageBreak/>
              <w:t>displayed the best features.</w:t>
            </w:r>
          </w:p>
        </w:tc>
        <w:tc>
          <w:tcPr>
            <w:tcW w:w="4886" w:type="dxa"/>
          </w:tcPr>
          <w:p w14:paraId="3393CD04" w14:textId="77777777" w:rsidR="0077231C" w:rsidRPr="0089305C" w:rsidRDefault="0077231C" w:rsidP="00324B55">
            <w:pPr>
              <w:rPr>
                <w:sz w:val="15"/>
                <w:szCs w:val="15"/>
              </w:rPr>
            </w:pPr>
          </w:p>
        </w:tc>
      </w:tr>
      <w:tr w:rsidR="0089305C" w:rsidRPr="000123BF" w14:paraId="47140EF9" w14:textId="77777777" w:rsidTr="00986E89">
        <w:trPr>
          <w:trHeight w:val="2184"/>
        </w:trPr>
        <w:tc>
          <w:tcPr>
            <w:tcW w:w="2270" w:type="dxa"/>
          </w:tcPr>
          <w:p w14:paraId="50589D72" w14:textId="6D6D5424" w:rsidR="0089305C" w:rsidRPr="0089305C" w:rsidRDefault="00E5751E" w:rsidP="00E90408">
            <w:pPr>
              <w:jc w:val="left"/>
              <w:rPr>
                <w:sz w:val="15"/>
                <w:szCs w:val="15"/>
                <w:lang w:val="en-US"/>
              </w:rPr>
            </w:pPr>
            <w:hyperlink r:id="rId32" w:history="1">
              <w:r w:rsidR="0089305C" w:rsidRPr="00DE6CB6">
                <w:rPr>
                  <w:rStyle w:val="Hyperlink"/>
                  <w:sz w:val="15"/>
                  <w:szCs w:val="15"/>
                  <w:highlight w:val="yellow"/>
                  <w:lang w:val="en-US"/>
                </w:rPr>
                <w:t>Centrosome amplification-related signature correlated with immune microenvironment and treatment response predicts prognosis and improves diagnosis of hepatocellular carcinoma by integrating machine learning and single-cell analyses</w:t>
              </w:r>
            </w:hyperlink>
          </w:p>
        </w:tc>
        <w:tc>
          <w:tcPr>
            <w:tcW w:w="1697" w:type="dxa"/>
          </w:tcPr>
          <w:p w14:paraId="44F96E66" w14:textId="77777777" w:rsidR="0089305C" w:rsidRPr="000123BF" w:rsidRDefault="0089305C" w:rsidP="0089305C">
            <w:pPr>
              <w:jc w:val="left"/>
              <w:rPr>
                <w:sz w:val="15"/>
                <w:szCs w:val="15"/>
              </w:rPr>
            </w:pPr>
            <w:r w:rsidRPr="000123BF">
              <w:rPr>
                <w:rFonts w:hint="eastAsia"/>
                <w:sz w:val="15"/>
                <w:szCs w:val="15"/>
              </w:rPr>
              <w:t>Primary</w:t>
            </w:r>
          </w:p>
          <w:p w14:paraId="3C54DDCC" w14:textId="77777777" w:rsidR="0089305C" w:rsidRDefault="0089305C" w:rsidP="00E90408">
            <w:pPr>
              <w:jc w:val="left"/>
              <w:rPr>
                <w:sz w:val="15"/>
                <w:szCs w:val="15"/>
              </w:rPr>
            </w:pPr>
            <w:r w:rsidRPr="0089305C">
              <w:rPr>
                <w:sz w:val="15"/>
                <w:szCs w:val="15"/>
              </w:rPr>
              <w:t>hepatocellular carcinoma</w:t>
            </w:r>
          </w:p>
          <w:p w14:paraId="729CF926" w14:textId="4CA687E2" w:rsidR="000245D3" w:rsidRPr="000123BF" w:rsidRDefault="000245D3" w:rsidP="00E90408">
            <w:pPr>
              <w:jc w:val="left"/>
              <w:rPr>
                <w:sz w:val="15"/>
                <w:szCs w:val="15"/>
              </w:rPr>
            </w:pPr>
            <w:r w:rsidRPr="000245D3">
              <w:rPr>
                <w:sz w:val="15"/>
                <w:szCs w:val="15"/>
                <w:highlight w:val="yellow"/>
              </w:rPr>
              <w:t>\</w:t>
            </w:r>
            <w:r w:rsidRPr="000245D3">
              <w:rPr>
                <w:rFonts w:hint="eastAsia"/>
                <w:sz w:val="15"/>
                <w:szCs w:val="15"/>
                <w:highlight w:val="yellow"/>
              </w:rPr>
              <w:t>not</w:t>
            </w:r>
            <w:r w:rsidRPr="000245D3">
              <w:rPr>
                <w:sz w:val="15"/>
                <w:szCs w:val="15"/>
                <w:highlight w:val="yellow"/>
              </w:rPr>
              <w:t xml:space="preserve"> hypoxia</w:t>
            </w:r>
          </w:p>
        </w:tc>
        <w:tc>
          <w:tcPr>
            <w:tcW w:w="2265" w:type="dxa"/>
          </w:tcPr>
          <w:p w14:paraId="0B0F25BD" w14:textId="1B76002B" w:rsidR="0089305C" w:rsidRPr="000123BF" w:rsidRDefault="0089305C" w:rsidP="00E90408">
            <w:pPr>
              <w:jc w:val="left"/>
              <w:rPr>
                <w:sz w:val="15"/>
                <w:szCs w:val="15"/>
              </w:rPr>
            </w:pPr>
            <w:r w:rsidRPr="0089305C">
              <w:rPr>
                <w:sz w:val="15"/>
                <w:szCs w:val="15"/>
              </w:rPr>
              <w:t>TCGA dataset</w:t>
            </w:r>
            <w:r>
              <w:rPr>
                <w:sz w:val="15"/>
                <w:szCs w:val="15"/>
              </w:rPr>
              <w:t xml:space="preserve">, </w:t>
            </w:r>
            <w:r w:rsidRPr="0089305C">
              <w:rPr>
                <w:sz w:val="15"/>
                <w:szCs w:val="15"/>
              </w:rPr>
              <w:t>ICGC dataset was obtained for signature validation</w:t>
            </w:r>
          </w:p>
        </w:tc>
        <w:tc>
          <w:tcPr>
            <w:tcW w:w="2835" w:type="dxa"/>
          </w:tcPr>
          <w:p w14:paraId="5F276BBF" w14:textId="3E72272E" w:rsidR="0089305C" w:rsidRPr="000123BF" w:rsidRDefault="0089305C" w:rsidP="00E90408">
            <w:pPr>
              <w:jc w:val="left"/>
              <w:rPr>
                <w:sz w:val="15"/>
                <w:szCs w:val="15"/>
              </w:rPr>
            </w:pPr>
            <w:r w:rsidRPr="0089305C">
              <w:rPr>
                <w:sz w:val="15"/>
                <w:szCs w:val="15"/>
              </w:rPr>
              <w:t>using the LASSO-penalized Cox regression algorithm</w:t>
            </w:r>
          </w:p>
        </w:tc>
        <w:tc>
          <w:tcPr>
            <w:tcW w:w="4886" w:type="dxa"/>
          </w:tcPr>
          <w:p w14:paraId="065D5F0C" w14:textId="4FA50810" w:rsidR="0089305C" w:rsidRPr="000123BF" w:rsidRDefault="0089305C" w:rsidP="00324B55">
            <w:pPr>
              <w:rPr>
                <w:sz w:val="15"/>
                <w:szCs w:val="15"/>
              </w:rPr>
            </w:pPr>
            <w:r w:rsidRPr="0089305C">
              <w:rPr>
                <w:sz w:val="15"/>
                <w:szCs w:val="15"/>
              </w:rPr>
              <w:t>6 key prognostic genes (SSX2IP, SPAG4, SAC3D1, NPM1, CSNK1D, and CEP55) among them were screened out to construct a signature with both high sensitivity and specificity in diagnosis and prognosis of HCC patients</w:t>
            </w:r>
          </w:p>
        </w:tc>
      </w:tr>
      <w:tr w:rsidR="00DE6CB6" w:rsidRPr="000123BF" w14:paraId="4FBFF2A1" w14:textId="77777777" w:rsidTr="00986E89">
        <w:trPr>
          <w:trHeight w:val="2184"/>
        </w:trPr>
        <w:tc>
          <w:tcPr>
            <w:tcW w:w="2270" w:type="dxa"/>
          </w:tcPr>
          <w:p w14:paraId="5AFF40C5" w14:textId="665F605A" w:rsidR="00DE6CB6" w:rsidRPr="00E56044" w:rsidRDefault="00E56044" w:rsidP="00E90408">
            <w:pPr>
              <w:jc w:val="left"/>
              <w:rPr>
                <w:highlight w:val="magenta"/>
              </w:rPr>
            </w:pPr>
            <w:hyperlink r:id="rId33" w:history="1">
              <w:r w:rsidRPr="00E56044">
                <w:rPr>
                  <w:rStyle w:val="Hyperlink"/>
                </w:rPr>
                <w:t xml:space="preserve">Development of a Comprehensive Gene Signature Linking Hypoxia, Glycolysis, </w:t>
              </w:r>
              <w:proofErr w:type="spellStart"/>
              <w:r w:rsidRPr="00E56044">
                <w:rPr>
                  <w:rStyle w:val="Hyperlink"/>
                </w:rPr>
                <w:t>Lactylation</w:t>
              </w:r>
              <w:proofErr w:type="spellEnd"/>
              <w:r w:rsidRPr="00E56044">
                <w:rPr>
                  <w:rStyle w:val="Hyperlink"/>
                </w:rPr>
                <w:t xml:space="preserve">, and Metabolomic Insights in Gastric Cancer through the Integration of Bulk </w:t>
              </w:r>
              <w:r w:rsidRPr="00E56044">
                <w:rPr>
                  <w:rStyle w:val="Hyperlink"/>
                </w:rPr>
                <w:lastRenderedPageBreak/>
                <w:t>and Single-Cell RNA-</w:t>
              </w:r>
              <w:proofErr w:type="spellStart"/>
              <w:r w:rsidRPr="00E56044">
                <w:rPr>
                  <w:rStyle w:val="Hyperlink"/>
                </w:rPr>
                <w:t>Seq</w:t>
              </w:r>
              <w:proofErr w:type="spellEnd"/>
              <w:r w:rsidRPr="00E56044">
                <w:rPr>
                  <w:rStyle w:val="Hyperlink"/>
                </w:rPr>
                <w:t xml:space="preserve"> Data</w:t>
              </w:r>
            </w:hyperlink>
          </w:p>
        </w:tc>
        <w:tc>
          <w:tcPr>
            <w:tcW w:w="1697" w:type="dxa"/>
          </w:tcPr>
          <w:p w14:paraId="0D64B357" w14:textId="77777777" w:rsidR="00DE6CB6" w:rsidRPr="00E56044" w:rsidRDefault="00DE6CB6" w:rsidP="0089305C">
            <w:pPr>
              <w:jc w:val="left"/>
              <w:rPr>
                <w:sz w:val="15"/>
                <w:szCs w:val="15"/>
                <w:highlight w:val="magenta"/>
              </w:rPr>
            </w:pPr>
          </w:p>
        </w:tc>
        <w:tc>
          <w:tcPr>
            <w:tcW w:w="2265" w:type="dxa"/>
          </w:tcPr>
          <w:p w14:paraId="6B40C80D" w14:textId="77777777" w:rsidR="00DE6CB6" w:rsidRPr="0089305C" w:rsidRDefault="00DE6CB6" w:rsidP="00E90408">
            <w:pPr>
              <w:jc w:val="left"/>
              <w:rPr>
                <w:sz w:val="15"/>
                <w:szCs w:val="15"/>
              </w:rPr>
            </w:pPr>
          </w:p>
        </w:tc>
        <w:tc>
          <w:tcPr>
            <w:tcW w:w="2835" w:type="dxa"/>
          </w:tcPr>
          <w:p w14:paraId="2F478473" w14:textId="09144B3E" w:rsidR="00DE6CB6" w:rsidRPr="0089305C" w:rsidRDefault="00E56044" w:rsidP="00E90408">
            <w:pPr>
              <w:jc w:val="left"/>
              <w:rPr>
                <w:sz w:val="15"/>
                <w:szCs w:val="15"/>
              </w:rPr>
            </w:pPr>
            <w:r w:rsidRPr="00E56044">
              <w:rPr>
                <w:sz w:val="15"/>
                <w:szCs w:val="15"/>
              </w:rPr>
              <w:t>A HGLRG risk-score model was developed based on univariate Cox regression and a LASSO-Cox regression model and subsequently validated</w:t>
            </w:r>
          </w:p>
        </w:tc>
        <w:tc>
          <w:tcPr>
            <w:tcW w:w="4886" w:type="dxa"/>
          </w:tcPr>
          <w:p w14:paraId="65B0EEA4" w14:textId="77777777" w:rsidR="00DE6CB6" w:rsidRPr="0089305C" w:rsidRDefault="00DE6CB6" w:rsidP="00324B55">
            <w:pPr>
              <w:rPr>
                <w:sz w:val="15"/>
                <w:szCs w:val="15"/>
              </w:rPr>
            </w:pPr>
          </w:p>
        </w:tc>
      </w:tr>
      <w:bookmarkStart w:id="6" w:name="_Hlk154792396"/>
      <w:tr w:rsidR="00FF6980" w:rsidRPr="000123BF" w14:paraId="60B47EB1" w14:textId="77777777" w:rsidTr="00986E89">
        <w:trPr>
          <w:trHeight w:val="2184"/>
        </w:trPr>
        <w:tc>
          <w:tcPr>
            <w:tcW w:w="2270" w:type="dxa"/>
          </w:tcPr>
          <w:p w14:paraId="7F2E5A0F" w14:textId="4A374627" w:rsidR="00FF6980" w:rsidRPr="006749E3" w:rsidRDefault="006749E3" w:rsidP="00E90408">
            <w:pPr>
              <w:jc w:val="left"/>
              <w:rPr>
                <w:sz w:val="15"/>
                <w:szCs w:val="15"/>
                <w:lang w:val="en-US"/>
              </w:rPr>
            </w:pPr>
            <w:r w:rsidRPr="006749E3">
              <w:rPr>
                <w:sz w:val="15"/>
                <w:szCs w:val="15"/>
                <w:highlight w:val="magenta"/>
                <w:lang w:val="en-US"/>
              </w:rPr>
              <w:fldChar w:fldCharType="begin"/>
            </w:r>
            <w:r w:rsidRPr="006749E3">
              <w:rPr>
                <w:sz w:val="15"/>
                <w:szCs w:val="15"/>
                <w:highlight w:val="magenta"/>
                <w:lang w:val="en-US"/>
              </w:rPr>
              <w:instrText>HYPERLINK "https://pubmed.ncbi.nlm.nih.gov/35634956/"</w:instrText>
            </w:r>
            <w:r w:rsidRPr="006749E3">
              <w:rPr>
                <w:sz w:val="15"/>
                <w:szCs w:val="15"/>
                <w:highlight w:val="magenta"/>
                <w:lang w:val="en-US"/>
              </w:rPr>
            </w:r>
            <w:r w:rsidRPr="006749E3">
              <w:rPr>
                <w:sz w:val="15"/>
                <w:szCs w:val="15"/>
                <w:highlight w:val="magenta"/>
                <w:lang w:val="en-US"/>
              </w:rPr>
              <w:fldChar w:fldCharType="separate"/>
            </w:r>
            <w:r w:rsidR="00FF6980" w:rsidRPr="006749E3">
              <w:rPr>
                <w:rStyle w:val="Hyperlink"/>
                <w:sz w:val="15"/>
                <w:szCs w:val="15"/>
                <w:highlight w:val="magenta"/>
                <w:lang w:val="en-US"/>
              </w:rPr>
              <w:t>Characterizing the landscape of cervical squamous cell carcinoma immune microenvironment by integrating the single</w:t>
            </w:r>
            <w:r w:rsidR="00FF6980" w:rsidRPr="006749E3">
              <w:rPr>
                <w:rStyle w:val="Hyperlink"/>
                <w:rFonts w:ascii="Times New Roman" w:hAnsi="Times New Roman" w:cs="Times New Roman"/>
                <w:sz w:val="15"/>
                <w:szCs w:val="15"/>
                <w:highlight w:val="magenta"/>
                <w:lang w:val="en-US"/>
              </w:rPr>
              <w:t>‐</w:t>
            </w:r>
            <w:r w:rsidR="00FF6980" w:rsidRPr="006749E3">
              <w:rPr>
                <w:rStyle w:val="Hyperlink"/>
                <w:sz w:val="15"/>
                <w:szCs w:val="15"/>
                <w:highlight w:val="magenta"/>
                <w:lang w:val="en-US"/>
              </w:rPr>
              <w:t>cell transcriptomics and RNA</w:t>
            </w:r>
            <w:r w:rsidR="00FF6980" w:rsidRPr="006749E3">
              <w:rPr>
                <w:rStyle w:val="Hyperlink"/>
                <w:rFonts w:ascii="Times New Roman" w:hAnsi="Times New Roman" w:cs="Times New Roman"/>
                <w:sz w:val="15"/>
                <w:szCs w:val="15"/>
                <w:highlight w:val="magenta"/>
                <w:lang w:val="en-US"/>
              </w:rPr>
              <w:t>‐</w:t>
            </w:r>
            <w:r w:rsidR="00FF6980" w:rsidRPr="006749E3">
              <w:rPr>
                <w:rStyle w:val="Hyperlink"/>
                <w:sz w:val="15"/>
                <w:szCs w:val="15"/>
                <w:highlight w:val="magenta"/>
                <w:lang w:val="en-US"/>
              </w:rPr>
              <w:t>Seq</w:t>
            </w:r>
            <w:bookmarkEnd w:id="6"/>
            <w:r w:rsidRPr="006749E3">
              <w:rPr>
                <w:sz w:val="15"/>
                <w:szCs w:val="15"/>
                <w:highlight w:val="magenta"/>
                <w:lang w:val="en-US"/>
              </w:rPr>
              <w:fldChar w:fldCharType="end"/>
            </w:r>
          </w:p>
        </w:tc>
        <w:tc>
          <w:tcPr>
            <w:tcW w:w="1697" w:type="dxa"/>
          </w:tcPr>
          <w:p w14:paraId="7CE07DA0" w14:textId="77777777" w:rsidR="00FF6980" w:rsidRPr="000123BF" w:rsidRDefault="00FF6980" w:rsidP="00FF6980">
            <w:pPr>
              <w:jc w:val="left"/>
              <w:rPr>
                <w:sz w:val="15"/>
                <w:szCs w:val="15"/>
              </w:rPr>
            </w:pPr>
            <w:r w:rsidRPr="000123BF">
              <w:rPr>
                <w:rFonts w:hint="eastAsia"/>
                <w:sz w:val="15"/>
                <w:szCs w:val="15"/>
              </w:rPr>
              <w:t>Primary</w:t>
            </w:r>
          </w:p>
          <w:p w14:paraId="3041EF1B" w14:textId="410D8F1E" w:rsidR="00FF6980" w:rsidRPr="000123BF" w:rsidRDefault="00654D5D" w:rsidP="00FF6980">
            <w:pPr>
              <w:jc w:val="left"/>
              <w:rPr>
                <w:sz w:val="15"/>
                <w:szCs w:val="15"/>
              </w:rPr>
            </w:pPr>
            <w:r w:rsidRPr="00654D5D">
              <w:rPr>
                <w:sz w:val="15"/>
                <w:szCs w:val="15"/>
              </w:rPr>
              <w:t>cervical squamous cell carcinoma</w:t>
            </w:r>
          </w:p>
        </w:tc>
        <w:tc>
          <w:tcPr>
            <w:tcW w:w="2265" w:type="dxa"/>
          </w:tcPr>
          <w:p w14:paraId="6C7EA9CF" w14:textId="367F8465" w:rsidR="00FF6980" w:rsidRPr="0089305C" w:rsidRDefault="00FF6980" w:rsidP="00E90408">
            <w:pPr>
              <w:jc w:val="left"/>
              <w:rPr>
                <w:sz w:val="15"/>
                <w:szCs w:val="15"/>
              </w:rPr>
            </w:pPr>
            <w:r w:rsidRPr="00FF6980">
              <w:rPr>
                <w:sz w:val="15"/>
                <w:szCs w:val="15"/>
              </w:rPr>
              <w:t xml:space="preserve">RNA Expression Data: From the Cancer Genome Atlas, Gene Expression Omnibus, and Genotype‐Tissue Expression databases. This included data for normal and </w:t>
            </w:r>
            <w:proofErr w:type="spellStart"/>
            <w:r w:rsidRPr="00FF6980">
              <w:rPr>
                <w:sz w:val="15"/>
                <w:szCs w:val="15"/>
              </w:rPr>
              <w:t>tumor</w:t>
            </w:r>
            <w:proofErr w:type="spellEnd"/>
            <w:r w:rsidRPr="00FF6980">
              <w:rPr>
                <w:sz w:val="15"/>
                <w:szCs w:val="15"/>
              </w:rPr>
              <w:t xml:space="preserve"> tissues in cervical squamous cell carcinoma (CSCC)</w:t>
            </w:r>
          </w:p>
        </w:tc>
        <w:tc>
          <w:tcPr>
            <w:tcW w:w="2835" w:type="dxa"/>
          </w:tcPr>
          <w:p w14:paraId="52456395" w14:textId="3F6386EA" w:rsidR="00FF6980" w:rsidRPr="0089305C" w:rsidRDefault="00654D5D" w:rsidP="00E90408">
            <w:pPr>
              <w:jc w:val="left"/>
              <w:rPr>
                <w:sz w:val="15"/>
                <w:szCs w:val="15"/>
              </w:rPr>
            </w:pPr>
            <w:r w:rsidRPr="00654D5D">
              <w:rPr>
                <w:sz w:val="15"/>
                <w:szCs w:val="15"/>
              </w:rPr>
              <w:t>Univariate Cox Regression and Lasso Regression</w:t>
            </w:r>
          </w:p>
        </w:tc>
        <w:tc>
          <w:tcPr>
            <w:tcW w:w="4886" w:type="dxa"/>
          </w:tcPr>
          <w:p w14:paraId="4B0A2EDC" w14:textId="389BFC5F" w:rsidR="00FF6980" w:rsidRPr="0089305C" w:rsidRDefault="00654D5D" w:rsidP="00324B55">
            <w:pPr>
              <w:rPr>
                <w:sz w:val="15"/>
                <w:szCs w:val="15"/>
              </w:rPr>
            </w:pPr>
            <w:r w:rsidRPr="00654D5D">
              <w:rPr>
                <w:sz w:val="15"/>
                <w:szCs w:val="15"/>
              </w:rPr>
              <w:t xml:space="preserve">The study identified six immune-related gene (IRG) signatures, four IRLs, and five IRHs that significantly influence the TIME. It was found that the expression level of immune checkpoint genes was significantly upregulated in certain T-cells and </w:t>
            </w:r>
            <w:proofErr w:type="spellStart"/>
            <w:r w:rsidRPr="00654D5D">
              <w:rPr>
                <w:sz w:val="15"/>
                <w:szCs w:val="15"/>
              </w:rPr>
              <w:t>tumor</w:t>
            </w:r>
            <w:proofErr w:type="spellEnd"/>
            <w:r w:rsidRPr="00654D5D">
              <w:rPr>
                <w:sz w:val="15"/>
                <w:szCs w:val="15"/>
              </w:rPr>
              <w:t xml:space="preserve">-associated macrophages (TAMs) in </w:t>
            </w:r>
            <w:proofErr w:type="spellStart"/>
            <w:r w:rsidRPr="00654D5D">
              <w:rPr>
                <w:sz w:val="15"/>
                <w:szCs w:val="15"/>
              </w:rPr>
              <w:t>tumor</w:t>
            </w:r>
            <w:proofErr w:type="spellEnd"/>
            <w:r w:rsidRPr="00654D5D">
              <w:rPr>
                <w:sz w:val="15"/>
                <w:szCs w:val="15"/>
              </w:rPr>
              <w:t xml:space="preserve"> tissues. The study concluded that CD16+ monocyte-derived IFI30+ TAMs in the </w:t>
            </w:r>
            <w:proofErr w:type="spellStart"/>
            <w:r w:rsidRPr="00654D5D">
              <w:rPr>
                <w:sz w:val="15"/>
                <w:szCs w:val="15"/>
              </w:rPr>
              <w:t>coexpression</w:t>
            </w:r>
            <w:proofErr w:type="spellEnd"/>
            <w:r w:rsidRPr="00654D5D">
              <w:rPr>
                <w:sz w:val="15"/>
                <w:szCs w:val="15"/>
              </w:rPr>
              <w:t xml:space="preserve"> network regulate the TIME and have potential as novel immunotherapy target</w:t>
            </w:r>
          </w:p>
        </w:tc>
      </w:tr>
      <w:bookmarkStart w:id="7" w:name="_Hlk154794636"/>
      <w:tr w:rsidR="00170833" w:rsidRPr="000123BF" w14:paraId="16664C30" w14:textId="77777777" w:rsidTr="00986E89">
        <w:trPr>
          <w:trHeight w:val="2184"/>
        </w:trPr>
        <w:tc>
          <w:tcPr>
            <w:tcW w:w="2270" w:type="dxa"/>
          </w:tcPr>
          <w:p w14:paraId="5933383D" w14:textId="70E0363A" w:rsidR="00170833" w:rsidRPr="00FF6980" w:rsidRDefault="008564CB" w:rsidP="00E90408">
            <w:pPr>
              <w:jc w:val="left"/>
              <w:rPr>
                <w:sz w:val="15"/>
                <w:szCs w:val="15"/>
                <w:lang w:val="en-US"/>
              </w:rPr>
            </w:pPr>
            <w:r>
              <w:fldChar w:fldCharType="begin"/>
            </w:r>
            <w:r>
              <w:instrText>HYPERLINK "https://pubmed.ncbi.nlm.nih.gov/35657977/"</w:instrText>
            </w:r>
            <w:r>
              <w:fldChar w:fldCharType="separate"/>
            </w:r>
            <w:r w:rsidR="00170833" w:rsidRPr="00170833">
              <w:rPr>
                <w:rStyle w:val="Hyperlink"/>
                <w:sz w:val="15"/>
                <w:szCs w:val="15"/>
                <w:highlight w:val="yellow"/>
                <w:lang w:val="en-US"/>
              </w:rPr>
              <w:t>Identification and validation of a prognostic signature related to hypoxic tumor microenvironment in cervical cancer</w:t>
            </w:r>
            <w:r>
              <w:rPr>
                <w:rStyle w:val="Hyperlink"/>
                <w:sz w:val="15"/>
                <w:szCs w:val="15"/>
                <w:highlight w:val="yellow"/>
                <w:lang w:val="en-US"/>
              </w:rPr>
              <w:fldChar w:fldCharType="end"/>
            </w:r>
            <w:bookmarkEnd w:id="7"/>
          </w:p>
        </w:tc>
        <w:tc>
          <w:tcPr>
            <w:tcW w:w="1697" w:type="dxa"/>
          </w:tcPr>
          <w:p w14:paraId="1D015BC5" w14:textId="77777777" w:rsidR="00170833" w:rsidRPr="000123BF" w:rsidRDefault="00170833" w:rsidP="00FF6980">
            <w:pPr>
              <w:jc w:val="left"/>
              <w:rPr>
                <w:sz w:val="15"/>
                <w:szCs w:val="15"/>
              </w:rPr>
            </w:pPr>
          </w:p>
        </w:tc>
        <w:tc>
          <w:tcPr>
            <w:tcW w:w="2265" w:type="dxa"/>
          </w:tcPr>
          <w:p w14:paraId="582A65B6" w14:textId="77777777" w:rsidR="00170833" w:rsidRPr="00FF6980" w:rsidRDefault="00170833" w:rsidP="00E90408">
            <w:pPr>
              <w:jc w:val="left"/>
              <w:rPr>
                <w:sz w:val="15"/>
                <w:szCs w:val="15"/>
              </w:rPr>
            </w:pPr>
          </w:p>
        </w:tc>
        <w:tc>
          <w:tcPr>
            <w:tcW w:w="2835" w:type="dxa"/>
          </w:tcPr>
          <w:p w14:paraId="6D8CEC74" w14:textId="77777777" w:rsidR="00170833" w:rsidRPr="00654D5D" w:rsidRDefault="00170833" w:rsidP="00E90408">
            <w:pPr>
              <w:jc w:val="left"/>
              <w:rPr>
                <w:sz w:val="15"/>
                <w:szCs w:val="15"/>
              </w:rPr>
            </w:pPr>
          </w:p>
        </w:tc>
        <w:tc>
          <w:tcPr>
            <w:tcW w:w="4886" w:type="dxa"/>
          </w:tcPr>
          <w:p w14:paraId="52580936" w14:textId="77777777" w:rsidR="00170833" w:rsidRPr="00654D5D" w:rsidRDefault="00170833" w:rsidP="00324B55">
            <w:pPr>
              <w:rPr>
                <w:sz w:val="15"/>
                <w:szCs w:val="15"/>
              </w:rPr>
            </w:pPr>
          </w:p>
        </w:tc>
      </w:tr>
      <w:tr w:rsidR="00654D5D" w:rsidRPr="000123BF" w14:paraId="393C060F" w14:textId="77777777" w:rsidTr="00986E89">
        <w:trPr>
          <w:trHeight w:val="2184"/>
        </w:trPr>
        <w:tc>
          <w:tcPr>
            <w:tcW w:w="2270" w:type="dxa"/>
          </w:tcPr>
          <w:p w14:paraId="1FDDD1E6" w14:textId="23CC002C" w:rsidR="00654D5D" w:rsidRPr="00FF6980" w:rsidRDefault="00654D5D" w:rsidP="00E90408">
            <w:pPr>
              <w:jc w:val="left"/>
              <w:rPr>
                <w:sz w:val="15"/>
                <w:szCs w:val="15"/>
                <w:lang w:val="en-US"/>
              </w:rPr>
            </w:pPr>
            <w:r w:rsidRPr="00654D5D">
              <w:rPr>
                <w:sz w:val="15"/>
                <w:szCs w:val="15"/>
                <w:lang w:val="en-US"/>
              </w:rPr>
              <w:lastRenderedPageBreak/>
              <w:t>Integrative Analysis of KCNK Genes and Establishment of a Specific Prognostic Signature for Breast Cancer</w:t>
            </w:r>
          </w:p>
        </w:tc>
        <w:tc>
          <w:tcPr>
            <w:tcW w:w="1697" w:type="dxa"/>
          </w:tcPr>
          <w:p w14:paraId="68475322" w14:textId="77777777" w:rsidR="00654D5D" w:rsidRPr="000123BF" w:rsidRDefault="00654D5D" w:rsidP="00654D5D">
            <w:pPr>
              <w:jc w:val="left"/>
              <w:rPr>
                <w:sz w:val="15"/>
                <w:szCs w:val="15"/>
              </w:rPr>
            </w:pPr>
            <w:r w:rsidRPr="000123BF">
              <w:rPr>
                <w:rFonts w:hint="eastAsia"/>
                <w:sz w:val="15"/>
                <w:szCs w:val="15"/>
              </w:rPr>
              <w:t>Primary</w:t>
            </w:r>
          </w:p>
          <w:p w14:paraId="1BCA3195" w14:textId="1037738B" w:rsidR="00654D5D" w:rsidRPr="000123BF" w:rsidRDefault="00654D5D" w:rsidP="00654D5D">
            <w:pPr>
              <w:jc w:val="left"/>
              <w:rPr>
                <w:sz w:val="15"/>
                <w:szCs w:val="15"/>
              </w:rPr>
            </w:pPr>
            <w:r w:rsidRPr="00654D5D">
              <w:rPr>
                <w:sz w:val="15"/>
                <w:szCs w:val="15"/>
                <w:lang w:val="en-US"/>
              </w:rPr>
              <w:t>Breast Cancer</w:t>
            </w:r>
          </w:p>
        </w:tc>
        <w:tc>
          <w:tcPr>
            <w:tcW w:w="2265" w:type="dxa"/>
          </w:tcPr>
          <w:p w14:paraId="5EB3D606" w14:textId="77777777" w:rsidR="00654D5D" w:rsidRPr="00654D5D" w:rsidRDefault="00654D5D" w:rsidP="00654D5D">
            <w:pPr>
              <w:jc w:val="left"/>
              <w:rPr>
                <w:sz w:val="15"/>
                <w:szCs w:val="15"/>
              </w:rPr>
            </w:pPr>
            <w:r w:rsidRPr="00654D5D">
              <w:rPr>
                <w:sz w:val="15"/>
                <w:szCs w:val="15"/>
              </w:rPr>
              <w:t>mRNA expression matrix and clinical data of breast cancer patients from the TCGA database.</w:t>
            </w:r>
          </w:p>
          <w:p w14:paraId="36DCF07B" w14:textId="34267C4C" w:rsidR="00654D5D" w:rsidRPr="00FF6980" w:rsidRDefault="00654D5D" w:rsidP="00654D5D">
            <w:pPr>
              <w:jc w:val="left"/>
              <w:rPr>
                <w:sz w:val="15"/>
                <w:szCs w:val="15"/>
              </w:rPr>
            </w:pPr>
            <w:r w:rsidRPr="00654D5D">
              <w:rPr>
                <w:sz w:val="15"/>
                <w:szCs w:val="15"/>
              </w:rPr>
              <w:t>Clinical samples and cell lines for experimental validation.</w:t>
            </w:r>
          </w:p>
        </w:tc>
        <w:tc>
          <w:tcPr>
            <w:tcW w:w="2835" w:type="dxa"/>
          </w:tcPr>
          <w:p w14:paraId="18AD24A4" w14:textId="77777777" w:rsidR="00654D5D" w:rsidRPr="00654D5D" w:rsidRDefault="00654D5D" w:rsidP="00654D5D">
            <w:pPr>
              <w:jc w:val="left"/>
              <w:rPr>
                <w:sz w:val="15"/>
                <w:szCs w:val="15"/>
              </w:rPr>
            </w:pPr>
            <w:r w:rsidRPr="00654D5D">
              <w:rPr>
                <w:sz w:val="15"/>
                <w:szCs w:val="15"/>
              </w:rPr>
              <w:t>Construction of a prognostic signature using LASSO Cox regression analysis.</w:t>
            </w:r>
          </w:p>
          <w:p w14:paraId="45635AFB" w14:textId="77777777" w:rsidR="00654D5D" w:rsidRPr="00654D5D" w:rsidRDefault="00654D5D" w:rsidP="00654D5D">
            <w:pPr>
              <w:jc w:val="left"/>
              <w:rPr>
                <w:sz w:val="15"/>
                <w:szCs w:val="15"/>
              </w:rPr>
            </w:pPr>
            <w:r w:rsidRPr="00654D5D">
              <w:rPr>
                <w:sz w:val="15"/>
                <w:szCs w:val="15"/>
              </w:rPr>
              <w:t>Univariate and multivariate Cox regression analyses for validating the prognostic signature.</w:t>
            </w:r>
          </w:p>
          <w:p w14:paraId="55025FDF" w14:textId="0FA619E4" w:rsidR="00654D5D" w:rsidRPr="00654D5D" w:rsidRDefault="00654D5D" w:rsidP="00654D5D">
            <w:pPr>
              <w:jc w:val="left"/>
              <w:rPr>
                <w:sz w:val="15"/>
                <w:szCs w:val="15"/>
              </w:rPr>
            </w:pPr>
            <w:r w:rsidRPr="00654D5D">
              <w:rPr>
                <w:sz w:val="15"/>
                <w:szCs w:val="15"/>
              </w:rPr>
              <w:t>Survival analysis using the Kaplan-Meier method and receiver operating characteristic (ROC) curve.</w:t>
            </w:r>
          </w:p>
        </w:tc>
        <w:tc>
          <w:tcPr>
            <w:tcW w:w="4886" w:type="dxa"/>
          </w:tcPr>
          <w:p w14:paraId="105A8194" w14:textId="77777777" w:rsidR="00654D5D" w:rsidRPr="00654D5D" w:rsidRDefault="00654D5D" w:rsidP="00654D5D">
            <w:pPr>
              <w:rPr>
                <w:sz w:val="15"/>
                <w:szCs w:val="15"/>
              </w:rPr>
            </w:pPr>
            <w:r w:rsidRPr="00654D5D">
              <w:rPr>
                <w:sz w:val="15"/>
                <w:szCs w:val="15"/>
              </w:rPr>
              <w:t>A specific prognostic signature comprising seven KCNK genes was developed, showing accuracy in predicting prognosis in both training and validation cohorts.</w:t>
            </w:r>
          </w:p>
          <w:p w14:paraId="7B29B515" w14:textId="77777777" w:rsidR="00654D5D" w:rsidRPr="00654D5D" w:rsidRDefault="00654D5D" w:rsidP="00654D5D">
            <w:pPr>
              <w:rPr>
                <w:sz w:val="15"/>
                <w:szCs w:val="15"/>
              </w:rPr>
            </w:pPr>
            <w:r w:rsidRPr="00654D5D">
              <w:rPr>
                <w:sz w:val="15"/>
                <w:szCs w:val="15"/>
              </w:rPr>
              <w:t>The study established a nomogram integrating the KCNK-based risk score with clinical features, showing great predictive performance.</w:t>
            </w:r>
          </w:p>
          <w:p w14:paraId="5724C8E6" w14:textId="0A14E7FF" w:rsidR="00654D5D" w:rsidRPr="00654D5D" w:rsidRDefault="00654D5D" w:rsidP="00654D5D">
            <w:pPr>
              <w:rPr>
                <w:sz w:val="15"/>
                <w:szCs w:val="15"/>
              </w:rPr>
            </w:pPr>
            <w:r w:rsidRPr="00654D5D">
              <w:rPr>
                <w:sz w:val="15"/>
                <w:szCs w:val="15"/>
              </w:rPr>
              <w:t xml:space="preserve">KCNK genes were associated with the activation of various </w:t>
            </w:r>
            <w:proofErr w:type="spellStart"/>
            <w:r w:rsidRPr="00654D5D">
              <w:rPr>
                <w:sz w:val="15"/>
                <w:szCs w:val="15"/>
              </w:rPr>
              <w:t>tumor</w:t>
            </w:r>
            <w:proofErr w:type="spellEnd"/>
            <w:r w:rsidRPr="00654D5D">
              <w:rPr>
                <w:sz w:val="15"/>
                <w:szCs w:val="15"/>
              </w:rPr>
              <w:t xml:space="preserve"> microenvironment cells and the regulation of </w:t>
            </w:r>
            <w:proofErr w:type="spellStart"/>
            <w:r w:rsidRPr="00654D5D">
              <w:rPr>
                <w:sz w:val="15"/>
                <w:szCs w:val="15"/>
              </w:rPr>
              <w:t>tumor</w:t>
            </w:r>
            <w:proofErr w:type="spellEnd"/>
            <w:r w:rsidRPr="00654D5D">
              <w:rPr>
                <w:sz w:val="15"/>
                <w:szCs w:val="15"/>
              </w:rPr>
              <w:t xml:space="preserve"> immune responses.</w:t>
            </w:r>
          </w:p>
        </w:tc>
      </w:tr>
      <w:bookmarkStart w:id="8" w:name="_Hlk154796547"/>
      <w:tr w:rsidR="00DE6CB6" w:rsidRPr="000123BF" w14:paraId="76A0183E" w14:textId="77777777" w:rsidTr="00986E89">
        <w:trPr>
          <w:trHeight w:val="2184"/>
        </w:trPr>
        <w:tc>
          <w:tcPr>
            <w:tcW w:w="2270" w:type="dxa"/>
          </w:tcPr>
          <w:p w14:paraId="1054D880" w14:textId="4EDF0065" w:rsidR="00DE6CB6" w:rsidRPr="00654D5D" w:rsidRDefault="008564CB" w:rsidP="00E90408">
            <w:pPr>
              <w:jc w:val="left"/>
              <w:rPr>
                <w:sz w:val="15"/>
                <w:szCs w:val="15"/>
                <w:lang w:val="en-US"/>
              </w:rPr>
            </w:pPr>
            <w:r>
              <w:fldChar w:fldCharType="begin"/>
            </w:r>
            <w:r>
              <w:instrText>HYPERLINK "https://pubmed.ncbi.nlm.nih.gov/34777463/"</w:instrText>
            </w:r>
            <w:r>
              <w:fldChar w:fldCharType="separate"/>
            </w:r>
            <w:r w:rsidR="00DE6CB6" w:rsidRPr="00DE6CB6">
              <w:rPr>
                <w:rStyle w:val="Hyperlink"/>
                <w:sz w:val="15"/>
                <w:szCs w:val="15"/>
                <w:lang w:val="en-US"/>
              </w:rPr>
              <w:t>Establishment of Prognosis Model in Acute Myeloid Leukemia Based on Hypoxia Microenvironment, and Exploration of Hypoxia-Related Mechanisms</w:t>
            </w:r>
            <w:r>
              <w:rPr>
                <w:rStyle w:val="Hyperlink"/>
                <w:sz w:val="15"/>
                <w:szCs w:val="15"/>
                <w:lang w:val="en-US"/>
              </w:rPr>
              <w:fldChar w:fldCharType="end"/>
            </w:r>
            <w:bookmarkEnd w:id="8"/>
          </w:p>
        </w:tc>
        <w:tc>
          <w:tcPr>
            <w:tcW w:w="1697" w:type="dxa"/>
          </w:tcPr>
          <w:p w14:paraId="22024FB6" w14:textId="77777777" w:rsidR="00DE6CB6" w:rsidRPr="000123BF" w:rsidRDefault="00DE6CB6" w:rsidP="00654D5D">
            <w:pPr>
              <w:jc w:val="left"/>
              <w:rPr>
                <w:sz w:val="15"/>
                <w:szCs w:val="15"/>
              </w:rPr>
            </w:pPr>
          </w:p>
        </w:tc>
        <w:tc>
          <w:tcPr>
            <w:tcW w:w="2265" w:type="dxa"/>
          </w:tcPr>
          <w:p w14:paraId="4DB8CF36" w14:textId="77777777" w:rsidR="00DE6CB6" w:rsidRPr="00654D5D" w:rsidRDefault="00DE6CB6" w:rsidP="00654D5D">
            <w:pPr>
              <w:jc w:val="left"/>
              <w:rPr>
                <w:sz w:val="15"/>
                <w:szCs w:val="15"/>
              </w:rPr>
            </w:pPr>
          </w:p>
        </w:tc>
        <w:tc>
          <w:tcPr>
            <w:tcW w:w="2835" w:type="dxa"/>
          </w:tcPr>
          <w:p w14:paraId="45F21924" w14:textId="77777777" w:rsidR="00DE6CB6" w:rsidRPr="00654D5D" w:rsidRDefault="00DE6CB6" w:rsidP="00654D5D">
            <w:pPr>
              <w:jc w:val="left"/>
              <w:rPr>
                <w:sz w:val="15"/>
                <w:szCs w:val="15"/>
              </w:rPr>
            </w:pPr>
          </w:p>
        </w:tc>
        <w:tc>
          <w:tcPr>
            <w:tcW w:w="4886" w:type="dxa"/>
          </w:tcPr>
          <w:p w14:paraId="73BB61B3" w14:textId="77777777" w:rsidR="00DE6CB6" w:rsidRPr="00654D5D" w:rsidRDefault="00DE6CB6" w:rsidP="00654D5D">
            <w:pPr>
              <w:rPr>
                <w:sz w:val="15"/>
                <w:szCs w:val="15"/>
              </w:rPr>
            </w:pPr>
          </w:p>
        </w:tc>
      </w:tr>
      <w:tr w:rsidR="000123BF" w:rsidRPr="000123BF" w14:paraId="7F93E4CC" w14:textId="77777777" w:rsidTr="000818CE">
        <w:tc>
          <w:tcPr>
            <w:tcW w:w="2270" w:type="dxa"/>
          </w:tcPr>
          <w:p w14:paraId="4740DF6F" w14:textId="77777777" w:rsidR="000123BF" w:rsidRPr="000123BF" w:rsidRDefault="000123BF" w:rsidP="000123BF">
            <w:pPr>
              <w:jc w:val="left"/>
              <w:rPr>
                <w:rStyle w:val="Hyperlink"/>
                <w:sz w:val="15"/>
                <w:szCs w:val="15"/>
              </w:rPr>
            </w:pPr>
            <w:r w:rsidRPr="000123BF">
              <w:rPr>
                <w:sz w:val="15"/>
                <w:szCs w:val="15"/>
              </w:rPr>
              <w:fldChar w:fldCharType="begin"/>
            </w:r>
            <w:r w:rsidRPr="000123BF">
              <w:rPr>
                <w:sz w:val="15"/>
                <w:szCs w:val="15"/>
              </w:rPr>
              <w:instrText xml:space="preserve"> HYPERLINK "https://www.biorxiv.org/content/10.1101/2023.07.11.548494v1.full.pdf+html" </w:instrText>
            </w:r>
            <w:r w:rsidRPr="000123BF">
              <w:rPr>
                <w:sz w:val="15"/>
                <w:szCs w:val="15"/>
              </w:rPr>
            </w:r>
            <w:r w:rsidRPr="000123BF">
              <w:rPr>
                <w:sz w:val="15"/>
                <w:szCs w:val="15"/>
              </w:rPr>
              <w:fldChar w:fldCharType="separate"/>
            </w:r>
            <w:r w:rsidRPr="000123BF">
              <w:rPr>
                <w:rStyle w:val="Hyperlink"/>
                <w:sz w:val="15"/>
                <w:szCs w:val="15"/>
              </w:rPr>
              <w:t xml:space="preserve">A workflow combining single-cell </w:t>
            </w:r>
            <w:proofErr w:type="spellStart"/>
            <w:r w:rsidRPr="000123BF">
              <w:rPr>
                <w:rStyle w:val="Hyperlink"/>
                <w:sz w:val="15"/>
                <w:szCs w:val="15"/>
              </w:rPr>
              <w:t>CRISPRi</w:t>
            </w:r>
            <w:proofErr w:type="spellEnd"/>
            <w:r w:rsidRPr="000123BF">
              <w:rPr>
                <w:rStyle w:val="Hyperlink"/>
                <w:sz w:val="15"/>
                <w:szCs w:val="15"/>
              </w:rPr>
              <w:t xml:space="preserve"> screening and a supervised autoencoder neural network to detect subtle transcriptomic perturbations induced by lncRNA Knock-Down</w:t>
            </w:r>
          </w:p>
          <w:p w14:paraId="1F3D3375" w14:textId="1EC87AD2" w:rsidR="000123BF" w:rsidRPr="000123BF" w:rsidRDefault="000123BF" w:rsidP="000123BF">
            <w:pPr>
              <w:jc w:val="left"/>
              <w:rPr>
                <w:sz w:val="15"/>
                <w:szCs w:val="15"/>
              </w:rPr>
            </w:pPr>
            <w:r w:rsidRPr="000123BF">
              <w:rPr>
                <w:sz w:val="15"/>
                <w:szCs w:val="15"/>
              </w:rPr>
              <w:fldChar w:fldCharType="end"/>
            </w:r>
          </w:p>
        </w:tc>
        <w:tc>
          <w:tcPr>
            <w:tcW w:w="1697" w:type="dxa"/>
          </w:tcPr>
          <w:p w14:paraId="0C1C876F" w14:textId="77777777" w:rsidR="000123BF" w:rsidRPr="000123BF" w:rsidRDefault="000123BF" w:rsidP="000123BF">
            <w:pPr>
              <w:jc w:val="left"/>
              <w:rPr>
                <w:sz w:val="15"/>
                <w:szCs w:val="15"/>
              </w:rPr>
            </w:pPr>
            <w:r w:rsidRPr="00EC7BFA">
              <w:rPr>
                <w:rFonts w:hint="eastAsia"/>
                <w:sz w:val="15"/>
                <w:szCs w:val="15"/>
                <w:highlight w:val="yellow"/>
              </w:rPr>
              <w:t>Primary</w:t>
            </w:r>
          </w:p>
          <w:p w14:paraId="09EBCD2C" w14:textId="3D846931" w:rsidR="000123BF" w:rsidRPr="000123BF" w:rsidRDefault="000123BF" w:rsidP="000123BF">
            <w:pPr>
              <w:jc w:val="left"/>
              <w:rPr>
                <w:sz w:val="15"/>
                <w:szCs w:val="15"/>
              </w:rPr>
            </w:pPr>
            <w:r w:rsidRPr="000123BF">
              <w:rPr>
                <w:sz w:val="15"/>
                <w:szCs w:val="15"/>
              </w:rPr>
              <w:t>the regulatory functions of hypoxia-regulated long non-coding RNAs (</w:t>
            </w:r>
            <w:proofErr w:type="spellStart"/>
            <w:r w:rsidRPr="000123BF">
              <w:rPr>
                <w:sz w:val="15"/>
                <w:szCs w:val="15"/>
              </w:rPr>
              <w:t>lncRNAs</w:t>
            </w:r>
            <w:proofErr w:type="spellEnd"/>
            <w:r w:rsidRPr="000123BF">
              <w:rPr>
                <w:sz w:val="15"/>
                <w:szCs w:val="15"/>
              </w:rPr>
              <w:t>)</w:t>
            </w:r>
          </w:p>
        </w:tc>
        <w:tc>
          <w:tcPr>
            <w:tcW w:w="2265" w:type="dxa"/>
          </w:tcPr>
          <w:p w14:paraId="362AD745" w14:textId="1BC45BAA" w:rsidR="000123BF" w:rsidRPr="000123BF" w:rsidRDefault="000123BF" w:rsidP="000123BF">
            <w:pPr>
              <w:jc w:val="left"/>
              <w:rPr>
                <w:sz w:val="15"/>
                <w:szCs w:val="15"/>
              </w:rPr>
            </w:pPr>
            <w:r w:rsidRPr="000123BF">
              <w:rPr>
                <w:sz w:val="15"/>
                <w:szCs w:val="15"/>
              </w:rPr>
              <w:t>a mini-CROP-</w:t>
            </w:r>
            <w:proofErr w:type="spellStart"/>
            <w:r w:rsidRPr="000123BF">
              <w:rPr>
                <w:sz w:val="15"/>
                <w:szCs w:val="15"/>
              </w:rPr>
              <w:t>seq</w:t>
            </w:r>
            <w:proofErr w:type="spellEnd"/>
            <w:r w:rsidRPr="000123BF">
              <w:rPr>
                <w:sz w:val="15"/>
                <w:szCs w:val="15"/>
              </w:rPr>
              <w:t xml:space="preserve"> library with validated guide RNAs (gRNAs) targeting six </w:t>
            </w:r>
            <w:proofErr w:type="spellStart"/>
            <w:r w:rsidRPr="000123BF">
              <w:rPr>
                <w:sz w:val="15"/>
                <w:szCs w:val="15"/>
              </w:rPr>
              <w:t>lncRNAs</w:t>
            </w:r>
            <w:proofErr w:type="spellEnd"/>
            <w:r w:rsidRPr="000123BF">
              <w:rPr>
                <w:sz w:val="15"/>
                <w:szCs w:val="15"/>
              </w:rPr>
              <w:t xml:space="preserve"> known to be regulated by hypoxia and/or associated with poor prognosis, as well as the master transcription factors of the hypoxic response, HIF1A and HIF2/EPAS1, and negative control guides.</w:t>
            </w:r>
          </w:p>
        </w:tc>
        <w:tc>
          <w:tcPr>
            <w:tcW w:w="2835" w:type="dxa"/>
          </w:tcPr>
          <w:p w14:paraId="24913415" w14:textId="56FD3A96" w:rsidR="000123BF" w:rsidRPr="000123BF" w:rsidRDefault="000123BF" w:rsidP="000123BF">
            <w:pPr>
              <w:jc w:val="left"/>
              <w:rPr>
                <w:sz w:val="15"/>
                <w:szCs w:val="15"/>
              </w:rPr>
            </w:pPr>
            <w:r w:rsidRPr="000123BF">
              <w:rPr>
                <w:sz w:val="15"/>
                <w:szCs w:val="15"/>
              </w:rPr>
              <w:t xml:space="preserve">A supervised autoencoder neural network was developed to </w:t>
            </w:r>
            <w:proofErr w:type="spellStart"/>
            <w:r w:rsidRPr="000123BF">
              <w:rPr>
                <w:sz w:val="15"/>
                <w:szCs w:val="15"/>
              </w:rPr>
              <w:t>analyze</w:t>
            </w:r>
            <w:proofErr w:type="spellEnd"/>
            <w:r w:rsidRPr="000123BF">
              <w:rPr>
                <w:sz w:val="15"/>
                <w:szCs w:val="15"/>
              </w:rPr>
              <w:t xml:space="preserve"> fine-tuned regulations in the dataset. This method leveraged known cell labels corresponding to the received gRNA. It involved creating matrices for each target gene under different conditions, pooling cells based on their targeted gene, and using these matrices as inputs for the SAE classification workflow.</w:t>
            </w:r>
          </w:p>
        </w:tc>
        <w:tc>
          <w:tcPr>
            <w:tcW w:w="4886" w:type="dxa"/>
          </w:tcPr>
          <w:p w14:paraId="4BBD5E50" w14:textId="77777777" w:rsidR="000123BF" w:rsidRPr="000123BF" w:rsidRDefault="000123BF" w:rsidP="000123BF">
            <w:pPr>
              <w:jc w:val="left"/>
              <w:rPr>
                <w:sz w:val="15"/>
                <w:szCs w:val="15"/>
              </w:rPr>
            </w:pPr>
            <w:r w:rsidRPr="000123BF">
              <w:rPr>
                <w:sz w:val="15"/>
                <w:szCs w:val="15"/>
              </w:rPr>
              <w:t>Validation of SAE Approach: The researchers first validated the SAE approach on HIF1A and HIF2/EPAS1 knock-down, demonstrating good sensitivity in detecting the known temporal switch between these regulators.</w:t>
            </w:r>
          </w:p>
          <w:p w14:paraId="3AD80A64" w14:textId="77777777" w:rsidR="000123BF" w:rsidRPr="000123BF" w:rsidRDefault="000123BF" w:rsidP="000123BF">
            <w:pPr>
              <w:jc w:val="left"/>
              <w:rPr>
                <w:sz w:val="15"/>
                <w:szCs w:val="15"/>
              </w:rPr>
            </w:pPr>
          </w:p>
          <w:p w14:paraId="7187BE13" w14:textId="0D136451" w:rsidR="000123BF" w:rsidRPr="000123BF" w:rsidRDefault="000123BF" w:rsidP="000123BF">
            <w:pPr>
              <w:jc w:val="left"/>
              <w:rPr>
                <w:rFonts w:ascii="Segoe UI" w:hAnsi="Segoe UI" w:cs="Segoe UI"/>
                <w:color w:val="0F0F0F"/>
                <w:sz w:val="15"/>
                <w:szCs w:val="15"/>
              </w:rPr>
            </w:pPr>
            <w:r w:rsidRPr="000123BF">
              <w:rPr>
                <w:sz w:val="15"/>
                <w:szCs w:val="15"/>
              </w:rPr>
              <w:t>Identification of Transcriptomic Signatures: The SAE method was successful in detecting stable, short hypoxia-dependent transcriptomic signatures induced by the knock-down of some lncRNA candidates. This demonstrated the ability of the method to decipher weak perturbations in single-cell transcriptomic data, particularly in the context of CRISPR-based screening.</w:t>
            </w:r>
          </w:p>
        </w:tc>
      </w:tr>
      <w:tr w:rsidR="000123BF" w:rsidRPr="000123BF" w14:paraId="552306E0" w14:textId="77777777" w:rsidTr="00EC7BFA">
        <w:tc>
          <w:tcPr>
            <w:tcW w:w="2270" w:type="dxa"/>
          </w:tcPr>
          <w:p w14:paraId="2448E982" w14:textId="3BFC1D91" w:rsidR="000123BF" w:rsidRPr="000123BF" w:rsidRDefault="00E5751E" w:rsidP="000123BF">
            <w:pPr>
              <w:jc w:val="left"/>
              <w:rPr>
                <w:sz w:val="15"/>
                <w:szCs w:val="15"/>
              </w:rPr>
            </w:pPr>
            <w:hyperlink r:id="rId34" w:anchor="no-access-message" w:history="1">
              <w:r w:rsidR="000123BF" w:rsidRPr="000123BF">
                <w:rPr>
                  <w:rStyle w:val="Hyperlink"/>
                  <w:sz w:val="15"/>
                  <w:szCs w:val="15"/>
                </w:rPr>
                <w:t>Cell–cell communication inference and analysis in the tumour microenvironments from single-cell transcriptomics: data resources and computational strategies</w:t>
              </w:r>
            </w:hyperlink>
          </w:p>
        </w:tc>
        <w:tc>
          <w:tcPr>
            <w:tcW w:w="1697" w:type="dxa"/>
            <w:shd w:val="clear" w:color="auto" w:fill="auto"/>
          </w:tcPr>
          <w:p w14:paraId="5207089C" w14:textId="77777777" w:rsidR="000123BF" w:rsidRPr="00EC7BFA" w:rsidRDefault="000123BF" w:rsidP="000123BF">
            <w:pPr>
              <w:rPr>
                <w:sz w:val="15"/>
                <w:szCs w:val="15"/>
                <w:highlight w:val="yellow"/>
              </w:rPr>
            </w:pPr>
            <w:r w:rsidRPr="00EC7BFA">
              <w:rPr>
                <w:rFonts w:hint="eastAsia"/>
                <w:sz w:val="15"/>
                <w:szCs w:val="15"/>
                <w:highlight w:val="yellow"/>
              </w:rPr>
              <w:t>Primary</w:t>
            </w:r>
          </w:p>
          <w:p w14:paraId="1C32D9A0" w14:textId="72E226B4" w:rsidR="000123BF" w:rsidRPr="00EC7BFA" w:rsidRDefault="000123BF" w:rsidP="000123BF">
            <w:pPr>
              <w:jc w:val="left"/>
              <w:rPr>
                <w:sz w:val="15"/>
                <w:szCs w:val="15"/>
                <w:highlight w:val="yellow"/>
              </w:rPr>
            </w:pPr>
            <w:r w:rsidRPr="00EC7BFA">
              <w:rPr>
                <w:sz w:val="15"/>
                <w:szCs w:val="15"/>
                <w:highlight w:val="yellow"/>
              </w:rPr>
              <w:t xml:space="preserve">cell-cell communication in </w:t>
            </w:r>
            <w:proofErr w:type="spellStart"/>
            <w:r w:rsidRPr="00EC7BFA">
              <w:rPr>
                <w:sz w:val="15"/>
                <w:szCs w:val="15"/>
                <w:highlight w:val="yellow"/>
              </w:rPr>
              <w:t>tumor</w:t>
            </w:r>
            <w:proofErr w:type="spellEnd"/>
            <w:r w:rsidRPr="00EC7BFA">
              <w:rPr>
                <w:sz w:val="15"/>
                <w:szCs w:val="15"/>
                <w:highlight w:val="yellow"/>
              </w:rPr>
              <w:t xml:space="preserve"> microenvironments</w:t>
            </w:r>
          </w:p>
        </w:tc>
        <w:tc>
          <w:tcPr>
            <w:tcW w:w="2265" w:type="dxa"/>
          </w:tcPr>
          <w:p w14:paraId="65D387D8" w14:textId="68F3C604" w:rsidR="000123BF" w:rsidRPr="000123BF" w:rsidRDefault="000123BF" w:rsidP="000123BF">
            <w:pPr>
              <w:jc w:val="left"/>
              <w:rPr>
                <w:sz w:val="15"/>
                <w:szCs w:val="15"/>
              </w:rPr>
            </w:pPr>
            <w:r w:rsidRPr="000123BF">
              <w:rPr>
                <w:rFonts w:ascii="Segoe UI" w:hAnsi="Segoe UI" w:cs="Segoe UI"/>
                <w:color w:val="0F0F0F"/>
                <w:sz w:val="15"/>
                <w:szCs w:val="15"/>
              </w:rPr>
              <w:t>single-cell RNA sequencing (</w:t>
            </w:r>
            <w:proofErr w:type="spellStart"/>
            <w:r w:rsidRPr="000123BF">
              <w:rPr>
                <w:rFonts w:ascii="Segoe UI" w:hAnsi="Segoe UI" w:cs="Segoe UI"/>
                <w:color w:val="0F0F0F"/>
                <w:sz w:val="15"/>
                <w:szCs w:val="15"/>
              </w:rPr>
              <w:t>scRNA-seq</w:t>
            </w:r>
            <w:proofErr w:type="spellEnd"/>
            <w:r w:rsidRPr="000123BF">
              <w:rPr>
                <w:rFonts w:ascii="Segoe UI" w:hAnsi="Segoe UI" w:cs="Segoe UI"/>
                <w:color w:val="0F0F0F"/>
                <w:sz w:val="15"/>
                <w:szCs w:val="15"/>
              </w:rPr>
              <w:t>) data and spatial transcriptomic data</w:t>
            </w:r>
          </w:p>
        </w:tc>
        <w:tc>
          <w:tcPr>
            <w:tcW w:w="2835" w:type="dxa"/>
          </w:tcPr>
          <w:p w14:paraId="7F0F5690" w14:textId="6B0086C1" w:rsidR="000123BF" w:rsidRPr="000123BF" w:rsidRDefault="000123BF" w:rsidP="000123BF">
            <w:pPr>
              <w:jc w:val="left"/>
              <w:rPr>
                <w:sz w:val="15"/>
                <w:szCs w:val="15"/>
              </w:rPr>
            </w:pPr>
            <w:r w:rsidRPr="000123BF">
              <w:rPr>
                <w:sz w:val="15"/>
                <w:szCs w:val="15"/>
              </w:rPr>
              <w:t>Deep Clustering-Based Cell-Type Identification, Ensemble Deep Learning, General Machine Learning Approach</w:t>
            </w:r>
          </w:p>
        </w:tc>
        <w:tc>
          <w:tcPr>
            <w:tcW w:w="4886" w:type="dxa"/>
          </w:tcPr>
          <w:p w14:paraId="0E3E8B42" w14:textId="77777777" w:rsidR="000123BF" w:rsidRPr="000123BF" w:rsidRDefault="000123BF" w:rsidP="000123BF">
            <w:pPr>
              <w:jc w:val="left"/>
              <w:rPr>
                <w:sz w:val="15"/>
                <w:szCs w:val="15"/>
              </w:rPr>
            </w:pPr>
            <w:r w:rsidRPr="000123BF">
              <w:rPr>
                <w:sz w:val="15"/>
                <w:szCs w:val="15"/>
              </w:rPr>
              <w:t>Demonstration of Scoring Strategies: It demonstrates seven classical intercellular communication scoring strategies and highlights four types of representative intercellular communication inference methods. These include network-based approaches, machine learning-based approaches, spatial information-based approaches, and other approaches.</w:t>
            </w:r>
          </w:p>
          <w:p w14:paraId="0A78BE23" w14:textId="1071213F" w:rsidR="000123BF" w:rsidRPr="000123BF" w:rsidRDefault="000123BF" w:rsidP="000123BF">
            <w:pPr>
              <w:jc w:val="left"/>
              <w:rPr>
                <w:rFonts w:ascii="Segoe UI" w:hAnsi="Segoe UI" w:cs="Segoe UI"/>
                <w:color w:val="0F0F0F"/>
                <w:sz w:val="15"/>
                <w:szCs w:val="15"/>
              </w:rPr>
            </w:pPr>
            <w:r w:rsidRPr="000123BF">
              <w:rPr>
                <w:sz w:val="15"/>
                <w:szCs w:val="15"/>
              </w:rPr>
              <w:t xml:space="preserve">Analysis and Evaluation: The study summarizes evaluation and validation avenues for intercellular communication inference. It also </w:t>
            </w:r>
            <w:proofErr w:type="spellStart"/>
            <w:r w:rsidRPr="000123BF">
              <w:rPr>
                <w:sz w:val="15"/>
                <w:szCs w:val="15"/>
              </w:rPr>
              <w:t>analyzes</w:t>
            </w:r>
            <w:proofErr w:type="spellEnd"/>
            <w:r w:rsidRPr="000123BF">
              <w:rPr>
                <w:sz w:val="15"/>
                <w:szCs w:val="15"/>
              </w:rPr>
              <w:t xml:space="preserve"> the advantages and limitations of the four types of cell-cell communication methods mentioned.</w:t>
            </w:r>
          </w:p>
        </w:tc>
      </w:tr>
      <w:tr w:rsidR="000123BF" w:rsidRPr="000123BF" w14:paraId="404BA0A2" w14:textId="77777777" w:rsidTr="000818CE">
        <w:tc>
          <w:tcPr>
            <w:tcW w:w="2270" w:type="dxa"/>
          </w:tcPr>
          <w:p w14:paraId="5F151F30" w14:textId="77777777" w:rsidR="000123BF" w:rsidRPr="000123BF" w:rsidRDefault="000123BF" w:rsidP="000123BF">
            <w:pPr>
              <w:jc w:val="left"/>
              <w:rPr>
                <w:rStyle w:val="Hyperlink"/>
                <w:sz w:val="15"/>
                <w:szCs w:val="15"/>
              </w:rPr>
            </w:pPr>
            <w:r w:rsidRPr="000123BF">
              <w:rPr>
                <w:sz w:val="15"/>
                <w:szCs w:val="15"/>
              </w:rPr>
              <w:fldChar w:fldCharType="begin"/>
            </w:r>
            <w:r w:rsidRPr="000123BF">
              <w:rPr>
                <w:sz w:val="15"/>
                <w:szCs w:val="15"/>
              </w:rPr>
              <w:instrText xml:space="preserve"> HYPERLINK "https://ieeexplore.ieee.org/abstract/document/9186053/?casa_token=fhfH727XNwIAAAAA:ePVATe2bnY8o3Y2ICoRQCvqbNB1h4UuJAGLVKT0DZBoUubhiGNXRWpUk8ioHv_hSlnDx3Gc" </w:instrText>
            </w:r>
            <w:r w:rsidRPr="000123BF">
              <w:rPr>
                <w:sz w:val="15"/>
                <w:szCs w:val="15"/>
              </w:rPr>
            </w:r>
            <w:r w:rsidRPr="000123BF">
              <w:rPr>
                <w:sz w:val="15"/>
                <w:szCs w:val="15"/>
              </w:rPr>
              <w:fldChar w:fldCharType="separate"/>
            </w:r>
            <w:proofErr w:type="spellStart"/>
            <w:r w:rsidRPr="000123BF">
              <w:rPr>
                <w:rStyle w:val="Hyperlink"/>
                <w:sz w:val="15"/>
                <w:szCs w:val="15"/>
              </w:rPr>
              <w:t>Pathomic</w:t>
            </w:r>
            <w:proofErr w:type="spellEnd"/>
            <w:r w:rsidRPr="000123BF">
              <w:rPr>
                <w:rStyle w:val="Hyperlink"/>
                <w:sz w:val="15"/>
                <w:szCs w:val="15"/>
              </w:rPr>
              <w:t xml:space="preserve"> Fusion: An Integrated Framework for</w:t>
            </w:r>
          </w:p>
          <w:p w14:paraId="485A6235" w14:textId="77777777" w:rsidR="000123BF" w:rsidRPr="000123BF" w:rsidRDefault="000123BF" w:rsidP="000123BF">
            <w:pPr>
              <w:jc w:val="left"/>
              <w:rPr>
                <w:rStyle w:val="Hyperlink"/>
                <w:sz w:val="15"/>
                <w:szCs w:val="15"/>
              </w:rPr>
            </w:pPr>
            <w:r w:rsidRPr="000123BF">
              <w:rPr>
                <w:rStyle w:val="Hyperlink"/>
                <w:sz w:val="15"/>
                <w:szCs w:val="15"/>
              </w:rPr>
              <w:t>Fusing Histopathology and Genomic Features</w:t>
            </w:r>
          </w:p>
          <w:p w14:paraId="2E86D22D" w14:textId="4E766910" w:rsidR="000123BF" w:rsidRPr="000123BF" w:rsidRDefault="000123BF" w:rsidP="000123BF">
            <w:pPr>
              <w:jc w:val="left"/>
              <w:rPr>
                <w:sz w:val="15"/>
                <w:szCs w:val="15"/>
              </w:rPr>
            </w:pPr>
            <w:r w:rsidRPr="000123BF">
              <w:rPr>
                <w:rStyle w:val="Hyperlink"/>
                <w:sz w:val="15"/>
                <w:szCs w:val="15"/>
              </w:rPr>
              <w:t>for Cancer Diagnosis and Prognosis</w:t>
            </w:r>
            <w:r w:rsidRPr="000123BF">
              <w:rPr>
                <w:sz w:val="15"/>
                <w:szCs w:val="15"/>
              </w:rPr>
              <w:fldChar w:fldCharType="end"/>
            </w:r>
          </w:p>
        </w:tc>
        <w:tc>
          <w:tcPr>
            <w:tcW w:w="1697" w:type="dxa"/>
          </w:tcPr>
          <w:p w14:paraId="2FA9748A" w14:textId="77777777" w:rsidR="000123BF" w:rsidRPr="00EC7BFA" w:rsidRDefault="000123BF" w:rsidP="000123BF">
            <w:pPr>
              <w:jc w:val="left"/>
              <w:rPr>
                <w:sz w:val="15"/>
                <w:szCs w:val="15"/>
                <w:highlight w:val="yellow"/>
              </w:rPr>
            </w:pPr>
            <w:r w:rsidRPr="00EC7BFA">
              <w:rPr>
                <w:rFonts w:hint="eastAsia"/>
                <w:sz w:val="15"/>
                <w:szCs w:val="15"/>
                <w:highlight w:val="yellow"/>
              </w:rPr>
              <w:t>Primary</w:t>
            </w:r>
          </w:p>
          <w:p w14:paraId="0539D5C1" w14:textId="12E890ED" w:rsidR="000123BF" w:rsidRPr="00EC7BFA" w:rsidRDefault="000123BF" w:rsidP="000123BF">
            <w:pPr>
              <w:jc w:val="left"/>
              <w:rPr>
                <w:sz w:val="15"/>
                <w:szCs w:val="15"/>
                <w:highlight w:val="yellow"/>
              </w:rPr>
            </w:pPr>
            <w:r w:rsidRPr="00EC7BFA">
              <w:rPr>
                <w:sz w:val="15"/>
                <w:szCs w:val="15"/>
                <w:highlight w:val="yellow"/>
              </w:rPr>
              <w:t>Cancer Diagnosis and Prognosis</w:t>
            </w:r>
          </w:p>
        </w:tc>
        <w:tc>
          <w:tcPr>
            <w:tcW w:w="2265" w:type="dxa"/>
          </w:tcPr>
          <w:p w14:paraId="16C9F295" w14:textId="7F0C8FD0" w:rsidR="000123BF" w:rsidRPr="000123BF" w:rsidRDefault="000123BF" w:rsidP="000123BF">
            <w:pPr>
              <w:jc w:val="left"/>
              <w:rPr>
                <w:sz w:val="15"/>
                <w:szCs w:val="15"/>
              </w:rPr>
            </w:pPr>
            <w:r w:rsidRPr="000123BF">
              <w:rPr>
                <w:sz w:val="15"/>
                <w:szCs w:val="15"/>
              </w:rPr>
              <w:t>Molecular Profiles: Genomic data, including mutations, copy number variations (CNV), and RNA sequencing (RNA-</w:t>
            </w:r>
            <w:proofErr w:type="spellStart"/>
            <w:r w:rsidRPr="000123BF">
              <w:rPr>
                <w:sz w:val="15"/>
                <w:szCs w:val="15"/>
              </w:rPr>
              <w:t>Seq</w:t>
            </w:r>
            <w:proofErr w:type="spellEnd"/>
            <w:r w:rsidRPr="000123BF">
              <w:rPr>
                <w:sz w:val="15"/>
                <w:szCs w:val="15"/>
              </w:rPr>
              <w:t>), were utilized.</w:t>
            </w:r>
          </w:p>
        </w:tc>
        <w:tc>
          <w:tcPr>
            <w:tcW w:w="2835" w:type="dxa"/>
          </w:tcPr>
          <w:p w14:paraId="5C6BEAB6" w14:textId="1FF615DA" w:rsidR="000123BF" w:rsidRPr="000123BF" w:rsidRDefault="000123BF" w:rsidP="000123BF">
            <w:pPr>
              <w:jc w:val="left"/>
              <w:rPr>
                <w:sz w:val="15"/>
                <w:szCs w:val="15"/>
              </w:rPr>
            </w:pPr>
            <w:r w:rsidRPr="000123BF">
              <w:rPr>
                <w:sz w:val="15"/>
                <w:szCs w:val="15"/>
              </w:rPr>
              <w:t>Histology features were extracted using Convolutional Neural Networks (CNNs) and Graph Convolutional Networks (GCNs), or a combination of both. These networks were initially trained individually for their respective tasks.</w:t>
            </w:r>
          </w:p>
        </w:tc>
        <w:tc>
          <w:tcPr>
            <w:tcW w:w="4886" w:type="dxa"/>
          </w:tcPr>
          <w:p w14:paraId="3EB10644" w14:textId="77777777" w:rsidR="000123BF" w:rsidRPr="000123BF" w:rsidRDefault="000123BF" w:rsidP="000123BF">
            <w:pPr>
              <w:jc w:val="left"/>
              <w:rPr>
                <w:sz w:val="15"/>
                <w:szCs w:val="15"/>
                <w:lang w:val="en-US"/>
              </w:rPr>
            </w:pPr>
            <w:r w:rsidRPr="000123BF">
              <w:rPr>
                <w:sz w:val="15"/>
                <w:szCs w:val="15"/>
                <w:lang w:val="en-US"/>
              </w:rPr>
              <w:t xml:space="preserve">Improvement Over Existing Models: The </w:t>
            </w:r>
            <w:proofErr w:type="spellStart"/>
            <w:r w:rsidRPr="000123BF">
              <w:rPr>
                <w:sz w:val="15"/>
                <w:szCs w:val="15"/>
                <w:lang w:val="en-US"/>
              </w:rPr>
              <w:t>Pathomic</w:t>
            </w:r>
            <w:proofErr w:type="spellEnd"/>
            <w:r w:rsidRPr="000123BF">
              <w:rPr>
                <w:sz w:val="15"/>
                <w:szCs w:val="15"/>
                <w:lang w:val="en-US"/>
              </w:rPr>
              <w:t xml:space="preserve"> Fusion approach outperformed existing models, including Cox models, unimodal networks, and previous deep learning-based feature fusion approaches for image-</w:t>
            </w:r>
            <w:proofErr w:type="spellStart"/>
            <w:r w:rsidRPr="000123BF">
              <w:rPr>
                <w:sz w:val="15"/>
                <w:szCs w:val="15"/>
                <w:lang w:val="en-US"/>
              </w:rPr>
              <w:t>omic</w:t>
            </w:r>
            <w:proofErr w:type="spellEnd"/>
            <w:r w:rsidRPr="000123BF">
              <w:rPr>
                <w:sz w:val="15"/>
                <w:szCs w:val="15"/>
                <w:lang w:val="en-US"/>
              </w:rPr>
              <w:t>-based survival outcome prediction. Notably, it achieved better results than the WHO paradigm and previous state-of-the-art methods, with significant improvements in predictive accuracy (c-Index of 0.826)</w:t>
            </w:r>
            <w:r w:rsidRPr="000123BF">
              <w:rPr>
                <w:rFonts w:ascii="MS Gothic" w:eastAsia="MS Gothic" w:hAnsi="MS Gothic" w:cs="MS Gothic" w:hint="eastAsia"/>
                <w:sz w:val="15"/>
                <w:szCs w:val="15"/>
                <w:lang w:val="en-US"/>
              </w:rPr>
              <w:t>​​</w:t>
            </w:r>
            <w:r w:rsidRPr="000123BF">
              <w:rPr>
                <w:sz w:val="15"/>
                <w:szCs w:val="15"/>
                <w:lang w:val="en-US"/>
              </w:rPr>
              <w:t>.</w:t>
            </w:r>
          </w:p>
          <w:p w14:paraId="331824E1" w14:textId="284A2FC7" w:rsidR="000123BF" w:rsidRPr="000123BF" w:rsidRDefault="000123BF" w:rsidP="000123BF">
            <w:pPr>
              <w:jc w:val="left"/>
              <w:rPr>
                <w:rFonts w:ascii="Segoe UI" w:hAnsi="Segoe UI" w:cs="Segoe UI"/>
                <w:color w:val="0F0F0F"/>
                <w:sz w:val="15"/>
                <w:szCs w:val="15"/>
              </w:rPr>
            </w:pPr>
            <w:r w:rsidRPr="000123BF">
              <w:rPr>
                <w:sz w:val="15"/>
                <w:szCs w:val="15"/>
                <w:lang w:val="en-US"/>
              </w:rPr>
              <w:t xml:space="preserve">Fine-Grained Patient Stratification: </w:t>
            </w:r>
            <w:proofErr w:type="spellStart"/>
            <w:r w:rsidRPr="000123BF">
              <w:rPr>
                <w:sz w:val="15"/>
                <w:szCs w:val="15"/>
                <w:lang w:val="en-US"/>
              </w:rPr>
              <w:t>Pathomic</w:t>
            </w:r>
            <w:proofErr w:type="spellEnd"/>
            <w:r w:rsidRPr="000123BF">
              <w:rPr>
                <w:sz w:val="15"/>
                <w:szCs w:val="15"/>
                <w:lang w:val="en-US"/>
              </w:rPr>
              <w:t xml:space="preserve"> Fusion allowed for more detailed stratification of survival curves, which could be highly beneficial in clinical settings for defining treatment cohorts</w:t>
            </w:r>
            <w:r w:rsidRPr="000123BF">
              <w:rPr>
                <w:rFonts w:ascii="MS Gothic" w:eastAsia="MS Gothic" w:hAnsi="MS Gothic" w:cs="MS Gothic" w:hint="eastAsia"/>
                <w:sz w:val="15"/>
                <w:szCs w:val="15"/>
                <w:lang w:val="en-US"/>
              </w:rPr>
              <w:t>​</w:t>
            </w:r>
          </w:p>
        </w:tc>
      </w:tr>
      <w:tr w:rsidR="00447BBE" w:rsidRPr="000123BF" w14:paraId="15F7E28B" w14:textId="77777777" w:rsidTr="000818CE">
        <w:tc>
          <w:tcPr>
            <w:tcW w:w="2270" w:type="dxa"/>
          </w:tcPr>
          <w:p w14:paraId="7C12043B" w14:textId="5B39A860" w:rsidR="00447BBE" w:rsidRPr="000123BF" w:rsidRDefault="00447BBE" w:rsidP="000123BF">
            <w:pPr>
              <w:jc w:val="left"/>
              <w:rPr>
                <w:sz w:val="15"/>
                <w:szCs w:val="15"/>
              </w:rPr>
            </w:pPr>
            <w:hyperlink r:id="rId35" w:history="1">
              <w:r w:rsidRPr="00447BBE">
                <w:rPr>
                  <w:rStyle w:val="Hyperlink"/>
                  <w:sz w:val="15"/>
                  <w:szCs w:val="15"/>
                </w:rPr>
                <w:t>A combined hypoxia and immune gene signature for predicting survival and risk stratification in triple-negative breast cancer</w:t>
              </w:r>
            </w:hyperlink>
          </w:p>
        </w:tc>
        <w:tc>
          <w:tcPr>
            <w:tcW w:w="1697" w:type="dxa"/>
          </w:tcPr>
          <w:p w14:paraId="5A393502" w14:textId="21710666" w:rsidR="00447BBE" w:rsidRPr="00EC7BFA" w:rsidRDefault="00447BBE" w:rsidP="000123BF">
            <w:pPr>
              <w:jc w:val="left"/>
              <w:rPr>
                <w:rFonts w:hint="eastAsia"/>
                <w:sz w:val="15"/>
                <w:szCs w:val="15"/>
                <w:highlight w:val="yellow"/>
              </w:rPr>
            </w:pPr>
            <w:r w:rsidRPr="00447BBE">
              <w:rPr>
                <w:sz w:val="15"/>
                <w:szCs w:val="15"/>
              </w:rPr>
              <w:t>breast cancer</w:t>
            </w:r>
          </w:p>
        </w:tc>
        <w:tc>
          <w:tcPr>
            <w:tcW w:w="2265" w:type="dxa"/>
          </w:tcPr>
          <w:p w14:paraId="5FB36504" w14:textId="77777777" w:rsidR="00447BBE" w:rsidRPr="000123BF" w:rsidRDefault="00447BBE" w:rsidP="000123BF">
            <w:pPr>
              <w:jc w:val="left"/>
              <w:rPr>
                <w:sz w:val="15"/>
                <w:szCs w:val="15"/>
              </w:rPr>
            </w:pPr>
          </w:p>
        </w:tc>
        <w:tc>
          <w:tcPr>
            <w:tcW w:w="2835" w:type="dxa"/>
          </w:tcPr>
          <w:p w14:paraId="00373BC0" w14:textId="01289C87" w:rsidR="00447BBE" w:rsidRPr="000123BF" w:rsidRDefault="00447BBE" w:rsidP="000123BF">
            <w:pPr>
              <w:jc w:val="left"/>
              <w:rPr>
                <w:sz w:val="15"/>
                <w:szCs w:val="15"/>
              </w:rPr>
            </w:pPr>
            <w:r w:rsidRPr="00447BBE">
              <w:rPr>
                <w:sz w:val="15"/>
                <w:szCs w:val="15"/>
              </w:rPr>
              <w:t>Hypoxia-related genes (HRGs) and Immune-related genes (IRGs) were identified using the weighted gene co-expression network analysis (WGCNA) method and the single-sample gene set enrichment analysis (</w:t>
            </w:r>
            <w:proofErr w:type="spellStart"/>
            <w:r w:rsidRPr="00447BBE">
              <w:rPr>
                <w:sz w:val="15"/>
                <w:szCs w:val="15"/>
              </w:rPr>
              <w:t>ssGSEA</w:t>
            </w:r>
            <w:proofErr w:type="spellEnd"/>
            <w:r w:rsidRPr="00447BBE">
              <w:rPr>
                <w:sz w:val="15"/>
                <w:szCs w:val="15"/>
              </w:rPr>
              <w:t xml:space="preserve"> Z-score) </w:t>
            </w:r>
            <w:r w:rsidRPr="00447BBE">
              <w:rPr>
                <w:sz w:val="15"/>
                <w:szCs w:val="15"/>
              </w:rPr>
              <w:lastRenderedPageBreak/>
              <w:t>with the transcriptomic profiles from Molecular Taxonomy of Breast Cancer International Consortium (METABRIC) cohort. Then, prognostic hypoxia and immune based genes were identified in TNBC patients from the METABRIC (N = 221), The Cancer Genome Atlas (TCGA) (N = 142), and GSE58812 (N = 107) using univariate cox regression model. A robust hypoxia-immune based gene signature for prognosis was constructed using the least absolute shrinkage and selection operator (LASSO) method.</w:t>
            </w:r>
          </w:p>
        </w:tc>
        <w:tc>
          <w:tcPr>
            <w:tcW w:w="4886" w:type="dxa"/>
          </w:tcPr>
          <w:p w14:paraId="61FBDA70" w14:textId="77777777" w:rsidR="00447BBE" w:rsidRPr="000123BF" w:rsidRDefault="00447BBE" w:rsidP="000123BF">
            <w:pPr>
              <w:jc w:val="left"/>
              <w:rPr>
                <w:sz w:val="15"/>
                <w:szCs w:val="15"/>
                <w:lang w:val="en-US"/>
              </w:rPr>
            </w:pPr>
          </w:p>
        </w:tc>
      </w:tr>
      <w:tr w:rsidR="00447BBE" w:rsidRPr="000123BF" w14:paraId="4BF94EC6" w14:textId="77777777" w:rsidTr="000818CE">
        <w:tc>
          <w:tcPr>
            <w:tcW w:w="2270" w:type="dxa"/>
          </w:tcPr>
          <w:p w14:paraId="7E80D4E9" w14:textId="604C1EFE" w:rsidR="00447BBE" w:rsidRPr="000123BF" w:rsidRDefault="00447BBE" w:rsidP="000123BF">
            <w:pPr>
              <w:jc w:val="left"/>
              <w:rPr>
                <w:sz w:val="15"/>
                <w:szCs w:val="15"/>
              </w:rPr>
            </w:pPr>
            <w:hyperlink r:id="rId36" w:history="1">
              <w:r w:rsidRPr="00447BBE">
                <w:rPr>
                  <w:rStyle w:val="Hyperlink"/>
                  <w:sz w:val="15"/>
                  <w:szCs w:val="15"/>
                </w:rPr>
                <w:t xml:space="preserve">A Hypoxia Gene-Based Signature to Predict the Survival and Affect the </w:t>
              </w:r>
              <w:proofErr w:type="spellStart"/>
              <w:r w:rsidRPr="00447BBE">
                <w:rPr>
                  <w:rStyle w:val="Hyperlink"/>
                  <w:sz w:val="15"/>
                  <w:szCs w:val="15"/>
                </w:rPr>
                <w:t>Tumor</w:t>
              </w:r>
              <w:proofErr w:type="spellEnd"/>
              <w:r w:rsidRPr="00447BBE">
                <w:rPr>
                  <w:rStyle w:val="Hyperlink"/>
                  <w:sz w:val="15"/>
                  <w:szCs w:val="15"/>
                </w:rPr>
                <w:t xml:space="preserve"> Immune Microenvironment of Osteosarcoma in Children</w:t>
              </w:r>
            </w:hyperlink>
          </w:p>
        </w:tc>
        <w:tc>
          <w:tcPr>
            <w:tcW w:w="1697" w:type="dxa"/>
          </w:tcPr>
          <w:p w14:paraId="2F74F272" w14:textId="77777777" w:rsidR="00447BBE" w:rsidRPr="00EC7BFA" w:rsidRDefault="00447BBE" w:rsidP="000123BF">
            <w:pPr>
              <w:jc w:val="left"/>
              <w:rPr>
                <w:rFonts w:hint="eastAsia"/>
                <w:sz w:val="15"/>
                <w:szCs w:val="15"/>
                <w:highlight w:val="yellow"/>
              </w:rPr>
            </w:pPr>
          </w:p>
        </w:tc>
        <w:tc>
          <w:tcPr>
            <w:tcW w:w="2265" w:type="dxa"/>
          </w:tcPr>
          <w:p w14:paraId="3485C65F" w14:textId="77777777" w:rsidR="00447BBE" w:rsidRPr="000123BF" w:rsidRDefault="00447BBE" w:rsidP="000123BF">
            <w:pPr>
              <w:jc w:val="left"/>
              <w:rPr>
                <w:sz w:val="15"/>
                <w:szCs w:val="15"/>
              </w:rPr>
            </w:pPr>
          </w:p>
        </w:tc>
        <w:tc>
          <w:tcPr>
            <w:tcW w:w="2835" w:type="dxa"/>
          </w:tcPr>
          <w:p w14:paraId="0B1804E1" w14:textId="040037BE" w:rsidR="00447BBE" w:rsidRPr="000123BF" w:rsidRDefault="00447BBE" w:rsidP="000123BF">
            <w:pPr>
              <w:jc w:val="left"/>
              <w:rPr>
                <w:sz w:val="15"/>
                <w:szCs w:val="15"/>
              </w:rPr>
            </w:pPr>
            <w:r w:rsidRPr="00447BBE">
              <w:rPr>
                <w:sz w:val="15"/>
                <w:szCs w:val="15"/>
              </w:rPr>
              <w:t>The genes related to hypoxia statistically relevant in univariate analysis were then shown to be significant in multivariate analysis which produced the risk score formula</w:t>
            </w:r>
          </w:p>
        </w:tc>
        <w:tc>
          <w:tcPr>
            <w:tcW w:w="4886" w:type="dxa"/>
          </w:tcPr>
          <w:p w14:paraId="337FE177" w14:textId="77777777" w:rsidR="00447BBE" w:rsidRPr="000123BF" w:rsidRDefault="00447BBE" w:rsidP="000123BF">
            <w:pPr>
              <w:jc w:val="left"/>
              <w:rPr>
                <w:sz w:val="15"/>
                <w:szCs w:val="15"/>
                <w:lang w:val="en-US"/>
              </w:rPr>
            </w:pPr>
          </w:p>
        </w:tc>
      </w:tr>
      <w:tr w:rsidR="00447BBE" w:rsidRPr="000123BF" w14:paraId="5156C86D" w14:textId="77777777" w:rsidTr="000818CE">
        <w:tc>
          <w:tcPr>
            <w:tcW w:w="2270" w:type="dxa"/>
          </w:tcPr>
          <w:p w14:paraId="2BE7EBA6" w14:textId="63D09920" w:rsidR="00447BBE" w:rsidRDefault="00447BBE" w:rsidP="000123BF">
            <w:pPr>
              <w:jc w:val="left"/>
              <w:rPr>
                <w:sz w:val="15"/>
                <w:szCs w:val="15"/>
              </w:rPr>
            </w:pPr>
            <w:hyperlink r:id="rId37" w:history="1">
              <w:r w:rsidRPr="00447BBE">
                <w:rPr>
                  <w:rStyle w:val="Hyperlink"/>
                  <w:sz w:val="15"/>
                  <w:szCs w:val="15"/>
                </w:rPr>
                <w:t xml:space="preserve">A Robust Hypoxia Risk Score Predicts the Clinical Outcomes and </w:t>
              </w:r>
              <w:proofErr w:type="spellStart"/>
              <w:r w:rsidRPr="00447BBE">
                <w:rPr>
                  <w:rStyle w:val="Hyperlink"/>
                  <w:sz w:val="15"/>
                  <w:szCs w:val="15"/>
                </w:rPr>
                <w:t>Tumor</w:t>
              </w:r>
              <w:proofErr w:type="spellEnd"/>
              <w:r w:rsidRPr="00447BBE">
                <w:rPr>
                  <w:rStyle w:val="Hyperlink"/>
                  <w:sz w:val="15"/>
                  <w:szCs w:val="15"/>
                </w:rPr>
                <w:t xml:space="preserve"> Microenvironment Immune Characters in Bladder Cancer</w:t>
              </w:r>
            </w:hyperlink>
          </w:p>
        </w:tc>
        <w:tc>
          <w:tcPr>
            <w:tcW w:w="1697" w:type="dxa"/>
          </w:tcPr>
          <w:p w14:paraId="7B47FF11" w14:textId="77777777" w:rsidR="00447BBE" w:rsidRPr="00EC7BFA" w:rsidRDefault="00447BBE" w:rsidP="000123BF">
            <w:pPr>
              <w:jc w:val="left"/>
              <w:rPr>
                <w:rFonts w:hint="eastAsia"/>
                <w:sz w:val="15"/>
                <w:szCs w:val="15"/>
                <w:highlight w:val="yellow"/>
              </w:rPr>
            </w:pPr>
          </w:p>
        </w:tc>
        <w:tc>
          <w:tcPr>
            <w:tcW w:w="2265" w:type="dxa"/>
          </w:tcPr>
          <w:p w14:paraId="14111F1F" w14:textId="77777777" w:rsidR="00447BBE" w:rsidRPr="000123BF" w:rsidRDefault="00447BBE" w:rsidP="000123BF">
            <w:pPr>
              <w:jc w:val="left"/>
              <w:rPr>
                <w:sz w:val="15"/>
                <w:szCs w:val="15"/>
              </w:rPr>
            </w:pPr>
          </w:p>
        </w:tc>
        <w:tc>
          <w:tcPr>
            <w:tcW w:w="2835" w:type="dxa"/>
          </w:tcPr>
          <w:p w14:paraId="6FE3AA1F" w14:textId="5548666D" w:rsidR="00447BBE" w:rsidRPr="00447BBE" w:rsidRDefault="00447BBE" w:rsidP="000123BF">
            <w:pPr>
              <w:jc w:val="left"/>
              <w:rPr>
                <w:sz w:val="15"/>
                <w:szCs w:val="15"/>
              </w:rPr>
            </w:pPr>
            <w:r w:rsidRPr="00447BBE">
              <w:rPr>
                <w:sz w:val="15"/>
                <w:szCs w:val="15"/>
              </w:rPr>
              <w:t xml:space="preserve">The hypoxia-related genes were collected from the Molecular Signatures Database. The TCGA-BLCA cohort was downloaded from the Cancer Genome Atlas and then was randomly divided into training and internal validation sets. Two external validation cohorts were gathered from Gene Expression </w:t>
            </w:r>
            <w:r w:rsidRPr="00447BBE">
              <w:rPr>
                <w:sz w:val="15"/>
                <w:szCs w:val="15"/>
              </w:rPr>
              <w:lastRenderedPageBreak/>
              <w:t>Omnibus. Also, another independent validation cohort (</w:t>
            </w:r>
            <w:proofErr w:type="spellStart"/>
            <w:r w:rsidRPr="00447BBE">
              <w:rPr>
                <w:sz w:val="15"/>
                <w:szCs w:val="15"/>
              </w:rPr>
              <w:t>Xiangya</w:t>
            </w:r>
            <w:proofErr w:type="spellEnd"/>
            <w:r w:rsidRPr="00447BBE">
              <w:rPr>
                <w:sz w:val="15"/>
                <w:szCs w:val="15"/>
              </w:rPr>
              <w:t xml:space="preserve"> cohort) was collected from our hospital. The Cox regression model with the LASSO algorithm was applied to develop the hypoxia risk score. Then, we correlated the hypoxia risk score with the clinical outcomes, the </w:t>
            </w:r>
            <w:proofErr w:type="spellStart"/>
            <w:r w:rsidRPr="00447BBE">
              <w:rPr>
                <w:sz w:val="15"/>
                <w:szCs w:val="15"/>
              </w:rPr>
              <w:t>tumor</w:t>
            </w:r>
            <w:proofErr w:type="spellEnd"/>
            <w:r w:rsidRPr="00447BBE">
              <w:rPr>
                <w:sz w:val="15"/>
                <w:szCs w:val="15"/>
              </w:rPr>
              <w:t xml:space="preserve"> microenvironment (TME) immune characteristics, and the efficacy prediction for several treatments, which included cancer immunotherapy, chemotherapy, radiotherapy, and targeted therapies.</w:t>
            </w:r>
          </w:p>
        </w:tc>
        <w:tc>
          <w:tcPr>
            <w:tcW w:w="4886" w:type="dxa"/>
          </w:tcPr>
          <w:p w14:paraId="0C025A81" w14:textId="77777777" w:rsidR="00447BBE" w:rsidRPr="000123BF" w:rsidRDefault="00447BBE" w:rsidP="000123BF">
            <w:pPr>
              <w:jc w:val="left"/>
              <w:rPr>
                <w:sz w:val="15"/>
                <w:szCs w:val="15"/>
                <w:lang w:val="en-US"/>
              </w:rPr>
            </w:pPr>
          </w:p>
        </w:tc>
      </w:tr>
      <w:tr w:rsidR="000123BF" w:rsidRPr="000123BF" w14:paraId="0DC43C1F" w14:textId="77777777" w:rsidTr="000818CE">
        <w:tc>
          <w:tcPr>
            <w:tcW w:w="2270" w:type="dxa"/>
          </w:tcPr>
          <w:p w14:paraId="57B92C0C" w14:textId="3AD9AB40" w:rsidR="000123BF" w:rsidRPr="000123BF" w:rsidRDefault="00E5751E" w:rsidP="000123BF">
            <w:pPr>
              <w:jc w:val="left"/>
              <w:rPr>
                <w:sz w:val="15"/>
                <w:szCs w:val="15"/>
              </w:rPr>
            </w:pPr>
            <w:hyperlink r:id="rId38" w:history="1">
              <w:r w:rsidR="000123BF" w:rsidRPr="000123BF">
                <w:rPr>
                  <w:rStyle w:val="Hyperlink"/>
                  <w:sz w:val="15"/>
                  <w:szCs w:val="15"/>
                </w:rPr>
                <w:t>Multi-omics data integration in upper gastrointestinal cancers research: A review of concepts, approaches, and application</w:t>
              </w:r>
            </w:hyperlink>
          </w:p>
        </w:tc>
        <w:tc>
          <w:tcPr>
            <w:tcW w:w="1697" w:type="dxa"/>
          </w:tcPr>
          <w:p w14:paraId="75DBAE42" w14:textId="2E8562DC" w:rsidR="000123BF" w:rsidRPr="000123BF" w:rsidRDefault="000123BF" w:rsidP="000123BF">
            <w:pPr>
              <w:jc w:val="left"/>
              <w:rPr>
                <w:sz w:val="15"/>
                <w:szCs w:val="15"/>
              </w:rPr>
            </w:pPr>
            <w:r w:rsidRPr="000123BF">
              <w:rPr>
                <w:rFonts w:hint="eastAsia"/>
                <w:sz w:val="15"/>
                <w:szCs w:val="15"/>
              </w:rPr>
              <w:t>R</w:t>
            </w:r>
            <w:r w:rsidRPr="000123BF">
              <w:rPr>
                <w:sz w:val="15"/>
                <w:szCs w:val="15"/>
              </w:rPr>
              <w:t>eview</w:t>
            </w:r>
          </w:p>
        </w:tc>
        <w:tc>
          <w:tcPr>
            <w:tcW w:w="2265" w:type="dxa"/>
          </w:tcPr>
          <w:p w14:paraId="07B91B62" w14:textId="54C4E7AB" w:rsidR="000123BF" w:rsidRPr="000123BF" w:rsidRDefault="000123BF" w:rsidP="000123BF">
            <w:pPr>
              <w:jc w:val="left"/>
              <w:rPr>
                <w:sz w:val="15"/>
                <w:szCs w:val="15"/>
              </w:rPr>
            </w:pPr>
            <w:r w:rsidRPr="000123BF">
              <w:rPr>
                <w:rFonts w:hint="eastAsia"/>
                <w:sz w:val="15"/>
                <w:szCs w:val="15"/>
              </w:rPr>
              <w:t>\</w:t>
            </w:r>
          </w:p>
        </w:tc>
        <w:tc>
          <w:tcPr>
            <w:tcW w:w="2835" w:type="dxa"/>
          </w:tcPr>
          <w:p w14:paraId="635C2663" w14:textId="20F863EA" w:rsidR="000123BF" w:rsidRPr="000123BF" w:rsidRDefault="000123BF" w:rsidP="000123BF">
            <w:pPr>
              <w:jc w:val="left"/>
              <w:rPr>
                <w:sz w:val="15"/>
                <w:szCs w:val="15"/>
              </w:rPr>
            </w:pPr>
            <w:r w:rsidRPr="000123BF">
              <w:rPr>
                <w:rFonts w:hint="eastAsia"/>
                <w:sz w:val="15"/>
                <w:szCs w:val="15"/>
              </w:rPr>
              <w:t>\</w:t>
            </w:r>
          </w:p>
        </w:tc>
        <w:tc>
          <w:tcPr>
            <w:tcW w:w="4886" w:type="dxa"/>
          </w:tcPr>
          <w:p w14:paraId="61398F1C" w14:textId="4A599AD1" w:rsidR="000123BF" w:rsidRPr="000123BF" w:rsidRDefault="000123BF" w:rsidP="000123BF">
            <w:pPr>
              <w:jc w:val="left"/>
              <w:rPr>
                <w:sz w:val="15"/>
                <w:szCs w:val="15"/>
              </w:rPr>
            </w:pPr>
            <w:r w:rsidRPr="000123BF">
              <w:rPr>
                <w:rFonts w:ascii="Segoe UI" w:hAnsi="Segoe UI" w:cs="Segoe UI"/>
                <w:color w:val="0F0F0F"/>
                <w:sz w:val="15"/>
                <w:szCs w:val="15"/>
              </w:rPr>
              <w:t xml:space="preserve">upper gastrointestinal (GI) cancers, including </w:t>
            </w:r>
            <w:proofErr w:type="spellStart"/>
            <w:r w:rsidRPr="000123BF">
              <w:rPr>
                <w:rFonts w:ascii="Segoe UI" w:hAnsi="Segoe UI" w:cs="Segoe UI"/>
                <w:color w:val="0F0F0F"/>
                <w:sz w:val="15"/>
                <w:szCs w:val="15"/>
              </w:rPr>
              <w:t>esophageal</w:t>
            </w:r>
            <w:proofErr w:type="spellEnd"/>
            <w:r w:rsidRPr="000123BF">
              <w:rPr>
                <w:rFonts w:ascii="Segoe UI" w:hAnsi="Segoe UI" w:cs="Segoe UI"/>
                <w:color w:val="0F0F0F"/>
                <w:sz w:val="15"/>
                <w:szCs w:val="15"/>
              </w:rPr>
              <w:t>, gastric, liver, and pancreatic cancers</w:t>
            </w:r>
          </w:p>
        </w:tc>
      </w:tr>
      <w:tr w:rsidR="000123BF" w:rsidRPr="000123BF" w14:paraId="1B94CCCF" w14:textId="77777777" w:rsidTr="000818CE">
        <w:tc>
          <w:tcPr>
            <w:tcW w:w="2270" w:type="dxa"/>
          </w:tcPr>
          <w:p w14:paraId="3C432B2F" w14:textId="29F4EEBF" w:rsidR="000123BF" w:rsidRPr="000123BF" w:rsidRDefault="00E5751E" w:rsidP="000123BF">
            <w:pPr>
              <w:jc w:val="left"/>
              <w:rPr>
                <w:sz w:val="15"/>
                <w:szCs w:val="15"/>
              </w:rPr>
            </w:pPr>
            <w:hyperlink r:id="rId39" w:history="1">
              <w:r w:rsidR="000123BF" w:rsidRPr="000123BF">
                <w:rPr>
                  <w:rStyle w:val="Hyperlink"/>
                  <w:sz w:val="15"/>
                  <w:szCs w:val="15"/>
                </w:rPr>
                <w:t>Machine Learning: A New Prospect in Multi-Omics Data Analysis of Cancer</w:t>
              </w:r>
            </w:hyperlink>
          </w:p>
        </w:tc>
        <w:tc>
          <w:tcPr>
            <w:tcW w:w="1697" w:type="dxa"/>
          </w:tcPr>
          <w:p w14:paraId="77DC6D35" w14:textId="3477DC6B" w:rsidR="000123BF" w:rsidRPr="00EC7BFA" w:rsidRDefault="000123BF" w:rsidP="000123BF">
            <w:pPr>
              <w:jc w:val="left"/>
              <w:rPr>
                <w:sz w:val="15"/>
                <w:szCs w:val="15"/>
                <w:highlight w:val="yellow"/>
              </w:rPr>
            </w:pPr>
            <w:r w:rsidRPr="00EC7BFA">
              <w:rPr>
                <w:rFonts w:hint="eastAsia"/>
                <w:sz w:val="15"/>
                <w:szCs w:val="15"/>
                <w:highlight w:val="yellow"/>
              </w:rPr>
              <w:t>R</w:t>
            </w:r>
            <w:r w:rsidRPr="00EC7BFA">
              <w:rPr>
                <w:sz w:val="15"/>
                <w:szCs w:val="15"/>
                <w:highlight w:val="yellow"/>
              </w:rPr>
              <w:t>eview</w:t>
            </w:r>
          </w:p>
        </w:tc>
        <w:tc>
          <w:tcPr>
            <w:tcW w:w="2265" w:type="dxa"/>
          </w:tcPr>
          <w:p w14:paraId="5E5680DD" w14:textId="02BAA866" w:rsidR="000123BF" w:rsidRPr="000123BF" w:rsidRDefault="000123BF" w:rsidP="000123BF">
            <w:pPr>
              <w:jc w:val="left"/>
              <w:rPr>
                <w:sz w:val="15"/>
                <w:szCs w:val="15"/>
              </w:rPr>
            </w:pPr>
            <w:r w:rsidRPr="000123BF">
              <w:rPr>
                <w:rFonts w:hint="eastAsia"/>
                <w:sz w:val="15"/>
                <w:szCs w:val="15"/>
              </w:rPr>
              <w:t>\</w:t>
            </w:r>
          </w:p>
        </w:tc>
        <w:tc>
          <w:tcPr>
            <w:tcW w:w="2835" w:type="dxa"/>
          </w:tcPr>
          <w:p w14:paraId="379A8CCE" w14:textId="4DDAFD56" w:rsidR="000123BF" w:rsidRPr="000123BF" w:rsidRDefault="000123BF" w:rsidP="000123BF">
            <w:pPr>
              <w:jc w:val="left"/>
              <w:rPr>
                <w:sz w:val="15"/>
                <w:szCs w:val="15"/>
              </w:rPr>
            </w:pPr>
            <w:r w:rsidRPr="000123BF">
              <w:rPr>
                <w:rFonts w:hint="eastAsia"/>
                <w:sz w:val="15"/>
                <w:szCs w:val="15"/>
              </w:rPr>
              <w:t>\</w:t>
            </w:r>
          </w:p>
        </w:tc>
        <w:tc>
          <w:tcPr>
            <w:tcW w:w="4886" w:type="dxa"/>
          </w:tcPr>
          <w:p w14:paraId="5118A7F7" w14:textId="7F6C8F19" w:rsidR="000123BF" w:rsidRPr="000123BF" w:rsidRDefault="000123BF" w:rsidP="000123BF">
            <w:pPr>
              <w:jc w:val="left"/>
              <w:rPr>
                <w:sz w:val="15"/>
                <w:szCs w:val="15"/>
              </w:rPr>
            </w:pPr>
            <w:r w:rsidRPr="000123BF">
              <w:rPr>
                <w:sz w:val="15"/>
                <w:szCs w:val="15"/>
              </w:rPr>
              <w:t>Cancer Prevention</w:t>
            </w:r>
            <w:r w:rsidRPr="000123BF">
              <w:rPr>
                <w:rFonts w:hint="eastAsia"/>
                <w:sz w:val="15"/>
                <w:szCs w:val="15"/>
              </w:rPr>
              <w:t>/</w:t>
            </w:r>
            <w:r w:rsidRPr="000123BF">
              <w:rPr>
                <w:sz w:val="15"/>
                <w:szCs w:val="15"/>
              </w:rPr>
              <w:t>Early Detection</w:t>
            </w:r>
            <w:r w:rsidRPr="000123BF">
              <w:rPr>
                <w:rFonts w:hint="eastAsia"/>
                <w:sz w:val="15"/>
                <w:szCs w:val="15"/>
              </w:rPr>
              <w:t>/</w:t>
            </w:r>
            <w:r w:rsidRPr="000123BF">
              <w:rPr>
                <w:sz w:val="15"/>
                <w:szCs w:val="15"/>
              </w:rPr>
              <w:t>Treatment/Supervised Learning/Unsupervised Learning/Semi-Supervised Learning/Reinforcement Learning</w:t>
            </w:r>
          </w:p>
          <w:p w14:paraId="39F08EF0" w14:textId="77777777" w:rsidR="000123BF" w:rsidRPr="000123BF" w:rsidRDefault="000123BF" w:rsidP="000123BF">
            <w:pPr>
              <w:jc w:val="left"/>
              <w:rPr>
                <w:sz w:val="15"/>
                <w:szCs w:val="15"/>
              </w:rPr>
            </w:pPr>
          </w:p>
          <w:p w14:paraId="5CA86FB7" w14:textId="77777777" w:rsidR="000123BF" w:rsidRPr="000123BF" w:rsidRDefault="000123BF" w:rsidP="000123BF">
            <w:pPr>
              <w:jc w:val="left"/>
              <w:rPr>
                <w:sz w:val="15"/>
                <w:szCs w:val="15"/>
              </w:rPr>
            </w:pPr>
          </w:p>
          <w:p w14:paraId="44D2BA37" w14:textId="77777777" w:rsidR="000123BF" w:rsidRPr="000123BF" w:rsidRDefault="000123BF" w:rsidP="000123BF">
            <w:pPr>
              <w:jc w:val="left"/>
              <w:rPr>
                <w:sz w:val="15"/>
                <w:szCs w:val="15"/>
              </w:rPr>
            </w:pPr>
          </w:p>
          <w:p w14:paraId="633E97AF" w14:textId="77777777" w:rsidR="000123BF" w:rsidRPr="000123BF" w:rsidRDefault="000123BF" w:rsidP="000123BF">
            <w:pPr>
              <w:jc w:val="left"/>
              <w:rPr>
                <w:sz w:val="15"/>
                <w:szCs w:val="15"/>
              </w:rPr>
            </w:pPr>
          </w:p>
          <w:p w14:paraId="3F18919A" w14:textId="77777777" w:rsidR="000123BF" w:rsidRPr="000123BF" w:rsidRDefault="000123BF" w:rsidP="000123BF">
            <w:pPr>
              <w:jc w:val="left"/>
              <w:rPr>
                <w:sz w:val="15"/>
                <w:szCs w:val="15"/>
              </w:rPr>
            </w:pPr>
          </w:p>
        </w:tc>
      </w:tr>
      <w:tr w:rsidR="009F0710" w:rsidRPr="000123BF" w14:paraId="13ED16DF" w14:textId="77777777" w:rsidTr="000818CE">
        <w:tc>
          <w:tcPr>
            <w:tcW w:w="2270" w:type="dxa"/>
          </w:tcPr>
          <w:p w14:paraId="5C5ECB23" w14:textId="2F68AFE2" w:rsidR="009F0710" w:rsidRPr="009F0710" w:rsidRDefault="00E5751E" w:rsidP="000123BF">
            <w:pPr>
              <w:jc w:val="left"/>
              <w:rPr>
                <w:lang w:val="en-US"/>
              </w:rPr>
            </w:pPr>
            <w:hyperlink r:id="rId40" w:history="1">
              <w:r w:rsidR="009F0710" w:rsidRPr="009F0710">
                <w:rPr>
                  <w:rStyle w:val="Hyperlink"/>
                  <w:lang w:val="en-US"/>
                </w:rPr>
                <w:t xml:space="preserve">The Effect of Hypoxia </w:t>
              </w:r>
              <w:r w:rsidR="009F0710" w:rsidRPr="009F0710">
                <w:rPr>
                  <w:rStyle w:val="Hyperlink"/>
                  <w:lang w:val="en-US"/>
                </w:rPr>
                <w:lastRenderedPageBreak/>
                <w:t>and Hypoxia-Associated Pathways in the Regulation of Antitumor Response: Friends or Foes?</w:t>
              </w:r>
            </w:hyperlink>
          </w:p>
        </w:tc>
        <w:tc>
          <w:tcPr>
            <w:tcW w:w="1697" w:type="dxa"/>
          </w:tcPr>
          <w:p w14:paraId="3BA3E292" w14:textId="77777777" w:rsidR="009F0710" w:rsidRPr="00EC7BFA" w:rsidRDefault="009F0710" w:rsidP="000123BF">
            <w:pPr>
              <w:jc w:val="left"/>
              <w:rPr>
                <w:sz w:val="15"/>
                <w:szCs w:val="15"/>
                <w:highlight w:val="yellow"/>
              </w:rPr>
            </w:pPr>
          </w:p>
        </w:tc>
        <w:tc>
          <w:tcPr>
            <w:tcW w:w="2265" w:type="dxa"/>
          </w:tcPr>
          <w:p w14:paraId="1937C140" w14:textId="77777777" w:rsidR="009F0710" w:rsidRPr="000123BF" w:rsidRDefault="009F0710" w:rsidP="000123BF">
            <w:pPr>
              <w:jc w:val="left"/>
              <w:rPr>
                <w:sz w:val="15"/>
                <w:szCs w:val="15"/>
              </w:rPr>
            </w:pPr>
          </w:p>
        </w:tc>
        <w:tc>
          <w:tcPr>
            <w:tcW w:w="2835" w:type="dxa"/>
          </w:tcPr>
          <w:p w14:paraId="0AFD6F4C" w14:textId="77777777" w:rsidR="009F0710" w:rsidRPr="000123BF" w:rsidRDefault="009F0710" w:rsidP="000123BF">
            <w:pPr>
              <w:jc w:val="left"/>
              <w:rPr>
                <w:sz w:val="15"/>
                <w:szCs w:val="15"/>
              </w:rPr>
            </w:pPr>
          </w:p>
        </w:tc>
        <w:tc>
          <w:tcPr>
            <w:tcW w:w="4886" w:type="dxa"/>
          </w:tcPr>
          <w:p w14:paraId="37A36F2E" w14:textId="77777777" w:rsidR="009F0710" w:rsidRPr="000123BF" w:rsidRDefault="009F0710" w:rsidP="000123BF">
            <w:pPr>
              <w:jc w:val="left"/>
              <w:rPr>
                <w:sz w:val="15"/>
                <w:szCs w:val="15"/>
              </w:rPr>
            </w:pPr>
          </w:p>
        </w:tc>
      </w:tr>
    </w:tbl>
    <w:p w14:paraId="697601F0" w14:textId="77777777" w:rsidR="00001D46" w:rsidRPr="000123BF" w:rsidRDefault="00001D46" w:rsidP="00DD4996">
      <w:pPr>
        <w:jc w:val="left"/>
        <w:rPr>
          <w:sz w:val="15"/>
          <w:szCs w:val="15"/>
        </w:rPr>
      </w:pPr>
    </w:p>
    <w:sectPr w:rsidR="00001D46" w:rsidRPr="000123BF" w:rsidSect="002D5221">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D5"/>
    <w:rsid w:val="00001D46"/>
    <w:rsid w:val="000123BF"/>
    <w:rsid w:val="000157D1"/>
    <w:rsid w:val="000245D3"/>
    <w:rsid w:val="000415CD"/>
    <w:rsid w:val="00041E56"/>
    <w:rsid w:val="00052EBD"/>
    <w:rsid w:val="000818CE"/>
    <w:rsid w:val="00095704"/>
    <w:rsid w:val="000A4770"/>
    <w:rsid w:val="000C10F5"/>
    <w:rsid w:val="000E6C05"/>
    <w:rsid w:val="000F47FC"/>
    <w:rsid w:val="00170833"/>
    <w:rsid w:val="001A7EC4"/>
    <w:rsid w:val="001B49DE"/>
    <w:rsid w:val="002D5221"/>
    <w:rsid w:val="002E3D3D"/>
    <w:rsid w:val="002F1B13"/>
    <w:rsid w:val="00324B55"/>
    <w:rsid w:val="00346BD5"/>
    <w:rsid w:val="00362DCF"/>
    <w:rsid w:val="00370040"/>
    <w:rsid w:val="003D604D"/>
    <w:rsid w:val="003D7377"/>
    <w:rsid w:val="00414D5B"/>
    <w:rsid w:val="004204CD"/>
    <w:rsid w:val="00435CC7"/>
    <w:rsid w:val="00447BBE"/>
    <w:rsid w:val="004C5A2D"/>
    <w:rsid w:val="005C6116"/>
    <w:rsid w:val="006216FB"/>
    <w:rsid w:val="006301C9"/>
    <w:rsid w:val="0065036C"/>
    <w:rsid w:val="00654D5D"/>
    <w:rsid w:val="006749E3"/>
    <w:rsid w:val="00675A32"/>
    <w:rsid w:val="006C4A55"/>
    <w:rsid w:val="006D5D9F"/>
    <w:rsid w:val="00711461"/>
    <w:rsid w:val="00732830"/>
    <w:rsid w:val="0077231C"/>
    <w:rsid w:val="007A3A14"/>
    <w:rsid w:val="007F6A52"/>
    <w:rsid w:val="0081487C"/>
    <w:rsid w:val="008564CB"/>
    <w:rsid w:val="00863354"/>
    <w:rsid w:val="0089305C"/>
    <w:rsid w:val="008D29EB"/>
    <w:rsid w:val="00930991"/>
    <w:rsid w:val="00937925"/>
    <w:rsid w:val="009437A8"/>
    <w:rsid w:val="0094518A"/>
    <w:rsid w:val="0096112F"/>
    <w:rsid w:val="009A47CE"/>
    <w:rsid w:val="009F0710"/>
    <w:rsid w:val="00A4232E"/>
    <w:rsid w:val="00A60F90"/>
    <w:rsid w:val="00A81984"/>
    <w:rsid w:val="00AA6B29"/>
    <w:rsid w:val="00B04847"/>
    <w:rsid w:val="00B126E6"/>
    <w:rsid w:val="00B20FBD"/>
    <w:rsid w:val="00B86B0C"/>
    <w:rsid w:val="00BB763B"/>
    <w:rsid w:val="00BD1758"/>
    <w:rsid w:val="00BF1260"/>
    <w:rsid w:val="00C00C80"/>
    <w:rsid w:val="00C033C1"/>
    <w:rsid w:val="00C2688A"/>
    <w:rsid w:val="00C51708"/>
    <w:rsid w:val="00CE44C3"/>
    <w:rsid w:val="00D57018"/>
    <w:rsid w:val="00D83E4E"/>
    <w:rsid w:val="00D962C8"/>
    <w:rsid w:val="00DA45C1"/>
    <w:rsid w:val="00DB55F9"/>
    <w:rsid w:val="00DD029B"/>
    <w:rsid w:val="00DD4996"/>
    <w:rsid w:val="00DD4F46"/>
    <w:rsid w:val="00DE234D"/>
    <w:rsid w:val="00DE6CB6"/>
    <w:rsid w:val="00E341A3"/>
    <w:rsid w:val="00E56044"/>
    <w:rsid w:val="00E5751E"/>
    <w:rsid w:val="00E90408"/>
    <w:rsid w:val="00EC7BFA"/>
    <w:rsid w:val="00F26A9D"/>
    <w:rsid w:val="00F4308E"/>
    <w:rsid w:val="00FF698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08C0"/>
  <w15:chartTrackingRefBased/>
  <w15:docId w15:val="{D84EDDBC-5BC7-4F94-9361-29208FB33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D5D"/>
    <w:pPr>
      <w:widowControl w:val="0"/>
      <w:jc w:val="both"/>
    </w:pPr>
    <w:rPr>
      <w:lang w:val="en-GB"/>
    </w:rPr>
  </w:style>
  <w:style w:type="paragraph" w:styleId="Heading1">
    <w:name w:val="heading 1"/>
    <w:basedOn w:val="Normal"/>
    <w:link w:val="Heading1Char"/>
    <w:uiPriority w:val="9"/>
    <w:qFormat/>
    <w:rsid w:val="00DD4996"/>
    <w:pPr>
      <w:widowControl/>
      <w:spacing w:before="100" w:beforeAutospacing="1" w:after="100" w:afterAutospacing="1"/>
      <w:jc w:val="left"/>
      <w:outlineLvl w:val="0"/>
    </w:pPr>
    <w:rPr>
      <w:rFonts w:ascii="SimSun" w:eastAsia="SimSun" w:hAnsi="SimSun" w:cs="SimSun"/>
      <w:b/>
      <w:bCs/>
      <w:kern w:val="36"/>
      <w:sz w:val="48"/>
      <w:szCs w:val="48"/>
      <w:lang w:val="en-US"/>
    </w:rPr>
  </w:style>
  <w:style w:type="paragraph" w:styleId="Heading3">
    <w:name w:val="heading 3"/>
    <w:basedOn w:val="Normal"/>
    <w:next w:val="Normal"/>
    <w:link w:val="Heading3Char"/>
    <w:uiPriority w:val="9"/>
    <w:unhideWhenUsed/>
    <w:qFormat/>
    <w:rsid w:val="002D522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49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4996"/>
    <w:rPr>
      <w:rFonts w:ascii="SimSun" w:eastAsia="SimSun" w:hAnsi="SimSun" w:cs="SimSun"/>
      <w:b/>
      <w:bCs/>
      <w:kern w:val="36"/>
      <w:sz w:val="48"/>
      <w:szCs w:val="48"/>
    </w:rPr>
  </w:style>
  <w:style w:type="character" w:styleId="Hyperlink">
    <w:name w:val="Hyperlink"/>
    <w:basedOn w:val="DefaultParagraphFont"/>
    <w:uiPriority w:val="99"/>
    <w:unhideWhenUsed/>
    <w:rsid w:val="00DD4996"/>
    <w:rPr>
      <w:color w:val="0563C1" w:themeColor="hyperlink"/>
      <w:u w:val="single"/>
    </w:rPr>
  </w:style>
  <w:style w:type="character" w:styleId="UnresolvedMention">
    <w:name w:val="Unresolved Mention"/>
    <w:basedOn w:val="DefaultParagraphFont"/>
    <w:uiPriority w:val="99"/>
    <w:semiHidden/>
    <w:unhideWhenUsed/>
    <w:rsid w:val="00DD4996"/>
    <w:rPr>
      <w:color w:val="605E5C"/>
      <w:shd w:val="clear" w:color="auto" w:fill="E1DFDD"/>
    </w:rPr>
  </w:style>
  <w:style w:type="character" w:customStyle="1" w:styleId="Heading3Char">
    <w:name w:val="Heading 3 Char"/>
    <w:basedOn w:val="DefaultParagraphFont"/>
    <w:link w:val="Heading3"/>
    <w:uiPriority w:val="9"/>
    <w:rsid w:val="002D5221"/>
    <w:rPr>
      <w:b/>
      <w:bCs/>
      <w:sz w:val="32"/>
      <w:szCs w:val="32"/>
      <w:lang w:val="en-GB"/>
    </w:rPr>
  </w:style>
  <w:style w:type="character" w:styleId="FollowedHyperlink">
    <w:name w:val="FollowedHyperlink"/>
    <w:basedOn w:val="DefaultParagraphFont"/>
    <w:uiPriority w:val="99"/>
    <w:semiHidden/>
    <w:unhideWhenUsed/>
    <w:rsid w:val="00052E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2252">
      <w:bodyDiv w:val="1"/>
      <w:marLeft w:val="0"/>
      <w:marRight w:val="0"/>
      <w:marTop w:val="0"/>
      <w:marBottom w:val="0"/>
      <w:divBdr>
        <w:top w:val="none" w:sz="0" w:space="0" w:color="auto"/>
        <w:left w:val="none" w:sz="0" w:space="0" w:color="auto"/>
        <w:bottom w:val="none" w:sz="0" w:space="0" w:color="auto"/>
        <w:right w:val="none" w:sz="0" w:space="0" w:color="auto"/>
      </w:divBdr>
    </w:div>
    <w:div w:id="213740078">
      <w:bodyDiv w:val="1"/>
      <w:marLeft w:val="0"/>
      <w:marRight w:val="0"/>
      <w:marTop w:val="0"/>
      <w:marBottom w:val="0"/>
      <w:divBdr>
        <w:top w:val="none" w:sz="0" w:space="0" w:color="auto"/>
        <w:left w:val="none" w:sz="0" w:space="0" w:color="auto"/>
        <w:bottom w:val="none" w:sz="0" w:space="0" w:color="auto"/>
        <w:right w:val="none" w:sz="0" w:space="0" w:color="auto"/>
      </w:divBdr>
    </w:div>
    <w:div w:id="311103677">
      <w:bodyDiv w:val="1"/>
      <w:marLeft w:val="0"/>
      <w:marRight w:val="0"/>
      <w:marTop w:val="0"/>
      <w:marBottom w:val="0"/>
      <w:divBdr>
        <w:top w:val="none" w:sz="0" w:space="0" w:color="auto"/>
        <w:left w:val="none" w:sz="0" w:space="0" w:color="auto"/>
        <w:bottom w:val="none" w:sz="0" w:space="0" w:color="auto"/>
        <w:right w:val="none" w:sz="0" w:space="0" w:color="auto"/>
      </w:divBdr>
    </w:div>
    <w:div w:id="382945657">
      <w:bodyDiv w:val="1"/>
      <w:marLeft w:val="0"/>
      <w:marRight w:val="0"/>
      <w:marTop w:val="0"/>
      <w:marBottom w:val="0"/>
      <w:divBdr>
        <w:top w:val="none" w:sz="0" w:space="0" w:color="auto"/>
        <w:left w:val="none" w:sz="0" w:space="0" w:color="auto"/>
        <w:bottom w:val="none" w:sz="0" w:space="0" w:color="auto"/>
        <w:right w:val="none" w:sz="0" w:space="0" w:color="auto"/>
      </w:divBdr>
    </w:div>
    <w:div w:id="458187154">
      <w:bodyDiv w:val="1"/>
      <w:marLeft w:val="0"/>
      <w:marRight w:val="0"/>
      <w:marTop w:val="0"/>
      <w:marBottom w:val="0"/>
      <w:divBdr>
        <w:top w:val="none" w:sz="0" w:space="0" w:color="auto"/>
        <w:left w:val="none" w:sz="0" w:space="0" w:color="auto"/>
        <w:bottom w:val="none" w:sz="0" w:space="0" w:color="auto"/>
        <w:right w:val="none" w:sz="0" w:space="0" w:color="auto"/>
      </w:divBdr>
    </w:div>
    <w:div w:id="607860240">
      <w:bodyDiv w:val="1"/>
      <w:marLeft w:val="0"/>
      <w:marRight w:val="0"/>
      <w:marTop w:val="0"/>
      <w:marBottom w:val="0"/>
      <w:divBdr>
        <w:top w:val="none" w:sz="0" w:space="0" w:color="auto"/>
        <w:left w:val="none" w:sz="0" w:space="0" w:color="auto"/>
        <w:bottom w:val="none" w:sz="0" w:space="0" w:color="auto"/>
        <w:right w:val="none" w:sz="0" w:space="0" w:color="auto"/>
      </w:divBdr>
    </w:div>
    <w:div w:id="626157838">
      <w:bodyDiv w:val="1"/>
      <w:marLeft w:val="0"/>
      <w:marRight w:val="0"/>
      <w:marTop w:val="0"/>
      <w:marBottom w:val="0"/>
      <w:divBdr>
        <w:top w:val="none" w:sz="0" w:space="0" w:color="auto"/>
        <w:left w:val="none" w:sz="0" w:space="0" w:color="auto"/>
        <w:bottom w:val="none" w:sz="0" w:space="0" w:color="auto"/>
        <w:right w:val="none" w:sz="0" w:space="0" w:color="auto"/>
      </w:divBdr>
    </w:div>
    <w:div w:id="683479794">
      <w:bodyDiv w:val="1"/>
      <w:marLeft w:val="0"/>
      <w:marRight w:val="0"/>
      <w:marTop w:val="0"/>
      <w:marBottom w:val="0"/>
      <w:divBdr>
        <w:top w:val="none" w:sz="0" w:space="0" w:color="auto"/>
        <w:left w:val="none" w:sz="0" w:space="0" w:color="auto"/>
        <w:bottom w:val="none" w:sz="0" w:space="0" w:color="auto"/>
        <w:right w:val="none" w:sz="0" w:space="0" w:color="auto"/>
      </w:divBdr>
    </w:div>
    <w:div w:id="812210973">
      <w:bodyDiv w:val="1"/>
      <w:marLeft w:val="0"/>
      <w:marRight w:val="0"/>
      <w:marTop w:val="0"/>
      <w:marBottom w:val="0"/>
      <w:divBdr>
        <w:top w:val="none" w:sz="0" w:space="0" w:color="auto"/>
        <w:left w:val="none" w:sz="0" w:space="0" w:color="auto"/>
        <w:bottom w:val="none" w:sz="0" w:space="0" w:color="auto"/>
        <w:right w:val="none" w:sz="0" w:space="0" w:color="auto"/>
      </w:divBdr>
    </w:div>
    <w:div w:id="821503280">
      <w:bodyDiv w:val="1"/>
      <w:marLeft w:val="0"/>
      <w:marRight w:val="0"/>
      <w:marTop w:val="0"/>
      <w:marBottom w:val="0"/>
      <w:divBdr>
        <w:top w:val="none" w:sz="0" w:space="0" w:color="auto"/>
        <w:left w:val="none" w:sz="0" w:space="0" w:color="auto"/>
        <w:bottom w:val="none" w:sz="0" w:space="0" w:color="auto"/>
        <w:right w:val="none" w:sz="0" w:space="0" w:color="auto"/>
      </w:divBdr>
    </w:div>
    <w:div w:id="841748987">
      <w:bodyDiv w:val="1"/>
      <w:marLeft w:val="0"/>
      <w:marRight w:val="0"/>
      <w:marTop w:val="0"/>
      <w:marBottom w:val="0"/>
      <w:divBdr>
        <w:top w:val="none" w:sz="0" w:space="0" w:color="auto"/>
        <w:left w:val="none" w:sz="0" w:space="0" w:color="auto"/>
        <w:bottom w:val="none" w:sz="0" w:space="0" w:color="auto"/>
        <w:right w:val="none" w:sz="0" w:space="0" w:color="auto"/>
      </w:divBdr>
    </w:div>
    <w:div w:id="863178397">
      <w:bodyDiv w:val="1"/>
      <w:marLeft w:val="0"/>
      <w:marRight w:val="0"/>
      <w:marTop w:val="0"/>
      <w:marBottom w:val="0"/>
      <w:divBdr>
        <w:top w:val="none" w:sz="0" w:space="0" w:color="auto"/>
        <w:left w:val="none" w:sz="0" w:space="0" w:color="auto"/>
        <w:bottom w:val="none" w:sz="0" w:space="0" w:color="auto"/>
        <w:right w:val="none" w:sz="0" w:space="0" w:color="auto"/>
      </w:divBdr>
    </w:div>
    <w:div w:id="864710625">
      <w:bodyDiv w:val="1"/>
      <w:marLeft w:val="0"/>
      <w:marRight w:val="0"/>
      <w:marTop w:val="0"/>
      <w:marBottom w:val="0"/>
      <w:divBdr>
        <w:top w:val="none" w:sz="0" w:space="0" w:color="auto"/>
        <w:left w:val="none" w:sz="0" w:space="0" w:color="auto"/>
        <w:bottom w:val="none" w:sz="0" w:space="0" w:color="auto"/>
        <w:right w:val="none" w:sz="0" w:space="0" w:color="auto"/>
      </w:divBdr>
    </w:div>
    <w:div w:id="999886087">
      <w:bodyDiv w:val="1"/>
      <w:marLeft w:val="0"/>
      <w:marRight w:val="0"/>
      <w:marTop w:val="0"/>
      <w:marBottom w:val="0"/>
      <w:divBdr>
        <w:top w:val="none" w:sz="0" w:space="0" w:color="auto"/>
        <w:left w:val="none" w:sz="0" w:space="0" w:color="auto"/>
        <w:bottom w:val="none" w:sz="0" w:space="0" w:color="auto"/>
        <w:right w:val="none" w:sz="0" w:space="0" w:color="auto"/>
      </w:divBdr>
    </w:div>
    <w:div w:id="1004746517">
      <w:bodyDiv w:val="1"/>
      <w:marLeft w:val="0"/>
      <w:marRight w:val="0"/>
      <w:marTop w:val="0"/>
      <w:marBottom w:val="0"/>
      <w:divBdr>
        <w:top w:val="none" w:sz="0" w:space="0" w:color="auto"/>
        <w:left w:val="none" w:sz="0" w:space="0" w:color="auto"/>
        <w:bottom w:val="none" w:sz="0" w:space="0" w:color="auto"/>
        <w:right w:val="none" w:sz="0" w:space="0" w:color="auto"/>
      </w:divBdr>
    </w:div>
    <w:div w:id="1030960774">
      <w:bodyDiv w:val="1"/>
      <w:marLeft w:val="0"/>
      <w:marRight w:val="0"/>
      <w:marTop w:val="0"/>
      <w:marBottom w:val="0"/>
      <w:divBdr>
        <w:top w:val="none" w:sz="0" w:space="0" w:color="auto"/>
        <w:left w:val="none" w:sz="0" w:space="0" w:color="auto"/>
        <w:bottom w:val="none" w:sz="0" w:space="0" w:color="auto"/>
        <w:right w:val="none" w:sz="0" w:space="0" w:color="auto"/>
      </w:divBdr>
    </w:div>
    <w:div w:id="1051533574">
      <w:bodyDiv w:val="1"/>
      <w:marLeft w:val="0"/>
      <w:marRight w:val="0"/>
      <w:marTop w:val="0"/>
      <w:marBottom w:val="0"/>
      <w:divBdr>
        <w:top w:val="none" w:sz="0" w:space="0" w:color="auto"/>
        <w:left w:val="none" w:sz="0" w:space="0" w:color="auto"/>
        <w:bottom w:val="none" w:sz="0" w:space="0" w:color="auto"/>
        <w:right w:val="none" w:sz="0" w:space="0" w:color="auto"/>
      </w:divBdr>
    </w:div>
    <w:div w:id="1060710308">
      <w:bodyDiv w:val="1"/>
      <w:marLeft w:val="0"/>
      <w:marRight w:val="0"/>
      <w:marTop w:val="0"/>
      <w:marBottom w:val="0"/>
      <w:divBdr>
        <w:top w:val="none" w:sz="0" w:space="0" w:color="auto"/>
        <w:left w:val="none" w:sz="0" w:space="0" w:color="auto"/>
        <w:bottom w:val="none" w:sz="0" w:space="0" w:color="auto"/>
        <w:right w:val="none" w:sz="0" w:space="0" w:color="auto"/>
      </w:divBdr>
    </w:div>
    <w:div w:id="1154880390">
      <w:bodyDiv w:val="1"/>
      <w:marLeft w:val="0"/>
      <w:marRight w:val="0"/>
      <w:marTop w:val="0"/>
      <w:marBottom w:val="0"/>
      <w:divBdr>
        <w:top w:val="none" w:sz="0" w:space="0" w:color="auto"/>
        <w:left w:val="none" w:sz="0" w:space="0" w:color="auto"/>
        <w:bottom w:val="none" w:sz="0" w:space="0" w:color="auto"/>
        <w:right w:val="none" w:sz="0" w:space="0" w:color="auto"/>
      </w:divBdr>
    </w:div>
    <w:div w:id="1188255998">
      <w:bodyDiv w:val="1"/>
      <w:marLeft w:val="0"/>
      <w:marRight w:val="0"/>
      <w:marTop w:val="0"/>
      <w:marBottom w:val="0"/>
      <w:divBdr>
        <w:top w:val="none" w:sz="0" w:space="0" w:color="auto"/>
        <w:left w:val="none" w:sz="0" w:space="0" w:color="auto"/>
        <w:bottom w:val="none" w:sz="0" w:space="0" w:color="auto"/>
        <w:right w:val="none" w:sz="0" w:space="0" w:color="auto"/>
      </w:divBdr>
    </w:div>
    <w:div w:id="1349794903">
      <w:bodyDiv w:val="1"/>
      <w:marLeft w:val="0"/>
      <w:marRight w:val="0"/>
      <w:marTop w:val="0"/>
      <w:marBottom w:val="0"/>
      <w:divBdr>
        <w:top w:val="none" w:sz="0" w:space="0" w:color="auto"/>
        <w:left w:val="none" w:sz="0" w:space="0" w:color="auto"/>
        <w:bottom w:val="none" w:sz="0" w:space="0" w:color="auto"/>
        <w:right w:val="none" w:sz="0" w:space="0" w:color="auto"/>
      </w:divBdr>
    </w:div>
    <w:div w:id="1351569622">
      <w:bodyDiv w:val="1"/>
      <w:marLeft w:val="0"/>
      <w:marRight w:val="0"/>
      <w:marTop w:val="0"/>
      <w:marBottom w:val="0"/>
      <w:divBdr>
        <w:top w:val="none" w:sz="0" w:space="0" w:color="auto"/>
        <w:left w:val="none" w:sz="0" w:space="0" w:color="auto"/>
        <w:bottom w:val="none" w:sz="0" w:space="0" w:color="auto"/>
        <w:right w:val="none" w:sz="0" w:space="0" w:color="auto"/>
      </w:divBdr>
    </w:div>
    <w:div w:id="1381713207">
      <w:bodyDiv w:val="1"/>
      <w:marLeft w:val="0"/>
      <w:marRight w:val="0"/>
      <w:marTop w:val="0"/>
      <w:marBottom w:val="0"/>
      <w:divBdr>
        <w:top w:val="none" w:sz="0" w:space="0" w:color="auto"/>
        <w:left w:val="none" w:sz="0" w:space="0" w:color="auto"/>
        <w:bottom w:val="none" w:sz="0" w:space="0" w:color="auto"/>
        <w:right w:val="none" w:sz="0" w:space="0" w:color="auto"/>
      </w:divBdr>
    </w:div>
    <w:div w:id="1417096415">
      <w:bodyDiv w:val="1"/>
      <w:marLeft w:val="0"/>
      <w:marRight w:val="0"/>
      <w:marTop w:val="0"/>
      <w:marBottom w:val="0"/>
      <w:divBdr>
        <w:top w:val="none" w:sz="0" w:space="0" w:color="auto"/>
        <w:left w:val="none" w:sz="0" w:space="0" w:color="auto"/>
        <w:bottom w:val="none" w:sz="0" w:space="0" w:color="auto"/>
        <w:right w:val="none" w:sz="0" w:space="0" w:color="auto"/>
      </w:divBdr>
    </w:div>
    <w:div w:id="1424718347">
      <w:bodyDiv w:val="1"/>
      <w:marLeft w:val="0"/>
      <w:marRight w:val="0"/>
      <w:marTop w:val="0"/>
      <w:marBottom w:val="0"/>
      <w:divBdr>
        <w:top w:val="none" w:sz="0" w:space="0" w:color="auto"/>
        <w:left w:val="none" w:sz="0" w:space="0" w:color="auto"/>
        <w:bottom w:val="none" w:sz="0" w:space="0" w:color="auto"/>
        <w:right w:val="none" w:sz="0" w:space="0" w:color="auto"/>
      </w:divBdr>
    </w:div>
    <w:div w:id="1493175173">
      <w:bodyDiv w:val="1"/>
      <w:marLeft w:val="0"/>
      <w:marRight w:val="0"/>
      <w:marTop w:val="0"/>
      <w:marBottom w:val="0"/>
      <w:divBdr>
        <w:top w:val="none" w:sz="0" w:space="0" w:color="auto"/>
        <w:left w:val="none" w:sz="0" w:space="0" w:color="auto"/>
        <w:bottom w:val="none" w:sz="0" w:space="0" w:color="auto"/>
        <w:right w:val="none" w:sz="0" w:space="0" w:color="auto"/>
      </w:divBdr>
    </w:div>
    <w:div w:id="1569421774">
      <w:bodyDiv w:val="1"/>
      <w:marLeft w:val="0"/>
      <w:marRight w:val="0"/>
      <w:marTop w:val="0"/>
      <w:marBottom w:val="0"/>
      <w:divBdr>
        <w:top w:val="none" w:sz="0" w:space="0" w:color="auto"/>
        <w:left w:val="none" w:sz="0" w:space="0" w:color="auto"/>
        <w:bottom w:val="none" w:sz="0" w:space="0" w:color="auto"/>
        <w:right w:val="none" w:sz="0" w:space="0" w:color="auto"/>
      </w:divBdr>
    </w:div>
    <w:div w:id="1826966955">
      <w:bodyDiv w:val="1"/>
      <w:marLeft w:val="0"/>
      <w:marRight w:val="0"/>
      <w:marTop w:val="0"/>
      <w:marBottom w:val="0"/>
      <w:divBdr>
        <w:top w:val="none" w:sz="0" w:space="0" w:color="auto"/>
        <w:left w:val="none" w:sz="0" w:space="0" w:color="auto"/>
        <w:bottom w:val="none" w:sz="0" w:space="0" w:color="auto"/>
        <w:right w:val="none" w:sz="0" w:space="0" w:color="auto"/>
      </w:divBdr>
    </w:div>
    <w:div w:id="1884440122">
      <w:bodyDiv w:val="1"/>
      <w:marLeft w:val="0"/>
      <w:marRight w:val="0"/>
      <w:marTop w:val="0"/>
      <w:marBottom w:val="0"/>
      <w:divBdr>
        <w:top w:val="none" w:sz="0" w:space="0" w:color="auto"/>
        <w:left w:val="none" w:sz="0" w:space="0" w:color="auto"/>
        <w:bottom w:val="none" w:sz="0" w:space="0" w:color="auto"/>
        <w:right w:val="none" w:sz="0" w:space="0" w:color="auto"/>
      </w:divBdr>
    </w:div>
    <w:div w:id="1905948369">
      <w:bodyDiv w:val="1"/>
      <w:marLeft w:val="0"/>
      <w:marRight w:val="0"/>
      <w:marTop w:val="0"/>
      <w:marBottom w:val="0"/>
      <w:divBdr>
        <w:top w:val="none" w:sz="0" w:space="0" w:color="auto"/>
        <w:left w:val="none" w:sz="0" w:space="0" w:color="auto"/>
        <w:bottom w:val="none" w:sz="0" w:space="0" w:color="auto"/>
        <w:right w:val="none" w:sz="0" w:space="0" w:color="auto"/>
      </w:divBdr>
    </w:div>
    <w:div w:id="2041009063">
      <w:bodyDiv w:val="1"/>
      <w:marLeft w:val="0"/>
      <w:marRight w:val="0"/>
      <w:marTop w:val="0"/>
      <w:marBottom w:val="0"/>
      <w:divBdr>
        <w:top w:val="none" w:sz="0" w:space="0" w:color="auto"/>
        <w:left w:val="none" w:sz="0" w:space="0" w:color="auto"/>
        <w:bottom w:val="none" w:sz="0" w:space="0" w:color="auto"/>
        <w:right w:val="none" w:sz="0" w:space="0" w:color="auto"/>
      </w:divBdr>
    </w:div>
    <w:div w:id="205195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36181125/" TargetMode="External"/><Relationship Id="rId18" Type="http://schemas.openxmlformats.org/officeDocument/2006/relationships/hyperlink" Target="https://pubmed.ncbi.nlm.nih.gov/33754044/" TargetMode="External"/><Relationship Id="rId26" Type="http://schemas.openxmlformats.org/officeDocument/2006/relationships/hyperlink" Target="https://pubmed.ncbi.nlm.nih.gov/35155681/" TargetMode="External"/><Relationship Id="rId39" Type="http://schemas.openxmlformats.org/officeDocument/2006/relationships/hyperlink" Target="https://www.frontiersin.org/articles/10.3389/fgene.2022.824451/full" TargetMode="External"/><Relationship Id="rId21" Type="http://schemas.openxmlformats.org/officeDocument/2006/relationships/hyperlink" Target="https://pubmed.ncbi.nlm.nih.gov/33616276/" TargetMode="External"/><Relationship Id="rId34" Type="http://schemas.openxmlformats.org/officeDocument/2006/relationships/hyperlink" Target="https://academic.oup.com/bib/article/23/4/bbac234/6618236?login=true" TargetMode="External"/><Relationship Id="rId42" Type="http://schemas.openxmlformats.org/officeDocument/2006/relationships/theme" Target="theme/theme1.xml"/><Relationship Id="rId7" Type="http://schemas.openxmlformats.org/officeDocument/2006/relationships/hyperlink" Target="https://www.scopus.com/record/display.uri?eid=2-s2.0-79551542410&amp;origin=inward&amp;txGid=8d609ca3bfeb2cbd481fbfc38d7208cb" TargetMode="External"/><Relationship Id="rId2" Type="http://schemas.openxmlformats.org/officeDocument/2006/relationships/customXml" Target="../customXml/item2.xml"/><Relationship Id="rId16" Type="http://schemas.openxmlformats.org/officeDocument/2006/relationships/hyperlink" Target="https://pubmed.ncbi.nlm.nih.gov/34901008/" TargetMode="External"/><Relationship Id="rId20" Type="http://schemas.openxmlformats.org/officeDocument/2006/relationships/hyperlink" Target="https://pubmed.ncbi.nlm.nih.gov/32887635/" TargetMode="External"/><Relationship Id="rId29" Type="http://schemas.openxmlformats.org/officeDocument/2006/relationships/hyperlink" Target="https://pubmed.ncbi.nlm.nih.gov/2545637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ubmed.ncbi.nlm.nih.gov/34908867/" TargetMode="External"/><Relationship Id="rId24" Type="http://schemas.openxmlformats.org/officeDocument/2006/relationships/hyperlink" Target="https://www.ncbi.nlm.nih.gov/pmc/articles/PMC8134035/" TargetMode="External"/><Relationship Id="rId32" Type="http://schemas.openxmlformats.org/officeDocument/2006/relationships/hyperlink" Target="https://pubmed.ncbi.nlm.nih.gov/37154991/" TargetMode="External"/><Relationship Id="rId37" Type="http://schemas.openxmlformats.org/officeDocument/2006/relationships/hyperlink" Target="https://pubmed.ncbi.nlm.nih.gov/34484235/" TargetMode="External"/><Relationship Id="rId40" Type="http://schemas.openxmlformats.org/officeDocument/2006/relationships/hyperlink" Target="https://www.frontiersin.org/articles/10.3389/fimmu.2022.828875/full" TargetMode="External"/><Relationship Id="rId5" Type="http://schemas.openxmlformats.org/officeDocument/2006/relationships/settings" Target="settings.xml"/><Relationship Id="rId15" Type="http://schemas.openxmlformats.org/officeDocument/2006/relationships/hyperlink" Target="https://www.dovepress.com/getfile.php?fileID=79860" TargetMode="External"/><Relationship Id="rId23" Type="http://schemas.openxmlformats.org/officeDocument/2006/relationships/hyperlink" Target="https://wjso.biomedcentral.com/articles/10.1186/s12957-021-02204-7" TargetMode="External"/><Relationship Id="rId28" Type="http://schemas.openxmlformats.org/officeDocument/2006/relationships/hyperlink" Target="https://pubmed.ncbi.nlm.nih.gov/35656548/" TargetMode="External"/><Relationship Id="rId36" Type="http://schemas.openxmlformats.org/officeDocument/2006/relationships/hyperlink" Target="https://pubmed.ncbi.nlm.nih.gov/34337075/" TargetMode="External"/><Relationship Id="rId10" Type="http://schemas.openxmlformats.org/officeDocument/2006/relationships/hyperlink" Target="https://pubmed.ncbi.nlm.nih.gov/34237133/" TargetMode="External"/><Relationship Id="rId19" Type="http://schemas.openxmlformats.org/officeDocument/2006/relationships/hyperlink" Target="https://pubmed.ncbi.nlm.nih.gov/34486476/" TargetMode="External"/><Relationship Id="rId31" Type="http://schemas.openxmlformats.org/officeDocument/2006/relationships/hyperlink" Target="https://pubmed.ncbi.nlm.nih.gov/33624645/" TargetMode="External"/><Relationship Id="rId4" Type="http://schemas.openxmlformats.org/officeDocument/2006/relationships/styles" Target="styles.xml"/><Relationship Id="rId9" Type="http://schemas.openxmlformats.org/officeDocument/2006/relationships/hyperlink" Target="https://www.scopus.com/record/display.uri?eid=2-s2.0-75649117850&amp;origin=inward&amp;txGid=cd9e43883c0db2007efaa995ef2848db" TargetMode="External"/><Relationship Id="rId14" Type="http://schemas.openxmlformats.org/officeDocument/2006/relationships/hyperlink" Target="https://pubmed.ncbi.nlm.nih.gov/35505641/" TargetMode="External"/><Relationship Id="rId22" Type="http://schemas.openxmlformats.org/officeDocument/2006/relationships/hyperlink" Target="https://pubmed.ncbi.nlm.nih.gov/35116696/" TargetMode="External"/><Relationship Id="rId27" Type="http://schemas.openxmlformats.org/officeDocument/2006/relationships/hyperlink" Target="https://pubmed.ncbi.nlm.nih.gov/35111196/" TargetMode="External"/><Relationship Id="rId30" Type="http://schemas.openxmlformats.org/officeDocument/2006/relationships/hyperlink" Target="https://pubmed.ncbi.nlm.nih.gov/34691034/" TargetMode="External"/><Relationship Id="rId35" Type="http://schemas.openxmlformats.org/officeDocument/2006/relationships/hyperlink" Target="https://pubmed.ncbi.nlm.nih.gov/34341184/" TargetMode="External"/><Relationship Id="rId8" Type="http://schemas.openxmlformats.org/officeDocument/2006/relationships/hyperlink" Target="https://www.scopus.com/record/display.uri?eid=2-s2.0-34250323878&amp;origin=inward&amp;txGid=6e4a89151f9d233fa372d066bb0aa5af" TargetMode="External"/><Relationship Id="rId3" Type="http://schemas.openxmlformats.org/officeDocument/2006/relationships/customXml" Target="../customXml/item3.xml"/><Relationship Id="rId12" Type="http://schemas.openxmlformats.org/officeDocument/2006/relationships/hyperlink" Target="https://pubmed.ncbi.nlm.nih.gov/35634481/" TargetMode="External"/><Relationship Id="rId17" Type="http://schemas.openxmlformats.org/officeDocument/2006/relationships/hyperlink" Target="https://www.thelancet.com/journals/lanonc/article/PIIS1470-2045(14)71021-6/fulltext" TargetMode="External"/><Relationship Id="rId25" Type="http://schemas.openxmlformats.org/officeDocument/2006/relationships/hyperlink" Target="https://pubmed.ncbi.nlm.nih.gov/35079065/" TargetMode="External"/><Relationship Id="rId33" Type="http://schemas.openxmlformats.org/officeDocument/2006/relationships/hyperlink" Target="https://pubmed.ncbi.nlm.nih.gov/38001949/" TargetMode="External"/><Relationship Id="rId38" Type="http://schemas.openxmlformats.org/officeDocument/2006/relationships/hyperlink" Target="file:///C:\Users\JCH\Desktop\Multi-omics%20data%20integration%20in%20upper%20gastrointestinal%20cancers%20research:%20A%20review%20of%20concepts,%20approaches,%20and%20applic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F0440B12E4AE3A42BE0AAF66C7FD629D" ma:contentTypeVersion="0" ma:contentTypeDescription="新建文档。" ma:contentTypeScope="" ma:versionID="f625fbf85d36756680c050908b58af96">
  <xsd:schema xmlns:xsd="http://www.w3.org/2001/XMLSchema" xmlns:xs="http://www.w3.org/2001/XMLSchema" xmlns:p="http://schemas.microsoft.com/office/2006/metadata/properties" targetNamespace="http://schemas.microsoft.com/office/2006/metadata/properties" ma:root="true" ma:fieldsID="61074cb90c03f6ce5bb87698fb61fd1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112B98-972E-4641-AB16-D48462838D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C6EB19-C8FF-4FFB-96EA-1D2F29692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1A85BD-DB07-4E7C-8A51-98739C5C31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4335</Words>
  <Characters>24713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Jucheng Hu</dc:creator>
  <cp:keywords/>
  <dc:description/>
  <cp:lastModifiedBy>Hu, Jucheng</cp:lastModifiedBy>
  <cp:revision>10</cp:revision>
  <dcterms:created xsi:type="dcterms:W3CDTF">2023-12-06T16:18:00Z</dcterms:created>
  <dcterms:modified xsi:type="dcterms:W3CDTF">2024-01-04T02:21:00Z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0x010100F0440B12E4AE3A42BE0AAF66C7FD629D</vt:lpwstr>
  </property>
</Properties>
</file>