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80EA3F" w14:textId="5B81C377" w:rsidR="002A61CA" w:rsidRPr="00677686" w:rsidRDefault="002A61CA" w:rsidP="00677686">
      <w:pPr>
        <w:widowControl/>
        <w:jc w:val="left"/>
        <w:rPr>
          <w:rFonts w:ascii="Arial" w:hAnsi="Arial" w:cs="Arial" w:hint="eastAsia"/>
          <w:color w:val="000000"/>
          <w:sz w:val="22"/>
        </w:rPr>
      </w:pPr>
    </w:p>
    <w:p w14:paraId="0814167C" w14:textId="3A7BD068" w:rsidR="00816568" w:rsidRDefault="00816568" w:rsidP="00816568">
      <w:pPr>
        <w:widowControl/>
        <w:spacing w:beforeLines="50" w:before="156" w:afterLines="50" w:after="156" w:line="360" w:lineRule="auto"/>
        <w:rPr>
          <w:rFonts w:ascii="Arial" w:eastAsia="等线" w:hAnsi="Arial" w:cs="Arial"/>
          <w:sz w:val="20"/>
        </w:rPr>
      </w:pPr>
      <w:r>
        <w:rPr>
          <w:rFonts w:ascii="Arial" w:eastAsia="Times New Roman" w:hAnsi="Arial" w:cs="Arial"/>
          <w:noProof/>
          <w:color w:val="000000"/>
          <w:sz w:val="22"/>
        </w:rPr>
        <w:drawing>
          <wp:inline distT="0" distB="0" distL="0" distR="0" wp14:anchorId="4AC48420" wp14:editId="429DCAD9">
            <wp:extent cx="5272405" cy="614045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614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0DB96" w14:textId="2B16AB44" w:rsidR="00677686" w:rsidRDefault="00816568" w:rsidP="00816568">
      <w:pPr>
        <w:widowControl/>
        <w:spacing w:beforeLines="50" w:before="156" w:afterLines="50" w:after="156" w:line="360" w:lineRule="auto"/>
        <w:rPr>
          <w:rFonts w:ascii="Arial" w:eastAsia="Times New Roman" w:hAnsi="Arial" w:cs="Arial"/>
          <w:color w:val="000000"/>
          <w:sz w:val="22"/>
        </w:rPr>
      </w:pPr>
      <w:r>
        <w:rPr>
          <w:rFonts w:ascii="Arial" w:eastAsia="Times New Roman" w:hAnsi="Arial" w:cs="Arial"/>
          <w:color w:val="000000"/>
          <w:sz w:val="22"/>
        </w:rPr>
        <w:t xml:space="preserve">Supplemental Figure </w:t>
      </w:r>
      <w:r w:rsidR="00677686">
        <w:rPr>
          <w:rFonts w:ascii="Arial" w:eastAsia="Times New Roman" w:hAnsi="Arial" w:cs="Arial"/>
          <w:color w:val="000000"/>
          <w:sz w:val="22"/>
        </w:rPr>
        <w:t>1</w:t>
      </w:r>
      <w:r>
        <w:rPr>
          <w:rFonts w:ascii="Arial" w:eastAsia="Times New Roman" w:hAnsi="Arial" w:cs="Arial"/>
          <w:color w:val="000000"/>
          <w:sz w:val="22"/>
        </w:rPr>
        <w:t>. The mRNA changes and functional analysis of hypoxia-treated HUH7, SNU-182, and HLF cells. a</w:t>
      </w:r>
      <w:r w:rsidR="000800DD">
        <w:rPr>
          <w:rFonts w:ascii="Arial" w:eastAsia="Times New Roman" w:hAnsi="Arial" w:cs="Arial"/>
          <w:color w:val="000000"/>
          <w:sz w:val="22"/>
        </w:rPr>
        <w:t>)</w:t>
      </w:r>
      <w:r>
        <w:rPr>
          <w:rFonts w:ascii="Arial" w:eastAsia="Times New Roman" w:hAnsi="Arial" w:cs="Arial"/>
          <w:color w:val="000000"/>
          <w:sz w:val="22"/>
        </w:rPr>
        <w:t xml:space="preserve"> Distribution of differentially expressed mRNAs in HUH7, SNU-182, and HLF cells after 24-h hypoxia exposure. b</w:t>
      </w:r>
      <w:r w:rsidR="000800DD">
        <w:rPr>
          <w:rFonts w:ascii="Arial" w:eastAsia="Times New Roman" w:hAnsi="Arial" w:cs="Arial"/>
          <w:color w:val="000000"/>
          <w:sz w:val="22"/>
        </w:rPr>
        <w:t>)</w:t>
      </w:r>
      <w:r>
        <w:rPr>
          <w:rFonts w:ascii="Arial" w:eastAsia="Times New Roman" w:hAnsi="Arial" w:cs="Arial"/>
          <w:color w:val="000000"/>
          <w:sz w:val="22"/>
        </w:rPr>
        <w:t xml:space="preserve"> Top 10 (sorted according to the </w:t>
      </w:r>
      <w:r>
        <w:rPr>
          <w:rFonts w:ascii="Arial" w:eastAsia="Times New Roman" w:hAnsi="Arial" w:cs="Arial"/>
          <w:i/>
          <w:iCs/>
          <w:color w:val="000000"/>
          <w:sz w:val="22"/>
        </w:rPr>
        <w:t>P</w:t>
      </w:r>
      <w:r>
        <w:rPr>
          <w:rFonts w:ascii="Arial" w:eastAsia="Times New Roman" w:hAnsi="Arial" w:cs="Arial"/>
          <w:color w:val="000000"/>
          <w:sz w:val="22"/>
        </w:rPr>
        <w:t xml:space="preserve"> value) enrichment analysis results for GO biological processes and Kyoto </w:t>
      </w:r>
      <w:proofErr w:type="spellStart"/>
      <w:r>
        <w:rPr>
          <w:rFonts w:ascii="Arial" w:eastAsia="Times New Roman" w:hAnsi="Arial" w:cs="Arial"/>
          <w:color w:val="000000"/>
          <w:sz w:val="22"/>
        </w:rPr>
        <w:t>Encyclopedia</w:t>
      </w:r>
      <w:proofErr w:type="spellEnd"/>
      <w:r>
        <w:rPr>
          <w:rFonts w:ascii="Arial" w:eastAsia="Times New Roman" w:hAnsi="Arial" w:cs="Arial"/>
          <w:color w:val="000000"/>
          <w:sz w:val="22"/>
        </w:rPr>
        <w:t xml:space="preserve"> of Genes and Genomes (KEGG) pathways using the integrated intersection of differentially expressed mRNAs in HUH7, SNU-182 and HLF cells after 24-h hypoxia exposure. c) The terms in the functional enrichment analysis form a </w:t>
      </w:r>
      <w:r>
        <w:rPr>
          <w:rFonts w:ascii="Arial" w:eastAsia="Times New Roman" w:hAnsi="Arial" w:cs="Arial"/>
          <w:color w:val="000000"/>
          <w:sz w:val="22"/>
        </w:rPr>
        <w:lastRenderedPageBreak/>
        <w:t>network. d) The protein products of the integrated differentially expressed mRNAs constitute the protein-protein interaction enrichment network.</w:t>
      </w:r>
    </w:p>
    <w:p w14:paraId="7EE02686" w14:textId="77777777" w:rsidR="00677686" w:rsidRDefault="00677686" w:rsidP="00677686">
      <w:pPr>
        <w:widowControl/>
        <w:spacing w:beforeLines="50" w:before="156" w:afterLines="50" w:after="156" w:line="360" w:lineRule="auto"/>
        <w:rPr>
          <w:rFonts w:ascii="Arial" w:eastAsia="Times New Roman" w:hAnsi="Arial" w:cs="Arial"/>
          <w:color w:val="000000"/>
          <w:sz w:val="22"/>
        </w:rPr>
      </w:pPr>
      <w:r>
        <w:rPr>
          <w:rFonts w:ascii="Arial" w:eastAsia="Times New Roman" w:hAnsi="Arial" w:cs="Arial"/>
          <w:color w:val="000000"/>
          <w:sz w:val="22"/>
        </w:rPr>
        <w:br w:type="page"/>
      </w:r>
      <w:r>
        <w:rPr>
          <w:noProof/>
        </w:rPr>
        <w:lastRenderedPageBreak/>
        <w:drawing>
          <wp:inline distT="0" distB="0" distL="0" distR="0" wp14:anchorId="0375BFA1" wp14:editId="57453C48">
            <wp:extent cx="5962671" cy="6625988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743" cy="663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2EE31" w14:textId="77777777" w:rsidR="00677686" w:rsidRDefault="00677686" w:rsidP="00677686">
      <w:pPr>
        <w:widowControl/>
        <w:spacing w:beforeLines="50" w:before="156" w:afterLines="50" w:after="156" w:line="360" w:lineRule="auto"/>
        <w:rPr>
          <w:rFonts w:ascii="Arial" w:eastAsia="Times New Roman" w:hAnsi="Arial" w:cs="Arial"/>
          <w:color w:val="000000"/>
          <w:sz w:val="22"/>
        </w:rPr>
      </w:pPr>
      <w:r>
        <w:rPr>
          <w:rFonts w:ascii="Arial" w:eastAsia="Times New Roman" w:hAnsi="Arial" w:cs="Arial"/>
          <w:color w:val="000000"/>
          <w:sz w:val="22"/>
        </w:rPr>
        <w:t xml:space="preserve">Supplemental Figure 2. qRT-PCR </w:t>
      </w:r>
      <w:r w:rsidRPr="002A61CA">
        <w:rPr>
          <w:rFonts w:ascii="Arial" w:eastAsia="Times New Roman" w:hAnsi="Arial" w:cs="Arial"/>
          <w:color w:val="000000"/>
          <w:sz w:val="22"/>
        </w:rPr>
        <w:t>validation</w:t>
      </w:r>
      <w:r>
        <w:rPr>
          <w:rFonts w:ascii="Arial" w:eastAsia="Times New Roman" w:hAnsi="Arial" w:cs="Arial"/>
          <w:color w:val="000000"/>
          <w:sz w:val="22"/>
        </w:rPr>
        <w:t xml:space="preserve"> for 21 </w:t>
      </w:r>
      <w:r w:rsidRPr="002A61CA">
        <w:rPr>
          <w:rFonts w:ascii="Arial" w:eastAsia="Times New Roman" w:hAnsi="Arial" w:cs="Arial" w:hint="eastAsia"/>
          <w:color w:val="000000"/>
          <w:sz w:val="22"/>
        </w:rPr>
        <w:t>of</w:t>
      </w:r>
      <w:r>
        <w:rPr>
          <w:rFonts w:ascii="Arial" w:eastAsia="Times New Roman" w:hAnsi="Arial" w:cs="Arial"/>
          <w:color w:val="000000"/>
          <w:sz w:val="22"/>
        </w:rPr>
        <w:t xml:space="preserve"> stable hypoxia-responsive </w:t>
      </w:r>
      <w:proofErr w:type="spellStart"/>
      <w:r>
        <w:rPr>
          <w:rFonts w:ascii="Arial" w:eastAsia="Times New Roman" w:hAnsi="Arial" w:cs="Arial"/>
          <w:color w:val="000000"/>
          <w:sz w:val="22"/>
        </w:rPr>
        <w:t>mRNAS</w:t>
      </w:r>
      <w:proofErr w:type="spellEnd"/>
      <w:r>
        <w:rPr>
          <w:rFonts w:ascii="Arial" w:eastAsia="Times New Roman" w:hAnsi="Arial" w:cs="Arial"/>
          <w:color w:val="000000"/>
          <w:sz w:val="22"/>
        </w:rPr>
        <w:t xml:space="preserve">. a) mRNA changes of 21 candidate </w:t>
      </w:r>
      <w:r w:rsidRPr="002A61CA">
        <w:rPr>
          <w:rFonts w:ascii="Arial" w:eastAsia="Times New Roman" w:hAnsi="Arial" w:cs="Arial" w:hint="eastAsia"/>
          <w:color w:val="000000"/>
          <w:sz w:val="22"/>
        </w:rPr>
        <w:t>genes</w:t>
      </w:r>
      <w:r>
        <w:rPr>
          <w:rFonts w:ascii="Arial" w:eastAsia="Times New Roman" w:hAnsi="Arial" w:cs="Arial"/>
          <w:color w:val="000000"/>
          <w:sz w:val="22"/>
        </w:rPr>
        <w:t xml:space="preserve"> </w:t>
      </w:r>
      <w:r w:rsidRPr="002A61CA">
        <w:rPr>
          <w:rFonts w:ascii="Arial" w:eastAsia="Times New Roman" w:hAnsi="Arial" w:cs="Arial" w:hint="eastAsia"/>
          <w:color w:val="000000"/>
          <w:sz w:val="22"/>
        </w:rPr>
        <w:t>in</w:t>
      </w:r>
      <w:r w:rsidRPr="002A61CA">
        <w:rPr>
          <w:rFonts w:ascii="Arial" w:eastAsia="Times New Roman" w:hAnsi="Arial" w:cs="Arial"/>
          <w:color w:val="000000"/>
          <w:sz w:val="22"/>
        </w:rPr>
        <w:t xml:space="preserve"> HUH7, SNU-182 </w:t>
      </w:r>
      <w:r w:rsidRPr="002A61CA">
        <w:rPr>
          <w:rFonts w:ascii="Arial" w:eastAsia="Times New Roman" w:hAnsi="Arial" w:cs="Arial" w:hint="eastAsia"/>
          <w:color w:val="000000"/>
          <w:sz w:val="22"/>
        </w:rPr>
        <w:t>and</w:t>
      </w:r>
      <w:r w:rsidRPr="002A61CA">
        <w:rPr>
          <w:rFonts w:ascii="Arial" w:eastAsia="Times New Roman" w:hAnsi="Arial" w:cs="Arial"/>
          <w:color w:val="000000"/>
          <w:sz w:val="22"/>
        </w:rPr>
        <w:t xml:space="preserve"> HLF</w:t>
      </w:r>
      <w:r>
        <w:rPr>
          <w:rFonts w:ascii="Arial" w:eastAsia="Times New Roman" w:hAnsi="Arial" w:cs="Arial"/>
          <w:color w:val="000000"/>
          <w:sz w:val="22"/>
        </w:rPr>
        <w:t xml:space="preserve"> </w:t>
      </w:r>
      <w:r w:rsidRPr="002A61CA">
        <w:rPr>
          <w:rFonts w:ascii="Arial" w:eastAsia="Times New Roman" w:hAnsi="Arial" w:cs="Arial" w:hint="eastAsia"/>
          <w:color w:val="000000"/>
          <w:sz w:val="22"/>
        </w:rPr>
        <w:t>cells</w:t>
      </w:r>
      <w:r>
        <w:rPr>
          <w:rFonts w:ascii="Arial" w:eastAsia="Times New Roman" w:hAnsi="Arial" w:cs="Arial"/>
          <w:color w:val="000000"/>
          <w:sz w:val="22"/>
        </w:rPr>
        <w:t xml:space="preserve"> </w:t>
      </w:r>
      <w:r w:rsidRPr="002A61CA">
        <w:rPr>
          <w:rFonts w:ascii="Arial" w:eastAsia="Times New Roman" w:hAnsi="Arial" w:cs="Arial" w:hint="eastAsia"/>
          <w:color w:val="000000"/>
          <w:sz w:val="22"/>
        </w:rPr>
        <w:t>at</w:t>
      </w:r>
      <w:r>
        <w:rPr>
          <w:rFonts w:ascii="Arial" w:eastAsia="Times New Roman" w:hAnsi="Arial" w:cs="Arial"/>
          <w:color w:val="000000"/>
          <w:sz w:val="22"/>
        </w:rPr>
        <w:t xml:space="preserve"> 24 </w:t>
      </w:r>
      <w:proofErr w:type="spellStart"/>
      <w:r w:rsidRPr="002A61CA">
        <w:rPr>
          <w:rFonts w:ascii="Arial" w:eastAsia="Times New Roman" w:hAnsi="Arial" w:cs="Arial" w:hint="eastAsia"/>
          <w:color w:val="000000"/>
          <w:sz w:val="22"/>
        </w:rPr>
        <w:t>h.</w:t>
      </w:r>
      <w:r>
        <w:rPr>
          <w:rFonts w:ascii="Arial" w:eastAsia="Times New Roman" w:hAnsi="Arial" w:cs="Arial"/>
          <w:color w:val="000000"/>
          <w:sz w:val="22"/>
        </w:rPr>
        <w:t>b</w:t>
      </w:r>
      <w:proofErr w:type="spellEnd"/>
      <w:r w:rsidRPr="002A61CA">
        <w:rPr>
          <w:rFonts w:ascii="Arial" w:eastAsia="Times New Roman" w:hAnsi="Arial" w:cs="Arial"/>
          <w:color w:val="000000"/>
          <w:sz w:val="22"/>
        </w:rPr>
        <w:t xml:space="preserve">) </w:t>
      </w:r>
      <w:r>
        <w:rPr>
          <w:rFonts w:ascii="Arial" w:eastAsia="Times New Roman" w:hAnsi="Arial" w:cs="Arial"/>
          <w:color w:val="000000"/>
          <w:sz w:val="22"/>
        </w:rPr>
        <w:t xml:space="preserve">mRNA changes of 21 candidate </w:t>
      </w:r>
      <w:r w:rsidRPr="002A61CA">
        <w:rPr>
          <w:rFonts w:ascii="Arial" w:eastAsia="Times New Roman" w:hAnsi="Arial" w:cs="Arial" w:hint="eastAsia"/>
          <w:color w:val="000000"/>
          <w:sz w:val="22"/>
        </w:rPr>
        <w:t>genes</w:t>
      </w:r>
      <w:r>
        <w:rPr>
          <w:rFonts w:ascii="Arial" w:eastAsia="Times New Roman" w:hAnsi="Arial" w:cs="Arial"/>
          <w:color w:val="000000"/>
          <w:sz w:val="22"/>
        </w:rPr>
        <w:t xml:space="preserve"> </w:t>
      </w:r>
      <w:r w:rsidRPr="002A61CA">
        <w:rPr>
          <w:rFonts w:ascii="Arial" w:eastAsia="Times New Roman" w:hAnsi="Arial" w:cs="Arial" w:hint="eastAsia"/>
          <w:color w:val="000000"/>
          <w:sz w:val="22"/>
        </w:rPr>
        <w:t>in</w:t>
      </w:r>
      <w:r w:rsidRPr="002A61CA">
        <w:rPr>
          <w:rFonts w:ascii="Arial" w:eastAsia="Times New Roman" w:hAnsi="Arial" w:cs="Arial"/>
          <w:color w:val="000000"/>
          <w:sz w:val="22"/>
        </w:rPr>
        <w:t xml:space="preserve"> HUH7, SNU-182 </w:t>
      </w:r>
      <w:r w:rsidRPr="002A61CA">
        <w:rPr>
          <w:rFonts w:ascii="Arial" w:eastAsia="Times New Roman" w:hAnsi="Arial" w:cs="Arial" w:hint="eastAsia"/>
          <w:color w:val="000000"/>
          <w:sz w:val="22"/>
        </w:rPr>
        <w:t>and</w:t>
      </w:r>
      <w:r w:rsidRPr="002A61CA">
        <w:rPr>
          <w:rFonts w:ascii="Arial" w:eastAsia="Times New Roman" w:hAnsi="Arial" w:cs="Arial"/>
          <w:color w:val="000000"/>
          <w:sz w:val="22"/>
        </w:rPr>
        <w:t xml:space="preserve"> HLF</w:t>
      </w:r>
      <w:r>
        <w:rPr>
          <w:rFonts w:ascii="Arial" w:eastAsia="Times New Roman" w:hAnsi="Arial" w:cs="Arial"/>
          <w:color w:val="000000"/>
          <w:sz w:val="22"/>
        </w:rPr>
        <w:t xml:space="preserve"> </w:t>
      </w:r>
      <w:r w:rsidRPr="002A61CA">
        <w:rPr>
          <w:rFonts w:ascii="Arial" w:eastAsia="Times New Roman" w:hAnsi="Arial" w:cs="Arial" w:hint="eastAsia"/>
          <w:color w:val="000000"/>
          <w:sz w:val="22"/>
        </w:rPr>
        <w:t>cells</w:t>
      </w:r>
      <w:r>
        <w:rPr>
          <w:rFonts w:ascii="Arial" w:eastAsia="Times New Roman" w:hAnsi="Arial" w:cs="Arial"/>
          <w:color w:val="000000"/>
          <w:sz w:val="22"/>
        </w:rPr>
        <w:t xml:space="preserve"> </w:t>
      </w:r>
      <w:r w:rsidRPr="002A61CA">
        <w:rPr>
          <w:rFonts w:ascii="Arial" w:eastAsia="Times New Roman" w:hAnsi="Arial" w:cs="Arial" w:hint="eastAsia"/>
          <w:color w:val="000000"/>
          <w:sz w:val="22"/>
        </w:rPr>
        <w:t>at</w:t>
      </w:r>
      <w:r>
        <w:rPr>
          <w:rFonts w:ascii="Arial" w:eastAsia="Times New Roman" w:hAnsi="Arial" w:cs="Arial"/>
          <w:color w:val="000000"/>
          <w:sz w:val="22"/>
        </w:rPr>
        <w:t xml:space="preserve"> 72 </w:t>
      </w:r>
      <w:proofErr w:type="spellStart"/>
      <w:r w:rsidRPr="002A61CA">
        <w:rPr>
          <w:rFonts w:ascii="Arial" w:eastAsia="Times New Roman" w:hAnsi="Arial" w:cs="Arial" w:hint="eastAsia"/>
          <w:color w:val="000000"/>
          <w:sz w:val="22"/>
        </w:rPr>
        <w:t>h.</w:t>
      </w:r>
      <w:r>
        <w:rPr>
          <w:rFonts w:ascii="Arial" w:eastAsia="Times New Roman" w:hAnsi="Arial" w:cs="Arial"/>
          <w:color w:val="000000"/>
          <w:sz w:val="22"/>
        </w:rPr>
        <w:t>c</w:t>
      </w:r>
      <w:proofErr w:type="spellEnd"/>
      <w:r w:rsidRPr="002A61CA">
        <w:rPr>
          <w:rFonts w:ascii="Arial" w:eastAsia="Times New Roman" w:hAnsi="Arial" w:cs="Arial"/>
          <w:color w:val="000000"/>
          <w:sz w:val="22"/>
        </w:rPr>
        <w:t xml:space="preserve">) </w:t>
      </w:r>
      <w:r>
        <w:rPr>
          <w:rFonts w:ascii="Arial" w:eastAsia="Times New Roman" w:hAnsi="Arial" w:cs="Arial"/>
          <w:color w:val="000000"/>
          <w:sz w:val="22"/>
        </w:rPr>
        <w:t xml:space="preserve">mRNA changes of 21 candidate </w:t>
      </w:r>
      <w:r w:rsidRPr="002A61CA">
        <w:rPr>
          <w:rFonts w:ascii="Arial" w:eastAsia="Times New Roman" w:hAnsi="Arial" w:cs="Arial" w:hint="eastAsia"/>
          <w:color w:val="000000"/>
          <w:sz w:val="22"/>
        </w:rPr>
        <w:t>genes</w:t>
      </w:r>
      <w:r>
        <w:rPr>
          <w:rFonts w:ascii="Arial" w:eastAsia="Times New Roman" w:hAnsi="Arial" w:cs="Arial"/>
          <w:color w:val="000000"/>
          <w:sz w:val="22"/>
        </w:rPr>
        <w:t xml:space="preserve"> </w:t>
      </w:r>
      <w:r w:rsidRPr="002A61CA">
        <w:rPr>
          <w:rFonts w:ascii="Arial" w:eastAsia="Times New Roman" w:hAnsi="Arial" w:cs="Arial" w:hint="eastAsia"/>
          <w:color w:val="000000"/>
          <w:sz w:val="22"/>
        </w:rPr>
        <w:t>in</w:t>
      </w:r>
      <w:r w:rsidRPr="002A61CA">
        <w:rPr>
          <w:rFonts w:ascii="Arial" w:eastAsia="Times New Roman" w:hAnsi="Arial" w:cs="Arial"/>
          <w:color w:val="000000"/>
          <w:sz w:val="22"/>
        </w:rPr>
        <w:t xml:space="preserve"> HUH7, SNU-182 </w:t>
      </w:r>
      <w:r w:rsidRPr="002A61CA">
        <w:rPr>
          <w:rFonts w:ascii="Arial" w:eastAsia="Times New Roman" w:hAnsi="Arial" w:cs="Arial" w:hint="eastAsia"/>
          <w:color w:val="000000"/>
          <w:sz w:val="22"/>
        </w:rPr>
        <w:t>and</w:t>
      </w:r>
      <w:r w:rsidRPr="002A61CA">
        <w:rPr>
          <w:rFonts w:ascii="Arial" w:eastAsia="Times New Roman" w:hAnsi="Arial" w:cs="Arial"/>
          <w:color w:val="000000"/>
          <w:sz w:val="22"/>
        </w:rPr>
        <w:t xml:space="preserve"> HLF</w:t>
      </w:r>
      <w:r>
        <w:rPr>
          <w:rFonts w:ascii="Arial" w:eastAsia="Times New Roman" w:hAnsi="Arial" w:cs="Arial"/>
          <w:color w:val="000000"/>
          <w:sz w:val="22"/>
        </w:rPr>
        <w:t xml:space="preserve"> </w:t>
      </w:r>
      <w:r w:rsidRPr="002A61CA">
        <w:rPr>
          <w:rFonts w:ascii="Arial" w:eastAsia="Times New Roman" w:hAnsi="Arial" w:cs="Arial"/>
          <w:color w:val="000000"/>
          <w:sz w:val="22"/>
        </w:rPr>
        <w:t xml:space="preserve">during </w:t>
      </w:r>
      <w:proofErr w:type="gramStart"/>
      <w:r w:rsidRPr="002A61CA">
        <w:rPr>
          <w:rFonts w:ascii="Arial" w:eastAsia="Times New Roman" w:hAnsi="Arial" w:cs="Arial"/>
          <w:color w:val="000000"/>
          <w:sz w:val="22"/>
        </w:rPr>
        <w:t>one week</w:t>
      </w:r>
      <w:proofErr w:type="gramEnd"/>
      <w:r w:rsidRPr="002A61CA">
        <w:rPr>
          <w:rFonts w:ascii="Arial" w:eastAsia="Times New Roman" w:hAnsi="Arial" w:cs="Arial"/>
          <w:color w:val="000000"/>
          <w:sz w:val="22"/>
        </w:rPr>
        <w:t xml:space="preserve"> intermittent hypoxia</w:t>
      </w:r>
      <w:r>
        <w:rPr>
          <w:rFonts w:ascii="Arial" w:eastAsia="Times New Roman" w:hAnsi="Arial" w:cs="Arial"/>
          <w:color w:val="000000"/>
          <w:sz w:val="22"/>
        </w:rPr>
        <w:t xml:space="preserve">. All </w:t>
      </w:r>
      <w:r w:rsidRPr="00CC3570">
        <w:rPr>
          <w:rFonts w:ascii="Arial" w:eastAsia="Times New Roman" w:hAnsi="Arial" w:cs="Arial"/>
          <w:i/>
          <w:iCs/>
          <w:color w:val="000000"/>
          <w:sz w:val="22"/>
        </w:rPr>
        <w:t>P</w:t>
      </w:r>
      <w:r>
        <w:rPr>
          <w:rFonts w:ascii="Arial" w:eastAsia="Times New Roman" w:hAnsi="Arial" w:cs="Arial"/>
          <w:color w:val="000000"/>
          <w:sz w:val="22"/>
        </w:rPr>
        <w:t xml:space="preserve">&lt;0.05 </w:t>
      </w:r>
      <w:r w:rsidRPr="00DD5467">
        <w:rPr>
          <w:rFonts w:ascii="Arial" w:eastAsia="Times New Roman" w:hAnsi="Arial" w:cs="Arial" w:hint="eastAsia"/>
          <w:color w:val="000000"/>
          <w:sz w:val="22"/>
        </w:rPr>
        <w:t>compared</w:t>
      </w:r>
      <w:r>
        <w:rPr>
          <w:rFonts w:ascii="Arial" w:eastAsia="Times New Roman" w:hAnsi="Arial" w:cs="Arial"/>
          <w:color w:val="000000"/>
          <w:sz w:val="22"/>
        </w:rPr>
        <w:t xml:space="preserve"> </w:t>
      </w:r>
      <w:r w:rsidRPr="00DD5467">
        <w:rPr>
          <w:rFonts w:ascii="Arial" w:eastAsia="Times New Roman" w:hAnsi="Arial" w:cs="Arial" w:hint="eastAsia"/>
          <w:color w:val="000000"/>
          <w:sz w:val="22"/>
        </w:rPr>
        <w:t>with</w:t>
      </w:r>
      <w:r>
        <w:rPr>
          <w:rFonts w:ascii="Arial" w:eastAsia="Times New Roman" w:hAnsi="Arial" w:cs="Arial"/>
          <w:color w:val="000000"/>
          <w:sz w:val="22"/>
        </w:rPr>
        <w:t xml:space="preserve"> </w:t>
      </w:r>
      <w:r w:rsidRPr="00DD5467">
        <w:rPr>
          <w:rFonts w:ascii="Arial" w:eastAsia="Times New Roman" w:hAnsi="Arial" w:cs="Arial" w:hint="eastAsia"/>
          <w:color w:val="000000"/>
          <w:sz w:val="22"/>
        </w:rPr>
        <w:t>control</w:t>
      </w:r>
      <w:r>
        <w:rPr>
          <w:rFonts w:ascii="宋体" w:eastAsia="宋体" w:hAnsi="宋体" w:cs="宋体" w:hint="eastAsia"/>
          <w:color w:val="000000"/>
          <w:sz w:val="22"/>
        </w:rPr>
        <w:t>.</w:t>
      </w:r>
    </w:p>
    <w:p w14:paraId="1FB50727" w14:textId="54E8D665" w:rsidR="00677686" w:rsidRDefault="00677686">
      <w:pPr>
        <w:widowControl/>
        <w:jc w:val="left"/>
        <w:rPr>
          <w:rFonts w:ascii="Arial" w:eastAsia="Times New Roman" w:hAnsi="Arial" w:cs="Arial"/>
          <w:color w:val="000000"/>
          <w:sz w:val="22"/>
        </w:rPr>
      </w:pPr>
    </w:p>
    <w:p w14:paraId="27A61F97" w14:textId="77777777" w:rsidR="00816568" w:rsidRDefault="00816568" w:rsidP="00816568">
      <w:pPr>
        <w:widowControl/>
        <w:spacing w:beforeLines="50" w:before="156" w:afterLines="50" w:after="156" w:line="360" w:lineRule="auto"/>
        <w:rPr>
          <w:rFonts w:ascii="Arial" w:eastAsia="等线" w:hAnsi="Arial" w:cs="Arial"/>
          <w:sz w:val="20"/>
        </w:rPr>
      </w:pPr>
    </w:p>
    <w:p w14:paraId="3054ACF6" w14:textId="13F8E4D7" w:rsidR="00816568" w:rsidRDefault="00816568" w:rsidP="00816568">
      <w:pPr>
        <w:widowControl/>
        <w:spacing w:beforeLines="50" w:before="156" w:afterLines="50" w:after="156" w:line="360" w:lineRule="auto"/>
        <w:rPr>
          <w:rFonts w:ascii="Arial" w:eastAsia="Times New Roman" w:hAnsi="Arial" w:cs="Arial"/>
          <w:color w:val="000000"/>
          <w:sz w:val="22"/>
        </w:rPr>
      </w:pPr>
      <w:r>
        <w:rPr>
          <w:rFonts w:ascii="Arial" w:eastAsia="Times New Roman" w:hAnsi="Arial" w:cs="Arial"/>
          <w:noProof/>
          <w:color w:val="000000"/>
          <w:sz w:val="22"/>
        </w:rPr>
        <w:drawing>
          <wp:inline distT="0" distB="0" distL="0" distR="0" wp14:anchorId="0ED6397B" wp14:editId="2707080E">
            <wp:extent cx="5229760" cy="237281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605" cy="239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4FCF7" w14:textId="3AF6FD00" w:rsidR="00816568" w:rsidRDefault="00816568" w:rsidP="00816568">
      <w:pPr>
        <w:widowControl/>
        <w:spacing w:beforeLines="50" w:before="156" w:afterLines="50" w:after="156" w:line="360" w:lineRule="auto"/>
        <w:rPr>
          <w:rFonts w:ascii="Arial" w:eastAsia="等线" w:hAnsi="Arial" w:cs="Arial"/>
          <w:sz w:val="20"/>
        </w:rPr>
      </w:pPr>
      <w:r>
        <w:rPr>
          <w:rFonts w:ascii="Arial" w:eastAsia="Times New Roman" w:hAnsi="Arial" w:cs="Arial"/>
          <w:color w:val="000000"/>
          <w:sz w:val="22"/>
        </w:rPr>
        <w:t xml:space="preserve">Supplemental Figure 3. Calibration curve for the LASSO-Cox regression model for the prediction of 1-, 3- or 5-year overall survival in GSE14520. This LASSO-Cox regression model uses the hypoxia score and TNM stage as factors and is based on TCGA-LIHC data. </w:t>
      </w:r>
    </w:p>
    <w:p w14:paraId="47DDD703" w14:textId="77777777" w:rsidR="00842B7A" w:rsidRPr="00816568" w:rsidRDefault="00842B7A"/>
    <w:sectPr w:rsidR="00842B7A" w:rsidRPr="008165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A40785" w14:textId="77777777" w:rsidR="000B7351" w:rsidRDefault="000B7351" w:rsidP="00816568">
      <w:r>
        <w:separator/>
      </w:r>
    </w:p>
  </w:endnote>
  <w:endnote w:type="continuationSeparator" w:id="0">
    <w:p w14:paraId="09692E27" w14:textId="77777777" w:rsidR="000B7351" w:rsidRDefault="000B7351" w:rsidP="008165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6CDE35" w14:textId="77777777" w:rsidR="000B7351" w:rsidRDefault="000B7351" w:rsidP="00816568">
      <w:r>
        <w:separator/>
      </w:r>
    </w:p>
  </w:footnote>
  <w:footnote w:type="continuationSeparator" w:id="0">
    <w:p w14:paraId="6A6268E7" w14:textId="77777777" w:rsidR="000B7351" w:rsidRDefault="000B7351" w:rsidP="0081656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392"/>
    <w:rsid w:val="000800DD"/>
    <w:rsid w:val="000B7351"/>
    <w:rsid w:val="002A61CA"/>
    <w:rsid w:val="00352437"/>
    <w:rsid w:val="00677686"/>
    <w:rsid w:val="00793B30"/>
    <w:rsid w:val="00816568"/>
    <w:rsid w:val="00842B7A"/>
    <w:rsid w:val="008E0392"/>
    <w:rsid w:val="009A1992"/>
    <w:rsid w:val="00CA34BC"/>
    <w:rsid w:val="00CC3570"/>
    <w:rsid w:val="00DD5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467997"/>
  <w15:chartTrackingRefBased/>
  <w15:docId w15:val="{4470B5B3-37B1-476D-BD6E-A242BE186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6568"/>
    <w:pPr>
      <w:widowControl w:val="0"/>
      <w:jc w:val="both"/>
    </w:pPr>
    <w:rPr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165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en-US"/>
    </w:rPr>
  </w:style>
  <w:style w:type="character" w:customStyle="1" w:styleId="a4">
    <w:name w:val="页眉 字符"/>
    <w:basedOn w:val="a0"/>
    <w:link w:val="a3"/>
    <w:uiPriority w:val="99"/>
    <w:rsid w:val="0081656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16568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en-US"/>
    </w:rPr>
  </w:style>
  <w:style w:type="character" w:customStyle="1" w:styleId="a6">
    <w:name w:val="页脚 字符"/>
    <w:basedOn w:val="a0"/>
    <w:link w:val="a5"/>
    <w:uiPriority w:val="99"/>
    <w:rsid w:val="00816568"/>
    <w:rPr>
      <w:sz w:val="18"/>
      <w:szCs w:val="18"/>
    </w:rPr>
  </w:style>
  <w:style w:type="character" w:customStyle="1" w:styleId="EndNoteBibliography">
    <w:name w:val="EndNote Bibliography 字符"/>
    <w:basedOn w:val="a0"/>
    <w:link w:val="EndNoteBibliography0"/>
    <w:locked/>
    <w:rsid w:val="00816568"/>
    <w:rPr>
      <w:rFonts w:ascii="等线" w:eastAsia="等线" w:hAnsi="等线"/>
      <w:noProof/>
      <w:sz w:val="20"/>
      <w:lang w:val="en-GB"/>
    </w:rPr>
  </w:style>
  <w:style w:type="paragraph" w:customStyle="1" w:styleId="EndNoteBibliography0">
    <w:name w:val="EndNote Bibliography"/>
    <w:basedOn w:val="a"/>
    <w:link w:val="EndNoteBibliography"/>
    <w:rsid w:val="00816568"/>
    <w:rPr>
      <w:rFonts w:ascii="等线" w:eastAsia="等线" w:hAnsi="等线"/>
      <w:noProof/>
      <w:sz w:val="20"/>
    </w:rPr>
  </w:style>
  <w:style w:type="paragraph" w:styleId="a7">
    <w:name w:val="Balloon Text"/>
    <w:basedOn w:val="a"/>
    <w:link w:val="a8"/>
    <w:uiPriority w:val="99"/>
    <w:semiHidden/>
    <w:unhideWhenUsed/>
    <w:rsid w:val="00DD5467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DD5467"/>
    <w:rPr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00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4</Pages>
  <Words>203</Words>
  <Characters>1155</Characters>
  <Application>Microsoft Office Word</Application>
  <DocSecurity>0</DocSecurity>
  <Lines>18</Lines>
  <Paragraphs>3</Paragraphs>
  <ScaleCrop>false</ScaleCrop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qiangnu zhang</dc:creator>
  <cp:keywords/>
  <dc:description/>
  <cp:lastModifiedBy>qiangnu zhang</cp:lastModifiedBy>
  <cp:revision>11</cp:revision>
  <dcterms:created xsi:type="dcterms:W3CDTF">2020-06-01T06:18:00Z</dcterms:created>
  <dcterms:modified xsi:type="dcterms:W3CDTF">2020-07-29T08:25:00Z</dcterms:modified>
</cp:coreProperties>
</file>