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87CF" w14:textId="77777777" w:rsidR="002D43C5" w:rsidRDefault="002D43C5">
      <w:r>
        <w:t xml:space="preserve">Topic 4: Development of tumour micro-environment transcriptomic hypoxia signatures using autoencoders </w:t>
      </w:r>
    </w:p>
    <w:p w14:paraId="38BCB088" w14:textId="77777777" w:rsidR="002D43C5" w:rsidRDefault="002D43C5">
      <w:r>
        <w:t xml:space="preserve">Tutor: Delmiro Fernandez-Reyes </w:t>
      </w:r>
    </w:p>
    <w:p w14:paraId="678B6D60" w14:textId="7153D91A" w:rsidR="002D43C5" w:rsidRDefault="002D43C5">
      <w:r>
        <w:t>Hypoxia (low oxygen levels) in the tumour microenvironment plays a pivotal role in tumour progression and resistance to therapy, making it a crucial aspect to explore and understand in cancer research. In this project we will focus on developing transcriptomic hypoxia signatures of the tumour microenvironment utilising autoencoders (AEs). In the literature review we will develop a systematic understanding of how transcriptomic hypoxia signatures have been previously identified using machine learning and utilised in cancer research. We will also systematically identify datasets, methodologies, and results of previous studies, laying a foundation for the research project. The literature review will also focus on gaining an understanding of autoencoders and identifying relevant previous work of their application for linking tumour microenvironment with cancer prognosis.</w:t>
      </w:r>
    </w:p>
    <w:p w14:paraId="3A90B32C" w14:textId="77777777" w:rsidR="002D43C5" w:rsidRDefault="002D43C5"/>
    <w:p w14:paraId="741C4977" w14:textId="3DBF1B69" w:rsidR="00CD12DE" w:rsidRPr="002D43C5" w:rsidRDefault="005A16A8">
      <w:pPr>
        <w:rPr>
          <w:b/>
          <w:bCs/>
          <w:sz w:val="32"/>
          <w:szCs w:val="32"/>
        </w:rPr>
      </w:pPr>
      <w:r w:rsidRPr="002D43C5">
        <w:rPr>
          <w:b/>
          <w:bCs/>
          <w:sz w:val="32"/>
          <w:szCs w:val="32"/>
        </w:rPr>
        <w:t>Identification of transcriptomic hypoxia signature from tumour microenvironment</w:t>
      </w:r>
      <w:r w:rsidR="00597FAF" w:rsidRPr="002D43C5">
        <w:rPr>
          <w:b/>
          <w:bCs/>
          <w:sz w:val="32"/>
          <w:szCs w:val="32"/>
        </w:rPr>
        <w:t xml:space="preserve"> by machine learning</w:t>
      </w:r>
      <w:r w:rsidRPr="002D43C5">
        <w:rPr>
          <w:b/>
          <w:bCs/>
          <w:sz w:val="32"/>
          <w:szCs w:val="32"/>
        </w:rPr>
        <w:t>: a systematic review</w:t>
      </w:r>
    </w:p>
    <w:p w14:paraId="428EA9A7" w14:textId="715012AD" w:rsidR="005A16A8" w:rsidRDefault="00B85434">
      <w:r>
        <w:t>Abstract</w:t>
      </w:r>
    </w:p>
    <w:p w14:paraId="04FC6E64" w14:textId="15B2C7BE" w:rsidR="000D6F22" w:rsidRPr="00B570FB" w:rsidRDefault="00B570FB" w:rsidP="00933341">
      <w:r w:rsidRPr="00B570FB">
        <w:t>This systematic review comprehensively analyses the application of machine learning in identifying transcriptomic hypoxia signatures</w:t>
      </w:r>
      <w:r w:rsidR="00D33681">
        <w:t xml:space="preserve"> (HSs)</w:t>
      </w:r>
      <w:r w:rsidRPr="00B570FB">
        <w:t xml:space="preserve"> within the tumour microenvironment, a key factor in understanding tumour progression, tailoring treatment strategies, and potentially improving patient outcomes.</w:t>
      </w:r>
      <w:r>
        <w:t xml:space="preserve"> </w:t>
      </w:r>
      <w:r w:rsidR="000D6F22">
        <w:t xml:space="preserve">Certain </w:t>
      </w:r>
      <w:r w:rsidR="00B80768">
        <w:t>HS</w:t>
      </w:r>
      <w:r w:rsidR="000D6F22">
        <w:t>s have been validated to stratify patients into different risk groups and predict o</w:t>
      </w:r>
      <w:r w:rsidR="000D6F22" w:rsidRPr="005E390B">
        <w:t xml:space="preserve">verall </w:t>
      </w:r>
      <w:r w:rsidR="000D6F22">
        <w:t>s</w:t>
      </w:r>
      <w:r w:rsidR="000D6F22" w:rsidRPr="005E390B">
        <w:t>urvival</w:t>
      </w:r>
      <w:r w:rsidR="000D6F22">
        <w:t xml:space="preserve"> (OS) </w:t>
      </w:r>
      <w:r w:rsidR="000D6F22">
        <w:fldChar w:fldCharType="begin"/>
      </w:r>
      <w:r w:rsidR="000D6F22">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0D6F22">
        <w:fldChar w:fldCharType="separate"/>
      </w:r>
      <w:r w:rsidR="000D6F22">
        <w:t>(Liu et al., 2020)</w:t>
      </w:r>
      <w:r w:rsidR="000D6F22">
        <w:fldChar w:fldCharType="end"/>
      </w:r>
      <w:r w:rsidR="000D6F22">
        <w:t>.</w:t>
      </w:r>
      <w:r w:rsidR="00933341">
        <w:t xml:space="preserve"> </w:t>
      </w:r>
      <w:r w:rsidR="000D6F22" w:rsidRPr="00933341">
        <w:t xml:space="preserve">Traditional methods for identifying </w:t>
      </w:r>
      <w:r w:rsidR="00B80768">
        <w:t>HS</w:t>
      </w:r>
      <w:r w:rsidR="000D6F22" w:rsidRPr="00933341">
        <w:t>s, including in vi</w:t>
      </w:r>
      <w:r w:rsidR="00933341" w:rsidRPr="00933341">
        <w:rPr>
          <w:rFonts w:hint="eastAsia"/>
        </w:rPr>
        <w:t>vo</w:t>
      </w:r>
      <w:r w:rsidR="000D6F22" w:rsidRPr="00933341">
        <w:t>–derived analyses using hypoxia markers</w:t>
      </w:r>
      <w:r w:rsidR="00933341" w:rsidRPr="00933341">
        <w:fldChar w:fldCharType="begin"/>
      </w:r>
      <w:r w:rsidR="00933341" w:rsidRPr="00933341">
        <w:instrText xml:space="preserve"> ADDIN EN.CITE &lt;EndNote&gt;&lt;Cite&gt;&lt;Author&gt;Marotta&lt;/Author&gt;&lt;Year&gt;2011&lt;/Year&gt;&lt;RecNum&gt;6&lt;/RecNum&gt;&lt;DisplayText&gt;(Marotta et al., 2011)&lt;/DisplayText&gt;&lt;record&gt;&lt;rec-number&gt;6&lt;/rec-number&gt;&lt;foreign-keys&gt;&lt;key app="EN" db-id="wz5p09xxjrsa2aefsws5erx9xedwd52xwxe0" timestamp="1704230784"&gt;6&lt;/key&gt;&lt;/foreign-keys&gt;&lt;ref-type name="Journal Article"&gt;17&lt;/ref-type&gt;&lt;contributors&gt;&lt;authors&gt;&lt;author&gt;Marotta, D.&lt;/author&gt;&lt;author&gt;Karar, J.&lt;/author&gt;&lt;author&gt;Jenkins, W. T.&lt;/author&gt;&lt;author&gt;Kumanova, M.&lt;/author&gt;&lt;author&gt;Jenkins, K. W.&lt;/author&gt;&lt;author&gt;Tobias, J. W.&lt;/author&gt;&lt;author&gt;Baldwin, D.&lt;/author&gt;&lt;author&gt;Hatzigeorgiou, A.&lt;/author&gt;&lt;author&gt;Alexiou, P.&lt;/author&gt;&lt;author&gt;Evans, S. M.&lt;/author&gt;&lt;author&gt;Alarcon, R.&lt;/author&gt;&lt;author&gt;Maity, A.&lt;/author&gt;&lt;author&gt;Koch, C.&lt;/author&gt;&lt;author&gt;Koumenis, C.&lt;/author&gt;&lt;/authors&gt;&lt;/contributors&gt;&lt;titles&gt;&lt;title&gt;In vivo profiling of hypoxic gene expression in gliomas using the hypoxia marker EF5 and laser-capture microdissection&lt;/title&gt;&lt;secondary-title&gt;Cancer Research&lt;/secondary-title&gt;&lt;/titles&gt;&lt;periodical&gt;&lt;full-title&gt;Cancer Research&lt;/full-title&gt;&lt;/periodical&gt;&lt;pages&gt;779-789&lt;/pages&gt;&lt;volume&gt;71&lt;/volume&gt;&lt;number&gt;3&lt;/number&gt;&lt;dates&gt;&lt;year&gt;2011&lt;/year&gt;&lt;/dates&gt;&lt;work-type&gt;Article&lt;/work-type&gt;&lt;urls&gt;&lt;related-urls&gt;&lt;url&gt;https://www.scopus.com/inward/record.uri?eid=2-s2.0-79551542410&amp;amp;doi=10.1158%2f0008-5472.CAN-10-3061&amp;amp;partnerID=40&amp;amp;md5=7c1945b6599701bc0875e04602bdf2bc&lt;/url&gt;&lt;/related-urls&gt;&lt;/urls&gt;&lt;electronic-resource-num&gt;10.1158/0008-5472.CAN-10-3061&lt;/electronic-resource-num&gt;&lt;remote-database-name&gt;Scopus&lt;/remote-database-name&gt;&lt;/record&gt;&lt;/Cite&gt;&lt;/EndNote&gt;</w:instrText>
      </w:r>
      <w:r w:rsidR="00933341" w:rsidRPr="00933341">
        <w:fldChar w:fldCharType="separate"/>
      </w:r>
      <w:r w:rsidR="00933341" w:rsidRPr="00933341">
        <w:t>(Marotta et al., 2011)</w:t>
      </w:r>
      <w:r w:rsidR="00933341" w:rsidRPr="00933341">
        <w:fldChar w:fldCharType="end"/>
      </w:r>
      <w:r w:rsidR="000D6F22" w:rsidRPr="00933341">
        <w:t>, meta-analysis of microarray-based gene signatures</w:t>
      </w:r>
      <w:r w:rsidR="00933341" w:rsidRPr="00933341">
        <w:fldChar w:fldCharType="begin"/>
      </w:r>
      <w:r w:rsidR="00933341" w:rsidRPr="00933341">
        <w:instrText xml:space="preserve"> ADDIN EN.CITE &lt;EndNote&gt;&lt;Cite&gt;&lt;Author&gt;Seigneuric&lt;/Author&gt;&lt;Year&gt;2007&lt;/Year&gt;&lt;RecNum&gt;7&lt;/RecNum&gt;&lt;DisplayText&gt;(Seigneuric et al., 2007)&lt;/DisplayText&gt;&lt;record&gt;&lt;rec-number&gt;7&lt;/rec-number&gt;&lt;foreign-keys&gt;&lt;key app="EN" db-id="wz5p09xxjrsa2aefsws5erx9xedwd52xwxe0" timestamp="1704230790"&gt;7&lt;/key&gt;&lt;/foreign-keys&gt;&lt;ref-type name="Journal Article"&gt;17&lt;/ref-type&gt;&lt;contributors&gt;&lt;authors&gt;&lt;author&gt;Seigneuric, R.&lt;/author&gt;&lt;author&gt;Starmans, M. H. W.&lt;/author&gt;&lt;author&gt;Fung, G.&lt;/author&gt;&lt;author&gt;Krishnapuram, B.&lt;/author&gt;&lt;author&gt;Nuyten, D. S. A.&lt;/author&gt;&lt;author&gt;van Erk, A.&lt;/author&gt;&lt;author&gt;Magagnin, M. G.&lt;/author&gt;&lt;author&gt;Rouschop, K. M.&lt;/author&gt;&lt;author&gt;Krishnan, S.&lt;/author&gt;&lt;author&gt;Rao, R. B.&lt;/author&gt;&lt;author&gt;Evelo, C. T. A.&lt;/author&gt;&lt;author&gt;Begg, A. C.&lt;/author&gt;&lt;author&gt;Wouters, B. G.&lt;/author&gt;&lt;author&gt;Lambin, P.&lt;/author&gt;&lt;/authors&gt;&lt;/contributors&gt;&lt;titles&gt;&lt;title&gt;Impact of supervised gene signatures of early hypoxia on patient survival&lt;/title&gt;&lt;secondary-title&gt;Radiotherapy and Oncology&lt;/secondary-title&gt;&lt;/titles&gt;&lt;periodical&gt;&lt;full-title&gt;Radiotherapy and Oncology&lt;/full-title&gt;&lt;/periodical&gt;&lt;pages&gt;374-382&lt;/pages&gt;&lt;volume&gt;83&lt;/volume&gt;&lt;number&gt;3&lt;/number&gt;&lt;dates&gt;&lt;year&gt;2007&lt;/year&gt;&lt;/dates&gt;&lt;work-type&gt;Article&lt;/work-type&gt;&lt;urls&gt;&lt;related-urls&gt;&lt;url&gt;https://www.scopus.com/inward/record.uri?eid=2-s2.0-34250323878&amp;amp;doi=10.1016%2fj.radonc.2007.05.002&amp;amp;partnerID=40&amp;amp;md5=54f67f205e3bc443dfc9d7a04426fb8d&lt;/url&gt;&lt;/related-urls&gt;&lt;/urls&gt;&lt;electronic-resource-num&gt;10.1016/j.radonc.2007.05.002&lt;/electronic-resource-num&gt;&lt;remote-database-name&gt;Scopus&lt;/remote-database-name&gt;&lt;/record&gt;&lt;/Cite&gt;&lt;/EndNote&gt;</w:instrText>
      </w:r>
      <w:r w:rsidR="00933341" w:rsidRPr="00933341">
        <w:fldChar w:fldCharType="separate"/>
      </w:r>
      <w:r w:rsidR="00933341" w:rsidRPr="00933341">
        <w:t>(Seigneuric et al., 2007)</w:t>
      </w:r>
      <w:r w:rsidR="00933341" w:rsidRPr="00933341">
        <w:fldChar w:fldCharType="end"/>
      </w:r>
      <w:r w:rsidR="000D6F22" w:rsidRPr="00933341">
        <w:t>, and gene function and co-expression patterns</w:t>
      </w:r>
      <w:r>
        <w:t xml:space="preserve"> analysis </w:t>
      </w:r>
      <w:r w:rsidR="00933341" w:rsidRPr="00933341">
        <w:fldChar w:fldCharType="begin"/>
      </w:r>
      <w:r w:rsidR="00933341" w:rsidRPr="00933341">
        <w:instrText xml:space="preserve"> ADDIN EN.CITE &lt;EndNote&gt;&lt;Cite&gt;&lt;Author&gt;Buffa&lt;/Author&gt;&lt;Year&gt;2010&lt;/Year&gt;&lt;RecNum&gt;5&lt;/RecNum&gt;&lt;DisplayText&gt;(Buffa et al., 2010)&lt;/DisplayText&gt;&lt;record&gt;&lt;rec-number&gt;5&lt;/rec-number&gt;&lt;foreign-keys&gt;&lt;key app="EN" db-id="wz5p09xxjrsa2aefsws5erx9xedwd52xwxe0" timestamp="1704230779"&gt;5&lt;/key&gt;&lt;/foreign-keys&gt;&lt;ref-type name="Journal Article"&gt;17&lt;/ref-type&gt;&lt;contributors&gt;&lt;authors&gt;&lt;author&gt;Buffa, F. M.&lt;/author&gt;&lt;author&gt;Harris, A. L.&lt;/author&gt;&lt;author&gt;West, C. M.&lt;/author&gt;&lt;author&gt;Miller, C. J.&lt;/author&gt;&lt;/authors&gt;&lt;/contributors&gt;&lt;titles&gt;&lt;title&gt;Large meta-analysis of multiple cancers reveals a common, compact and highly prognostic hypoxia metagene&lt;/title&gt;&lt;secondary-title&gt;British Journal of Cancer&lt;/secondary-title&gt;&lt;/titles&gt;&lt;periodical&gt;&lt;full-title&gt;British Journal of Cancer&lt;/full-title&gt;&lt;/periodical&gt;&lt;pages&gt;428-435&lt;/pages&gt;&lt;volume&gt;102&lt;/volume&gt;&lt;number&gt;2&lt;/number&gt;&lt;dates&gt;&lt;year&gt;2010&lt;/year&gt;&lt;/dates&gt;&lt;work-type&gt;Article&lt;/work-type&gt;&lt;urls&gt;&lt;related-urls&gt;&lt;url&gt;https://www.scopus.com/inward/record.uri?eid=2-s2.0-75649117850&amp;amp;doi=10.1038%2fsj.bjc.6605450&amp;amp;partnerID=40&amp;amp;md5=65b0505f83bb566abdf351b082d029b7&lt;/url&gt;&lt;/related-urls&gt;&lt;/urls&gt;&lt;electronic-resource-num&gt;10.1038/sj.bjc.6605450&lt;/electronic-resource-num&gt;&lt;remote-database-name&gt;Scopus&lt;/remote-database-name&gt;&lt;/record&gt;&lt;/Cite&gt;&lt;/EndNote&gt;</w:instrText>
      </w:r>
      <w:r w:rsidR="00933341" w:rsidRPr="00933341">
        <w:fldChar w:fldCharType="separate"/>
      </w:r>
      <w:r w:rsidR="00933341" w:rsidRPr="00933341">
        <w:t>(Buffa et al., 2010)</w:t>
      </w:r>
      <w:r w:rsidR="00933341" w:rsidRPr="00933341">
        <w:fldChar w:fldCharType="end"/>
      </w:r>
      <w:r w:rsidR="000D6F22" w:rsidRPr="00933341">
        <w:t>, provided foundational insights</w:t>
      </w:r>
      <w:r w:rsidR="00E47A3D">
        <w:t>.</w:t>
      </w:r>
      <w:r w:rsidRPr="00B570FB">
        <w:t xml:space="preserve"> However, since 2014 </w:t>
      </w:r>
      <w:r>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instrText xml:space="preserve"> ADDIN EN.CITE </w:instrText>
      </w:r>
      <w:r>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instrText xml:space="preserve"> ADDIN EN.CITE.DATA </w:instrText>
      </w:r>
      <w:r>
        <w:fldChar w:fldCharType="end"/>
      </w:r>
      <w:r>
        <w:fldChar w:fldCharType="separate"/>
      </w:r>
      <w:r>
        <w:t>(Lalonde et al., 2014)</w:t>
      </w:r>
      <w:r>
        <w:fldChar w:fldCharType="end"/>
      </w:r>
      <w:r w:rsidRPr="00B570FB">
        <w:t xml:space="preserve">, machine learning has revolutionized this field. Its ability to efficiently analyse complex, large datasets has significantly enhanced the accuracy and depth of </w:t>
      </w:r>
      <w:r w:rsidR="00D33681">
        <w:t>HS</w:t>
      </w:r>
      <w:r w:rsidRPr="00B570FB">
        <w:t xml:space="preserve"> identification.</w:t>
      </w:r>
      <w:r>
        <w:t xml:space="preserve"> </w:t>
      </w:r>
      <w:r w:rsidR="00933341" w:rsidRPr="00D4570E">
        <w:t xml:space="preserve">This review synthesizes findings from a comprehensive analysis of literature focused on </w:t>
      </w:r>
      <w:r w:rsidR="00933341">
        <w:t>using machine learning method</w:t>
      </w:r>
      <w:r>
        <w:t>s</w:t>
      </w:r>
      <w:r w:rsidR="00933341">
        <w:t xml:space="preserve"> to </w:t>
      </w:r>
      <w:r w:rsidR="00933341" w:rsidRPr="00D4570E">
        <w:t xml:space="preserve">identify </w:t>
      </w:r>
      <w:r w:rsidR="00D33681">
        <w:t>HS</w:t>
      </w:r>
      <w:r w:rsidR="00933341" w:rsidRPr="00D4570E">
        <w:t>s in the tumour microenvironment, adhering to strict</w:t>
      </w:r>
      <w:r w:rsidR="00933341">
        <w:t xml:space="preserve"> topic</w:t>
      </w:r>
      <w:r w:rsidR="00933341" w:rsidRPr="00D4570E">
        <w:t xml:space="preserve"> relevance criteria.</w:t>
      </w:r>
      <w:r w:rsidR="00933341">
        <w:t xml:space="preserve"> This review </w:t>
      </w:r>
      <w:r w:rsidR="00933341" w:rsidRPr="00D4570E">
        <w:t>reveals that unsupervised clustering algorithms are predominant in this area</w:t>
      </w:r>
      <w:r w:rsidR="00933341">
        <w:t>.</w:t>
      </w:r>
      <w:r w:rsidR="00933341" w:rsidRPr="00597FAF">
        <w:t xml:space="preserve"> </w:t>
      </w:r>
      <w:r w:rsidR="00933341">
        <w:t>Besides, w</w:t>
      </w:r>
      <w:r w:rsidR="00933341" w:rsidRPr="00597FAF">
        <w:t xml:space="preserve">hile unsupervised clustering is well-established, this review highlights </w:t>
      </w:r>
      <w:r>
        <w:t>an</w:t>
      </w:r>
      <w:r w:rsidR="00933341" w:rsidRPr="00597FAF">
        <w:t xml:space="preserve"> untapped potential in the application of autoencoders</w:t>
      </w:r>
      <w:r w:rsidR="00CC6FB2">
        <w:t xml:space="preserve"> (AEs)</w:t>
      </w:r>
      <w:r w:rsidR="00933341" w:rsidRPr="00597FAF">
        <w:t>.</w:t>
      </w:r>
      <w:r w:rsidR="00933341">
        <w:t xml:space="preserve"> </w:t>
      </w:r>
      <w:r w:rsidR="00933341" w:rsidRPr="00FD58BB">
        <w:t xml:space="preserve">The insights gained from this review could pave the way for </w:t>
      </w:r>
      <w:r w:rsidR="00933341">
        <w:t xml:space="preserve">the </w:t>
      </w:r>
      <w:r w:rsidR="00D33681">
        <w:t>HS</w:t>
      </w:r>
      <w:r w:rsidR="00933341">
        <w:t xml:space="preserve"> identification </w:t>
      </w:r>
      <w:r w:rsidRPr="00B570FB">
        <w:t xml:space="preserve">for a broader range of tumour types </w:t>
      </w:r>
      <w:r w:rsidR="00933341">
        <w:t>and the development of novel identification methods.</w:t>
      </w:r>
    </w:p>
    <w:p w14:paraId="1EBEAEA7" w14:textId="77777777" w:rsidR="00B570FB" w:rsidRDefault="00B570FB" w:rsidP="00B570FB">
      <w:r w:rsidRPr="00FD58BB">
        <w:t>Keywords: hypoxia signature, tumour,</w:t>
      </w:r>
      <w:r>
        <w:t xml:space="preserve"> cancer,</w:t>
      </w:r>
      <w:r w:rsidRPr="00FD58BB">
        <w:t xml:space="preserve"> microenvironment, machine learning</w:t>
      </w:r>
      <w:r>
        <w:t>, prognosis, autoencoder</w:t>
      </w:r>
    </w:p>
    <w:p w14:paraId="6230AD66" w14:textId="77777777" w:rsidR="00933341" w:rsidRDefault="00933341" w:rsidP="00FD58BB"/>
    <w:p w14:paraId="46A21C66" w14:textId="433F1CEB" w:rsidR="00B570FB" w:rsidRPr="00B570FB" w:rsidRDefault="00B570FB" w:rsidP="00B570FB">
      <w:r w:rsidRPr="00B570FB">
        <w:t>Introduction</w:t>
      </w:r>
    </w:p>
    <w:p w14:paraId="307E84C1" w14:textId="3CCE34E2" w:rsidR="00593014" w:rsidRDefault="004562CC" w:rsidP="00727775">
      <w:r w:rsidRPr="004562CC">
        <w:t xml:space="preserve">A </w:t>
      </w:r>
      <w:r w:rsidR="00B80768">
        <w:t>HS</w:t>
      </w:r>
      <w:r w:rsidRPr="004562CC">
        <w:t xml:space="preserve">, a set of genes differentially expressed under hypoxic conditions in the </w:t>
      </w:r>
      <w:r w:rsidR="00F239F5" w:rsidRPr="004562CC">
        <w:t>tumour</w:t>
      </w:r>
      <w:r w:rsidRPr="004562CC">
        <w:t xml:space="preserve"> microenvironment, plays a pivotal role in measuring </w:t>
      </w:r>
      <w:r w:rsidR="00F239F5" w:rsidRPr="004562CC">
        <w:t>tumour</w:t>
      </w:r>
      <w:r w:rsidRPr="004562CC">
        <w:t xml:space="preserve"> hypoxia. Hypoxia, prevalent in various </w:t>
      </w:r>
      <w:r w:rsidR="00F239F5" w:rsidRPr="004562CC">
        <w:t>tumour</w:t>
      </w:r>
      <w:r w:rsidR="00F239F5">
        <w:t>s</w:t>
      </w:r>
      <w:r w:rsidR="00F239F5" w:rsidRPr="004562CC">
        <w:t xml:space="preserve"> </w:t>
      </w:r>
      <w:r w:rsidR="00F239F5">
        <w:t xml:space="preserve">or </w:t>
      </w:r>
      <w:r w:rsidRPr="004562CC">
        <w:t xml:space="preserve">cancers, is linked with increased </w:t>
      </w:r>
      <w:r w:rsidR="00F239F5" w:rsidRPr="004562CC">
        <w:t>tumour</w:t>
      </w:r>
      <w:r w:rsidRPr="004562CC">
        <w:t xml:space="preserve"> aggressiveness, reduced therapy response, especially to radiotherapy</w:t>
      </w:r>
      <w:r>
        <w:t xml:space="preserve"> </w:t>
      </w:r>
      <w:r w:rsidR="00727775">
        <w:fldChar w:fldCharType="begin"/>
      </w:r>
      <w:r w:rsidR="00727775">
        <w:instrText xml:space="preserve"> ADDIN EN.CITE &lt;EndNote&gt;&lt;Cite&gt;&lt;Author&gt;Toustrup&lt;/Author&gt;&lt;Year&gt;2012&lt;/Year&gt;&lt;RecNum&gt;9&lt;/RecNum&gt;&lt;DisplayText&gt;(Toustrup et al., 2012)&lt;/DisplayText&gt;&lt;record&gt;&lt;rec-number&gt;9&lt;/rec-number&gt;&lt;foreign-keys&gt;&lt;key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fldChar w:fldCharType="separate"/>
      </w:r>
      <w:r w:rsidR="00727775">
        <w:rPr>
          <w:noProof/>
        </w:rPr>
        <w:t>(Toustrup et al., 2012)</w:t>
      </w:r>
      <w:r w:rsidR="00727775">
        <w:fldChar w:fldCharType="end"/>
      </w:r>
      <w:r w:rsidR="00593014" w:rsidRPr="00593014">
        <w:t>, and an overall poorer clinical prognosis</w:t>
      </w:r>
      <w:r w:rsidR="00727775">
        <w:fldChar w:fldCharType="begin"/>
      </w:r>
      <w:r w:rsidR="00727775">
        <w:instrText xml:space="preserve"> ADDIN EN.CITE &lt;EndNote&gt;&lt;Cite&gt;&lt;Author&gt;Tawk&lt;/Author&gt;&lt;Year&gt;2016&lt;/Year&gt;&lt;RecNum&gt;8&lt;/RecNum&gt;&lt;DisplayText&gt;(Tawk et al., 2016)&lt;/DisplayText&gt;&lt;record&gt;&lt;rec-number&gt;8&lt;/rec-number&gt;&lt;foreign-keys&gt;&lt;key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fldChar w:fldCharType="separate"/>
      </w:r>
      <w:r w:rsidR="00727775">
        <w:rPr>
          <w:noProof/>
        </w:rPr>
        <w:t>(Tawk et al., 2016)</w:t>
      </w:r>
      <w:r w:rsidR="00727775">
        <w:fldChar w:fldCharType="end"/>
      </w:r>
      <w:r w:rsidR="00593014" w:rsidRPr="00593014">
        <w:t>.</w:t>
      </w:r>
      <w:r w:rsidR="003D5B00">
        <w:t xml:space="preserve"> Despite of the importance of hypoxia in tumours, its detection remains to be a challenge. </w:t>
      </w:r>
      <w:r w:rsidR="003D5B00">
        <w:lastRenderedPageBreak/>
        <w:t>Using identified</w:t>
      </w:r>
      <w:r w:rsidR="00727775">
        <w:t xml:space="preserve"> </w:t>
      </w:r>
      <w:r w:rsidR="00B80768">
        <w:t>HS</w:t>
      </w:r>
      <w:r w:rsidR="00727775">
        <w:t xml:space="preserve">s as </w:t>
      </w:r>
      <w:r w:rsidR="003D5B00">
        <w:t xml:space="preserve">biomarkers, the intratumoural hypoxia level can be inferred by measuring the expression level of certain </w:t>
      </w:r>
      <w:r w:rsidR="00B80768">
        <w:t>HS</w:t>
      </w:r>
      <w:r w:rsidR="003D5B00">
        <w:t>s</w:t>
      </w:r>
      <w:r>
        <w:t>.</w:t>
      </w:r>
      <w:r w:rsidR="0052249B">
        <w:t xml:space="preserve"> </w:t>
      </w:r>
      <w:r w:rsidR="00466579">
        <w:t xml:space="preserve">Moreover, </w:t>
      </w:r>
      <w:r w:rsidR="00B80768">
        <w:t>HS</w:t>
      </w:r>
      <w:r w:rsidR="00466579">
        <w:t xml:space="preserve"> can also be </w:t>
      </w:r>
      <w:proofErr w:type="spellStart"/>
      <w:r w:rsidR="00466579">
        <w:t>use</w:t>
      </w:r>
      <w:proofErr w:type="spellEnd"/>
      <w:r w:rsidR="00466579">
        <w:t xml:space="preserve"> to predict more valuable information, including r</w:t>
      </w:r>
      <w:r w:rsidR="00466579" w:rsidRPr="00466579">
        <w:t xml:space="preserve">esponse to </w:t>
      </w:r>
      <w:r w:rsidR="00466579">
        <w:t>i</w:t>
      </w:r>
      <w:r w:rsidR="00466579" w:rsidRPr="00466579">
        <w:t>mmunotherapy</w:t>
      </w:r>
      <w:r w:rsidR="00466579">
        <w:t xml:space="preserve"> </w:t>
      </w:r>
      <w:r w:rsidR="00466579">
        <w:fldChar w:fldCharType="begin"/>
      </w:r>
      <w:r w:rsidR="00466579">
        <w:instrText xml:space="preserve"> ADDIN EN.CITE &lt;EndNote&gt;&lt;Cite&gt;&lt;Author&gt;Hong&lt;/Author&gt;&lt;Year&gt;2021&lt;/Year&gt;&lt;RecNum&gt;10&lt;/RecNum&gt;&lt;DisplayText&gt;(Hong et al., 2021)&lt;/DisplayText&gt;&lt;record&gt;&lt;rec-number&gt;10&lt;/rec-number&gt;&lt;foreign-keys&gt;&lt;key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fldChar w:fldCharType="separate"/>
      </w:r>
      <w:r w:rsidR="00466579">
        <w:rPr>
          <w:noProof/>
        </w:rPr>
        <w:t>(Hong et al., 2021)</w:t>
      </w:r>
      <w:r w:rsidR="00466579">
        <w:fldChar w:fldCharType="end"/>
      </w:r>
      <w:r w:rsidR="00466579">
        <w:t>.</w:t>
      </w:r>
      <w:r>
        <w:t xml:space="preserve"> However, traditional </w:t>
      </w:r>
      <w:r w:rsidR="00B80768">
        <w:t>HS</w:t>
      </w:r>
      <w:r>
        <w:t>s identification has faced significant limitations.</w:t>
      </w:r>
    </w:p>
    <w:p w14:paraId="180FEFC6" w14:textId="33C69C49" w:rsidR="004562CC" w:rsidRDefault="004562CC" w:rsidP="00E47A3D">
      <w:r w:rsidRPr="004562CC">
        <w:t xml:space="preserve">Machine learning, including techniques such as autoencoders (AE), presents a transformative approach in advancing the identification of </w:t>
      </w:r>
      <w:r w:rsidR="00B80768">
        <w:t>HS</w:t>
      </w:r>
      <w:r w:rsidRPr="004562CC">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these advanced machine learning techniques, assessing their impact and potential in refining </w:t>
      </w:r>
      <w:r w:rsidR="00B80768">
        <w:t>HS</w:t>
      </w:r>
      <w:r w:rsidRPr="004562CC">
        <w:t xml:space="preserve"> identification.</w:t>
      </w:r>
    </w:p>
    <w:p w14:paraId="7793D8CD" w14:textId="25730922" w:rsidR="000E2706" w:rsidRPr="000E2706" w:rsidRDefault="000E2706" w:rsidP="00F239F5">
      <w:pPr>
        <w:rPr>
          <w:strike/>
        </w:rPr>
      </w:pPr>
      <w:r w:rsidRPr="000E2706">
        <w:t xml:space="preserve">This review aims to </w:t>
      </w:r>
      <w:r w:rsidR="00F239F5">
        <w:t>systematically</w:t>
      </w:r>
      <w:r w:rsidRPr="000E2706">
        <w:t xml:space="preserve"> analyse and synthesize </w:t>
      </w:r>
      <w:r w:rsidR="00F239F5">
        <w:t xml:space="preserve">all </w:t>
      </w:r>
      <w:r w:rsidRPr="000E2706">
        <w:t xml:space="preserve">the existing literature on the application of machine learning methods for identifying </w:t>
      </w:r>
      <w:r w:rsidR="00B80768">
        <w:t>HS</w:t>
      </w:r>
      <w:r w:rsidRPr="000E2706">
        <w:t>s in the tumour microenvironment. Given the nascent nature of this research area, our scope will be broad and inclusive, covering studies across various tumour types and machine learning techniques</w:t>
      </w:r>
      <w:r w:rsidR="00F239F5">
        <w:t>.</w:t>
      </w:r>
    </w:p>
    <w:p w14:paraId="7BE6771B" w14:textId="22829242" w:rsidR="00683B15" w:rsidRDefault="00F239F5" w:rsidP="00E47A3D">
      <w:r w:rsidRPr="00F239F5">
        <w:t xml:space="preserve">To effectively collate and assess the findings from the selected papers, </w:t>
      </w:r>
      <w:r>
        <w:t>the</w:t>
      </w:r>
      <w:r w:rsidRPr="00F239F5">
        <w:t xml:space="preserve"> </w:t>
      </w:r>
      <w:r>
        <w:t>n</w:t>
      </w:r>
      <w:r w:rsidRPr="00F239F5">
        <w:t xml:space="preserve">arrative </w:t>
      </w:r>
      <w:r>
        <w:t>s</w:t>
      </w:r>
      <w:r w:rsidRPr="00F239F5">
        <w:t>ynthesis approach</w:t>
      </w:r>
      <w:r>
        <w:t xml:space="preserve"> is employed</w:t>
      </w:r>
      <w:r w:rsidRPr="00F239F5">
        <w:t>. This method will allow qualitatively summariz</w:t>
      </w:r>
      <w:r>
        <w:t>ation</w:t>
      </w:r>
      <w:r w:rsidRPr="00F239F5">
        <w:t xml:space="preserve"> and </w:t>
      </w:r>
      <w:r>
        <w:t>explanation of</w:t>
      </w:r>
      <w:r w:rsidRPr="00F239F5">
        <w:t xml:space="preserve"> the diverse range of methodologies and outcomes observed in the studies. The narrative synthesis is particularly suitable given the expected heterogeneity in study designs, machine learning algorithms used, and types of tumours examined. By synthesizing this information narratively, we aim to draw comprehensive insights into the current state of machine learning applications in </w:t>
      </w:r>
      <w:r w:rsidR="00B80768">
        <w:t>HS</w:t>
      </w:r>
      <w:r w:rsidRPr="00F239F5">
        <w:t xml:space="preserve"> identification and highlight potential directions for future research.</w:t>
      </w:r>
    </w:p>
    <w:p w14:paraId="25F473BE" w14:textId="77777777" w:rsidR="00946237" w:rsidRDefault="00946237"/>
    <w:p w14:paraId="1459CE16" w14:textId="1844E43B" w:rsidR="005E390B" w:rsidRPr="00FD58BB" w:rsidRDefault="00946237">
      <w:r>
        <w:t>Objectives</w:t>
      </w:r>
    </w:p>
    <w:p w14:paraId="48449B12" w14:textId="3922AFC7" w:rsidR="005E390B" w:rsidRDefault="00946237">
      <w:r w:rsidRPr="00946237">
        <w:t xml:space="preserve">The primary objective of this review is to explore and synthesize current methodologies and findings in the field of tumour microenvironment transcriptomics, particularly focusing on the development of </w:t>
      </w:r>
      <w:r w:rsidR="00B80768">
        <w:t>HS</w:t>
      </w:r>
      <w:r w:rsidRPr="00946237">
        <w:t xml:space="preserve">s using </w:t>
      </w:r>
      <w:r>
        <w:t>AEs.</w:t>
      </w:r>
      <w:r w:rsidRPr="00946237">
        <w:t xml:space="preserve"> The research questions guiding this review are:</w:t>
      </w:r>
    </w:p>
    <w:p w14:paraId="16CBE9AB" w14:textId="5846847D" w:rsidR="00946237" w:rsidRDefault="00946237" w:rsidP="00946237">
      <w:pPr>
        <w:pStyle w:val="ListParagraph"/>
        <w:numPr>
          <w:ilvl w:val="0"/>
          <w:numId w:val="2"/>
        </w:numPr>
      </w:pPr>
      <w:r w:rsidRPr="00946237">
        <w:t xml:space="preserve">How </w:t>
      </w:r>
      <w:r>
        <w:t>is</w:t>
      </w:r>
      <w:r w:rsidRPr="00946237">
        <w:t xml:space="preserve"> </w:t>
      </w:r>
      <w:r>
        <w:t>machine learning</w:t>
      </w:r>
      <w:r w:rsidRPr="00946237">
        <w:t xml:space="preserve"> being utilized to develop transcriptomic </w:t>
      </w:r>
      <w:r w:rsidR="00B80768">
        <w:t>HS</w:t>
      </w:r>
      <w:r w:rsidRPr="00946237">
        <w:t>s in the tumour microenvironment?</w:t>
      </w:r>
    </w:p>
    <w:p w14:paraId="2E5D59EA" w14:textId="7FE9CBA5" w:rsidR="00946237" w:rsidRDefault="00946237" w:rsidP="00946237">
      <w:pPr>
        <w:pStyle w:val="ListParagraph"/>
        <w:numPr>
          <w:ilvl w:val="0"/>
          <w:numId w:val="2"/>
        </w:numPr>
      </w:pPr>
      <w:r w:rsidRPr="00946237">
        <w:t xml:space="preserve">How effective are </w:t>
      </w:r>
      <w:r>
        <w:t>AEs</w:t>
      </w:r>
      <w:r w:rsidRPr="00946237">
        <w:t xml:space="preserve"> in comparison to other machine learning techniques in identifying and characterizing </w:t>
      </w:r>
      <w:r w:rsidR="00B80768">
        <w:t>HS</w:t>
      </w:r>
      <w:r w:rsidRPr="00946237">
        <w:t>s?</w:t>
      </w:r>
    </w:p>
    <w:p w14:paraId="457E0E3E" w14:textId="77777777" w:rsidR="00946237" w:rsidRPr="00FD58BB" w:rsidRDefault="00946237" w:rsidP="00946237"/>
    <w:p w14:paraId="45AB22DF" w14:textId="15D34E4C" w:rsidR="005E390B" w:rsidRDefault="008038FB">
      <w:r>
        <w:t>Method</w:t>
      </w:r>
      <w:r w:rsidR="00E573F5">
        <w:t>ology</w:t>
      </w:r>
    </w:p>
    <w:p w14:paraId="59DC5BA4" w14:textId="02B91011" w:rsidR="00926102" w:rsidRDefault="008038FB" w:rsidP="001A2C37">
      <w:pPr>
        <w:pStyle w:val="ListParagraph"/>
        <w:numPr>
          <w:ilvl w:val="0"/>
          <w:numId w:val="1"/>
        </w:numPr>
      </w:pPr>
      <w:r>
        <w:t xml:space="preserve">Identification of </w:t>
      </w:r>
      <w:r w:rsidR="00926102">
        <w:t>S</w:t>
      </w:r>
      <w:r>
        <w:t>tudies</w:t>
      </w:r>
    </w:p>
    <w:p w14:paraId="2201A69D" w14:textId="7CC352DA" w:rsidR="001A2C37" w:rsidRDefault="008038FB" w:rsidP="001A2C37">
      <w:pPr>
        <w:pStyle w:val="ListParagraph"/>
        <w:numPr>
          <w:ilvl w:val="1"/>
          <w:numId w:val="4"/>
        </w:numPr>
      </w:pPr>
      <w:r>
        <w:t>Searching Strategies</w:t>
      </w:r>
    </w:p>
    <w:p w14:paraId="346190D4" w14:textId="11C39BBE" w:rsidR="001A2C37" w:rsidRDefault="001A2C37" w:rsidP="001A2C37">
      <w:pPr>
        <w:pStyle w:val="ListParagraph"/>
        <w:ind w:left="792"/>
      </w:pPr>
      <w:r>
        <w:t xml:space="preserve">In this systematic review, we employed an "Iterative and Expert-Informed Search Strategy" to meticulously gather a comprehensive set of studies on machine learning applications in identifying </w:t>
      </w:r>
      <w:r w:rsidR="00B80768">
        <w:t>HS</w:t>
      </w:r>
      <w:r>
        <w:t xml:space="preserve">s within </w:t>
      </w:r>
      <w:r w:rsidR="00E04CE2">
        <w:t>tumour</w:t>
      </w:r>
      <w:r>
        <w:t xml:space="preserve"> microenvironments. This approach involved dynamically refining search terms based on initial findings and ongoing insights.</w:t>
      </w:r>
    </w:p>
    <w:p w14:paraId="1DFDECE9" w14:textId="77777777" w:rsidR="001A2C37" w:rsidRDefault="001A2C37" w:rsidP="001A2C37">
      <w:pPr>
        <w:pStyle w:val="ListParagraph"/>
        <w:ind w:left="792"/>
      </w:pPr>
    </w:p>
    <w:p w14:paraId="31765C98" w14:textId="77777777" w:rsidR="001A2C37" w:rsidRDefault="001A2C37" w:rsidP="001A2C37">
      <w:pPr>
        <w:pStyle w:val="ListParagraph"/>
        <w:ind w:left="792"/>
      </w:pPr>
      <w:r>
        <w:lastRenderedPageBreak/>
        <w:t>We primarily utilized PubMed, noted for its repository of peer-reviewed biomedical literature, ensuring access to high-quality scientific studies. Recognizing its limitations in encompassing newly published or grey literature, we supplemented our search with Google Scholar. While Google Scholar offers a broader range of literature, including grey and non-peer-reviewed articles, it may include sources with varying degrees of rigor.</w:t>
      </w:r>
    </w:p>
    <w:p w14:paraId="24CB04AB" w14:textId="77777777" w:rsidR="001A2C37" w:rsidRDefault="001A2C37" w:rsidP="001A2C37">
      <w:pPr>
        <w:pStyle w:val="ListParagraph"/>
        <w:ind w:left="792"/>
      </w:pPr>
    </w:p>
    <w:p w14:paraId="653EA153" w14:textId="1B7ED89C" w:rsidR="001A2C37" w:rsidRDefault="001A2C37" w:rsidP="001A2C37">
      <w:pPr>
        <w:pStyle w:val="ListParagraph"/>
        <w:ind w:left="792"/>
      </w:pPr>
      <w:r>
        <w:t>Our search terms, carefully selected to cover critical aspects of our research theme, included (hypoxia), (signature), (transcriptomic), ((cancer) or (tumour)), ((micro-environment) or (TME) or (microenvironment)), and ((develop) or (autoencoders) or (AE) or (machine learning) or (deep learning)). Given the field's novelty, we imposed no date restrictions, with relevant studies dating back to 2014. This strategy yielded 90 papers from PubMed and 13 from Google Scholar, augmented by three expert-recommended papers, enriching the search's breadth and depth. For full transparency and reproducibility, the complete search methodology and iterations are detailed in Appendix A.</w:t>
      </w:r>
    </w:p>
    <w:p w14:paraId="36521E2F" w14:textId="77777777" w:rsidR="001A2C37" w:rsidRDefault="001A2C37" w:rsidP="001A2C37">
      <w:pPr>
        <w:pStyle w:val="ListParagraph"/>
        <w:ind w:left="792"/>
      </w:pPr>
    </w:p>
    <w:p w14:paraId="058386C9" w14:textId="1E1D9556" w:rsidR="001A2C37" w:rsidRDefault="001A2C37" w:rsidP="001A2C37">
      <w:pPr>
        <w:pStyle w:val="ListParagraph"/>
        <w:numPr>
          <w:ilvl w:val="1"/>
          <w:numId w:val="4"/>
        </w:numPr>
      </w:pPr>
      <w:r>
        <w:t>Inclusion</w:t>
      </w:r>
      <w:r w:rsidR="00D33681">
        <w:t>/</w:t>
      </w:r>
      <w:r w:rsidR="00D33681" w:rsidRPr="00D36FE9">
        <w:t xml:space="preserve">Exclusion </w:t>
      </w:r>
      <w:r>
        <w:t>Criteria</w:t>
      </w:r>
      <w:r w:rsidR="00D33681">
        <w:t xml:space="preserve"> and </w:t>
      </w:r>
      <w:r w:rsidR="00B80768">
        <w:t>S</w:t>
      </w:r>
      <w:r w:rsidR="00D33681">
        <w:t>creening</w:t>
      </w:r>
    </w:p>
    <w:p w14:paraId="1A054F46" w14:textId="77777777" w:rsidR="00D33681" w:rsidRDefault="00D33681" w:rsidP="00D33681">
      <w:pPr>
        <w:pStyle w:val="ListParagraph"/>
        <w:ind w:left="792"/>
      </w:pPr>
    </w:p>
    <w:p w14:paraId="352B0C9D" w14:textId="7B6A03A6" w:rsidR="00131564" w:rsidRDefault="00131564" w:rsidP="00131564">
      <w:pPr>
        <w:pStyle w:val="ListParagraph"/>
        <w:ind w:left="792"/>
      </w:pPr>
      <w:r>
        <w:t>After the removal of duplicates, the screening of papers was conducted by the author. The initial stage involved evaluating titles and abstracts against the inclusion criteria outlined in Table 1. This criteria was subsequently refined based on the outcomes of the first screening, leading to the inclusion of studies that employed statistical methods for identifying HSs.</w:t>
      </w:r>
    </w:p>
    <w:p w14:paraId="4F8FBFCC" w14:textId="77777777" w:rsidR="00131564" w:rsidRDefault="00131564" w:rsidP="00131564">
      <w:pPr>
        <w:pStyle w:val="ListParagraph"/>
        <w:ind w:left="792"/>
      </w:pPr>
    </w:p>
    <w:p w14:paraId="58BDCA00" w14:textId="77777777" w:rsidR="00131564" w:rsidRDefault="00131564" w:rsidP="00131564">
      <w:pPr>
        <w:pStyle w:val="ListParagraph"/>
        <w:ind w:left="792"/>
      </w:pPr>
      <w:r>
        <w:t>The decision to incorporate statistical methods alongside machine learning in this review is justified for several reasons. Primarily, the distinction between statistics and machine learning is often blurred, as both disciplines share fundamental methodologies. This overlap can make it challenging to categorize certain techniques exclusively under one field. Furthermore, the inclusion of statistical methods broadens the scope of the review, encompassing a more extensive range of data analysis approaches. This approach is critical, as a preliminary survey of the literature indicated a prevalent use of statistical methods in contrast to the more limited application of pure machine learning techniques. Thus, this review aims to bridge this gap, offering a holistic understanding of the interplay between statistical and machine learning methodologies in the context of hypoxia signature identification.</w:t>
      </w:r>
    </w:p>
    <w:p w14:paraId="03FB5A7D" w14:textId="77777777" w:rsidR="00131564" w:rsidRDefault="00131564" w:rsidP="00131564">
      <w:pPr>
        <w:pStyle w:val="ListParagraph"/>
        <w:ind w:left="792"/>
      </w:pPr>
    </w:p>
    <w:p w14:paraId="3A42CEC6" w14:textId="7AAF86A3" w:rsidR="00B80768" w:rsidRDefault="00131564" w:rsidP="00131564">
      <w:pPr>
        <w:pStyle w:val="ListParagraph"/>
        <w:ind w:left="792"/>
      </w:pPr>
      <w:r>
        <w:t xml:space="preserve">Papers were included in the review based on their alignment with the refined inclusion criteria, which encompassed topic relevance, utilization of specified technologies, and validation of results. This process resulted in the selection of </w:t>
      </w:r>
      <w:r w:rsidR="00C72A2F">
        <w:t>17</w:t>
      </w:r>
      <w:r>
        <w:t xml:space="preserve"> papers. Additionally, consultations with field experts led to the identification of three more pertinent publications, bringing the total count to </w:t>
      </w:r>
      <w:r w:rsidR="00C72A2F">
        <w:t>20</w:t>
      </w:r>
      <w:r>
        <w:t xml:space="preserve"> papers included in the review.</w:t>
      </w:r>
    </w:p>
    <w:tbl>
      <w:tblPr>
        <w:tblStyle w:val="TableGrid"/>
        <w:tblW w:w="8926" w:type="dxa"/>
        <w:tblLook w:val="04A0" w:firstRow="1" w:lastRow="0" w:firstColumn="1" w:lastColumn="0" w:noHBand="0" w:noVBand="1"/>
      </w:tblPr>
      <w:tblGrid>
        <w:gridCol w:w="2371"/>
        <w:gridCol w:w="6555"/>
      </w:tblGrid>
      <w:tr w:rsidR="009C5CE1" w:rsidRPr="009C5CE1" w14:paraId="0AB02983" w14:textId="77777777" w:rsidTr="009C5CE1">
        <w:tc>
          <w:tcPr>
            <w:tcW w:w="0" w:type="auto"/>
            <w:hideMark/>
          </w:tcPr>
          <w:p w14:paraId="54939C3F" w14:textId="28689699" w:rsidR="009C5CE1" w:rsidRPr="009C5CE1" w:rsidRDefault="009C5CE1" w:rsidP="009C5CE1">
            <w:pPr>
              <w:jc w:val="center"/>
              <w:rPr>
                <w:b/>
                <w:bCs/>
              </w:rPr>
            </w:pPr>
            <w:r w:rsidRPr="009C5CE1">
              <w:rPr>
                <w:b/>
                <w:bCs/>
              </w:rPr>
              <w:t>Inclusion</w:t>
            </w:r>
            <w:r w:rsidRPr="00D33681">
              <w:rPr>
                <w:b/>
                <w:bCs/>
              </w:rPr>
              <w:t xml:space="preserve"> </w:t>
            </w:r>
            <w:r w:rsidRPr="009C5CE1">
              <w:rPr>
                <w:b/>
                <w:bCs/>
              </w:rPr>
              <w:t>Criteria</w:t>
            </w:r>
          </w:p>
        </w:tc>
        <w:tc>
          <w:tcPr>
            <w:tcW w:w="6555" w:type="dxa"/>
            <w:hideMark/>
          </w:tcPr>
          <w:p w14:paraId="08464420" w14:textId="77777777" w:rsidR="009C5CE1" w:rsidRPr="009C5CE1" w:rsidRDefault="009C5CE1" w:rsidP="009C5CE1">
            <w:pPr>
              <w:jc w:val="center"/>
              <w:rPr>
                <w:b/>
                <w:bCs/>
              </w:rPr>
            </w:pPr>
            <w:r w:rsidRPr="009C5CE1">
              <w:rPr>
                <w:b/>
                <w:bCs/>
              </w:rPr>
              <w:t>Reason</w:t>
            </w:r>
          </w:p>
        </w:tc>
      </w:tr>
      <w:tr w:rsidR="009C5CE1" w:rsidRPr="009C5CE1" w14:paraId="0D8FF1A8" w14:textId="77777777" w:rsidTr="009C5CE1">
        <w:tc>
          <w:tcPr>
            <w:tcW w:w="0" w:type="auto"/>
            <w:hideMark/>
          </w:tcPr>
          <w:p w14:paraId="4A8CE80D" w14:textId="6A94AB08" w:rsidR="009C5CE1" w:rsidRPr="009C5CE1" w:rsidRDefault="009C5CE1" w:rsidP="009C5CE1">
            <w:r w:rsidRPr="009C5CE1">
              <w:t>Focus on machine learning or statistical methods in signature</w:t>
            </w:r>
            <w:r w:rsidR="00786B70">
              <w:t>s</w:t>
            </w:r>
            <w:r w:rsidRPr="009C5CE1">
              <w:t xml:space="preserve"> identification</w:t>
            </w:r>
          </w:p>
        </w:tc>
        <w:tc>
          <w:tcPr>
            <w:tcW w:w="6555" w:type="dxa"/>
            <w:hideMark/>
          </w:tcPr>
          <w:p w14:paraId="4952EE62" w14:textId="77777777" w:rsidR="009C5CE1" w:rsidRPr="009C5CE1" w:rsidRDefault="009C5CE1" w:rsidP="009C5CE1">
            <w:r w:rsidRPr="009C5CE1">
              <w:t>Ensures that the paper contributes to the understanding of how machine learning or statistical methods are used in the identification of signatures, which is central to the review's aim.</w:t>
            </w:r>
          </w:p>
        </w:tc>
      </w:tr>
      <w:tr w:rsidR="009C5CE1" w:rsidRPr="009C5CE1" w14:paraId="1DAF850F" w14:textId="77777777" w:rsidTr="009C5CE1">
        <w:tc>
          <w:tcPr>
            <w:tcW w:w="0" w:type="auto"/>
            <w:hideMark/>
          </w:tcPr>
          <w:p w14:paraId="66367B84" w14:textId="6734AB18" w:rsidR="009C5CE1" w:rsidRPr="009C5CE1" w:rsidRDefault="009C5CE1" w:rsidP="009C5CE1">
            <w:r w:rsidRPr="009C5CE1">
              <w:t xml:space="preserve">Focus on </w:t>
            </w:r>
            <w:r w:rsidR="00B80768">
              <w:t>HS</w:t>
            </w:r>
            <w:r w:rsidR="00786B70">
              <w:t>s</w:t>
            </w:r>
            <w:r w:rsidRPr="009C5CE1">
              <w:t xml:space="preserve"> in tumour microenvironment</w:t>
            </w:r>
          </w:p>
        </w:tc>
        <w:tc>
          <w:tcPr>
            <w:tcW w:w="6555" w:type="dxa"/>
            <w:hideMark/>
          </w:tcPr>
          <w:p w14:paraId="10D6DB80" w14:textId="39E2644A" w:rsidR="009C5CE1" w:rsidRPr="009C5CE1" w:rsidRDefault="009C5CE1" w:rsidP="009C5CE1">
            <w:r w:rsidRPr="009C5CE1">
              <w:t xml:space="preserve">Directly aligns with the review's objective to understand how </w:t>
            </w:r>
            <w:r w:rsidR="00B80768">
              <w:t>HS</w:t>
            </w:r>
            <w:r w:rsidRPr="009C5CE1">
              <w:t>s are identified in the context of tumour microenvironments.</w:t>
            </w:r>
          </w:p>
        </w:tc>
      </w:tr>
      <w:tr w:rsidR="009C5CE1" w:rsidRPr="009C5CE1" w14:paraId="6FA8778F" w14:textId="77777777" w:rsidTr="009C5CE1">
        <w:tc>
          <w:tcPr>
            <w:tcW w:w="0" w:type="auto"/>
            <w:hideMark/>
          </w:tcPr>
          <w:p w14:paraId="719055D5" w14:textId="77777777" w:rsidR="009C5CE1" w:rsidRPr="009C5CE1" w:rsidRDefault="009C5CE1" w:rsidP="009C5CE1">
            <w:r w:rsidRPr="009C5CE1">
              <w:lastRenderedPageBreak/>
              <w:t>Development of signature conducted on real gene profiles</w:t>
            </w:r>
          </w:p>
        </w:tc>
        <w:tc>
          <w:tcPr>
            <w:tcW w:w="6555" w:type="dxa"/>
            <w:hideMark/>
          </w:tcPr>
          <w:p w14:paraId="44CFB6E6" w14:textId="77777777" w:rsidR="009C5CE1" w:rsidRPr="009C5CE1" w:rsidRDefault="009C5CE1" w:rsidP="009C5CE1">
            <w:r w:rsidRPr="009C5CE1">
              <w:t>Ensures that the study's findings are based on empirical data, enhancing the practical applicability and relevance of the research.</w:t>
            </w:r>
          </w:p>
        </w:tc>
      </w:tr>
      <w:tr w:rsidR="009C5CE1" w:rsidRPr="009C5CE1" w14:paraId="658B0044" w14:textId="77777777" w:rsidTr="009C5CE1">
        <w:tc>
          <w:tcPr>
            <w:tcW w:w="0" w:type="auto"/>
            <w:hideMark/>
          </w:tcPr>
          <w:p w14:paraId="2CFF9945" w14:textId="77777777" w:rsidR="009C5CE1" w:rsidRPr="009C5CE1" w:rsidRDefault="009C5CE1" w:rsidP="009C5CE1">
            <w:r w:rsidRPr="009C5CE1">
              <w:t>Validation of signature development</w:t>
            </w:r>
          </w:p>
        </w:tc>
        <w:tc>
          <w:tcPr>
            <w:tcW w:w="6555" w:type="dxa"/>
            <w:hideMark/>
          </w:tcPr>
          <w:p w14:paraId="0F3E568C" w14:textId="77777777" w:rsidR="009C5CE1" w:rsidRPr="009C5CE1" w:rsidRDefault="009C5CE1" w:rsidP="009C5CE1">
            <w:r w:rsidRPr="009C5CE1">
              <w:t>Validation of the developed signatures is crucial to ascertain their reliability and utility in real-world applications.</w:t>
            </w:r>
          </w:p>
        </w:tc>
      </w:tr>
      <w:tr w:rsidR="009C5CE1" w:rsidRPr="009C5CE1" w14:paraId="14B5A311" w14:textId="77777777" w:rsidTr="001E65B2">
        <w:tc>
          <w:tcPr>
            <w:tcW w:w="8926" w:type="dxa"/>
            <w:gridSpan w:val="2"/>
          </w:tcPr>
          <w:p w14:paraId="1AB45F38" w14:textId="45FA49B2" w:rsidR="009C5CE1" w:rsidRPr="009C5CE1" w:rsidRDefault="009C5CE1" w:rsidP="009C5CE1"/>
        </w:tc>
      </w:tr>
      <w:tr w:rsidR="009C5CE1" w:rsidRPr="009C5CE1" w14:paraId="30FFFAE1" w14:textId="77777777" w:rsidTr="009C5CE1">
        <w:tc>
          <w:tcPr>
            <w:tcW w:w="0" w:type="auto"/>
          </w:tcPr>
          <w:p w14:paraId="353DF5C5" w14:textId="2236636F" w:rsidR="009C5CE1" w:rsidRPr="00D33681" w:rsidRDefault="009C5CE1" w:rsidP="00D33681">
            <w:pPr>
              <w:jc w:val="center"/>
              <w:rPr>
                <w:b/>
                <w:bCs/>
              </w:rPr>
            </w:pPr>
            <w:r w:rsidRPr="009C5CE1">
              <w:rPr>
                <w:b/>
                <w:bCs/>
              </w:rPr>
              <w:t>Exclusion</w:t>
            </w:r>
            <w:r w:rsidRPr="00D33681">
              <w:rPr>
                <w:b/>
                <w:bCs/>
              </w:rPr>
              <w:t xml:space="preserve"> </w:t>
            </w:r>
            <w:r w:rsidRPr="009C5CE1">
              <w:rPr>
                <w:b/>
                <w:bCs/>
              </w:rPr>
              <w:t>Criteria</w:t>
            </w:r>
          </w:p>
        </w:tc>
        <w:tc>
          <w:tcPr>
            <w:tcW w:w="6555" w:type="dxa"/>
          </w:tcPr>
          <w:p w14:paraId="1AEA7E67" w14:textId="24A803BE" w:rsidR="009C5CE1" w:rsidRPr="00D33681" w:rsidRDefault="009C5CE1" w:rsidP="00D33681">
            <w:pPr>
              <w:jc w:val="center"/>
              <w:rPr>
                <w:b/>
                <w:bCs/>
              </w:rPr>
            </w:pPr>
            <w:r w:rsidRPr="009C5CE1">
              <w:rPr>
                <w:b/>
                <w:bCs/>
              </w:rPr>
              <w:t>Reason</w:t>
            </w:r>
          </w:p>
        </w:tc>
      </w:tr>
      <w:tr w:rsidR="009C5CE1" w:rsidRPr="009C5CE1" w14:paraId="663EBCBB" w14:textId="77777777" w:rsidTr="009C5CE1">
        <w:tc>
          <w:tcPr>
            <w:tcW w:w="0" w:type="auto"/>
            <w:hideMark/>
          </w:tcPr>
          <w:p w14:paraId="173D6DBD" w14:textId="311555A4" w:rsidR="009C5CE1" w:rsidRPr="009C5CE1" w:rsidRDefault="009C5CE1" w:rsidP="009C5CE1">
            <w:r w:rsidRPr="009C5CE1">
              <w:t xml:space="preserve">Not focusing on </w:t>
            </w:r>
            <w:r w:rsidR="00B80768">
              <w:t>HS</w:t>
            </w:r>
            <w:r w:rsidRPr="009C5CE1">
              <w:t>s (e.g., immune signatures)</w:t>
            </w:r>
          </w:p>
        </w:tc>
        <w:tc>
          <w:tcPr>
            <w:tcW w:w="6555" w:type="dxa"/>
            <w:hideMark/>
          </w:tcPr>
          <w:p w14:paraId="7C8DC801" w14:textId="39C8F787" w:rsidR="009C5CE1" w:rsidRPr="009C5CE1" w:rsidRDefault="009C5CE1" w:rsidP="009C5CE1">
            <w:r w:rsidRPr="009C5CE1">
              <w:t xml:space="preserve">Studies focusing on other types of signatures are not relevant to the specific focus on </w:t>
            </w:r>
            <w:r w:rsidR="00B80768">
              <w:t>HS</w:t>
            </w:r>
            <w:r w:rsidRPr="009C5CE1">
              <w:t>s and thus fall outside the scope of the review.</w:t>
            </w:r>
          </w:p>
        </w:tc>
      </w:tr>
      <w:tr w:rsidR="009C5CE1" w:rsidRPr="009C5CE1" w14:paraId="6B1B6075" w14:textId="77777777" w:rsidTr="009C5CE1">
        <w:tc>
          <w:tcPr>
            <w:tcW w:w="0" w:type="auto"/>
            <w:hideMark/>
          </w:tcPr>
          <w:p w14:paraId="0FDB4135" w14:textId="77777777" w:rsidR="009C5CE1" w:rsidRPr="009C5CE1" w:rsidRDefault="009C5CE1" w:rsidP="009C5CE1">
            <w:r w:rsidRPr="009C5CE1">
              <w:t>Not focusing on gene signatures (e.g., HIF)</w:t>
            </w:r>
          </w:p>
        </w:tc>
        <w:tc>
          <w:tcPr>
            <w:tcW w:w="6555" w:type="dxa"/>
            <w:hideMark/>
          </w:tcPr>
          <w:p w14:paraId="519F6610" w14:textId="641970BD" w:rsidR="009C5CE1" w:rsidRPr="009C5CE1" w:rsidRDefault="009C5CE1" w:rsidP="009C5CE1">
            <w:r w:rsidRPr="009C5CE1">
              <w:t xml:space="preserve">Studies not </w:t>
            </w:r>
            <w:r w:rsidR="00D33681" w:rsidRPr="009C5CE1">
              <w:t>cantered</w:t>
            </w:r>
            <w:r w:rsidRPr="009C5CE1">
              <w:t xml:space="preserve"> on gene signatures do not contribute to the understanding of transcriptomic </w:t>
            </w:r>
            <w:r w:rsidR="00B80768">
              <w:t>HS</w:t>
            </w:r>
            <w:r w:rsidRPr="009C5CE1">
              <w:t>s, which is the core interest of the review.</w:t>
            </w:r>
          </w:p>
        </w:tc>
      </w:tr>
      <w:tr w:rsidR="009C5CE1" w:rsidRPr="009C5CE1" w14:paraId="2C36788C" w14:textId="77777777" w:rsidTr="009C5CE1">
        <w:tc>
          <w:tcPr>
            <w:tcW w:w="0" w:type="auto"/>
            <w:hideMark/>
          </w:tcPr>
          <w:p w14:paraId="145050E2" w14:textId="23B2209A" w:rsidR="009C5CE1" w:rsidRPr="009C5CE1" w:rsidRDefault="009C5CE1" w:rsidP="009C5CE1">
            <w:r w:rsidRPr="009C5CE1">
              <w:t>Non-</w:t>
            </w:r>
            <w:r w:rsidR="00D33681" w:rsidRPr="009C5CE1">
              <w:t>tumour</w:t>
            </w:r>
            <w:r w:rsidRPr="009C5CE1">
              <w:t xml:space="preserve"> studies (e.g., DSS-induced colitis)</w:t>
            </w:r>
          </w:p>
        </w:tc>
        <w:tc>
          <w:tcPr>
            <w:tcW w:w="6555" w:type="dxa"/>
            <w:hideMark/>
          </w:tcPr>
          <w:p w14:paraId="52DABAA0" w14:textId="104497DD" w:rsidR="009C5CE1" w:rsidRPr="009C5CE1" w:rsidRDefault="009C5CE1" w:rsidP="009C5CE1">
            <w:r w:rsidRPr="009C5CE1">
              <w:t xml:space="preserve">The review is specifically interested in </w:t>
            </w:r>
            <w:r w:rsidR="00D33681" w:rsidRPr="009C5CE1">
              <w:t>tumour</w:t>
            </w:r>
            <w:r w:rsidRPr="009C5CE1">
              <w:t xml:space="preserve">-related hypoxia, so studies on other </w:t>
            </w:r>
            <w:r w:rsidR="00D36FE9">
              <w:t>diseases</w:t>
            </w:r>
            <w:r w:rsidRPr="009C5CE1">
              <w:t xml:space="preserve"> are not within its scope.</w:t>
            </w:r>
          </w:p>
        </w:tc>
      </w:tr>
    </w:tbl>
    <w:p w14:paraId="66DB7E23" w14:textId="7DE4AE15" w:rsidR="008038FB" w:rsidRDefault="00D33681" w:rsidP="00B80768">
      <w:pPr>
        <w:pStyle w:val="ListParagraph"/>
        <w:ind w:left="360"/>
      </w:pPr>
      <w:r>
        <w:t xml:space="preserve">Table 1. </w:t>
      </w:r>
      <w:r w:rsidRPr="00D33681">
        <w:t>Inclusion and exclusion criteria</w:t>
      </w:r>
    </w:p>
    <w:p w14:paraId="5293C2AF" w14:textId="77777777" w:rsidR="00B80768" w:rsidRDefault="00B80768" w:rsidP="00B80768">
      <w:pPr>
        <w:pStyle w:val="ListParagraph"/>
        <w:ind w:left="360"/>
      </w:pPr>
    </w:p>
    <w:p w14:paraId="615A32C9" w14:textId="282BA13D" w:rsidR="008038FB" w:rsidRDefault="008038FB" w:rsidP="008038FB">
      <w:pPr>
        <w:pStyle w:val="ListParagraph"/>
        <w:numPr>
          <w:ilvl w:val="0"/>
          <w:numId w:val="1"/>
        </w:numPr>
      </w:pPr>
      <w:r>
        <w:t>Coding and Analysing</w:t>
      </w:r>
    </w:p>
    <w:p w14:paraId="5EBAECDD" w14:textId="208CF89D" w:rsidR="008038FB" w:rsidRDefault="008038FB" w:rsidP="00BD518D">
      <w:pPr>
        <w:pStyle w:val="ListParagraph"/>
        <w:numPr>
          <w:ilvl w:val="1"/>
          <w:numId w:val="2"/>
        </w:numPr>
      </w:pPr>
      <w:r>
        <w:t>Data extraction</w:t>
      </w:r>
      <w:r w:rsidR="000A2C2B">
        <w:t xml:space="preserve"> </w:t>
      </w:r>
      <w:r w:rsidR="00595D09">
        <w:t xml:space="preserve">and Critical Appraisal </w:t>
      </w:r>
    </w:p>
    <w:p w14:paraId="76906337" w14:textId="1BDD42BE" w:rsidR="00D330F9" w:rsidRDefault="00D330F9" w:rsidP="00D330F9">
      <w:pPr>
        <w:pStyle w:val="ListParagraph"/>
        <w:ind w:left="1080"/>
      </w:pPr>
      <w:r>
        <w:t xml:space="preserve">The data extraction strategy employed in this systematic review was meticulously designed based on the CHARMS checklist </w:t>
      </w:r>
      <w:r>
        <w:fldChar w:fldCharType="begin"/>
      </w:r>
      <w:r>
        <w:instrText xml:space="preserve"> ADDIN EN.CITE &lt;EndNote&gt;&lt;Cite&gt;&lt;Author&gt;Moons&lt;/Author&gt;&lt;Year&gt;2014&lt;/Year&gt;&lt;RecNum&gt;11&lt;/RecNum&gt;&lt;DisplayText&gt;(Moons et al., 2014)&lt;/DisplayText&gt;&lt;record&gt;&lt;rec-number&gt;11&lt;/rec-number&gt;&lt;foreign-keys&gt;&lt;key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fldChar w:fldCharType="separate"/>
      </w:r>
      <w:r>
        <w:rPr>
          <w:noProof/>
        </w:rPr>
        <w:t>(Moons et al., 2014)</w:t>
      </w:r>
      <w:r>
        <w:fldChar w:fldCharType="end"/>
      </w:r>
      <w:r>
        <w:t>. This approach ensured that only terms relevant to the review's focus were included, with non-relevant terms being removed or adjusted appropriately. The extracted data was stored in a separate document for clarity and ease of analysis. Key data elements extracted included TUMOUR type, data source, data size, model development, performance, evaluation results, and interpretative and discussion data.</w:t>
      </w:r>
    </w:p>
    <w:p w14:paraId="1C3B2886" w14:textId="77777777" w:rsidR="00D330F9" w:rsidRDefault="00D330F9" w:rsidP="00D330F9">
      <w:pPr>
        <w:pStyle w:val="ListParagraph"/>
        <w:ind w:left="1080"/>
      </w:pPr>
    </w:p>
    <w:p w14:paraId="1918C258" w14:textId="3578AC10" w:rsidR="00D330F9" w:rsidRDefault="00D330F9" w:rsidP="00D330F9">
      <w:pPr>
        <w:pStyle w:val="ListParagraph"/>
        <w:ind w:left="1080"/>
      </w:pPr>
      <w:r>
        <w:t>The extracted data were then rigorously assessed by the author following the Critical Appraisal guidelines provided by the PROBAST tool</w:t>
      </w:r>
      <w:r w:rsidR="001F6798">
        <w:t xml:space="preserve"> </w:t>
      </w:r>
      <w:r w:rsidR="00BD518D">
        <w:fldChar w:fldCharType="begin"/>
      </w:r>
      <w:r w:rsidR="00BD518D">
        <w:instrText xml:space="preserve"> ADDIN EN.CITE &lt;EndNote&gt;&lt;Cite&gt;&lt;Author&gt;Wolff&lt;/Author&gt;&lt;Year&gt;2019&lt;/Year&gt;&lt;RecNum&gt;12&lt;/RecNum&gt;&lt;DisplayText&gt;(Wolff et al., 2019)&lt;/DisplayText&gt;&lt;record&gt;&lt;rec-number&gt;12&lt;/rec-number&gt;&lt;foreign-keys&gt;&lt;key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fldChar w:fldCharType="separate"/>
      </w:r>
      <w:r w:rsidR="00BD518D">
        <w:rPr>
          <w:noProof/>
        </w:rPr>
        <w:t>(Wolff et al., 2019)</w:t>
      </w:r>
      <w:r w:rsidR="00BD518D">
        <w:fldChar w:fldCharType="end"/>
      </w:r>
      <w:r>
        <w:t xml:space="preserve"> . This appraisal aimed to evaluate the risk of bias and the applicability of the studies included in the review.</w:t>
      </w:r>
    </w:p>
    <w:p w14:paraId="5DCADF08" w14:textId="77777777" w:rsidR="00D330F9" w:rsidRDefault="00D330F9" w:rsidP="00D330F9">
      <w:pPr>
        <w:pStyle w:val="ListParagraph"/>
        <w:ind w:left="1080"/>
      </w:pPr>
    </w:p>
    <w:p w14:paraId="51EC5011" w14:textId="474653E2" w:rsidR="00D330F9" w:rsidRDefault="00D330F9" w:rsidP="00D330F9">
      <w:pPr>
        <w:pStyle w:val="ListParagraph"/>
        <w:ind w:left="1080"/>
      </w:pPr>
      <w:r w:rsidRPr="00D330F9">
        <w:t>The critical appraisal process revealed a significant level of bias within the studies: approximately 40% were found to have a high risk of bias, with 30% demonstrating significant concerns regarding applicability. Notably, the most substantial risk of bias was concentrated in the domains of data and analysis assessment.</w:t>
      </w:r>
    </w:p>
    <w:p w14:paraId="217AD732" w14:textId="0319E092" w:rsidR="00595D09" w:rsidRDefault="00595D09" w:rsidP="00DA770E">
      <w:pPr>
        <w:pStyle w:val="ListParagraph"/>
        <w:ind w:left="1080"/>
      </w:pP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42272E" w:rsidRPr="0042272E" w14:paraId="434570CB" w14:textId="77777777" w:rsidTr="0042272E">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6FC8E" w14:textId="77777777" w:rsidR="0042272E" w:rsidRPr="0042272E" w:rsidRDefault="0042272E" w:rsidP="0042272E">
            <w:pPr>
              <w:spacing w:after="0" w:line="240" w:lineRule="auto"/>
              <w:jc w:val="center"/>
              <w:rPr>
                <w:rFonts w:ascii="Calibri Light" w:eastAsia="Times New Roman" w:hAnsi="Calibri Light" w:cs="Calibri Light"/>
                <w:b/>
                <w:bCs/>
                <w:kern w:val="0"/>
                <w:sz w:val="18"/>
                <w:szCs w:val="18"/>
                <w14:ligatures w14:val="none"/>
              </w:rPr>
            </w:pPr>
            <w:r w:rsidRPr="0042272E">
              <w:rPr>
                <w:rFonts w:ascii="Calibri Light" w:eastAsia="Times New Roman" w:hAnsi="Calibri Light" w:cs="Calibri Light"/>
                <w:b/>
                <w:bCs/>
                <w:kern w:val="0"/>
                <w:sz w:val="18"/>
                <w:szCs w:val="18"/>
                <w14:ligatures w14:val="none"/>
              </w:rPr>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667381D1" w14:textId="77777777" w:rsidR="0042272E" w:rsidRPr="0042272E" w:rsidRDefault="0042272E" w:rsidP="0042272E">
            <w:pPr>
              <w:spacing w:after="0" w:line="240" w:lineRule="auto"/>
              <w:jc w:val="center"/>
              <w:rPr>
                <w:rFonts w:ascii="Calibri Light" w:eastAsia="Times New Roman" w:hAnsi="Calibri Light" w:cs="Calibri Light"/>
                <w:b/>
                <w:bCs/>
                <w:kern w:val="0"/>
                <w:sz w:val="18"/>
                <w:szCs w:val="18"/>
                <w14:ligatures w14:val="none"/>
              </w:rPr>
            </w:pPr>
            <w:r w:rsidRPr="0042272E">
              <w:rPr>
                <w:rFonts w:ascii="Calibri Light" w:eastAsia="Times New Roman" w:hAnsi="Calibri Light" w:cs="Calibri Light"/>
                <w:b/>
                <w:bCs/>
                <w:kern w:val="0"/>
                <w:sz w:val="18"/>
                <w:szCs w:val="18"/>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78480B89" w14:textId="77777777" w:rsidR="0042272E" w:rsidRPr="0042272E" w:rsidRDefault="0042272E" w:rsidP="0042272E">
            <w:pPr>
              <w:spacing w:after="0" w:line="240" w:lineRule="auto"/>
              <w:jc w:val="center"/>
              <w:rPr>
                <w:rFonts w:ascii="Calibri Light" w:eastAsia="Times New Roman" w:hAnsi="Calibri Light" w:cs="Calibri Light"/>
                <w:b/>
                <w:bCs/>
                <w:kern w:val="0"/>
                <w:sz w:val="18"/>
                <w:szCs w:val="18"/>
                <w14:ligatures w14:val="none"/>
              </w:rPr>
            </w:pPr>
            <w:r w:rsidRPr="0042272E">
              <w:rPr>
                <w:rFonts w:ascii="Calibri Light" w:eastAsia="Times New Roman" w:hAnsi="Calibri Light" w:cs="Calibri Light"/>
                <w:b/>
                <w:bCs/>
                <w:kern w:val="0"/>
                <w:sz w:val="18"/>
                <w:szCs w:val="18"/>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7EEF7416" w14:textId="77777777" w:rsidR="0042272E" w:rsidRPr="0042272E" w:rsidRDefault="0042272E" w:rsidP="0042272E">
            <w:pPr>
              <w:spacing w:after="0" w:line="240" w:lineRule="auto"/>
              <w:jc w:val="center"/>
              <w:rPr>
                <w:rFonts w:ascii="Calibri Light" w:eastAsia="Times New Roman" w:hAnsi="Calibri Light" w:cs="Calibri Light"/>
                <w:b/>
                <w:bCs/>
                <w:kern w:val="0"/>
                <w:sz w:val="18"/>
                <w:szCs w:val="18"/>
                <w14:ligatures w14:val="none"/>
              </w:rPr>
            </w:pPr>
            <w:r w:rsidRPr="0042272E">
              <w:rPr>
                <w:rFonts w:ascii="Calibri Light" w:eastAsia="Times New Roman" w:hAnsi="Calibri Light" w:cs="Calibri Light"/>
                <w:b/>
                <w:bCs/>
                <w:kern w:val="0"/>
                <w:sz w:val="18"/>
                <w:szCs w:val="18"/>
                <w14:ligatures w14:val="none"/>
              </w:rPr>
              <w:t xml:space="preserve">Overall </w:t>
            </w:r>
          </w:p>
        </w:tc>
      </w:tr>
      <w:tr w:rsidR="0042272E" w:rsidRPr="0042272E" w14:paraId="0904D454" w14:textId="77777777" w:rsidTr="0042272E">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5A04FEE0" w14:textId="77777777" w:rsidR="0042272E" w:rsidRPr="0042272E" w:rsidRDefault="0042272E" w:rsidP="0042272E">
            <w:pPr>
              <w:spacing w:after="0" w:line="240" w:lineRule="auto"/>
              <w:rPr>
                <w:rFonts w:ascii="Calibri Light" w:eastAsia="Times New Roman" w:hAnsi="Calibri Light" w:cs="Calibri Light"/>
                <w:b/>
                <w:bCs/>
                <w:kern w:val="0"/>
                <w:sz w:val="18"/>
                <w:szCs w:val="18"/>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0CB2BD22"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400E6817"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03BC10AD"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60D879EA"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BC9E145"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3AD3F70C"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0B95F3F" w14:textId="77777777" w:rsidR="0042272E" w:rsidRPr="0042272E" w:rsidRDefault="0042272E" w:rsidP="0042272E">
            <w:pPr>
              <w:spacing w:after="0" w:line="240" w:lineRule="auto"/>
              <w:jc w:val="center"/>
              <w:rPr>
                <w:rFonts w:ascii="Calibri Light" w:eastAsia="Times New Roman" w:hAnsi="Calibri Light" w:cs="Calibri Light"/>
                <w:kern w:val="0"/>
                <w:sz w:val="20"/>
                <w:szCs w:val="20"/>
                <w14:ligatures w14:val="none"/>
              </w:rPr>
            </w:pPr>
            <w:r w:rsidRPr="0042272E">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1287F691" w14:textId="77777777" w:rsidR="0042272E" w:rsidRPr="0042272E" w:rsidRDefault="0042272E" w:rsidP="0042272E">
            <w:pPr>
              <w:spacing w:after="0" w:line="240" w:lineRule="auto"/>
              <w:jc w:val="center"/>
              <w:rPr>
                <w:rFonts w:ascii="Calibri Light" w:eastAsia="Times New Roman" w:hAnsi="Calibri Light" w:cs="Calibri Light"/>
                <w:b/>
                <w:bCs/>
                <w:kern w:val="0"/>
                <w:sz w:val="20"/>
                <w:szCs w:val="20"/>
                <w14:ligatures w14:val="none"/>
              </w:rPr>
            </w:pPr>
            <w:r w:rsidRPr="0042272E">
              <w:rPr>
                <w:rFonts w:ascii="Calibri Light" w:eastAsia="Times New Roman" w:hAnsi="Calibri Light" w:cs="Calibri Light"/>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050AC3C3" w14:textId="77777777" w:rsidR="0042272E" w:rsidRPr="0042272E" w:rsidRDefault="0042272E" w:rsidP="0042272E">
            <w:pPr>
              <w:spacing w:after="0" w:line="240" w:lineRule="auto"/>
              <w:jc w:val="center"/>
              <w:rPr>
                <w:rFonts w:ascii="Calibri Light" w:eastAsia="Times New Roman" w:hAnsi="Calibri Light" w:cs="Calibri Light"/>
                <w:b/>
                <w:bCs/>
                <w:kern w:val="0"/>
                <w:sz w:val="20"/>
                <w:szCs w:val="20"/>
                <w14:ligatures w14:val="none"/>
              </w:rPr>
            </w:pPr>
            <w:r w:rsidRPr="0042272E">
              <w:rPr>
                <w:rFonts w:ascii="Calibri Light" w:eastAsia="Times New Roman" w:hAnsi="Calibri Light" w:cs="Calibri Light"/>
                <w:b/>
                <w:bCs/>
                <w:kern w:val="0"/>
                <w:sz w:val="20"/>
                <w:szCs w:val="20"/>
                <w14:ligatures w14:val="none"/>
              </w:rPr>
              <w:t xml:space="preserve"> Applicability</w:t>
            </w:r>
          </w:p>
        </w:tc>
      </w:tr>
      <w:tr w:rsidR="0042272E" w:rsidRPr="0042272E" w14:paraId="06CE9F4C"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19524EBE"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5A399A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4A723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30C539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AEF96E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47D0E0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C903B4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43DC0C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0191A1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E0A93A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0A9F51E0"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FC1DA3C"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Edian,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ADE0F6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401D9E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124E6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757E36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1BB893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8AB4B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E43350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435747D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66C7A5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6A53256C"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1D14BD2B"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FA9D65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190988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38537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E7407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CA10A9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1F47B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1059F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E57D15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1A05C49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2ACB3BD8"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12CFA144"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lastRenderedPageBreak/>
              <w:t>Yifan Liu, 2020</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26A58F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4E2C19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0A2A500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44C9B3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9EA9CA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888F4E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2754B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54EB0AA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803F49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70A7095D"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1C39207"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Emilie,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6C5F81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3CBC3F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293E8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851C26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39BA3B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4E4631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8BA71B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3A9B68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0CC174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5D7872A5"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31F228E"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C7D7F7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5900F4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2A7448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05FDB7A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7C5B9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AD361D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A5E2E3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A206A3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896D50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51F1CA25"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0D307BE"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ADD022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A77A7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310FB6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8A24D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17B343D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3D4CE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1BBA7D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4723856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38C0A7C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21902746"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3E4DE82"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E38FEB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91668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4167E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0DC4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14657A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29DAE2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62F247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29971E0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567FE3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5C6099CE"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3F711C"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proofErr w:type="spellStart"/>
            <w:r w:rsidRPr="0042272E">
              <w:rPr>
                <w:rFonts w:ascii="Calibri Light" w:eastAsia="Times New Roman" w:hAnsi="Calibri Light" w:cs="Calibri Light"/>
                <w:kern w:val="0"/>
                <w:sz w:val="18"/>
                <w:szCs w:val="18"/>
                <w14:ligatures w14:val="none"/>
              </w:rPr>
              <w:t>Baohui</w:t>
            </w:r>
            <w:proofErr w:type="spellEnd"/>
            <w:r w:rsidRPr="0042272E">
              <w:rPr>
                <w:rFonts w:ascii="Calibri Light" w:eastAsia="Times New Roman" w:hAnsi="Calibri Light" w:cs="Calibri Light"/>
                <w:kern w:val="0"/>
                <w:sz w:val="18"/>
                <w:szCs w:val="18"/>
                <w14:ligatures w14:val="none"/>
              </w:rPr>
              <w:t xml:space="preserve">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6E3205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5D0D1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6CBF08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8D6C48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23E614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E27ED9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CD378A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7C95A1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292FF8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554EAD05"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0F9588C"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proofErr w:type="spellStart"/>
            <w:r w:rsidRPr="0042272E">
              <w:rPr>
                <w:rFonts w:ascii="Calibri Light" w:eastAsia="Times New Roman" w:hAnsi="Calibri Light" w:cs="Calibri Light"/>
                <w:kern w:val="0"/>
                <w:sz w:val="18"/>
                <w:szCs w:val="18"/>
                <w14:ligatures w14:val="none"/>
              </w:rPr>
              <w:t>Qiangnu</w:t>
            </w:r>
            <w:proofErr w:type="spellEnd"/>
            <w:r w:rsidRPr="0042272E">
              <w:rPr>
                <w:rFonts w:ascii="Calibri Light" w:eastAsia="Times New Roman" w:hAnsi="Calibri Light" w:cs="Calibri Light"/>
                <w:kern w:val="0"/>
                <w:sz w:val="18"/>
                <w:szCs w:val="18"/>
                <w14:ligatures w14:val="none"/>
              </w:rPr>
              <w:t xml:space="preserve">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8C69BC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52B52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DFC5D6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5990AB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B3D12C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01073A2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4E074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579782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2004055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0CB5B05E"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6506E0C"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proofErr w:type="spellStart"/>
            <w:r w:rsidRPr="0042272E">
              <w:rPr>
                <w:rFonts w:ascii="Calibri Light" w:eastAsia="Times New Roman" w:hAnsi="Calibri Light" w:cs="Calibri Light"/>
                <w:kern w:val="0"/>
                <w:sz w:val="18"/>
                <w:szCs w:val="18"/>
                <w14:ligatures w14:val="none"/>
              </w:rPr>
              <w:t>Fanhong</w:t>
            </w:r>
            <w:proofErr w:type="spellEnd"/>
            <w:r w:rsidRPr="0042272E">
              <w:rPr>
                <w:rFonts w:ascii="Calibri Light" w:eastAsia="Times New Roman" w:hAnsi="Calibri Light" w:cs="Calibri Light"/>
                <w:kern w:val="0"/>
                <w:sz w:val="18"/>
                <w:szCs w:val="18"/>
                <w14:ligatures w14:val="none"/>
              </w:rPr>
              <w:t xml:space="preserve">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69AA09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510BA9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DD23F7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5D99C8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857FC1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26F6FD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22C21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87C68D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7CE9EF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192B8931"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13BCDEE"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E57FDBF"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0AE83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05C2A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620A376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CFC01B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DADC7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9498FC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61DECD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51386E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1190D268"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63AC989"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852511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58FE457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DBB92B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FF9327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611652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62814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06612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9C9DF4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0874C8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49AC908B"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E4AC21"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EAC71B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93398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136EF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9437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030267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423FEBB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942681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3A0961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2ABF39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25A4AC8E"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C31F03F"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proofErr w:type="spellStart"/>
            <w:r w:rsidRPr="0042272E">
              <w:rPr>
                <w:rFonts w:ascii="Calibri Light" w:eastAsia="Times New Roman" w:hAnsi="Calibri Light" w:cs="Calibri Light"/>
                <w:kern w:val="0"/>
                <w:sz w:val="18"/>
                <w:szCs w:val="18"/>
                <w14:ligatures w14:val="none"/>
              </w:rPr>
              <w:t>Dongjie</w:t>
            </w:r>
            <w:proofErr w:type="spellEnd"/>
            <w:r w:rsidRPr="0042272E">
              <w:rPr>
                <w:rFonts w:ascii="Calibri Light" w:eastAsia="Times New Roman" w:hAnsi="Calibri Light" w:cs="Calibri Light"/>
                <w:kern w:val="0"/>
                <w:sz w:val="18"/>
                <w:szCs w:val="18"/>
                <w14:ligatures w14:val="none"/>
              </w:rPr>
              <w:t xml:space="preserv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22DA933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4EF91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B73CE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6A8375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E5F109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00D505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9D01CB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FEB06D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671C52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6C93208B"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97C7916"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73E0EF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2D2037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DC846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FCFA9B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CAEFD7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03DACB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17F26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6BC027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5B6457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4697D655"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35477B2"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proofErr w:type="spellStart"/>
            <w:r w:rsidRPr="0042272E">
              <w:rPr>
                <w:rFonts w:ascii="Calibri Light" w:eastAsia="Times New Roman" w:hAnsi="Calibri Light" w:cs="Calibri Light"/>
                <w:kern w:val="0"/>
                <w:sz w:val="18"/>
                <w:szCs w:val="18"/>
                <w14:ligatures w14:val="none"/>
              </w:rPr>
              <w:t>Xiangqian</w:t>
            </w:r>
            <w:proofErr w:type="spellEnd"/>
            <w:r w:rsidRPr="0042272E">
              <w:rPr>
                <w:rFonts w:ascii="Calibri Light" w:eastAsia="Times New Roman" w:hAnsi="Calibri Light" w:cs="Calibri Light"/>
                <w:kern w:val="0"/>
                <w:sz w:val="18"/>
                <w:szCs w:val="18"/>
                <w14:ligatures w14:val="none"/>
              </w:rPr>
              <w:t xml:space="preserve">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A80C39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8DCBFE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BB4D1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78990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3879E3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CD90B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D351272"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8117D1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1F81DB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470DA307"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A065C36"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0C5B95"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222466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7F3F78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56C81B0"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0EB826F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9BB860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A11B28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3F9D14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31DEAFD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7319E779"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134130A"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75CB5C1E"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599E3E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BC9229B"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E4180A7"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1F17989"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D041C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B78544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246BBC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9DB448"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r w:rsidR="0042272E" w:rsidRPr="0042272E" w14:paraId="46C3CDBA" w14:textId="77777777" w:rsidTr="0042272E">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3D20B70" w14:textId="77777777" w:rsidR="0042272E" w:rsidRPr="0042272E" w:rsidRDefault="0042272E" w:rsidP="0042272E">
            <w:pPr>
              <w:spacing w:after="0" w:line="240" w:lineRule="auto"/>
              <w:rPr>
                <w:rFonts w:ascii="Calibri Light" w:eastAsia="Times New Roman" w:hAnsi="Calibri Light" w:cs="Calibri Light"/>
                <w:kern w:val="0"/>
                <w:sz w:val="18"/>
                <w:szCs w:val="18"/>
                <w14:ligatures w14:val="none"/>
              </w:rPr>
            </w:pPr>
            <w:r w:rsidRPr="0042272E">
              <w:rPr>
                <w:rFonts w:ascii="Calibri Light" w:eastAsia="Times New Roman" w:hAnsi="Calibri Light" w:cs="Calibri Light"/>
                <w:kern w:val="0"/>
                <w:sz w:val="18"/>
                <w:szCs w:val="18"/>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C0D928A"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FBBA394"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7F50E3"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4EF26C"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EB710E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0FFE2D"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096EE2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293AED91"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4B88B46" w14:textId="77777777" w:rsidR="0042272E" w:rsidRPr="0042272E" w:rsidRDefault="0042272E" w:rsidP="0042272E">
            <w:pPr>
              <w:spacing w:after="0" w:line="240" w:lineRule="auto"/>
              <w:jc w:val="center"/>
              <w:rPr>
                <w:rFonts w:ascii="Calibri Light" w:eastAsia="Times New Roman" w:hAnsi="Calibri Light" w:cs="Calibri Light"/>
                <w:kern w:val="0"/>
                <w:sz w:val="24"/>
                <w:szCs w:val="24"/>
                <w14:ligatures w14:val="none"/>
              </w:rPr>
            </w:pPr>
            <w:r w:rsidRPr="0042272E">
              <w:rPr>
                <w:rFonts w:ascii="Calibri Light" w:eastAsia="Times New Roman" w:hAnsi="Calibri Light" w:cs="Calibri Light"/>
                <w:kern w:val="0"/>
                <w:sz w:val="24"/>
                <w:szCs w:val="24"/>
                <w14:ligatures w14:val="none"/>
              </w:rPr>
              <w:t>+</w:t>
            </w:r>
          </w:p>
        </w:tc>
      </w:tr>
    </w:tbl>
    <w:p w14:paraId="1475B19B" w14:textId="23290191" w:rsidR="00595D09" w:rsidRDefault="0042272E" w:rsidP="0042272E">
      <w:r w:rsidRPr="0042272E">
        <w:rPr>
          <w:rFonts w:ascii="Calibri Light" w:eastAsia="Times New Roman" w:hAnsi="Calibri Light" w:cs="Calibri Light"/>
          <w:b/>
          <w:bCs/>
          <w:color w:val="000000"/>
          <w:kern w:val="0"/>
          <w14:ligatures w14:val="none"/>
        </w:rPr>
        <w:t xml:space="preserve">Table </w:t>
      </w:r>
      <w:r>
        <w:rPr>
          <w:rFonts w:ascii="Calibri Light" w:eastAsia="Times New Roman" w:hAnsi="Calibri Light" w:cs="Calibri Light"/>
          <w:b/>
          <w:bCs/>
          <w:color w:val="000000"/>
          <w:kern w:val="0"/>
          <w14:ligatures w14:val="none"/>
        </w:rPr>
        <w:t>2</w:t>
      </w:r>
      <w:r w:rsidRPr="0042272E">
        <w:rPr>
          <w:rFonts w:ascii="Calibri Light" w:eastAsia="Times New Roman" w:hAnsi="Calibri Light" w:cs="Calibri Light"/>
          <w:b/>
          <w:bCs/>
          <w:color w:val="000000"/>
          <w:kern w:val="0"/>
          <w14:ligatures w14:val="none"/>
        </w:rPr>
        <w:t xml:space="preserve">. </w:t>
      </w:r>
      <w:r w:rsidRPr="0042272E">
        <w:rPr>
          <w:rFonts w:ascii="Calibri Light" w:eastAsia="Times New Roman" w:hAnsi="Calibri Light" w:cs="Calibri Light"/>
          <w:color w:val="000000"/>
          <w:kern w:val="0"/>
          <w14:ligatures w14:val="none"/>
        </w:rPr>
        <w:t>Risk of bias and applicability assessment</w:t>
      </w:r>
    </w:p>
    <w:p w14:paraId="528E9F41" w14:textId="77777777" w:rsidR="00595D09" w:rsidRDefault="00595D09" w:rsidP="00595D09">
      <w:pPr>
        <w:pStyle w:val="ListParagraph"/>
        <w:ind w:left="1080"/>
      </w:pPr>
    </w:p>
    <w:p w14:paraId="0E4B5817" w14:textId="77777777" w:rsidR="00595D09" w:rsidRDefault="00595D09" w:rsidP="00595D09">
      <w:pPr>
        <w:pStyle w:val="ListParagraph"/>
        <w:ind w:left="1080"/>
      </w:pPr>
    </w:p>
    <w:p w14:paraId="3448BC0B" w14:textId="086912C8" w:rsidR="000A2C2B" w:rsidRDefault="000A2C2B" w:rsidP="00BD518D">
      <w:pPr>
        <w:pStyle w:val="ListParagraph"/>
        <w:numPr>
          <w:ilvl w:val="1"/>
          <w:numId w:val="2"/>
        </w:numPr>
      </w:pPr>
      <w:r>
        <w:t xml:space="preserve">Synthesis </w:t>
      </w:r>
    </w:p>
    <w:p w14:paraId="12B21DF2" w14:textId="77777777" w:rsidR="00BD518D" w:rsidRDefault="00BD518D" w:rsidP="00BD518D">
      <w:pPr>
        <w:pStyle w:val="ListParagraph"/>
      </w:pPr>
    </w:p>
    <w:p w14:paraId="350D5E08" w14:textId="5B98DC30" w:rsidR="008038FB" w:rsidRDefault="00E573F5" w:rsidP="00BD518D">
      <w:pPr>
        <w:pStyle w:val="ListParagraph"/>
        <w:numPr>
          <w:ilvl w:val="0"/>
          <w:numId w:val="2"/>
        </w:numPr>
      </w:pPr>
      <w:r>
        <w:t>Review management</w:t>
      </w:r>
    </w:p>
    <w:p w14:paraId="56C255D3" w14:textId="2D3F0F0E" w:rsidR="00E573F5" w:rsidRDefault="00E573F5" w:rsidP="00BD518D">
      <w:pPr>
        <w:pStyle w:val="ListParagraph"/>
        <w:numPr>
          <w:ilvl w:val="1"/>
          <w:numId w:val="2"/>
        </w:numPr>
      </w:pPr>
      <w:r>
        <w:t>Quality assurance (</w:t>
      </w:r>
      <w:r w:rsidR="0083133F">
        <w:t>critical discussion of the methodology</w:t>
      </w:r>
      <w:r>
        <w:t>)</w:t>
      </w:r>
    </w:p>
    <w:p w14:paraId="4AA67086" w14:textId="5B0FCAA3" w:rsidR="00E573F5" w:rsidRPr="00FD58BB" w:rsidRDefault="00E573F5" w:rsidP="00E573F5">
      <w:r>
        <w:t>Findings</w:t>
      </w:r>
    </w:p>
    <w:p w14:paraId="40F0D55C" w14:textId="7FAA70E9" w:rsidR="005E390B" w:rsidRDefault="00E573F5">
      <w:r>
        <w:t>Discussion</w:t>
      </w:r>
    </w:p>
    <w:p w14:paraId="398E4BAF" w14:textId="5DE876AA" w:rsidR="00E573F5" w:rsidRPr="00FD58BB" w:rsidRDefault="00E573F5">
      <w:r>
        <w:t>Conclusion</w:t>
      </w:r>
    </w:p>
    <w:p w14:paraId="1F50D8DD" w14:textId="77777777" w:rsidR="005E390B" w:rsidRPr="00FD58BB" w:rsidRDefault="005E390B"/>
    <w:p w14:paraId="4FD6337D" w14:textId="77777777" w:rsidR="005E390B" w:rsidRPr="00FD58BB" w:rsidRDefault="005E390B"/>
    <w:p w14:paraId="048B600C" w14:textId="77777777" w:rsidR="005E390B" w:rsidRPr="00FD58BB" w:rsidRDefault="005E390B"/>
    <w:p w14:paraId="4A2EA09B" w14:textId="668B7F66" w:rsidR="00BD518D" w:rsidRPr="00BD518D" w:rsidRDefault="005E390B" w:rsidP="00BD518D">
      <w:pPr>
        <w:pStyle w:val="EndNoteBibliography"/>
        <w:spacing w:after="0"/>
        <w:ind w:left="720" w:hanging="720"/>
      </w:pPr>
      <w:r>
        <w:fldChar w:fldCharType="begin"/>
      </w:r>
      <w:r>
        <w:instrText xml:space="preserve"> ADDIN EN.REFLIST </w:instrText>
      </w:r>
      <w:r>
        <w:fldChar w:fldCharType="separate"/>
      </w:r>
      <w:r w:rsidR="00BD518D" w:rsidRPr="00BD518D">
        <w:t xml:space="preserve">Buffa, F. M., Harris, A. L., West, C. M., &amp; Miller, C. J. (2010). Large meta-analysis of multiple cancers reveals a common, compact and highly prognostic hypoxia metagene [Article]. </w:t>
      </w:r>
      <w:r w:rsidR="00BD518D" w:rsidRPr="00BD518D">
        <w:rPr>
          <w:i/>
        </w:rPr>
        <w:t>British Journal of Cancer</w:t>
      </w:r>
      <w:r w:rsidR="00BD518D" w:rsidRPr="00BD518D">
        <w:t>,</w:t>
      </w:r>
      <w:r w:rsidR="00BD518D" w:rsidRPr="00BD518D">
        <w:rPr>
          <w:i/>
        </w:rPr>
        <w:t xml:space="preserve"> 102</w:t>
      </w:r>
      <w:r w:rsidR="00BD518D" w:rsidRPr="00BD518D">
        <w:t xml:space="preserve">(2), 428-435. </w:t>
      </w:r>
      <w:hyperlink r:id="rId5" w:history="1">
        <w:r w:rsidR="00BD518D" w:rsidRPr="00BD518D">
          <w:rPr>
            <w:rStyle w:val="Hyperlink"/>
          </w:rPr>
          <w:t>https://doi.org/10.1038/sj.bjc.6605450</w:t>
        </w:r>
      </w:hyperlink>
      <w:r w:rsidR="00BD518D" w:rsidRPr="00BD518D">
        <w:t xml:space="preserve"> </w:t>
      </w:r>
    </w:p>
    <w:p w14:paraId="65B9CF15" w14:textId="2F82A889" w:rsidR="00BD518D" w:rsidRPr="00BD518D" w:rsidRDefault="00BD518D" w:rsidP="00BD518D">
      <w:pPr>
        <w:pStyle w:val="EndNoteBibliography"/>
        <w:spacing w:after="0"/>
        <w:ind w:left="720" w:hanging="720"/>
      </w:pPr>
      <w:r w:rsidRPr="00BD518D">
        <w:t xml:space="preserve">Hong, S., Zhang, Y., Cao, M., Lin, A., Yang, Q., Zhang, J., Luo, P., &amp; Guo, L. (2021). Hypoxic Characteristic Genes Predict Response to Immunotherapy for Urothelial Carcinoma [Original Research]. </w:t>
      </w:r>
      <w:r w:rsidRPr="00BD518D">
        <w:rPr>
          <w:i/>
        </w:rPr>
        <w:t>Frontiers in Cell and Developmental Biology</w:t>
      </w:r>
      <w:r w:rsidRPr="00BD518D">
        <w:t>,</w:t>
      </w:r>
      <w:r w:rsidRPr="00BD518D">
        <w:rPr>
          <w:i/>
        </w:rPr>
        <w:t xml:space="preserve"> 9</w:t>
      </w:r>
      <w:r w:rsidRPr="00BD518D">
        <w:t xml:space="preserve">. </w:t>
      </w:r>
      <w:hyperlink r:id="rId6" w:history="1">
        <w:r w:rsidRPr="00BD518D">
          <w:rPr>
            <w:rStyle w:val="Hyperlink"/>
          </w:rPr>
          <w:t>https://www.frontiersin.org/articles/10.3389/fcell.2021.762478</w:t>
        </w:r>
      </w:hyperlink>
      <w:r w:rsidRPr="00BD518D">
        <w:t xml:space="preserve"> </w:t>
      </w:r>
    </w:p>
    <w:p w14:paraId="53F627DA" w14:textId="0808E9FE" w:rsidR="00BD518D" w:rsidRPr="00BD518D" w:rsidRDefault="00BD518D" w:rsidP="00BD518D">
      <w:pPr>
        <w:pStyle w:val="EndNoteBibliography"/>
        <w:spacing w:after="0"/>
        <w:ind w:left="720" w:hanging="720"/>
      </w:pPr>
      <w:r w:rsidRPr="00BD518D">
        <w:t xml:space="preserve">Lalonde, E., Ishkanian, A. S., Sykes, J., Fraser, M., Ross-Adams, H., Erho, N., Dunning, M. J., Halim, S., Lamb, A. D., Moon, N. C., Zafarana, G., Warren, A. Y., Meng, X., Thoms, J., Grzadkowski, M. R., Berlin, A., Have, C. L., Ramnarine, V. R., Yao, C. Q., . . . Bristow, R. G. (2014). Tumour genomic and microenvironmental heterogeneity for integrated prediction of 5-year biochemical recurrence of prostate cancer: a retrospective cohort study. </w:t>
      </w:r>
      <w:r w:rsidRPr="00BD518D">
        <w:rPr>
          <w:i/>
        </w:rPr>
        <w:t>The Lancet Oncology</w:t>
      </w:r>
      <w:r w:rsidRPr="00BD518D">
        <w:t>,</w:t>
      </w:r>
      <w:r w:rsidRPr="00BD518D">
        <w:rPr>
          <w:i/>
        </w:rPr>
        <w:t xml:space="preserve"> 15</w:t>
      </w:r>
      <w:r w:rsidRPr="00BD518D">
        <w:t xml:space="preserve">(13), 1521-1532. </w:t>
      </w:r>
      <w:hyperlink r:id="rId7" w:history="1">
        <w:r w:rsidRPr="00BD518D">
          <w:rPr>
            <w:rStyle w:val="Hyperlink"/>
          </w:rPr>
          <w:t>https://doi.org/https://doi.org/10.1016/S1470-2045(14)71021-6</w:t>
        </w:r>
      </w:hyperlink>
      <w:r w:rsidRPr="00BD518D">
        <w:t xml:space="preserve"> </w:t>
      </w:r>
    </w:p>
    <w:p w14:paraId="41C27F06" w14:textId="4FD66877" w:rsidR="00BD518D" w:rsidRPr="00BD518D" w:rsidRDefault="00BD518D" w:rsidP="00BD518D">
      <w:pPr>
        <w:pStyle w:val="EndNoteBibliography"/>
        <w:spacing w:after="0"/>
        <w:ind w:left="720" w:hanging="720"/>
      </w:pPr>
      <w:r w:rsidRPr="00BD518D">
        <w:lastRenderedPageBreak/>
        <w:t xml:space="preserve">Liu, Y., Wu, J., Huang, W., Weng, S., Wang, B., Chen, Y., &amp; Wang, H. (2020). Development and validation of a hypoxia-immune-based microenvironment gene signature for risk stratification in gastric cancer. </w:t>
      </w:r>
      <w:r w:rsidRPr="00BD518D">
        <w:rPr>
          <w:i/>
        </w:rPr>
        <w:t>Journal of Translational Medicine</w:t>
      </w:r>
      <w:r w:rsidRPr="00BD518D">
        <w:t>,</w:t>
      </w:r>
      <w:r w:rsidRPr="00BD518D">
        <w:rPr>
          <w:i/>
        </w:rPr>
        <w:t xml:space="preserve"> 18</w:t>
      </w:r>
      <w:r w:rsidRPr="00BD518D">
        <w:t xml:space="preserve">(1), 201. </w:t>
      </w:r>
      <w:hyperlink r:id="rId8" w:history="1">
        <w:r w:rsidRPr="00BD518D">
          <w:rPr>
            <w:rStyle w:val="Hyperlink"/>
          </w:rPr>
          <w:t>https://doi.org/10.1186/s12967-020-02366-0</w:t>
        </w:r>
      </w:hyperlink>
      <w:r w:rsidRPr="00BD518D">
        <w:t xml:space="preserve"> </w:t>
      </w:r>
    </w:p>
    <w:p w14:paraId="60B1FA70" w14:textId="5A6CEB2B" w:rsidR="00BD518D" w:rsidRPr="00BD518D" w:rsidRDefault="00BD518D" w:rsidP="00BD518D">
      <w:pPr>
        <w:pStyle w:val="EndNoteBibliography"/>
        <w:spacing w:after="0"/>
        <w:ind w:left="720" w:hanging="720"/>
      </w:pPr>
      <w:r w:rsidRPr="00BD518D">
        <w:t xml:space="preserve">Marotta, D., Karar, J., Jenkins, W. T., Kumanova, M., Jenkins, K. W., Tobias, J. W., Baldwin, D., Hatzigeorgiou, A., Alexiou, P., Evans, S. M., Alarcon, R., Maity, A., Koch, C., &amp; Koumenis, C. (2011). In vivo profiling of hypoxic gene expression in gliomas using the hypoxia marker EF5 and laser-capture microdissection [Article]. </w:t>
      </w:r>
      <w:r w:rsidRPr="00BD518D">
        <w:rPr>
          <w:i/>
        </w:rPr>
        <w:t>Cancer Research</w:t>
      </w:r>
      <w:r w:rsidRPr="00BD518D">
        <w:t>,</w:t>
      </w:r>
      <w:r w:rsidRPr="00BD518D">
        <w:rPr>
          <w:i/>
        </w:rPr>
        <w:t xml:space="preserve"> 71</w:t>
      </w:r>
      <w:r w:rsidRPr="00BD518D">
        <w:t xml:space="preserve">(3), 779-789. </w:t>
      </w:r>
      <w:hyperlink r:id="rId9" w:history="1">
        <w:r w:rsidRPr="00BD518D">
          <w:rPr>
            <w:rStyle w:val="Hyperlink"/>
          </w:rPr>
          <w:t>https://doi.org/10.1158/0008-5472.CAN-10-3061</w:t>
        </w:r>
      </w:hyperlink>
      <w:r w:rsidRPr="00BD518D">
        <w:t xml:space="preserve"> </w:t>
      </w:r>
    </w:p>
    <w:p w14:paraId="767F8166" w14:textId="44EACACB" w:rsidR="00BD518D" w:rsidRPr="00BD518D" w:rsidRDefault="00BD518D" w:rsidP="00BD518D">
      <w:pPr>
        <w:pStyle w:val="EndNoteBibliography"/>
        <w:spacing w:after="0"/>
        <w:ind w:left="720" w:hanging="720"/>
      </w:pPr>
      <w:r w:rsidRPr="00BD518D">
        <w:t xml:space="preserve">Moons, K. G. M., de Groot, J. A. H., Bouwmeester, W., Vergouwe, Y., Mallett, S., Altman, D. G., Reitsma, J. B., &amp; Collins, G. S. (2014). Critical Appraisal and Data Extraction for Systematic Reviews of Prediction Modelling Studies: The CHARMS Checklist. </w:t>
      </w:r>
      <w:r w:rsidRPr="00BD518D">
        <w:rPr>
          <w:i/>
        </w:rPr>
        <w:t>PLOS Medicine</w:t>
      </w:r>
      <w:r w:rsidRPr="00BD518D">
        <w:t>,</w:t>
      </w:r>
      <w:r w:rsidRPr="00BD518D">
        <w:rPr>
          <w:i/>
        </w:rPr>
        <w:t xml:space="preserve"> 11</w:t>
      </w:r>
      <w:r w:rsidRPr="00BD518D">
        <w:t xml:space="preserve">(10), e1001744. </w:t>
      </w:r>
      <w:hyperlink r:id="rId10" w:history="1">
        <w:r w:rsidRPr="00BD518D">
          <w:rPr>
            <w:rStyle w:val="Hyperlink"/>
          </w:rPr>
          <w:t>https://doi.org/10.1371/journal.pmed.1001744</w:t>
        </w:r>
      </w:hyperlink>
      <w:r w:rsidRPr="00BD518D">
        <w:t xml:space="preserve"> </w:t>
      </w:r>
    </w:p>
    <w:p w14:paraId="086184F8" w14:textId="6642768D" w:rsidR="00BD518D" w:rsidRPr="00BD518D" w:rsidRDefault="00BD518D" w:rsidP="00BD518D">
      <w:pPr>
        <w:pStyle w:val="EndNoteBibliography"/>
        <w:spacing w:after="0"/>
        <w:ind w:left="720" w:hanging="720"/>
      </w:pPr>
      <w:r w:rsidRPr="00BD518D">
        <w:t xml:space="preserve">Seigneuric, R., Starmans, M. H. W., Fung, G., Krishnapuram, B., Nuyten, D. S. A., van Erk, A., Magagnin, M. G., Rouschop, K. M., Krishnan, S., Rao, R. B., Evelo, C. T. A., Begg, A. C., Wouters, B. G., &amp; Lambin, P. (2007). Impact of supervised gene signatures of early hypoxia on patient survival [Article]. </w:t>
      </w:r>
      <w:r w:rsidRPr="00BD518D">
        <w:rPr>
          <w:i/>
        </w:rPr>
        <w:t>Radiotherapy and Oncology</w:t>
      </w:r>
      <w:r w:rsidRPr="00BD518D">
        <w:t>,</w:t>
      </w:r>
      <w:r w:rsidRPr="00BD518D">
        <w:rPr>
          <w:i/>
        </w:rPr>
        <w:t xml:space="preserve"> 83</w:t>
      </w:r>
      <w:r w:rsidRPr="00BD518D">
        <w:t xml:space="preserve">(3), 374-382. </w:t>
      </w:r>
      <w:hyperlink r:id="rId11" w:history="1">
        <w:r w:rsidRPr="00BD518D">
          <w:rPr>
            <w:rStyle w:val="Hyperlink"/>
          </w:rPr>
          <w:t>https://doi.org/10.1016/j.radonc.2007.05.002</w:t>
        </w:r>
      </w:hyperlink>
      <w:r w:rsidRPr="00BD518D">
        <w:t xml:space="preserve"> </w:t>
      </w:r>
    </w:p>
    <w:p w14:paraId="4DBE1B8D" w14:textId="19F0A576" w:rsidR="00BD518D" w:rsidRPr="00BD518D" w:rsidRDefault="00BD518D" w:rsidP="00BD518D">
      <w:pPr>
        <w:pStyle w:val="EndNoteBibliography"/>
        <w:spacing w:after="0"/>
        <w:ind w:left="720" w:hanging="720"/>
      </w:pPr>
      <w:r w:rsidRPr="00BD518D">
        <w:t xml:space="preserve">Tawk, B., Schwager, C., Deffaa, O., Dyckhoff, G., Warta, R., Linge, A., Krause, M., Weichert, W., Baumann, M., Herold-Mende, C., Debus, J., &amp; Abdollahi, A. (2016). Comparative analysis of transcriptomics based hypoxia signatures in head- and neck squamous cell carcinoma. </w:t>
      </w:r>
      <w:r w:rsidRPr="00BD518D">
        <w:rPr>
          <w:i/>
        </w:rPr>
        <w:t>Radiotherapy and Oncology</w:t>
      </w:r>
      <w:r w:rsidRPr="00BD518D">
        <w:t>,</w:t>
      </w:r>
      <w:r w:rsidRPr="00BD518D">
        <w:rPr>
          <w:i/>
        </w:rPr>
        <w:t xml:space="preserve"> 118</w:t>
      </w:r>
      <w:r w:rsidRPr="00BD518D">
        <w:t xml:space="preserve">(2), 350-358. </w:t>
      </w:r>
      <w:hyperlink r:id="rId12" w:history="1">
        <w:r w:rsidRPr="00BD518D">
          <w:rPr>
            <w:rStyle w:val="Hyperlink"/>
          </w:rPr>
          <w:t>https://doi.org/https://doi.org/10.1016/j.radonc.2015.11.027</w:t>
        </w:r>
      </w:hyperlink>
      <w:r w:rsidRPr="00BD518D">
        <w:t xml:space="preserve"> </w:t>
      </w:r>
    </w:p>
    <w:p w14:paraId="64E6CB9E" w14:textId="3604BE0B" w:rsidR="00BD518D" w:rsidRPr="00BD518D" w:rsidRDefault="00BD518D" w:rsidP="00BD518D">
      <w:pPr>
        <w:pStyle w:val="EndNoteBibliography"/>
        <w:spacing w:after="0"/>
        <w:ind w:left="720" w:hanging="720"/>
      </w:pPr>
      <w:r w:rsidRPr="00BD518D">
        <w:t xml:space="preserve">Toustrup, K., Sørensen, B. S., Alsner, J., &amp; Overgaard, J. (2012). Hypoxia Gene Expression Signatures as Prognostic and Predictive Markers in Head and Neck Radiotherapy. </w:t>
      </w:r>
      <w:r w:rsidRPr="00BD518D">
        <w:rPr>
          <w:i/>
        </w:rPr>
        <w:t>Seminars in Radiation Oncology</w:t>
      </w:r>
      <w:r w:rsidRPr="00BD518D">
        <w:t>,</w:t>
      </w:r>
      <w:r w:rsidRPr="00BD518D">
        <w:rPr>
          <w:i/>
        </w:rPr>
        <w:t xml:space="preserve"> 22</w:t>
      </w:r>
      <w:r w:rsidRPr="00BD518D">
        <w:t xml:space="preserve">(2), 119-127. </w:t>
      </w:r>
      <w:hyperlink r:id="rId13" w:history="1">
        <w:r w:rsidRPr="00BD518D">
          <w:rPr>
            <w:rStyle w:val="Hyperlink"/>
          </w:rPr>
          <w:t>https://doi.org/https://doi.org/10.1016/j.semradonc.2011.12.006</w:t>
        </w:r>
      </w:hyperlink>
      <w:r w:rsidRPr="00BD518D">
        <w:t xml:space="preserve"> </w:t>
      </w:r>
    </w:p>
    <w:p w14:paraId="5E7317AA" w14:textId="7A3F8F6A" w:rsidR="00BD518D" w:rsidRPr="00BD518D" w:rsidRDefault="00BD518D" w:rsidP="00BD518D">
      <w:pPr>
        <w:pStyle w:val="EndNoteBibliography"/>
        <w:ind w:left="720" w:hanging="720"/>
      </w:pPr>
      <w:r w:rsidRPr="00BD518D">
        <w:t xml:space="preserve">Wolff, R. F., Moons, K. G. M., Riley, R. D., Whiting, P. F., Westwood, M., Collins, G. S., Reitsma, J. B., Kleijnen, J., &amp; Mallett, S. (2019). PROBAST: A Tool to Assess the Risk of Bias and Applicability of Prediction Model Studies. </w:t>
      </w:r>
      <w:r w:rsidRPr="00BD518D">
        <w:rPr>
          <w:i/>
        </w:rPr>
        <w:t>Annals of Internal Medicine</w:t>
      </w:r>
      <w:r w:rsidRPr="00BD518D">
        <w:t>,</w:t>
      </w:r>
      <w:r w:rsidRPr="00BD518D">
        <w:rPr>
          <w:i/>
        </w:rPr>
        <w:t xml:space="preserve"> 170</w:t>
      </w:r>
      <w:r w:rsidRPr="00BD518D">
        <w:t xml:space="preserve">(1), 51-58. </w:t>
      </w:r>
      <w:hyperlink r:id="rId14" w:history="1">
        <w:r w:rsidRPr="00BD518D">
          <w:rPr>
            <w:rStyle w:val="Hyperlink"/>
          </w:rPr>
          <w:t>https://doi.org/10.7326/M18-1376</w:t>
        </w:r>
      </w:hyperlink>
      <w:r w:rsidRPr="00BD518D">
        <w:t xml:space="preserve"> </w:t>
      </w:r>
    </w:p>
    <w:p w14:paraId="40B70E40" w14:textId="76EC3325" w:rsidR="005A16A8" w:rsidRDefault="005E390B" w:rsidP="00BD518D">
      <w:r>
        <w:fldChar w:fldCharType="end"/>
      </w:r>
    </w:p>
    <w:sectPr w:rsidR="005A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3"/>
  </w:num>
  <w:num w:numId="2" w16cid:durableId="80956303">
    <w:abstractNumId w:val="4"/>
  </w:num>
  <w:num w:numId="3" w16cid:durableId="916523447">
    <w:abstractNumId w:val="0"/>
  </w:num>
  <w:num w:numId="4" w16cid:durableId="899752773">
    <w:abstractNumId w:val="2"/>
  </w:num>
  <w:num w:numId="5" w16cid:durableId="26137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3&lt;/item&gt;&lt;item&gt;5&lt;/item&gt;&lt;item&gt;6&lt;/item&gt;&lt;item&gt;7&lt;/item&gt;&lt;item&gt;8&lt;/item&gt;&lt;item&gt;9&lt;/item&gt;&lt;item&gt;10&lt;/item&gt;&lt;item&gt;11&lt;/item&gt;&lt;item&gt;12&lt;/item&gt;&lt;/record-ids&gt;&lt;/item&gt;&lt;/Libraries&gt;"/>
  </w:docVars>
  <w:rsids>
    <w:rsidRoot w:val="003A07ED"/>
    <w:rsid w:val="00006F7E"/>
    <w:rsid w:val="000A2C2B"/>
    <w:rsid w:val="000D6F22"/>
    <w:rsid w:val="000E2706"/>
    <w:rsid w:val="00131564"/>
    <w:rsid w:val="001A2C37"/>
    <w:rsid w:val="001B23EC"/>
    <w:rsid w:val="001B4456"/>
    <w:rsid w:val="001F6798"/>
    <w:rsid w:val="002D43C5"/>
    <w:rsid w:val="002F5BEA"/>
    <w:rsid w:val="003A07ED"/>
    <w:rsid w:val="003B2AED"/>
    <w:rsid w:val="003D5B00"/>
    <w:rsid w:val="0042272E"/>
    <w:rsid w:val="004562CC"/>
    <w:rsid w:val="00466579"/>
    <w:rsid w:val="0052249B"/>
    <w:rsid w:val="00565485"/>
    <w:rsid w:val="00586337"/>
    <w:rsid w:val="00593014"/>
    <w:rsid w:val="0059333E"/>
    <w:rsid w:val="00595D09"/>
    <w:rsid w:val="00597FAF"/>
    <w:rsid w:val="005A16A8"/>
    <w:rsid w:val="005E272B"/>
    <w:rsid w:val="005E390B"/>
    <w:rsid w:val="006813D8"/>
    <w:rsid w:val="00683B15"/>
    <w:rsid w:val="006A2A6A"/>
    <w:rsid w:val="006F3E23"/>
    <w:rsid w:val="00727775"/>
    <w:rsid w:val="00786B70"/>
    <w:rsid w:val="008038FB"/>
    <w:rsid w:val="0083133F"/>
    <w:rsid w:val="008F2547"/>
    <w:rsid w:val="00926102"/>
    <w:rsid w:val="00933341"/>
    <w:rsid w:val="00946237"/>
    <w:rsid w:val="00974F78"/>
    <w:rsid w:val="00985F6E"/>
    <w:rsid w:val="009C5CE1"/>
    <w:rsid w:val="00A7429D"/>
    <w:rsid w:val="00A8711B"/>
    <w:rsid w:val="00B15E63"/>
    <w:rsid w:val="00B570FB"/>
    <w:rsid w:val="00B80768"/>
    <w:rsid w:val="00B85434"/>
    <w:rsid w:val="00BD518D"/>
    <w:rsid w:val="00C0562C"/>
    <w:rsid w:val="00C40C0C"/>
    <w:rsid w:val="00C605CE"/>
    <w:rsid w:val="00C72A2F"/>
    <w:rsid w:val="00CC6FB2"/>
    <w:rsid w:val="00CD12DE"/>
    <w:rsid w:val="00CF3354"/>
    <w:rsid w:val="00D330F9"/>
    <w:rsid w:val="00D33681"/>
    <w:rsid w:val="00D36FE9"/>
    <w:rsid w:val="00D4570E"/>
    <w:rsid w:val="00D6580F"/>
    <w:rsid w:val="00DA770E"/>
    <w:rsid w:val="00DE62D1"/>
    <w:rsid w:val="00E04CE2"/>
    <w:rsid w:val="00E158D7"/>
    <w:rsid w:val="00E47A3D"/>
    <w:rsid w:val="00E573F5"/>
    <w:rsid w:val="00F239F5"/>
    <w:rsid w:val="00FB4677"/>
    <w:rsid w:val="00FC6E27"/>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67-020-02366-0" TargetMode="External"/><Relationship Id="rId13" Type="http://schemas.openxmlformats.org/officeDocument/2006/relationships/hyperlink" Target="https://doi.org/https://doi.org/10.1016/j.semradonc.2011.12.006" TargetMode="External"/><Relationship Id="rId3" Type="http://schemas.openxmlformats.org/officeDocument/2006/relationships/settings" Target="settings.xml"/><Relationship Id="rId7" Type="http://schemas.openxmlformats.org/officeDocument/2006/relationships/hyperlink" Target="https://doi.org/https://doi.org/10.1016/S1470-2045(14)71021-6" TargetMode="External"/><Relationship Id="rId12" Type="http://schemas.openxmlformats.org/officeDocument/2006/relationships/hyperlink" Target="https://doi.org/https://doi.org/10.1016/j.radonc.2015.11.0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ontiersin.org/articles/10.3389/fcell.2021.762478" TargetMode="External"/><Relationship Id="rId11" Type="http://schemas.openxmlformats.org/officeDocument/2006/relationships/hyperlink" Target="https://doi.org/10.1016/j.radonc.2007.05.002" TargetMode="External"/><Relationship Id="rId5" Type="http://schemas.openxmlformats.org/officeDocument/2006/relationships/hyperlink" Target="https://doi.org/10.1038/sj.bjc.6605450" TargetMode="External"/><Relationship Id="rId15" Type="http://schemas.openxmlformats.org/officeDocument/2006/relationships/fontTable" Target="fontTable.xml"/><Relationship Id="rId10" Type="http://schemas.openxmlformats.org/officeDocument/2006/relationships/hyperlink" Target="https://doi.org/10.1371/journal.pmed.1001744" TargetMode="External"/><Relationship Id="rId4" Type="http://schemas.openxmlformats.org/officeDocument/2006/relationships/webSettings" Target="webSettings.xml"/><Relationship Id="rId9" Type="http://schemas.openxmlformats.org/officeDocument/2006/relationships/hyperlink" Target="https://doi.org/10.1158/0008-5472.CAN-10-3061" TargetMode="External"/><Relationship Id="rId14" Type="http://schemas.openxmlformats.org/officeDocument/2006/relationships/hyperlink" Target="https://doi.org/10.7326/M18-1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14</cp:revision>
  <dcterms:created xsi:type="dcterms:W3CDTF">2024-01-02T20:15:00Z</dcterms:created>
  <dcterms:modified xsi:type="dcterms:W3CDTF">2024-01-05T03:12:00Z</dcterms:modified>
</cp:coreProperties>
</file>