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1C5E" w14:textId="6CE24C2B" w:rsidR="00CA6938" w:rsidRPr="00D3512B" w:rsidRDefault="00D3512B" w:rsidP="00D3512B">
      <w:pPr>
        <w:jc w:val="center"/>
        <w:rPr>
          <w:rFonts w:cs="Arial"/>
          <w:sz w:val="22"/>
          <w:szCs w:val="22"/>
        </w:rPr>
      </w:pPr>
      <w:r w:rsidRPr="00D3512B">
        <w:rPr>
          <w:rFonts w:cs="Arial"/>
          <w:sz w:val="22"/>
          <w:szCs w:val="22"/>
        </w:rPr>
        <w:t>Review of Literature</w:t>
      </w:r>
    </w:p>
    <w:p w14:paraId="4090F193" w14:textId="7315E08A" w:rsidR="00D3512B" w:rsidRPr="00D3512B" w:rsidRDefault="00D3512B" w:rsidP="00D3512B">
      <w:pPr>
        <w:jc w:val="center"/>
        <w:rPr>
          <w:rFonts w:cs="Arial"/>
          <w:sz w:val="22"/>
          <w:szCs w:val="22"/>
        </w:rPr>
      </w:pPr>
      <w:r w:rsidRPr="00D3512B">
        <w:rPr>
          <w:rFonts w:cs="Arial"/>
          <w:sz w:val="22"/>
          <w:szCs w:val="22"/>
        </w:rPr>
        <w:t>Reprogramming to Beta Cells for Type 1 Diabetes</w:t>
      </w:r>
    </w:p>
    <w:p w14:paraId="295409B1" w14:textId="18049303" w:rsidR="00D3512B" w:rsidRPr="00D3512B" w:rsidRDefault="00D3512B">
      <w:pPr>
        <w:rPr>
          <w:rFonts w:cs="Arial"/>
          <w:sz w:val="22"/>
          <w:szCs w:val="22"/>
        </w:rPr>
      </w:pPr>
    </w:p>
    <w:p w14:paraId="006A0294" w14:textId="532BC276" w:rsidR="00D3512B" w:rsidRPr="00D3512B" w:rsidRDefault="00D3512B" w:rsidP="00D3512B">
      <w:pPr>
        <w:pStyle w:val="Heading1"/>
      </w:pPr>
      <w:r w:rsidRPr="00D3512B">
        <w:t>History of reprogramming stem cells to beta cells</w:t>
      </w:r>
    </w:p>
    <w:p w14:paraId="3A7E3872" w14:textId="77777777" w:rsidR="00D3512B" w:rsidRDefault="00D3512B">
      <w:pPr>
        <w:rPr>
          <w:rFonts w:cs="Arial"/>
          <w:color w:val="212121"/>
          <w:sz w:val="22"/>
          <w:szCs w:val="22"/>
          <w:shd w:val="clear" w:color="auto" w:fill="FFFFFF"/>
        </w:rPr>
      </w:pPr>
    </w:p>
    <w:p w14:paraId="0288870D" w14:textId="132B5509" w:rsidR="00D3512B" w:rsidRPr="00D3512B" w:rsidRDefault="00D3512B">
      <w:pPr>
        <w:rPr>
          <w:rFonts w:cs="Arial"/>
          <w:sz w:val="22"/>
          <w:szCs w:val="22"/>
        </w:rPr>
      </w:pPr>
      <w:r w:rsidRPr="00D3512B">
        <w:rPr>
          <w:rFonts w:cs="Arial"/>
          <w:color w:val="212121"/>
          <w:sz w:val="22"/>
          <w:szCs w:val="22"/>
          <w:shd w:val="clear" w:color="auto" w:fill="FFFFFF"/>
        </w:rPr>
        <w:t xml:space="preserve">The main approach for differentiating stem cells into beta cells is by adherent cell culture with progressive, stepwise lineage commitment while using combinations of cues added to the culture medium. Using such an in vitro lineage differentiation approach, </w:t>
      </w:r>
      <w:proofErr w:type="spellStart"/>
      <w:r w:rsidRPr="00D3512B">
        <w:rPr>
          <w:rFonts w:cs="Arial"/>
          <w:color w:val="212121"/>
          <w:sz w:val="22"/>
          <w:szCs w:val="22"/>
          <w:shd w:val="clear" w:color="auto" w:fill="FFFFFF"/>
        </w:rPr>
        <w:t>D’Amour</w:t>
      </w:r>
      <w:proofErr w:type="spellEnd"/>
      <w:r w:rsidRPr="00D3512B">
        <w:rPr>
          <w:rFonts w:cs="Arial"/>
          <w:color w:val="212121"/>
          <w:sz w:val="22"/>
          <w:szCs w:val="22"/>
          <w:shd w:val="clear" w:color="auto" w:fill="FFFFFF"/>
        </w:rPr>
        <w:t xml:space="preserve"> et al. were the first to succeed in robust induction of definitive endoderm differentiation [</w:t>
      </w:r>
      <w:hyperlink r:id="rId4" w:anchor="B47-cells-10-00191" w:history="1">
        <w:r w:rsidRPr="00D3512B">
          <w:rPr>
            <w:rStyle w:val="Hyperlink"/>
            <w:rFonts w:cs="Arial"/>
            <w:color w:val="376FAA"/>
            <w:sz w:val="22"/>
            <w:szCs w:val="22"/>
            <w:shd w:val="clear" w:color="auto" w:fill="FFFFFF"/>
          </w:rPr>
          <w:t>47</w:t>
        </w:r>
      </w:hyperlink>
      <w:r w:rsidRPr="00D3512B">
        <w:rPr>
          <w:rFonts w:cs="Arial"/>
          <w:color w:val="212121"/>
          <w:sz w:val="22"/>
          <w:szCs w:val="22"/>
          <w:shd w:val="clear" w:color="auto" w:fill="FFFFFF"/>
        </w:rPr>
        <w:t>], with subsequent generation of pancreatic endocrine hormone-producing cells [</w:t>
      </w:r>
      <w:hyperlink r:id="rId5" w:anchor="B48-cells-10-00191" w:history="1">
        <w:r w:rsidRPr="00D3512B">
          <w:rPr>
            <w:rStyle w:val="Hyperlink"/>
            <w:rFonts w:cs="Arial"/>
            <w:color w:val="376FAA"/>
            <w:sz w:val="22"/>
            <w:szCs w:val="22"/>
            <w:shd w:val="clear" w:color="auto" w:fill="FFFFFF"/>
          </w:rPr>
          <w:t>48</w:t>
        </w:r>
      </w:hyperlink>
      <w:r w:rsidRPr="00D3512B">
        <w:rPr>
          <w:rFonts w:cs="Arial"/>
          <w:color w:val="212121"/>
          <w:sz w:val="22"/>
          <w:szCs w:val="22"/>
          <w:shd w:val="clear" w:color="auto" w:fill="FFFFFF"/>
        </w:rPr>
        <w:t>]. However, the endocrine cells that were generated were mainly polyhormonal (e.g., insulin and glucagon co-expressing cells) that are more akin to immature islet cells [</w:t>
      </w:r>
      <w:hyperlink r:id="rId6" w:anchor="B49-cells-10-00191" w:history="1">
        <w:r w:rsidRPr="00D3512B">
          <w:rPr>
            <w:rStyle w:val="Hyperlink"/>
            <w:rFonts w:cs="Arial"/>
            <w:color w:val="376FAA"/>
            <w:sz w:val="22"/>
            <w:szCs w:val="22"/>
            <w:shd w:val="clear" w:color="auto" w:fill="FFFFFF"/>
          </w:rPr>
          <w:t>49</w:t>
        </w:r>
      </w:hyperlink>
      <w:r w:rsidRPr="00D3512B">
        <w:rPr>
          <w:rFonts w:cs="Arial"/>
          <w:color w:val="212121"/>
          <w:sz w:val="22"/>
          <w:szCs w:val="22"/>
          <w:shd w:val="clear" w:color="auto" w:fill="FFFFFF"/>
        </w:rPr>
        <w:t>]. The resulting insulin-expressing cells also lacked the essential beta cell transcription factors NKX6.1 and PDX1 [</w:t>
      </w:r>
      <w:hyperlink r:id="rId7" w:anchor="B50-cells-10-00191" w:history="1">
        <w:r w:rsidRPr="00D3512B">
          <w:rPr>
            <w:rStyle w:val="Hyperlink"/>
            <w:rFonts w:cs="Arial"/>
            <w:color w:val="376FAA"/>
            <w:sz w:val="22"/>
            <w:szCs w:val="22"/>
            <w:shd w:val="clear" w:color="auto" w:fill="FFFFFF"/>
          </w:rPr>
          <w:t>50</w:t>
        </w:r>
      </w:hyperlink>
      <w:r w:rsidRPr="00D3512B">
        <w:rPr>
          <w:rFonts w:cs="Arial"/>
          <w:color w:val="212121"/>
          <w:sz w:val="22"/>
          <w:szCs w:val="22"/>
          <w:shd w:val="clear" w:color="auto" w:fill="FFFFFF"/>
        </w:rPr>
        <w:t xml:space="preserve">]. Over the ensuing years, strategies have been devised and optimized in order to generate </w:t>
      </w:r>
      <w:proofErr w:type="spellStart"/>
      <w:r w:rsidRPr="00D3512B">
        <w:rPr>
          <w:rFonts w:cs="Arial"/>
          <w:color w:val="212121"/>
          <w:sz w:val="22"/>
          <w:szCs w:val="22"/>
          <w:shd w:val="clear" w:color="auto" w:fill="FFFFFF"/>
        </w:rPr>
        <w:t>monohormonal</w:t>
      </w:r>
      <w:proofErr w:type="spellEnd"/>
      <w:r w:rsidRPr="00D3512B">
        <w:rPr>
          <w:rFonts w:cs="Arial"/>
          <w:color w:val="212121"/>
          <w:sz w:val="22"/>
          <w:szCs w:val="22"/>
          <w:shd w:val="clear" w:color="auto" w:fill="FFFFFF"/>
        </w:rPr>
        <w:t xml:space="preserve"> insulin-expressing cells that co-express NKX6.1 and PDX1 by modifying the composition and timing of growth factor and small molecule addition [</w:t>
      </w:r>
      <w:hyperlink r:id="rId8" w:anchor="B51-cells-10-00191" w:history="1">
        <w:r w:rsidRPr="00D3512B">
          <w:rPr>
            <w:rStyle w:val="Hyperlink"/>
            <w:rFonts w:cs="Arial"/>
            <w:color w:val="376FAA"/>
            <w:sz w:val="22"/>
            <w:szCs w:val="22"/>
            <w:shd w:val="clear" w:color="auto" w:fill="FFFFFF"/>
          </w:rPr>
          <w:t>51</w:t>
        </w:r>
      </w:hyperlink>
      <w:r w:rsidRPr="00D3512B">
        <w:rPr>
          <w:rFonts w:cs="Arial"/>
          <w:color w:val="212121"/>
          <w:sz w:val="22"/>
          <w:szCs w:val="22"/>
          <w:shd w:val="clear" w:color="auto" w:fill="FFFFFF"/>
        </w:rPr>
        <w:t>,</w:t>
      </w:r>
      <w:hyperlink r:id="rId9" w:anchor="B52-cells-10-00191" w:history="1">
        <w:r w:rsidRPr="00D3512B">
          <w:rPr>
            <w:rStyle w:val="Hyperlink"/>
            <w:rFonts w:cs="Arial"/>
            <w:color w:val="376FAA"/>
            <w:sz w:val="22"/>
            <w:szCs w:val="22"/>
            <w:shd w:val="clear" w:color="auto" w:fill="FFFFFF"/>
          </w:rPr>
          <w:t>52</w:t>
        </w:r>
      </w:hyperlink>
      <w:r w:rsidRPr="00D3512B">
        <w:rPr>
          <w:rFonts w:cs="Arial"/>
          <w:color w:val="212121"/>
          <w:sz w:val="22"/>
          <w:szCs w:val="22"/>
          <w:shd w:val="clear" w:color="auto" w:fill="FFFFFF"/>
        </w:rPr>
        <w:t>,</w:t>
      </w:r>
      <w:hyperlink r:id="rId10" w:anchor="B53-cells-10-00191" w:history="1">
        <w:r w:rsidRPr="00D3512B">
          <w:rPr>
            <w:rStyle w:val="Hyperlink"/>
            <w:rFonts w:cs="Arial"/>
            <w:color w:val="376FAA"/>
            <w:sz w:val="22"/>
            <w:szCs w:val="22"/>
            <w:shd w:val="clear" w:color="auto" w:fill="FFFFFF"/>
          </w:rPr>
          <w:t>53</w:t>
        </w:r>
      </w:hyperlink>
      <w:r w:rsidRPr="00D3512B">
        <w:rPr>
          <w:rFonts w:cs="Arial"/>
          <w:color w:val="212121"/>
          <w:sz w:val="22"/>
          <w:szCs w:val="22"/>
          <w:shd w:val="clear" w:color="auto" w:fill="FFFFFF"/>
        </w:rPr>
        <w:t xml:space="preserve">]. In 2014, </w:t>
      </w:r>
      <w:proofErr w:type="spellStart"/>
      <w:r w:rsidRPr="00D3512B">
        <w:rPr>
          <w:rFonts w:cs="Arial"/>
          <w:color w:val="212121"/>
          <w:sz w:val="22"/>
          <w:szCs w:val="22"/>
          <w:shd w:val="clear" w:color="auto" w:fill="FFFFFF"/>
        </w:rPr>
        <w:t>Rezania</w:t>
      </w:r>
      <w:proofErr w:type="spellEnd"/>
      <w:r w:rsidRPr="00D3512B">
        <w:rPr>
          <w:rFonts w:cs="Arial"/>
          <w:color w:val="212121"/>
          <w:sz w:val="22"/>
          <w:szCs w:val="22"/>
          <w:shd w:val="clear" w:color="auto" w:fill="FFFFFF"/>
        </w:rPr>
        <w:t xml:space="preserve"> et al. [</w:t>
      </w:r>
      <w:hyperlink r:id="rId11" w:anchor="B53-cells-10-00191" w:history="1">
        <w:r w:rsidRPr="00D3512B">
          <w:rPr>
            <w:rStyle w:val="Hyperlink"/>
            <w:rFonts w:cs="Arial"/>
            <w:color w:val="376FAA"/>
            <w:sz w:val="22"/>
            <w:szCs w:val="22"/>
            <w:shd w:val="clear" w:color="auto" w:fill="FFFFFF"/>
          </w:rPr>
          <w:t>53</w:t>
        </w:r>
      </w:hyperlink>
      <w:r w:rsidRPr="00D3512B">
        <w:rPr>
          <w:rFonts w:cs="Arial"/>
          <w:color w:val="212121"/>
          <w:sz w:val="22"/>
          <w:szCs w:val="22"/>
          <w:shd w:val="clear" w:color="auto" w:fill="FFFFFF"/>
        </w:rPr>
        <w:t xml:space="preserve">] and </w:t>
      </w:r>
      <w:proofErr w:type="spellStart"/>
      <w:r w:rsidRPr="00D3512B">
        <w:rPr>
          <w:rFonts w:cs="Arial"/>
          <w:color w:val="212121"/>
          <w:sz w:val="22"/>
          <w:szCs w:val="22"/>
          <w:shd w:val="clear" w:color="auto" w:fill="FFFFFF"/>
        </w:rPr>
        <w:t>Pagliuca</w:t>
      </w:r>
      <w:proofErr w:type="spellEnd"/>
      <w:r w:rsidRPr="00D3512B">
        <w:rPr>
          <w:rFonts w:cs="Arial"/>
          <w:color w:val="212121"/>
          <w:sz w:val="22"/>
          <w:szCs w:val="22"/>
          <w:shd w:val="clear" w:color="auto" w:fill="FFFFFF"/>
        </w:rPr>
        <w:t xml:space="preserve"> et al. [</w:t>
      </w:r>
      <w:hyperlink r:id="rId12" w:anchor="B52-cells-10-00191" w:history="1">
        <w:r w:rsidRPr="00D3512B">
          <w:rPr>
            <w:rStyle w:val="Hyperlink"/>
            <w:rFonts w:cs="Arial"/>
            <w:color w:val="376FAA"/>
            <w:sz w:val="22"/>
            <w:szCs w:val="22"/>
            <w:shd w:val="clear" w:color="auto" w:fill="FFFFFF"/>
          </w:rPr>
          <w:t>52</w:t>
        </w:r>
      </w:hyperlink>
      <w:r w:rsidRPr="00D3512B">
        <w:rPr>
          <w:rFonts w:cs="Arial"/>
          <w:color w:val="212121"/>
          <w:sz w:val="22"/>
          <w:szCs w:val="22"/>
          <w:shd w:val="clear" w:color="auto" w:fill="FFFFFF"/>
        </w:rPr>
        <w:t>] reported the successful generation of functional stem cell-derived beta-like cells that possessed many beta cell-specific traits, including glucose-responsive insulin secretion. Importantly, the transplantation of these cells was able to reverse diabetes in mice. However, the beta-like cells that were generated by these protocols [</w:t>
      </w:r>
      <w:hyperlink r:id="rId13" w:anchor="B52-cells-10-00191" w:history="1">
        <w:r w:rsidRPr="00D3512B">
          <w:rPr>
            <w:rStyle w:val="Hyperlink"/>
            <w:rFonts w:cs="Arial"/>
            <w:color w:val="376FAA"/>
            <w:sz w:val="22"/>
            <w:szCs w:val="22"/>
            <w:shd w:val="clear" w:color="auto" w:fill="FFFFFF"/>
          </w:rPr>
          <w:t>52</w:t>
        </w:r>
      </w:hyperlink>
      <w:r w:rsidRPr="00D3512B">
        <w:rPr>
          <w:rFonts w:cs="Arial"/>
          <w:color w:val="212121"/>
          <w:sz w:val="22"/>
          <w:szCs w:val="22"/>
          <w:shd w:val="clear" w:color="auto" w:fill="FFFFFF"/>
        </w:rPr>
        <w:t>,</w:t>
      </w:r>
      <w:hyperlink r:id="rId14" w:anchor="B53-cells-10-00191" w:history="1">
        <w:r w:rsidRPr="00D3512B">
          <w:rPr>
            <w:rStyle w:val="Hyperlink"/>
            <w:rFonts w:cs="Arial"/>
            <w:color w:val="376FAA"/>
            <w:sz w:val="22"/>
            <w:szCs w:val="22"/>
            <w:shd w:val="clear" w:color="auto" w:fill="FFFFFF"/>
          </w:rPr>
          <w:t>53</w:t>
        </w:r>
      </w:hyperlink>
      <w:r w:rsidRPr="00D3512B">
        <w:rPr>
          <w:rFonts w:cs="Arial"/>
          <w:color w:val="212121"/>
          <w:sz w:val="22"/>
          <w:szCs w:val="22"/>
          <w:shd w:val="clear" w:color="auto" w:fill="FFFFFF"/>
        </w:rPr>
        <w:t>] and follow-up studies [</w:t>
      </w:r>
      <w:hyperlink r:id="rId15" w:anchor="B51-cells-10-00191" w:history="1">
        <w:r w:rsidRPr="00D3512B">
          <w:rPr>
            <w:rStyle w:val="Hyperlink"/>
            <w:rFonts w:cs="Arial"/>
            <w:color w:val="376FAA"/>
            <w:sz w:val="22"/>
            <w:szCs w:val="22"/>
            <w:shd w:val="clear" w:color="auto" w:fill="FFFFFF"/>
          </w:rPr>
          <w:t>51</w:t>
        </w:r>
      </w:hyperlink>
      <w:r w:rsidRPr="00D3512B">
        <w:rPr>
          <w:rFonts w:cs="Arial"/>
          <w:color w:val="212121"/>
          <w:sz w:val="22"/>
          <w:szCs w:val="22"/>
          <w:shd w:val="clear" w:color="auto" w:fill="FFFFFF"/>
        </w:rPr>
        <w:t>,</w:t>
      </w:r>
      <w:hyperlink r:id="rId16" w:anchor="B54-cells-10-00191" w:history="1">
        <w:r w:rsidRPr="00D3512B">
          <w:rPr>
            <w:rStyle w:val="Hyperlink"/>
            <w:rFonts w:cs="Arial"/>
            <w:color w:val="376FAA"/>
            <w:sz w:val="22"/>
            <w:szCs w:val="22"/>
            <w:shd w:val="clear" w:color="auto" w:fill="FFFFFF"/>
          </w:rPr>
          <w:t>54</w:t>
        </w:r>
      </w:hyperlink>
      <w:r w:rsidRPr="00D3512B">
        <w:rPr>
          <w:rFonts w:cs="Arial"/>
          <w:color w:val="212121"/>
          <w:sz w:val="22"/>
          <w:szCs w:val="22"/>
          <w:shd w:val="clear" w:color="auto" w:fill="FFFFFF"/>
        </w:rPr>
        <w:t>,</w:t>
      </w:r>
      <w:hyperlink r:id="rId17" w:anchor="B55-cells-10-00191" w:history="1">
        <w:r w:rsidRPr="00D3512B">
          <w:rPr>
            <w:rStyle w:val="Hyperlink"/>
            <w:rFonts w:cs="Arial"/>
            <w:color w:val="376FAA"/>
            <w:sz w:val="22"/>
            <w:szCs w:val="22"/>
            <w:shd w:val="clear" w:color="auto" w:fill="FFFFFF"/>
          </w:rPr>
          <w:t>55</w:t>
        </w:r>
      </w:hyperlink>
      <w:r w:rsidRPr="00D3512B">
        <w:rPr>
          <w:rFonts w:cs="Arial"/>
          <w:color w:val="212121"/>
          <w:sz w:val="22"/>
          <w:szCs w:val="22"/>
          <w:shd w:val="clear" w:color="auto" w:fill="FFFFFF"/>
        </w:rPr>
        <w:t>,</w:t>
      </w:r>
      <w:hyperlink r:id="rId18" w:anchor="B56-cells-10-00191" w:history="1">
        <w:r w:rsidRPr="00D3512B">
          <w:rPr>
            <w:rStyle w:val="Hyperlink"/>
            <w:rFonts w:cs="Arial"/>
            <w:color w:val="376FAA"/>
            <w:sz w:val="22"/>
            <w:szCs w:val="22"/>
            <w:shd w:val="clear" w:color="auto" w:fill="FFFFFF"/>
          </w:rPr>
          <w:t>56</w:t>
        </w:r>
      </w:hyperlink>
      <w:r w:rsidRPr="00D3512B">
        <w:rPr>
          <w:rFonts w:cs="Arial"/>
          <w:color w:val="212121"/>
          <w:sz w:val="22"/>
          <w:szCs w:val="22"/>
          <w:shd w:val="clear" w:color="auto" w:fill="FFFFFF"/>
        </w:rPr>
        <w:t>] still displayed poor glucose-induced insulin secretion when compared to human islets.</w:t>
      </w:r>
    </w:p>
    <w:sectPr w:rsidR="00D3512B" w:rsidRPr="00D3512B" w:rsidSect="00F7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2B"/>
    <w:rsid w:val="0001568E"/>
    <w:rsid w:val="00051B69"/>
    <w:rsid w:val="00061128"/>
    <w:rsid w:val="000623F6"/>
    <w:rsid w:val="00083AE6"/>
    <w:rsid w:val="00092BF6"/>
    <w:rsid w:val="000B08A5"/>
    <w:rsid w:val="000B72A1"/>
    <w:rsid w:val="000C2C38"/>
    <w:rsid w:val="000D344E"/>
    <w:rsid w:val="001128B9"/>
    <w:rsid w:val="0014570E"/>
    <w:rsid w:val="00173B58"/>
    <w:rsid w:val="00174E60"/>
    <w:rsid w:val="001D795D"/>
    <w:rsid w:val="001F07BA"/>
    <w:rsid w:val="001F66DD"/>
    <w:rsid w:val="002409FE"/>
    <w:rsid w:val="00273E80"/>
    <w:rsid w:val="00293FF8"/>
    <w:rsid w:val="002E11BB"/>
    <w:rsid w:val="00322885"/>
    <w:rsid w:val="003268F9"/>
    <w:rsid w:val="00362E4F"/>
    <w:rsid w:val="00397ECD"/>
    <w:rsid w:val="003B3D96"/>
    <w:rsid w:val="003C3A7B"/>
    <w:rsid w:val="003F6734"/>
    <w:rsid w:val="00403611"/>
    <w:rsid w:val="00407142"/>
    <w:rsid w:val="00442F87"/>
    <w:rsid w:val="004802C6"/>
    <w:rsid w:val="00496E34"/>
    <w:rsid w:val="004A6ABF"/>
    <w:rsid w:val="004B39B3"/>
    <w:rsid w:val="004C5F2F"/>
    <w:rsid w:val="004D128A"/>
    <w:rsid w:val="004D7098"/>
    <w:rsid w:val="004E018D"/>
    <w:rsid w:val="004F19E4"/>
    <w:rsid w:val="004F6818"/>
    <w:rsid w:val="00550C37"/>
    <w:rsid w:val="0057564E"/>
    <w:rsid w:val="005C3505"/>
    <w:rsid w:val="005C3A4A"/>
    <w:rsid w:val="006250EF"/>
    <w:rsid w:val="006323B1"/>
    <w:rsid w:val="00632566"/>
    <w:rsid w:val="006751FC"/>
    <w:rsid w:val="006A39A9"/>
    <w:rsid w:val="006C3AE5"/>
    <w:rsid w:val="006E1B24"/>
    <w:rsid w:val="00705663"/>
    <w:rsid w:val="00756EA3"/>
    <w:rsid w:val="00760005"/>
    <w:rsid w:val="007601DE"/>
    <w:rsid w:val="007A5010"/>
    <w:rsid w:val="007F789D"/>
    <w:rsid w:val="0085057D"/>
    <w:rsid w:val="0085343E"/>
    <w:rsid w:val="00871905"/>
    <w:rsid w:val="0089613D"/>
    <w:rsid w:val="008B5194"/>
    <w:rsid w:val="008C7DC5"/>
    <w:rsid w:val="008F5F3B"/>
    <w:rsid w:val="00910872"/>
    <w:rsid w:val="009233E2"/>
    <w:rsid w:val="00930BA8"/>
    <w:rsid w:val="00953301"/>
    <w:rsid w:val="00964FDF"/>
    <w:rsid w:val="00976761"/>
    <w:rsid w:val="0098289D"/>
    <w:rsid w:val="009838D5"/>
    <w:rsid w:val="009D1D7F"/>
    <w:rsid w:val="009E1DF1"/>
    <w:rsid w:val="00A144E9"/>
    <w:rsid w:val="00A4208F"/>
    <w:rsid w:val="00A646B9"/>
    <w:rsid w:val="00A66B0A"/>
    <w:rsid w:val="00AB24C3"/>
    <w:rsid w:val="00AB48AB"/>
    <w:rsid w:val="00AB7C2C"/>
    <w:rsid w:val="00BD3374"/>
    <w:rsid w:val="00C04DA5"/>
    <w:rsid w:val="00C543B6"/>
    <w:rsid w:val="00C8033C"/>
    <w:rsid w:val="00C94681"/>
    <w:rsid w:val="00CA6938"/>
    <w:rsid w:val="00CB7C85"/>
    <w:rsid w:val="00CC04EE"/>
    <w:rsid w:val="00CF00FC"/>
    <w:rsid w:val="00CF6122"/>
    <w:rsid w:val="00D13AFA"/>
    <w:rsid w:val="00D27E16"/>
    <w:rsid w:val="00D3512B"/>
    <w:rsid w:val="00D45EC5"/>
    <w:rsid w:val="00D60ABF"/>
    <w:rsid w:val="00D83CB7"/>
    <w:rsid w:val="00D84A30"/>
    <w:rsid w:val="00DC0FA4"/>
    <w:rsid w:val="00DD61A7"/>
    <w:rsid w:val="00DF2E19"/>
    <w:rsid w:val="00E13321"/>
    <w:rsid w:val="00E96139"/>
    <w:rsid w:val="00EB5AF8"/>
    <w:rsid w:val="00EE6BC6"/>
    <w:rsid w:val="00F20E6A"/>
    <w:rsid w:val="00F47335"/>
    <w:rsid w:val="00F77A85"/>
    <w:rsid w:val="00FF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CE091"/>
  <w15:chartTrackingRefBased/>
  <w15:docId w15:val="{2B1D842A-ACF4-F842-8FC8-B3CEE0E2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12B"/>
    <w:pPr>
      <w:outlineLvl w:val="0"/>
    </w:pPr>
    <w:rPr>
      <w:rFonts w:cs="Arial"/>
      <w:b/>
      <w:bCs/>
      <w:color w:val="212121"/>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12B"/>
    <w:rPr>
      <w:color w:val="0000FF"/>
      <w:u w:val="single"/>
    </w:rPr>
  </w:style>
  <w:style w:type="character" w:customStyle="1" w:styleId="Heading1Char">
    <w:name w:val="Heading 1 Char"/>
    <w:basedOn w:val="DefaultParagraphFont"/>
    <w:link w:val="Heading1"/>
    <w:uiPriority w:val="9"/>
    <w:rsid w:val="00D3512B"/>
    <w:rPr>
      <w:rFonts w:cs="Arial"/>
      <w:b/>
      <w:bCs/>
      <w:color w:val="2121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835995/" TargetMode="External"/><Relationship Id="rId13" Type="http://schemas.openxmlformats.org/officeDocument/2006/relationships/hyperlink" Target="https://www.ncbi.nlm.nih.gov/pmc/articles/PMC7835995/" TargetMode="External"/><Relationship Id="rId18" Type="http://schemas.openxmlformats.org/officeDocument/2006/relationships/hyperlink" Target="https://www.ncbi.nlm.nih.gov/pmc/articles/PMC7835995/" TargetMode="External"/><Relationship Id="rId3" Type="http://schemas.openxmlformats.org/officeDocument/2006/relationships/webSettings" Target="webSettings.xml"/><Relationship Id="rId7" Type="http://schemas.openxmlformats.org/officeDocument/2006/relationships/hyperlink" Target="https://www.ncbi.nlm.nih.gov/pmc/articles/PMC7835995/" TargetMode="External"/><Relationship Id="rId12" Type="http://schemas.openxmlformats.org/officeDocument/2006/relationships/hyperlink" Target="https://www.ncbi.nlm.nih.gov/pmc/articles/PMC7835995/" TargetMode="External"/><Relationship Id="rId17" Type="http://schemas.openxmlformats.org/officeDocument/2006/relationships/hyperlink" Target="https://www.ncbi.nlm.nih.gov/pmc/articles/PMC7835995/" TargetMode="External"/><Relationship Id="rId2" Type="http://schemas.openxmlformats.org/officeDocument/2006/relationships/settings" Target="settings.xml"/><Relationship Id="rId16" Type="http://schemas.openxmlformats.org/officeDocument/2006/relationships/hyperlink" Target="https://www.ncbi.nlm.nih.gov/pmc/articles/PMC783599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7835995/" TargetMode="External"/><Relationship Id="rId11" Type="http://schemas.openxmlformats.org/officeDocument/2006/relationships/hyperlink" Target="https://www.ncbi.nlm.nih.gov/pmc/articles/PMC7835995/" TargetMode="External"/><Relationship Id="rId5" Type="http://schemas.openxmlformats.org/officeDocument/2006/relationships/hyperlink" Target="https://www.ncbi.nlm.nih.gov/pmc/articles/PMC7835995/" TargetMode="External"/><Relationship Id="rId15" Type="http://schemas.openxmlformats.org/officeDocument/2006/relationships/hyperlink" Target="https://www.ncbi.nlm.nih.gov/pmc/articles/PMC7835995/" TargetMode="External"/><Relationship Id="rId10" Type="http://schemas.openxmlformats.org/officeDocument/2006/relationships/hyperlink" Target="https://www.ncbi.nlm.nih.gov/pmc/articles/PMC7835995/" TargetMode="External"/><Relationship Id="rId19" Type="http://schemas.openxmlformats.org/officeDocument/2006/relationships/fontTable" Target="fontTable.xml"/><Relationship Id="rId4" Type="http://schemas.openxmlformats.org/officeDocument/2006/relationships/hyperlink" Target="https://www.ncbi.nlm.nih.gov/pmc/articles/PMC7835995/" TargetMode="External"/><Relationship Id="rId9" Type="http://schemas.openxmlformats.org/officeDocument/2006/relationships/hyperlink" Target="https://www.ncbi.nlm.nih.gov/pmc/articles/PMC7835995/" TargetMode="External"/><Relationship Id="rId14" Type="http://schemas.openxmlformats.org/officeDocument/2006/relationships/hyperlink" Target="https://www.ncbi.nlm.nih.gov/pmc/articles/PMC7835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Maddox</dc:creator>
  <cp:keywords/>
  <dc:description/>
  <cp:lastModifiedBy>Sarah Maddox</cp:lastModifiedBy>
  <cp:revision>1</cp:revision>
  <dcterms:created xsi:type="dcterms:W3CDTF">2023-06-01T17:43:00Z</dcterms:created>
  <dcterms:modified xsi:type="dcterms:W3CDTF">2023-06-01T17:52:00Z</dcterms:modified>
</cp:coreProperties>
</file>