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1D1A"/>
          <w:sz w:val="40"/>
        </w:rPr>
        <w:t>Understanding Uncertainty — Reading Roadmap (Aug 25 – Oct 1, 2026)</w:t>
      </w:r>
    </w:p>
    <w:p>
      <w:r>
        <w:rPr>
          <w:b w:val="0"/>
          <w:i/>
          <w:color w:val="4A4740"/>
          <w:sz w:val="21"/>
        </w:rPr>
        <w:t>A prep-reading map for the current schedule. Primary reading is Larry Wasserman's</w:t>
      </w:r>
      <w:r>
        <w:rPr>
          <w:b w:val="0"/>
          <w:i/>
          <w:color w:val="4A4740"/>
          <w:sz w:val="21"/>
        </w:rPr>
        <w:t xml:space="preserve"> All of Statistics </w:t>
      </w:r>
      <w:r>
        <w:rPr>
          <w:b w:val="0"/>
          <w:i/>
          <w:color w:val="4A4740"/>
          <w:sz w:val="21"/>
        </w:rPr>
        <w:t>(2004); for more mathematical depth, Casella &amp; Berger's</w:t>
      </w:r>
      <w:r>
        <w:rPr>
          <w:b w:val="0"/>
          <w:i/>
          <w:color w:val="4A4740"/>
          <w:sz w:val="21"/>
        </w:rPr>
        <w:t xml:space="preserve"> Statistical Inference </w:t>
      </w:r>
      <w:r>
        <w:rPr>
          <w:b w:val="0"/>
          <w:i/>
          <w:color w:val="4A4740"/>
          <w:sz w:val="21"/>
        </w:rPr>
        <w:t>(2002) is cited where it's actually relevant; intuition and in-class visuals are drawn from Grinstead &amp; Snell's</w:t>
      </w:r>
      <w:r>
        <w:rPr>
          <w:b w:val="0"/>
          <w:i/>
          <w:color w:val="4A4740"/>
          <w:sz w:val="21"/>
        </w:rPr>
        <w:t xml:space="preserve"> Introduction to Probability</w:t>
      </w:r>
      <w:r>
        <w:rPr>
          <w:b w:val="0"/>
          <w:i/>
          <w:color w:val="4A4740"/>
          <w:sz w:val="21"/>
        </w:rPr>
        <w:t>, Efron &amp; Hastie's</w:t>
      </w:r>
      <w:r>
        <w:rPr>
          <w:b w:val="0"/>
          <w:i/>
          <w:color w:val="4A4740"/>
          <w:sz w:val="21"/>
        </w:rPr>
        <w:t xml:space="preserve"> Computer Age Statistical Inference </w:t>
      </w:r>
      <w:r>
        <w:rPr>
          <w:b w:val="0"/>
          <w:i/>
          <w:color w:val="4A4740"/>
          <w:sz w:val="21"/>
        </w:rPr>
        <w:t>(CASI), Gelman, Hill &amp; Vehtari's</w:t>
      </w:r>
      <w:r>
        <w:rPr>
          <w:b w:val="0"/>
          <w:i/>
          <w:color w:val="4A4740"/>
          <w:sz w:val="21"/>
        </w:rPr>
        <w:t xml:space="preserve"> Regression and Other Stories </w:t>
      </w:r>
      <w:r>
        <w:rPr>
          <w:b w:val="0"/>
          <w:i/>
          <w:color w:val="4A4740"/>
          <w:sz w:val="21"/>
        </w:rPr>
        <w:t>(ROS), and David Spiegelhalter's</w:t>
      </w:r>
      <w:r>
        <w:rPr>
          <w:b w:val="0"/>
          <w:i/>
          <w:color w:val="4A4740"/>
          <w:sz w:val="21"/>
        </w:rPr>
        <w:t xml:space="preserve"> The Art of Statistics </w:t>
      </w:r>
      <w:r>
        <w:rPr>
          <w:b w:val="0"/>
          <w:i/>
          <w:color w:val="4A4740"/>
          <w:sz w:val="21"/>
        </w:rPr>
        <w:t>— the last for in-class display, not assigned reading. Every chapter and figure number below was confirmed against an actual copy — the five already on hand as PDFs (Wasserman, Grinstead &amp; Snell, CASI, Casella &amp; Berger, and Penguin's own official sample of Spiegelhalter) were read directly; ROS was checked against its official public companion site (</w:t>
      </w:r>
      <w:r>
        <w:rPr>
          <w:rFonts w:ascii="Consolas" w:hAnsi="Consolas"/>
          <w:b w:val="0"/>
          <w:i/>
          <w:color w:val="4A4740"/>
          <w:sz w:val="21"/>
        </w:rPr>
        <w:t>avehtari.github.io/ROS-Examples</w:t>
      </w:r>
      <w:r>
        <w:rPr>
          <w:b w:val="0"/>
          <w:i/>
          <w:color w:val="4A4740"/>
          <w:sz w:val="21"/>
        </w:rPr>
        <w:t xml:space="preserve">) rather than a local copy, since no local copy exists and the only one findable online was an unauthorized upload I deliberately did not use. Nothing here touches the site or the source repo; this is a planning document only, and it lives only in this </w:t>
      </w:r>
      <w:r>
        <w:rPr>
          <w:rFonts w:ascii="Consolas" w:hAnsi="Consolas"/>
          <w:b w:val="0"/>
          <w:i/>
          <w:color w:val="4A4740"/>
          <w:sz w:val="21"/>
        </w:rPr>
        <w:t>Understanding Uncertainty</w:t>
      </w:r>
      <w:r>
        <w:rPr>
          <w:b w:val="0"/>
          <w:i/>
          <w:color w:val="4A4740"/>
          <w:sz w:val="21"/>
        </w:rPr>
        <w:t xml:space="preserve"> folder — I checked the read-only </w:t>
      </w:r>
      <w:r>
        <w:rPr>
          <w:rFonts w:ascii="Consolas" w:hAnsi="Consolas"/>
          <w:b w:val="0"/>
          <w:i/>
          <w:color w:val="4A4740"/>
          <w:sz w:val="21"/>
        </w:rPr>
        <w:t>uu_fa26</w:t>
      </w:r>
      <w:r>
        <w:rPr>
          <w:b w:val="0"/>
          <w:i/>
          <w:color w:val="4A4740"/>
          <w:sz w:val="21"/>
        </w:rPr>
        <w:t xml:space="preserve"> source repo and confirmed no copy exists there.</w:t>
      </w:r>
    </w:p>
    <w:p>
      <w:r>
        <w:rPr>
          <w:b/>
          <w:sz w:val="21"/>
        </w:rPr>
        <w:t xml:space="preserve">How to read the table: </w:t>
      </w:r>
      <w:r>
        <w:rPr>
          <w:b w:val="0"/>
          <w:i w:val="0"/>
          <w:sz w:val="21"/>
        </w:rPr>
        <w:t xml:space="preserve">"Primary" and "Supporting" (both Wasserman) are the default assigned reading. "C&amp;B (more rigor)" is optional, for anyone who wants the fuller derivation — Casella &amp; Berger is a proof-heavy graduate text, not a substitute for Wasserman, and several of our topics simply aren't in it. "Intuition" points to a specific passage in Grinstead &amp; Snell, CASI, or Spiegelhalter that explains the idea in plain language </w:t>
      </w:r>
      <w:r>
        <w:rPr>
          <w:b w:val="0"/>
          <w:i/>
          <w:sz w:val="21"/>
        </w:rPr>
        <w:t>before</w:t>
      </w:r>
      <w:r>
        <w:rPr>
          <w:b w:val="0"/>
          <w:i w:val="0"/>
          <w:sz w:val="21"/>
        </w:rPr>
        <w:t xml:space="preserve"> the formalism — real sections of real books, described in my own words, not quoted at length. "Visual supplements" are specific, real figures from Grinstead &amp; Snell, CASI, ROS, and Spiegelhalter, worth pulling up during class — Spiegelhalter's are marked </w:t>
      </w:r>
      <w:r>
        <w:rPr>
          <w:b/>
          <w:i w:val="0"/>
          <w:sz w:val="21"/>
        </w:rPr>
        <w:t>(sample)</w:t>
      </w:r>
      <w:r>
        <w:rPr>
          <w:b w:val="0"/>
          <w:i w:val="0"/>
          <w:sz w:val="21"/>
        </w:rPr>
        <w:t xml:space="preserve"> where the figure is inside the free 45-page Penguin preview you can open right now, or </w:t>
      </w:r>
      <w:r>
        <w:rPr>
          <w:b/>
          <w:i w:val="0"/>
          <w:sz w:val="21"/>
        </w:rPr>
        <w:t>(full book)</w:t>
      </w:r>
      <w:r>
        <w:rPr>
          <w:b w:val="0"/>
          <w:i w:val="0"/>
          <w:sz w:val="21"/>
        </w:rPr>
        <w:t xml:space="preserve"> where it's real but requires the actual book. "Notebook source" is the actual </w:t>
      </w:r>
      <w:r>
        <w:rPr>
          <w:rFonts w:ascii="Consolas" w:hAnsi="Consolas"/>
          <w:b w:val="0"/>
          <w:i w:val="0"/>
          <w:color w:val="8B2C1B"/>
          <w:sz w:val="21"/>
        </w:rPr>
        <w:t>uu_fa26</w:t>
      </w:r>
      <w:r>
        <w:rPr>
          <w:b w:val="0"/>
          <w:i w:val="0"/>
          <w:sz w:val="21"/>
        </w:rPr>
        <w:t xml:space="preserve"> file the class is built from.</w:t>
      </w:r>
    </w:p>
    <w:p>
      <w:pPr>
        <w:sectPr>
          <w:pgSz w:w="12240" w:h="15840"/>
          <w:pgMar w:top="1152" w:right="1440" w:bottom="1152" w:left="1440" w:header="720" w:footer="720" w:gutter="0"/>
          <w:cols w:space="720"/>
          <w:docGrid w:linePitch="360"/>
        </w:sectPr>
      </w:pPr>
    </w:p>
    <w:tbl>
      <w:tblPr>
        <w:tblW w:type="auto" w:w="0"/>
        <w:jc w:val="center"/>
        <w:tblLayout w:type="fixed"/>
        <w:tblLook w:firstColumn="1" w:firstRow="1" w:lastColumn="0" w:lastRow="0" w:noHBand="0" w:noVBand="1" w:val="04A0"/>
      </w:tblPr>
      <w:tblGrid>
        <w:gridCol w:w="1800"/>
        <w:gridCol w:w="1800"/>
        <w:gridCol w:w="1800"/>
        <w:gridCol w:w="1800"/>
        <w:gridCol w:w="1800"/>
        <w:gridCol w:w="1800"/>
        <w:gridCol w:w="1800"/>
        <w:gridCol w:w="1800"/>
      </w:tblGrid>
      <w:tr>
        <w:trPr>
          <w:tblHeader w:val="true"/>
        </w:trPr>
        <w:tc>
          <w:tcPr>
            <w:tcW w:type="dxa" w:w="696"/>
            <w:shd w:val="clear" w:color="auto" w:fill="6B4A3A"/>
          </w:tcPr>
          <w:p>
            <w:r>
              <w:rPr>
                <w:b/>
                <w:color w:val="FFFFFF"/>
                <w:sz w:val="19"/>
              </w:rPr>
              <w:t>Date</w:t>
            </w:r>
          </w:p>
        </w:tc>
        <w:tc>
          <w:tcPr>
            <w:tcW w:type="dxa" w:w="1315"/>
            <w:shd w:val="clear" w:color="auto" w:fill="6B4A3A"/>
          </w:tcPr>
          <w:p>
            <w:r>
              <w:rPr>
                <w:b/>
                <w:color w:val="FFFFFF"/>
                <w:sz w:val="19"/>
              </w:rPr>
              <w:t>Topic</w:t>
            </w:r>
          </w:p>
        </w:tc>
        <w:tc>
          <w:tcPr>
            <w:tcW w:type="dxa" w:w="1625"/>
            <w:shd w:val="clear" w:color="auto" w:fill="6B4A3A"/>
          </w:tcPr>
          <w:p>
            <w:r>
              <w:rPr>
                <w:b/>
                <w:color w:val="FFFFFF"/>
                <w:sz w:val="19"/>
              </w:rPr>
              <w:t>Primary (Wasserman)</w:t>
            </w:r>
          </w:p>
        </w:tc>
        <w:tc>
          <w:tcPr>
            <w:tcW w:type="dxa" w:w="1934"/>
            <w:shd w:val="clear" w:color="auto" w:fill="6B4A3A"/>
          </w:tcPr>
          <w:p>
            <w:r>
              <w:rPr>
                <w:b/>
                <w:color w:val="FFFFFF"/>
                <w:sz w:val="19"/>
              </w:rPr>
              <w:t>Supporting (Wasserman)</w:t>
            </w:r>
          </w:p>
        </w:tc>
        <w:tc>
          <w:tcPr>
            <w:tcW w:type="dxa" w:w="1934"/>
            <w:shd w:val="clear" w:color="auto" w:fill="6B4A3A"/>
          </w:tcPr>
          <w:p>
            <w:r>
              <w:rPr>
                <w:b/>
                <w:color w:val="FFFFFF"/>
                <w:sz w:val="19"/>
              </w:rPr>
              <w:t>C&amp;B (more rigor)</w:t>
            </w:r>
          </w:p>
        </w:tc>
        <w:tc>
          <w:tcPr>
            <w:tcW w:type="dxa" w:w="2553"/>
            <w:shd w:val="clear" w:color="auto" w:fill="6B4A3A"/>
          </w:tcPr>
          <w:p>
            <w:r>
              <w:rPr>
                <w:b/>
                <w:color w:val="FFFFFF"/>
                <w:sz w:val="19"/>
              </w:rPr>
              <w:t>Intuition</w:t>
            </w:r>
          </w:p>
        </w:tc>
        <w:tc>
          <w:tcPr>
            <w:tcW w:type="dxa" w:w="3559"/>
            <w:shd w:val="clear" w:color="auto" w:fill="6B4A3A"/>
          </w:tcPr>
          <w:p>
            <w:r>
              <w:rPr>
                <w:b/>
                <w:color w:val="FFFFFF"/>
                <w:sz w:val="19"/>
              </w:rPr>
              <w:t>Visual supplements</w:t>
            </w:r>
          </w:p>
        </w:tc>
        <w:tc>
          <w:tcPr>
            <w:tcW w:type="dxa" w:w="1934"/>
            <w:shd w:val="clear" w:color="auto" w:fill="6B4A3A"/>
          </w:tcPr>
          <w:p>
            <w:r>
              <w:rPr>
                <w:b/>
                <w:color w:val="FFFFFF"/>
                <w:sz w:val="19"/>
              </w:rPr>
              <w:t>Notebook source</w:t>
            </w:r>
          </w:p>
        </w:tc>
      </w:tr>
      <w:tr>
        <w:tc>
          <w:tcPr>
            <w:tcW w:type="dxa" w:w="696"/>
            <w:tcBorders>
              <w:top w:val="single" w:sz="4" w:space="0" w:color="BFBFBF"/>
              <w:bottom w:val="single" w:sz="4" w:space="0" w:color="BFBFBF"/>
            </w:tcBorders>
          </w:tcPr>
          <w:p>
            <w:r>
              <w:rPr>
                <w:b w:val="0"/>
                <w:i w:val="0"/>
                <w:sz w:val="18"/>
              </w:rPr>
              <w:t>8/25</w:t>
            </w:r>
          </w:p>
        </w:tc>
        <w:tc>
          <w:tcPr>
            <w:tcW w:type="dxa" w:w="1315"/>
            <w:tcBorders>
              <w:top w:val="single" w:sz="4" w:space="0" w:color="BFBFBF"/>
              <w:bottom w:val="single" w:sz="4" w:space="0" w:color="BFBFBF"/>
            </w:tcBorders>
          </w:tcPr>
          <w:p>
            <w:r>
              <w:rPr>
                <w:b w:val="0"/>
                <w:i w:val="0"/>
                <w:sz w:val="18"/>
              </w:rPr>
              <w:t>Data wrangling + EDA</w:t>
            </w:r>
          </w:p>
        </w:tc>
        <w:tc>
          <w:tcPr>
            <w:tcW w:type="dxa" w:w="1625"/>
            <w:tcBorders>
              <w:top w:val="single" w:sz="4" w:space="0" w:color="BFBFBF"/>
              <w:bottom w:val="single" w:sz="4" w:space="0" w:color="BFBFBF"/>
            </w:tcBorders>
          </w:tcPr>
          <w:p>
            <w:r>
              <w:rPr>
                <w:b w:val="0"/>
                <w:i/>
                <w:sz w:val="18"/>
              </w:rPr>
              <w:t>(none)</w:t>
            </w:r>
          </w:p>
        </w:tc>
        <w:tc>
          <w:tcPr>
            <w:tcW w:type="dxa" w:w="1934"/>
            <w:tcBorders>
              <w:top w:val="single" w:sz="4" w:space="0" w:color="BFBFBF"/>
              <w:bottom w:val="single" w:sz="4" w:space="0" w:color="BFBFBF"/>
            </w:tcBorders>
          </w:tcPr>
          <w:p>
            <w:r>
              <w:rPr>
                <w:b w:val="0"/>
                <w:i w:val="0"/>
                <w:sz w:val="18"/>
              </w:rPr>
              <w:t>Ch. 3 (Expectation) for the mean/variance/covariance formulas EDA leans on</w:t>
            </w:r>
          </w:p>
        </w:tc>
        <w:tc>
          <w:tcPr>
            <w:tcW w:type="dxa" w:w="1934"/>
            <w:tcBorders>
              <w:top w:val="single" w:sz="4" w:space="0" w:color="BFBFBF"/>
              <w:bottom w:val="single" w:sz="4" w:space="0" w:color="BFBFBF"/>
            </w:tcBorders>
          </w:tcPr>
          <w:p>
            <w:r>
              <w:rPr>
                <w:b w:val="0"/>
                <w:i/>
                <w:sz w:val="18"/>
              </w:rPr>
              <w:t>(not covered)</w:t>
            </w:r>
          </w:p>
        </w:tc>
        <w:tc>
          <w:tcPr>
            <w:tcW w:type="dxa" w:w="2553"/>
            <w:tcBorders>
              <w:top w:val="single" w:sz="4" w:space="0" w:color="BFBFBF"/>
              <w:bottom w:val="single" w:sz="4" w:space="0" w:color="BFBFBF"/>
            </w:tcBorders>
          </w:tcPr>
          <w:p>
            <w:r>
              <w:rPr>
                <w:b/>
                <w:i w:val="0"/>
                <w:sz w:val="18"/>
              </w:rPr>
              <w:t>Spiegelhalter, Introduction, "Turning the World Into Data,"</w:t>
            </w:r>
            <w:r>
              <w:rPr>
                <w:b w:val="0"/>
                <w:i w:val="0"/>
                <w:sz w:val="18"/>
              </w:rPr>
              <w:t xml:space="preserve"> pp.7–12 — several pages, before any statistics, on how hard it is to even define one countable "thing" (the running example: how many trees are on the planet), making the point that data collection is already a judgment call</w:t>
            </w:r>
          </w:p>
        </w:tc>
        <w:tc>
          <w:tcPr>
            <w:tcW w:type="dxa" w:w="3559"/>
            <w:tcBorders>
              <w:top w:val="single" w:sz="4" w:space="0" w:color="BFBFBF"/>
              <w:bottom w:val="single" w:sz="4" w:space="0" w:color="BFBFBF"/>
            </w:tcBorders>
          </w:tcPr>
          <w:p>
            <w:r>
              <w:rPr>
                <w:b/>
                <w:i w:val="0"/>
                <w:sz w:val="18"/>
              </w:rPr>
              <w:t>Spiegelhalter (sample)</w:t>
            </w:r>
            <w:r>
              <w:rPr>
                <w:b w:val="0"/>
                <w:i w:val="0"/>
                <w:sz w:val="18"/>
              </w:rPr>
              <w:t xml:space="preserve"> Figs 0.1–0.2, p.3&amp;5 — the Harold Shipman case opens the book: a scatter-plot of victims' ages vs. year of death, and a time-of-day comparison line graph, both patterns obvious with zero formal analysis. </w:t>
            </w:r>
            <w:r>
              <w:rPr>
                <w:b/>
                <w:i w:val="0"/>
                <w:sz w:val="18"/>
              </w:rPr>
              <w:t>Fig 0.3</w:t>
            </w:r>
            <w:r>
              <w:rPr>
                <w:b w:val="0"/>
                <w:i w:val="0"/>
                <w:sz w:val="18"/>
              </w:rPr>
              <w:t xml:space="preserve">, p.14 — the PPDAC cycle (Problem→Plan→Data→Analysis→Conclusion), a one-diagram framework for the whole course. </w:t>
            </w:r>
            <w:r>
              <w:rPr>
                <w:b/>
                <w:i w:val="0"/>
                <w:sz w:val="18"/>
              </w:rPr>
              <w:t>Table 1.1 &amp; Fig 1.1</w:t>
            </w:r>
            <w:r>
              <w:rPr>
                <w:b w:val="0"/>
                <w:i w:val="0"/>
                <w:sz w:val="18"/>
              </w:rPr>
              <w:t>, p.23&amp;26 — real 13-hospital child-heart-surgery data, replotted with a truncated axis to show exactly how that choice exaggerates differences</w:t>
            </w:r>
          </w:p>
        </w:tc>
        <w:tc>
          <w:tcPr>
            <w:tcW w:type="dxa" w:w="1934"/>
            <w:tcBorders>
              <w:top w:val="single" w:sz="4" w:space="0" w:color="BFBFBF"/>
              <w:bottom w:val="single" w:sz="4" w:space="0" w:color="BFBFBF"/>
            </w:tcBorders>
          </w:tcPr>
          <w:p>
            <w:r>
              <w:rPr>
                <w:rFonts w:ascii="Consolas" w:hAnsi="Consolas"/>
                <w:b w:val="0"/>
                <w:i w:val="0"/>
                <w:color w:val="8B2C1B"/>
                <w:sz w:val="18"/>
              </w:rPr>
              <w:t>class_01/01_1_wrangling.ipynb</w:t>
            </w:r>
            <w:r>
              <w:rPr>
                <w:b w:val="0"/>
                <w:i w:val="0"/>
                <w:sz w:val="18"/>
              </w:rPr>
              <w:t xml:space="preserve">, </w:t>
            </w:r>
            <w:r>
              <w:rPr>
                <w:rFonts w:ascii="Consolas" w:hAnsi="Consolas"/>
                <w:b w:val="0"/>
                <w:i w:val="0"/>
                <w:color w:val="8B2C1B"/>
                <w:sz w:val="18"/>
              </w:rPr>
              <w:t>01_2_eda.ipynb</w:t>
            </w:r>
          </w:p>
        </w:tc>
      </w:tr>
      <w:tr>
        <w:tc>
          <w:tcPr>
            <w:tcW w:type="dxa" w:w="696"/>
            <w:tcBorders>
              <w:top w:val="single" w:sz="4" w:space="0" w:color="BFBFBF"/>
              <w:bottom w:val="single" w:sz="4" w:space="0" w:color="BFBFBF"/>
            </w:tcBorders>
          </w:tcPr>
          <w:p>
            <w:r>
              <w:rPr>
                <w:b w:val="0"/>
                <w:i w:val="0"/>
                <w:sz w:val="18"/>
              </w:rPr>
              <w:t>8/27</w:t>
            </w:r>
          </w:p>
        </w:tc>
        <w:tc>
          <w:tcPr>
            <w:tcW w:type="dxa" w:w="1315"/>
            <w:tcBorders>
              <w:top w:val="single" w:sz="4" w:space="0" w:color="BFBFBF"/>
              <w:bottom w:val="single" w:sz="4" w:space="0" w:color="BFBFBF"/>
            </w:tcBorders>
          </w:tcPr>
          <w:p>
            <w:r>
              <w:rPr>
                <w:b w:val="0"/>
                <w:i w:val="0"/>
                <w:sz w:val="18"/>
              </w:rPr>
              <w:t>Vectors and inner product</w:t>
            </w:r>
          </w:p>
        </w:tc>
        <w:tc>
          <w:tcPr>
            <w:tcW w:type="dxa" w:w="1625"/>
            <w:tcBorders>
              <w:top w:val="single" w:sz="4" w:space="0" w:color="BFBFBF"/>
              <w:bottom w:val="single" w:sz="4" w:space="0" w:color="BFBFBF"/>
            </w:tcBorders>
          </w:tcPr>
          <w:p>
            <w:r>
              <w:rPr>
                <w:b w:val="0"/>
                <w:i/>
                <w:sz w:val="18"/>
              </w:rPr>
              <w:t>(none)</w:t>
            </w:r>
          </w:p>
        </w:tc>
        <w:tc>
          <w:tcPr>
            <w:tcW w:type="dxa" w:w="1934"/>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b w:val="0"/>
                <w:i/>
                <w:sz w:val="18"/>
              </w:rPr>
              <w:t>(not covered)</w:t>
            </w:r>
          </w:p>
        </w:tc>
        <w:tc>
          <w:tcPr>
            <w:tcW w:type="dxa" w:w="2553"/>
            <w:tcBorders>
              <w:top w:val="single" w:sz="4" w:space="0" w:color="BFBFBF"/>
              <w:bottom w:val="single" w:sz="4" w:space="0" w:color="BFBFBF"/>
            </w:tcBorders>
          </w:tcPr>
          <w:p>
            <w:r>
              <w:rPr>
                <w:b w:val="0"/>
                <w:i/>
                <w:sz w:val="18"/>
              </w:rPr>
              <w:t>(not covered — none of these five books treat linear algebra intuitively either; it's assumed background everywhere)</w:t>
            </w:r>
          </w:p>
        </w:tc>
        <w:tc>
          <w:tcPr>
            <w:tcW w:type="dxa" w:w="3559"/>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rFonts w:ascii="Consolas" w:hAnsi="Consolas"/>
                <w:b w:val="0"/>
                <w:i w:val="0"/>
                <w:color w:val="8B2C1B"/>
                <w:sz w:val="18"/>
              </w:rPr>
              <w:t>class_02/02_1_vectors_and_matrices.ipynb</w:t>
            </w:r>
            <w:r>
              <w:rPr>
                <w:b w:val="0"/>
                <w:i w:val="0"/>
                <w:sz w:val="18"/>
              </w:rPr>
              <w:t xml:space="preserve">, </w:t>
            </w:r>
            <w:r>
              <w:rPr>
                <w:rFonts w:ascii="Consolas" w:hAnsi="Consolas"/>
                <w:b w:val="0"/>
                <w:i w:val="0"/>
                <w:color w:val="8B2C1B"/>
                <w:sz w:val="18"/>
              </w:rPr>
              <w:t>02_2_ortho.ipynb</w:t>
            </w:r>
          </w:p>
        </w:tc>
      </w:tr>
      <w:tr>
        <w:tc>
          <w:tcPr>
            <w:tcW w:type="dxa" w:w="696"/>
            <w:tcBorders>
              <w:top w:val="single" w:sz="4" w:space="0" w:color="BFBFBF"/>
              <w:bottom w:val="single" w:sz="4" w:space="0" w:color="BFBFBF"/>
            </w:tcBorders>
          </w:tcPr>
          <w:p>
            <w:r>
              <w:rPr>
                <w:b w:val="0"/>
                <w:i w:val="0"/>
                <w:sz w:val="18"/>
              </w:rPr>
              <w:t>9/1</w:t>
            </w:r>
          </w:p>
        </w:tc>
        <w:tc>
          <w:tcPr>
            <w:tcW w:type="dxa" w:w="1315"/>
            <w:tcBorders>
              <w:top w:val="single" w:sz="4" w:space="0" w:color="BFBFBF"/>
              <w:bottom w:val="single" w:sz="4" w:space="0" w:color="BFBFBF"/>
            </w:tcBorders>
          </w:tcPr>
          <w:p>
            <w:r>
              <w:rPr>
                <w:b w:val="0"/>
                <w:i w:val="0"/>
                <w:sz w:val="18"/>
              </w:rPr>
              <w:t>Probability Axioms &amp; random variables</w:t>
            </w:r>
          </w:p>
        </w:tc>
        <w:tc>
          <w:tcPr>
            <w:tcW w:type="dxa" w:w="1625"/>
            <w:tcBorders>
              <w:top w:val="single" w:sz="4" w:space="0" w:color="BFBFBF"/>
              <w:bottom w:val="single" w:sz="4" w:space="0" w:color="BFBFBF"/>
            </w:tcBorders>
          </w:tcPr>
          <w:p>
            <w:r>
              <w:rPr>
                <w:b w:val="0"/>
                <w:i w:val="0"/>
                <w:sz w:val="18"/>
              </w:rPr>
              <w:t>Ch. 1 + Ch. 2</w:t>
            </w:r>
          </w:p>
        </w:tc>
        <w:tc>
          <w:tcPr>
            <w:tcW w:type="dxa" w:w="1934"/>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b/>
                <w:i w:val="0"/>
                <w:sz w:val="18"/>
              </w:rPr>
              <w:t>Ch. 1, Probability Theory</w:t>
            </w:r>
            <w:r>
              <w:rPr>
                <w:b w:val="0"/>
                <w:i w:val="0"/>
                <w:sz w:val="18"/>
              </w:rPr>
              <w:t xml:space="preserve"> — same axioms/sets/conditional-probability material, slower and more rigorous</w:t>
            </w:r>
          </w:p>
        </w:tc>
        <w:tc>
          <w:tcPr>
            <w:tcW w:type="dxa" w:w="2553"/>
            <w:tcBorders>
              <w:top w:val="single" w:sz="4" w:space="0" w:color="BFBFBF"/>
              <w:bottom w:val="single" w:sz="4" w:space="0" w:color="BFBFBF"/>
            </w:tcBorders>
          </w:tcPr>
          <w:p>
            <w:r>
              <w:rPr>
                <w:b/>
                <w:i w:val="0"/>
                <w:sz w:val="18"/>
              </w:rPr>
              <w:t>Grinstead &amp; Snell §1.1, "Simulation of Discrete Probabilities"</w:t>
            </w:r>
            <w:r>
              <w:rPr>
                <w:b w:val="0"/>
                <w:i w:val="0"/>
                <w:sz w:val="18"/>
              </w:rPr>
              <w:t xml:space="preserve"> — the book opens with simulation, not axioms: build a weighted-outcomes model and run it on a computer first, and only state the formal probability axioms afterward in §1.2</w:t>
            </w:r>
          </w:p>
        </w:tc>
        <w:tc>
          <w:tcPr>
            <w:tcW w:type="dxa" w:w="3559"/>
            <w:tcBorders>
              <w:top w:val="single" w:sz="4" w:space="0" w:color="BFBFBF"/>
              <w:bottom w:val="single" w:sz="4" w:space="0" w:color="BFBFBF"/>
            </w:tcBorders>
          </w:tcPr>
          <w:p>
            <w:r>
              <w:rPr>
                <w:b/>
                <w:i w:val="0"/>
                <w:sz w:val="18"/>
              </w:rPr>
              <w:t>Spiegelhalter (full book)</w:t>
            </w:r>
            <w:r>
              <w:rPr>
                <w:b w:val="0"/>
                <w:i w:val="0"/>
                <w:sz w:val="18"/>
              </w:rPr>
              <w:t xml:space="preserve"> Ch. 8, "Probability — the Language of Uncertainty and Variability" — opens with a simulation of the 17th-century Chevalier de Méré dice problem, then builds expected-frequency trees for coin flips and for breast-cancer screening (a classic worked Bayes'-theorem example)</w:t>
            </w:r>
          </w:p>
        </w:tc>
        <w:tc>
          <w:tcPr>
            <w:tcW w:type="dxa" w:w="1934"/>
            <w:tcBorders>
              <w:top w:val="single" w:sz="4" w:space="0" w:color="BFBFBF"/>
              <w:bottom w:val="single" w:sz="4" w:space="0" w:color="BFBFBF"/>
            </w:tcBorders>
          </w:tcPr>
          <w:p>
            <w:r>
              <w:rPr>
                <w:rFonts w:ascii="Consolas" w:hAnsi="Consolas"/>
                <w:b w:val="0"/>
                <w:i w:val="0"/>
                <w:color w:val="8B2C1B"/>
                <w:sz w:val="18"/>
              </w:rPr>
              <w:t>class_03/03_1_probability.ipynb</w:t>
            </w:r>
            <w:r>
              <w:rPr>
                <w:b w:val="0"/>
                <w:i w:val="0"/>
                <w:sz w:val="18"/>
              </w:rPr>
              <w:t xml:space="preserve">, </w:t>
            </w:r>
            <w:r>
              <w:rPr>
                <w:rFonts w:ascii="Consolas" w:hAnsi="Consolas"/>
                <w:b w:val="0"/>
                <w:i w:val="0"/>
                <w:color w:val="8B2C1B"/>
                <w:sz w:val="18"/>
              </w:rPr>
              <w:t>03_2_random_variables.ipynb</w:t>
            </w:r>
          </w:p>
        </w:tc>
      </w:tr>
      <w:tr>
        <w:tc>
          <w:tcPr>
            <w:tcW w:type="dxa" w:w="696"/>
            <w:tcBorders>
              <w:top w:val="single" w:sz="4" w:space="0" w:color="BFBFBF"/>
              <w:bottom w:val="single" w:sz="4" w:space="0" w:color="BFBFBF"/>
            </w:tcBorders>
          </w:tcPr>
          <w:p>
            <w:r>
              <w:rPr>
                <w:b w:val="0"/>
                <w:i w:val="0"/>
                <w:sz w:val="18"/>
              </w:rPr>
              <w:t>9/3</w:t>
            </w:r>
          </w:p>
        </w:tc>
        <w:tc>
          <w:tcPr>
            <w:tcW w:type="dxa" w:w="1315"/>
            <w:tcBorders>
              <w:top w:val="single" w:sz="4" w:space="0" w:color="BFBFBF"/>
              <w:bottom w:val="single" w:sz="4" w:space="0" w:color="BFBFBF"/>
            </w:tcBorders>
          </w:tcPr>
          <w:p>
            <w:r>
              <w:rPr>
                <w:b w:val="0"/>
                <w:i w:val="0"/>
                <w:sz w:val="18"/>
              </w:rPr>
              <w:t>Learning from Data</w:t>
            </w:r>
          </w:p>
        </w:tc>
        <w:tc>
          <w:tcPr>
            <w:tcW w:type="dxa" w:w="1625"/>
            <w:tcBorders>
              <w:top w:val="single" w:sz="4" w:space="0" w:color="BFBFBF"/>
              <w:bottom w:val="single" w:sz="4" w:space="0" w:color="BFBFBF"/>
            </w:tcBorders>
          </w:tcPr>
          <w:p>
            <w:r>
              <w:rPr>
                <w:b w:val="0"/>
                <w:i w:val="0"/>
                <w:sz w:val="18"/>
              </w:rPr>
              <w:t>Ch. 6 (Models, Statistical Inference and Learning)</w:t>
            </w:r>
          </w:p>
        </w:tc>
        <w:tc>
          <w:tcPr>
            <w:tcW w:type="dxa" w:w="1934"/>
            <w:tcBorders>
              <w:top w:val="single" w:sz="4" w:space="0" w:color="BFBFBF"/>
              <w:bottom w:val="single" w:sz="4" w:space="0" w:color="BFBFBF"/>
            </w:tcBorders>
          </w:tcPr>
          <w:p>
            <w:r>
              <w:rPr>
                <w:b w:val="0"/>
                <w:i w:val="0"/>
                <w:sz w:val="18"/>
              </w:rPr>
              <w:t>Ch. 3 (Expectation) — the variance-of-the-mean proof this class walks through is exactly Ch. 3's machinery</w:t>
            </w:r>
          </w:p>
        </w:tc>
        <w:tc>
          <w:tcPr>
            <w:tcW w:type="dxa" w:w="1934"/>
            <w:tcBorders>
              <w:top w:val="single" w:sz="4" w:space="0" w:color="BFBFBF"/>
              <w:bottom w:val="single" w:sz="4" w:space="0" w:color="BFBFBF"/>
            </w:tcBorders>
          </w:tcPr>
          <w:p>
            <w:r>
              <w:rPr>
                <w:b/>
                <w:i w:val="0"/>
                <w:sz w:val="18"/>
              </w:rPr>
              <w:t>Ch. 5, Properties of a Random Sample</w:t>
            </w:r>
            <w:r>
              <w:rPr>
                <w:b w:val="0"/>
                <w:i w:val="0"/>
                <w:sz w:val="18"/>
              </w:rPr>
              <w:t xml:space="preserve"> — formally proves the sample mean's unbiasedness and variance from first principles (§5.1–5.2)</w:t>
            </w:r>
          </w:p>
        </w:tc>
        <w:tc>
          <w:tcPr>
            <w:tcW w:type="dxa" w:w="2553"/>
            <w:tcBorders>
              <w:top w:val="single" w:sz="4" w:space="0" w:color="BFBFBF"/>
              <w:bottom w:val="single" w:sz="4" w:space="0" w:color="BFBFBF"/>
            </w:tcBorders>
          </w:tcPr>
          <w:p>
            <w:r>
              <w:rPr>
                <w:b/>
                <w:i w:val="0"/>
                <w:sz w:val="18"/>
              </w:rPr>
              <w:t>Grinstead &amp; Snell, Ch. 8</w:t>
            </w:r>
            <w:r>
              <w:rPr>
                <w:b w:val="0"/>
                <w:i w:val="0"/>
                <w:sz w:val="18"/>
              </w:rPr>
              <w:t xml:space="preserve"> — the chapter is organized around its own guiding question, "why does long-run averaging work?", framing the Law of Large Numbers as the reason averaging can be trusted at all, ahead of any variance-of-the-mean algebra</w:t>
            </w:r>
          </w:p>
        </w:tc>
        <w:tc>
          <w:tcPr>
            <w:tcW w:type="dxa" w:w="3559"/>
            <w:tcBorders>
              <w:top w:val="single" w:sz="4" w:space="0" w:color="BFBFBF"/>
              <w:bottom w:val="single" w:sz="4" w:space="0" w:color="BFBFBF"/>
            </w:tcBorders>
          </w:tcPr>
          <w:p>
            <w:r>
              <w:rPr>
                <w:b/>
                <w:i w:val="0"/>
                <w:sz w:val="18"/>
              </w:rPr>
              <w:t>Grinstead &amp; Snell Fig. 8.1</w:t>
            </w:r>
            <w:r>
              <w:rPr>
                <w:b w:val="0"/>
                <w:i w:val="0"/>
                <w:sz w:val="18"/>
              </w:rPr>
              <w:t xml:space="preserve"> ("Bernoulli trials distributions") and </w:t>
            </w:r>
            <w:r>
              <w:rPr>
                <w:b/>
                <w:i w:val="0"/>
                <w:sz w:val="18"/>
              </w:rPr>
              <w:t>Fig. 8.2</w:t>
            </w:r>
            <w:r>
              <w:rPr>
                <w:b w:val="0"/>
                <w:i w:val="0"/>
                <w:sz w:val="18"/>
              </w:rPr>
              <w:t xml:space="preserve"> ("Illustration of Law of Large Numbers — uniform case") — watch the sample mean's own distribution narrow as n grows</w:t>
            </w:r>
          </w:p>
        </w:tc>
        <w:tc>
          <w:tcPr>
            <w:tcW w:type="dxa" w:w="1934"/>
            <w:tcBorders>
              <w:top w:val="single" w:sz="4" w:space="0" w:color="BFBFBF"/>
              <w:bottom w:val="single" w:sz="4" w:space="0" w:color="BFBFBF"/>
            </w:tcBorders>
          </w:tcPr>
          <w:p>
            <w:r>
              <w:rPr>
                <w:rFonts w:ascii="Consolas" w:hAnsi="Consolas"/>
                <w:b w:val="0"/>
                <w:i w:val="0"/>
                <w:color w:val="8B2C1B"/>
                <w:sz w:val="18"/>
              </w:rPr>
              <w:t>class_04/04_1_learning_from_data.ipynb</w:t>
            </w:r>
            <w:r>
              <w:rPr>
                <w:b w:val="0"/>
                <w:i w:val="0"/>
                <w:sz w:val="18"/>
              </w:rPr>
              <w:t xml:space="preserve">, </w:t>
            </w:r>
            <w:r>
              <w:rPr>
                <w:rFonts w:ascii="Consolas" w:hAnsi="Consolas"/>
                <w:b w:val="0"/>
                <w:i w:val="0"/>
                <w:color w:val="8B2C1B"/>
                <w:sz w:val="18"/>
              </w:rPr>
              <w:t>04_2_random_number_generation.ipynb</w:t>
            </w:r>
          </w:p>
        </w:tc>
      </w:tr>
      <w:tr>
        <w:tc>
          <w:tcPr>
            <w:tcW w:type="dxa" w:w="696"/>
            <w:tcBorders>
              <w:top w:val="single" w:sz="4" w:space="0" w:color="BFBFBF"/>
              <w:bottom w:val="single" w:sz="4" w:space="0" w:color="BFBFBF"/>
            </w:tcBorders>
          </w:tcPr>
          <w:p>
            <w:r>
              <w:rPr>
                <w:b w:val="0"/>
                <w:i w:val="0"/>
                <w:sz w:val="18"/>
              </w:rPr>
              <w:t>9/8</w:t>
            </w:r>
          </w:p>
        </w:tc>
        <w:tc>
          <w:tcPr>
            <w:tcW w:type="dxa" w:w="1315"/>
            <w:tcBorders>
              <w:top w:val="single" w:sz="4" w:space="0" w:color="BFBFBF"/>
              <w:bottom w:val="single" w:sz="4" w:space="0" w:color="BFBFBF"/>
            </w:tcBorders>
          </w:tcPr>
          <w:p>
            <w:r>
              <w:rPr>
                <w:b w:val="0"/>
                <w:i w:val="0"/>
                <w:sz w:val="18"/>
              </w:rPr>
              <w:t>Categorical Variables/Indicator</w:t>
            </w:r>
          </w:p>
        </w:tc>
        <w:tc>
          <w:tcPr>
            <w:tcW w:type="dxa" w:w="1625"/>
            <w:tcBorders>
              <w:top w:val="single" w:sz="4" w:space="0" w:color="BFBFBF"/>
              <w:bottom w:val="single" w:sz="4" w:space="0" w:color="BFBFBF"/>
            </w:tcBorders>
          </w:tcPr>
          <w:p>
            <w:r>
              <w:rPr>
                <w:b w:val="0"/>
                <w:i w:val="0"/>
                <w:sz w:val="18"/>
              </w:rPr>
              <w:t>Ch. 2 (Bernoulli/discrete catalog)</w:t>
            </w:r>
          </w:p>
        </w:tc>
        <w:tc>
          <w:tcPr>
            <w:tcW w:type="dxa" w:w="1934"/>
            <w:tcBorders>
              <w:top w:val="single" w:sz="4" w:space="0" w:color="BFBFBF"/>
              <w:bottom w:val="single" w:sz="4" w:space="0" w:color="BFBFBF"/>
            </w:tcBorders>
          </w:tcPr>
          <w:p>
            <w:r>
              <w:rPr>
                <w:b w:val="0"/>
                <w:i w:val="0"/>
                <w:sz w:val="18"/>
              </w:rPr>
              <w:t xml:space="preserve">Ch. 7 (Estimating the CDF) — </w:t>
            </w:r>
            <w:r>
              <w:rPr>
                <w:rFonts w:ascii="Consolas" w:hAnsi="Consolas"/>
                <w:b w:val="0"/>
                <w:i w:val="0"/>
                <w:color w:val="8B2C1B"/>
                <w:sz w:val="18"/>
              </w:rPr>
              <w:t>class_05</w:t>
            </w:r>
            <w:r>
              <w:rPr>
                <w:b w:val="0"/>
                <w:i w:val="0"/>
                <w:sz w:val="18"/>
              </w:rPr>
              <w:t>'s own notebook already derives the ECDF's unbiasedness and variance, a class early</w:t>
            </w:r>
          </w:p>
        </w:tc>
        <w:tc>
          <w:tcPr>
            <w:tcW w:type="dxa" w:w="1934"/>
            <w:tcBorders>
              <w:top w:val="single" w:sz="4" w:space="0" w:color="BFBFBF"/>
              <w:bottom w:val="single" w:sz="4" w:space="0" w:color="BFBFBF"/>
            </w:tcBorders>
          </w:tcPr>
          <w:p>
            <w:r>
              <w:rPr>
                <w:b/>
                <w:i w:val="0"/>
                <w:sz w:val="18"/>
              </w:rPr>
              <w:t>Ch. 3, Common Families of Distributions</w:t>
            </w:r>
            <w:r>
              <w:rPr>
                <w:b w:val="0"/>
                <w:i w:val="0"/>
                <w:sz w:val="18"/>
              </w:rPr>
              <w:t xml:space="preserve"> — the Bernoulli/binomial family, more derivation than Wasserman's catalog</w:t>
            </w:r>
          </w:p>
        </w:tc>
        <w:tc>
          <w:tcPr>
            <w:tcW w:type="dxa" w:w="2553"/>
            <w:tcBorders>
              <w:top w:val="single" w:sz="4" w:space="0" w:color="BFBFBF"/>
              <w:bottom w:val="single" w:sz="4" w:space="0" w:color="BFBFBF"/>
            </w:tcBorders>
          </w:tcPr>
          <w:p>
            <w:r>
              <w:rPr>
                <w:b/>
                <w:i w:val="0"/>
                <w:sz w:val="18"/>
              </w:rPr>
              <w:t>Spiegelhalter, Ch. 1, "Getting Things in Proportion,"</w:t>
            </w:r>
            <w:r>
              <w:rPr>
                <w:b w:val="0"/>
                <w:i w:val="0"/>
                <w:sz w:val="18"/>
              </w:rPr>
              <w:t xml:space="preserve"> pp.19–28 — builds the definitions of binary and categorical data entirely around one real story, the Bristol child-heart-surgery inquiry, and covers positive-vs-negative framing (99% survival vs. 1% mortality) rather than starting from set notation</w:t>
            </w:r>
          </w:p>
        </w:tc>
        <w:tc>
          <w:tcPr>
            <w:tcW w:type="dxa" w:w="3559"/>
            <w:tcBorders>
              <w:top w:val="single" w:sz="4" w:space="0" w:color="BFBFBF"/>
              <w:bottom w:val="single" w:sz="4" w:space="0" w:color="BFBFBF"/>
            </w:tcBorders>
          </w:tcPr>
          <w:p>
            <w:r>
              <w:rPr>
                <w:b/>
                <w:i w:val="0"/>
                <w:sz w:val="18"/>
              </w:rPr>
              <w:t>Spiegelhalter (full book)</w:t>
            </w:r>
            <w:r>
              <w:rPr>
                <w:b w:val="0"/>
                <w:i w:val="0"/>
                <w:sz w:val="18"/>
              </w:rPr>
              <w:t xml:space="preserve"> Figs 1.2–1.3 — the same hospital breakdown shown first as a pie chart, then as a bar chart, to make concrete why pie charts are hard to compare across categories</w:t>
            </w:r>
          </w:p>
        </w:tc>
        <w:tc>
          <w:tcPr>
            <w:tcW w:type="dxa" w:w="1934"/>
            <w:tcBorders>
              <w:top w:val="single" w:sz="4" w:space="0" w:color="BFBFBF"/>
              <w:bottom w:val="single" w:sz="4" w:space="0" w:color="BFBFBF"/>
            </w:tcBorders>
          </w:tcPr>
          <w:p>
            <w:r>
              <w:rPr>
                <w:rFonts w:ascii="Consolas" w:hAnsi="Consolas"/>
                <w:b w:val="0"/>
                <w:i w:val="0"/>
                <w:color w:val="8B2C1B"/>
                <w:sz w:val="18"/>
              </w:rPr>
              <w:t>class_05/01_categorical_variables.ipynb</w:t>
            </w:r>
            <w:r>
              <w:rPr>
                <w:b w:val="0"/>
                <w:i w:val="0"/>
                <w:sz w:val="18"/>
              </w:rPr>
              <w:t xml:space="preserve">, </w:t>
            </w:r>
            <w:r>
              <w:rPr>
                <w:rFonts w:ascii="Consolas" w:hAnsi="Consolas"/>
                <w:b w:val="0"/>
                <w:i w:val="0"/>
                <w:color w:val="8B2C1B"/>
                <w:sz w:val="18"/>
              </w:rPr>
              <w:t>02_numeric_variables.ipynb</w:t>
            </w:r>
          </w:p>
        </w:tc>
      </w:tr>
      <w:tr>
        <w:tc>
          <w:tcPr>
            <w:tcW w:type="dxa" w:w="696"/>
            <w:tcBorders>
              <w:top w:val="single" w:sz="4" w:space="0" w:color="BFBFBF"/>
              <w:bottom w:val="single" w:sz="4" w:space="0" w:color="BFBFBF"/>
            </w:tcBorders>
          </w:tcPr>
          <w:p>
            <w:r>
              <w:rPr>
                <w:b w:val="0"/>
                <w:i w:val="0"/>
                <w:sz w:val="18"/>
              </w:rPr>
              <w:t>9/10</w:t>
            </w:r>
          </w:p>
        </w:tc>
        <w:tc>
          <w:tcPr>
            <w:tcW w:type="dxa" w:w="1315"/>
            <w:tcBorders>
              <w:top w:val="single" w:sz="4" w:space="0" w:color="BFBFBF"/>
              <w:bottom w:val="single" w:sz="4" w:space="0" w:color="BFBFBF"/>
            </w:tcBorders>
          </w:tcPr>
          <w:p>
            <w:r>
              <w:rPr>
                <w:b w:val="0"/>
                <w:i w:val="0"/>
                <w:sz w:val="18"/>
              </w:rPr>
              <w:t>CDF/PDF</w:t>
            </w:r>
          </w:p>
        </w:tc>
        <w:tc>
          <w:tcPr>
            <w:tcW w:type="dxa" w:w="1625"/>
            <w:tcBorders>
              <w:top w:val="single" w:sz="4" w:space="0" w:color="BFBFBF"/>
              <w:bottom w:val="single" w:sz="4" w:space="0" w:color="BFBFBF"/>
            </w:tcBorders>
          </w:tcPr>
          <w:p>
            <w:r>
              <w:rPr>
                <w:b w:val="0"/>
                <w:i w:val="0"/>
                <w:sz w:val="18"/>
              </w:rPr>
              <w:t>Ch. 2 (CDF/PDF as objects, quantile function)</w:t>
            </w:r>
          </w:p>
        </w:tc>
        <w:tc>
          <w:tcPr>
            <w:tcW w:type="dxa" w:w="1934"/>
            <w:tcBorders>
              <w:top w:val="single" w:sz="4" w:space="0" w:color="BFBFBF"/>
              <w:bottom w:val="single" w:sz="4" w:space="0" w:color="BFBFBF"/>
            </w:tcBorders>
          </w:tcPr>
          <w:p>
            <w:r>
              <w:rPr>
                <w:b w:val="0"/>
                <w:i w:val="0"/>
                <w:sz w:val="18"/>
              </w:rPr>
              <w:t>Ch. 7 (Estimating the CDF) — the empirical/estimation side, carried from 9/8</w:t>
            </w:r>
          </w:p>
        </w:tc>
        <w:tc>
          <w:tcPr>
            <w:tcW w:type="dxa" w:w="1934"/>
            <w:tcBorders>
              <w:top w:val="single" w:sz="4" w:space="0" w:color="BFBFBF"/>
              <w:bottom w:val="single" w:sz="4" w:space="0" w:color="BFBFBF"/>
            </w:tcBorders>
          </w:tcPr>
          <w:p>
            <w:r>
              <w:rPr>
                <w:b/>
                <w:i w:val="0"/>
                <w:sz w:val="18"/>
              </w:rPr>
              <w:t>Ch. 1</w:t>
            </w:r>
            <w:r>
              <w:rPr>
                <w:b w:val="0"/>
                <w:i w:val="0"/>
                <w:sz w:val="18"/>
              </w:rPr>
              <w:t xml:space="preserve"> (distribution functions defined rigorously) + </w:t>
            </w:r>
            <w:r>
              <w:rPr>
                <w:b/>
                <w:i w:val="0"/>
                <w:sz w:val="18"/>
              </w:rPr>
              <w:t>Ch. 3</w:t>
            </w:r>
            <w:r>
              <w:rPr>
                <w:b w:val="0"/>
                <w:i w:val="0"/>
                <w:sz w:val="18"/>
              </w:rPr>
              <w:t xml:space="preserve"> (the named continuous distributions this class works through)</w:t>
            </w:r>
          </w:p>
        </w:tc>
        <w:tc>
          <w:tcPr>
            <w:tcW w:type="dxa" w:w="2553"/>
            <w:tcBorders>
              <w:top w:val="single" w:sz="4" w:space="0" w:color="BFBFBF"/>
              <w:bottom w:val="single" w:sz="4" w:space="0" w:color="BFBFBF"/>
            </w:tcBorders>
          </w:tcPr>
          <w:p>
            <w:r>
              <w:rPr>
                <w:b/>
                <w:i w:val="0"/>
                <w:sz w:val="18"/>
              </w:rPr>
              <w:t>Grinstead &amp; Snell, Ch. 1 vs. Ch. 2</w:t>
            </w:r>
            <w:r>
              <w:rPr>
                <w:b w:val="0"/>
                <w:i w:val="0"/>
                <w:sz w:val="18"/>
              </w:rPr>
              <w:t xml:space="preserve"> — the two chapters are deliberately paired around parallel questions, "how do we assign probabilities to outcomes we can list" (discrete) against "what happens when outcomes form a continuum" (continuous), so a CDF/density pair reads as one idea worked twice rather than two unrelated objects</w:t>
            </w:r>
          </w:p>
        </w:tc>
        <w:tc>
          <w:tcPr>
            <w:tcW w:type="dxa" w:w="3559"/>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rFonts w:ascii="Consolas" w:hAnsi="Consolas"/>
                <w:b w:val="0"/>
                <w:i w:val="0"/>
                <w:color w:val="8B2C1B"/>
                <w:sz w:val="18"/>
              </w:rPr>
              <w:t>class_06/04_1_cdf.ipynb</w:t>
            </w:r>
            <w:r>
              <w:rPr>
                <w:b w:val="0"/>
                <w:i w:val="0"/>
                <w:sz w:val="18"/>
              </w:rPr>
              <w:t xml:space="preserve">, </w:t>
            </w:r>
            <w:r>
              <w:rPr>
                <w:rFonts w:ascii="Consolas" w:hAnsi="Consolas"/>
                <w:b w:val="0"/>
                <w:i w:val="0"/>
                <w:color w:val="8B2C1B"/>
                <w:sz w:val="18"/>
              </w:rPr>
              <w:t>07_1_pdf.ipynb</w:t>
            </w:r>
          </w:p>
        </w:tc>
      </w:tr>
      <w:tr>
        <w:tc>
          <w:tcPr>
            <w:tcW w:type="dxa" w:w="696"/>
            <w:tcBorders>
              <w:top w:val="single" w:sz="4" w:space="0" w:color="BFBFBF"/>
              <w:bottom w:val="single" w:sz="4" w:space="0" w:color="BFBFBF"/>
            </w:tcBorders>
          </w:tcPr>
          <w:p>
            <w:r>
              <w:rPr>
                <w:b w:val="0"/>
                <w:i w:val="0"/>
                <w:sz w:val="18"/>
              </w:rPr>
              <w:t>9/15</w:t>
            </w:r>
          </w:p>
        </w:tc>
        <w:tc>
          <w:tcPr>
            <w:tcW w:type="dxa" w:w="1315"/>
            <w:tcBorders>
              <w:top w:val="single" w:sz="4" w:space="0" w:color="BFBFBF"/>
              <w:bottom w:val="single" w:sz="4" w:space="0" w:color="BFBFBF"/>
            </w:tcBorders>
          </w:tcPr>
          <w:p>
            <w:r>
              <w:rPr>
                <w:b w:val="0"/>
                <w:i w:val="0"/>
                <w:sz w:val="18"/>
              </w:rPr>
              <w:t>KDE: Windowing/Bandwidth, Uniform Kernel</w:t>
            </w:r>
          </w:p>
        </w:tc>
        <w:tc>
          <w:tcPr>
            <w:tcW w:type="dxa" w:w="1625"/>
            <w:tcBorders>
              <w:top w:val="single" w:sz="4" w:space="0" w:color="BFBFBF"/>
              <w:bottom w:val="single" w:sz="4" w:space="0" w:color="BFBFBF"/>
            </w:tcBorders>
          </w:tcPr>
          <w:p>
            <w:r>
              <w:rPr>
                <w:b w:val="0"/>
                <w:i w:val="0"/>
                <w:sz w:val="18"/>
              </w:rPr>
              <w:t>Ch. 20 (Nonparametric Curve Estimation)</w:t>
            </w:r>
          </w:p>
        </w:tc>
        <w:tc>
          <w:tcPr>
            <w:tcW w:type="dxa" w:w="1934"/>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b w:val="0"/>
                <w:i/>
                <w:sz w:val="18"/>
              </w:rPr>
              <w:t>(not covered — no density-estimation chapter)</w:t>
            </w:r>
          </w:p>
        </w:tc>
        <w:tc>
          <w:tcPr>
            <w:tcW w:type="dxa" w:w="2553"/>
            <w:tcBorders>
              <w:top w:val="single" w:sz="4" w:space="0" w:color="BFBFBF"/>
              <w:bottom w:val="single" w:sz="4" w:space="0" w:color="BFBFBF"/>
            </w:tcBorders>
          </w:tcPr>
          <w:p>
            <w:r>
              <w:rPr>
                <w:b w:val="0"/>
                <w:i/>
                <w:sz w:val="18"/>
              </w:rPr>
              <w:t>(not covered — none of the five companion texts treat density estimation at all; Wasserman Ch. 20 is genuinely the only source here)</w:t>
            </w:r>
          </w:p>
        </w:tc>
        <w:tc>
          <w:tcPr>
            <w:tcW w:type="dxa" w:w="3559"/>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rFonts w:ascii="Consolas" w:hAnsi="Consolas"/>
                <w:b w:val="0"/>
                <w:i w:val="0"/>
                <w:color w:val="8B2C1B"/>
                <w:sz w:val="18"/>
              </w:rPr>
              <w:t>class_07/05_1_kde.ipynb</w:t>
            </w:r>
            <w:r>
              <w:rPr>
                <w:b w:val="0"/>
                <w:i w:val="0"/>
                <w:sz w:val="18"/>
              </w:rPr>
              <w:t xml:space="preserve">, </w:t>
            </w:r>
            <w:r>
              <w:rPr>
                <w:rFonts w:ascii="Consolas" w:hAnsi="Consolas"/>
                <w:b w:val="0"/>
                <w:i w:val="0"/>
                <w:color w:val="8B2C1B"/>
                <w:sz w:val="18"/>
              </w:rPr>
              <w:t>05_2_gaussian_kernel.ipynb</w:t>
            </w:r>
          </w:p>
        </w:tc>
      </w:tr>
      <w:tr>
        <w:tc>
          <w:tcPr>
            <w:tcW w:type="dxa" w:w="696"/>
            <w:tcBorders>
              <w:top w:val="single" w:sz="4" w:space="0" w:color="BFBFBF"/>
              <w:bottom w:val="single" w:sz="4" w:space="0" w:color="BFBFBF"/>
            </w:tcBorders>
          </w:tcPr>
          <w:p>
            <w:r>
              <w:rPr>
                <w:b w:val="0"/>
                <w:i w:val="0"/>
                <w:sz w:val="18"/>
              </w:rPr>
              <w:t>9/17</w:t>
            </w:r>
          </w:p>
        </w:tc>
        <w:tc>
          <w:tcPr>
            <w:tcW w:type="dxa" w:w="1315"/>
            <w:tcBorders>
              <w:top w:val="single" w:sz="4" w:space="0" w:color="BFBFBF"/>
              <w:bottom w:val="single" w:sz="4" w:space="0" w:color="BFBFBF"/>
            </w:tcBorders>
          </w:tcPr>
          <w:p>
            <w:r>
              <w:rPr>
                <w:b w:val="0"/>
                <w:i w:val="0"/>
                <w:sz w:val="18"/>
              </w:rPr>
              <w:t>Survival Function and Hazard Rate</w:t>
            </w:r>
          </w:p>
        </w:tc>
        <w:tc>
          <w:tcPr>
            <w:tcW w:type="dxa" w:w="1625"/>
            <w:tcBorders>
              <w:top w:val="single" w:sz="4" w:space="0" w:color="BFBFBF"/>
              <w:bottom w:val="single" w:sz="4" w:space="0" w:color="BFBFBF"/>
            </w:tcBorders>
          </w:tcPr>
          <w:p>
            <w:r>
              <w:rPr>
                <w:b/>
                <w:i w:val="0"/>
                <w:sz w:val="18"/>
              </w:rPr>
              <w:t>Not in Wasserman</w:t>
            </w:r>
            <w:r>
              <w:rPr>
                <w:b w:val="0"/>
                <w:i w:val="0"/>
                <w:sz w:val="18"/>
              </w:rPr>
              <w:t xml:space="preserve"> — see note</w:t>
            </w:r>
          </w:p>
        </w:tc>
        <w:tc>
          <w:tcPr>
            <w:tcW w:type="dxa" w:w="1934"/>
            <w:tcBorders>
              <w:top w:val="single" w:sz="4" w:space="0" w:color="BFBFBF"/>
              <w:bottom w:val="single" w:sz="4" w:space="0" w:color="BFBFBF"/>
            </w:tcBorders>
          </w:tcPr>
          <w:p>
            <w:r>
              <w:rPr>
                <w:color w:val="999999"/>
                <w:sz w:val="18"/>
              </w:rPr>
              <w:t>—</w:t>
            </w:r>
          </w:p>
        </w:tc>
        <w:tc>
          <w:tcPr>
            <w:tcW w:type="dxa" w:w="1934"/>
            <w:tcBorders>
              <w:top w:val="single" w:sz="4" w:space="0" w:color="BFBFBF"/>
              <w:bottom w:val="single" w:sz="4" w:space="0" w:color="BFBFBF"/>
            </w:tcBorders>
          </w:tcPr>
          <w:p>
            <w:r>
              <w:rPr>
                <w:b w:val="0"/>
                <w:i/>
                <w:sz w:val="18"/>
              </w:rPr>
              <w:t>(not covered — CASI Ch. 9 is the real fix, at right)</w:t>
            </w:r>
          </w:p>
        </w:tc>
        <w:tc>
          <w:tcPr>
            <w:tcW w:type="dxa" w:w="2553"/>
            <w:tcBorders>
              <w:top w:val="single" w:sz="4" w:space="0" w:color="BFBFBF"/>
              <w:bottom w:val="single" w:sz="4" w:space="0" w:color="BFBFBF"/>
            </w:tcBorders>
          </w:tcPr>
          <w:p>
            <w:r>
              <w:rPr>
                <w:b/>
                <w:i w:val="0"/>
                <w:sz w:val="18"/>
              </w:rPr>
              <w:t>CASI §9.1's own opening</w:t>
            </w:r>
            <w:r>
              <w:rPr>
                <w:b w:val="0"/>
                <w:i w:val="0"/>
                <w:sz w:val="18"/>
              </w:rPr>
              <w:t xml:space="preserve"> — starts from an actuary's plain problem (an insurance company has to set rates for new policyholders without waiting fifty years to see how long people actually live), and the hazard rate falls out of that practical need before any formula appears</w:t>
            </w:r>
          </w:p>
        </w:tc>
        <w:tc>
          <w:tcPr>
            <w:tcW w:type="dxa" w:w="3559"/>
            <w:tcBorders>
              <w:top w:val="single" w:sz="4" w:space="0" w:color="BFBFBF"/>
              <w:bottom w:val="single" w:sz="4" w:space="0" w:color="BFBFBF"/>
            </w:tcBorders>
          </w:tcPr>
          <w:p>
            <w:r>
              <w:rPr>
                <w:b/>
                <w:i w:val="0"/>
                <w:sz w:val="18"/>
              </w:rPr>
              <w:t>CASI Ch. 9, §9.1</w:t>
            </w:r>
            <w:r>
              <w:rPr>
                <w:b w:val="0"/>
                <w:i w:val="0"/>
                <w:sz w:val="18"/>
              </w:rPr>
              <w:t xml:space="preserve"> — Table 9.1, a real insurance life table with hazard rates ĥ and survival estimates Ŝ by age. </w:t>
            </w:r>
            <w:r>
              <w:rPr>
                <w:b/>
                <w:i w:val="0"/>
                <w:sz w:val="18"/>
              </w:rPr>
              <w:t>Fig. 9.1</w:t>
            </w:r>
            <w:r>
              <w:rPr>
                <w:b w:val="0"/>
                <w:i w:val="0"/>
                <w:sz w:val="18"/>
              </w:rPr>
              <w:t xml:space="preserve"> — NCOG Kaplan–Meier survival curves for two cancer-treatment arms. </w:t>
            </w:r>
            <w:r>
              <w:rPr>
                <w:b/>
                <w:i w:val="0"/>
                <w:sz w:val="18"/>
              </w:rPr>
              <w:t>Fig. 9.2</w:t>
            </w:r>
            <w:r>
              <w:rPr>
                <w:b w:val="0"/>
                <w:i w:val="0"/>
                <w:sz w:val="18"/>
              </w:rPr>
              <w:t xml:space="preserve"> — the hazard function h(t) itself, deaths per month, peaking around month 5. </w:t>
            </w:r>
            <w:r>
              <w:rPr>
                <w:b/>
                <w:i w:val="0"/>
                <w:sz w:val="18"/>
              </w:rPr>
              <w:t>Spiegelhalter (full book)</w:t>
            </w:r>
            <w:r>
              <w:rPr>
                <w:b w:val="0"/>
                <w:i w:val="0"/>
                <w:sz w:val="18"/>
              </w:rPr>
              <w:t xml:space="preserve"> Fig. 6.7 — a real post-surgery breast-cancer survival-rate example, informal but concrete, if you want a non-technical complement</w:t>
            </w:r>
          </w:p>
        </w:tc>
        <w:tc>
          <w:tcPr>
            <w:tcW w:type="dxa" w:w="1934"/>
            <w:tcBorders>
              <w:top w:val="single" w:sz="4" w:space="0" w:color="BFBFBF"/>
              <w:bottom w:val="single" w:sz="4" w:space="0" w:color="BFBFBF"/>
            </w:tcBorders>
          </w:tcPr>
          <w:p>
            <w:r>
              <w:rPr>
                <w:rFonts w:ascii="Consolas" w:hAnsi="Consolas"/>
                <w:b w:val="0"/>
                <w:i w:val="0"/>
                <w:color w:val="8B2C1B"/>
                <w:sz w:val="18"/>
              </w:rPr>
              <w:t>class_08/06_01_survival_and_hazard.ipynb</w:t>
            </w:r>
            <w:r>
              <w:rPr>
                <w:b w:val="0"/>
                <w:i w:val="0"/>
                <w:sz w:val="18"/>
              </w:rPr>
              <w:t xml:space="preserve">, </w:t>
            </w:r>
            <w:r>
              <w:rPr>
                <w:rFonts w:ascii="Consolas" w:hAnsi="Consolas"/>
                <w:b w:val="0"/>
                <w:i w:val="0"/>
                <w:color w:val="8B2C1B"/>
                <w:sz w:val="18"/>
              </w:rPr>
              <w:t>06_02_optimal_stopping.ipynb</w:t>
            </w:r>
            <w:r>
              <w:rPr>
                <w:b w:val="0"/>
                <w:i w:val="0"/>
                <w:sz w:val="18"/>
              </w:rPr>
              <w:t xml:space="preserve"> (rougher draft)</w:t>
            </w:r>
          </w:p>
        </w:tc>
      </w:tr>
      <w:tr>
        <w:tc>
          <w:tcPr>
            <w:tcW w:type="dxa" w:w="696"/>
            <w:tcBorders>
              <w:top w:val="single" w:sz="4" w:space="0" w:color="BFBFBF"/>
              <w:bottom w:val="single" w:sz="4" w:space="0" w:color="BFBFBF"/>
            </w:tcBorders>
          </w:tcPr>
          <w:p>
            <w:r>
              <w:rPr>
                <w:b w:val="0"/>
                <w:i w:val="0"/>
                <w:sz w:val="18"/>
              </w:rPr>
              <w:t>9/22</w:t>
            </w:r>
          </w:p>
        </w:tc>
        <w:tc>
          <w:tcPr>
            <w:tcW w:type="dxa" w:w="1315"/>
            <w:tcBorders>
              <w:top w:val="single" w:sz="4" w:space="0" w:color="BFBFBF"/>
              <w:bottom w:val="single" w:sz="4" w:space="0" w:color="BFBFBF"/>
            </w:tcBorders>
          </w:tcPr>
          <w:p>
            <w:r>
              <w:rPr>
                <w:b w:val="0"/>
                <w:i w:val="0"/>
                <w:sz w:val="18"/>
              </w:rPr>
              <w:t>The Sampling Distribution</w:t>
            </w:r>
          </w:p>
        </w:tc>
        <w:tc>
          <w:tcPr>
            <w:tcW w:type="dxa" w:w="1625"/>
            <w:tcBorders>
              <w:top w:val="single" w:sz="4" w:space="0" w:color="BFBFBF"/>
              <w:bottom w:val="single" w:sz="4" w:space="0" w:color="BFBFBF"/>
            </w:tcBorders>
          </w:tcPr>
          <w:p>
            <w:r>
              <w:rPr>
                <w:b w:val="0"/>
                <w:i w:val="0"/>
                <w:sz w:val="18"/>
              </w:rPr>
              <w:t>Ch. 5 (Convergence of Random Variables)</w:t>
            </w:r>
          </w:p>
        </w:tc>
        <w:tc>
          <w:tcPr>
            <w:tcW w:type="dxa" w:w="1934"/>
            <w:tcBorders>
              <w:top w:val="single" w:sz="4" w:space="0" w:color="BFBFBF"/>
              <w:bottom w:val="single" w:sz="4" w:space="0" w:color="BFBFBF"/>
            </w:tcBorders>
          </w:tcPr>
          <w:p>
            <w:r>
              <w:rPr>
                <w:b w:val="0"/>
                <w:i w:val="0"/>
                <w:sz w:val="18"/>
              </w:rPr>
              <w:t>Ch. 6 (§ point estimation) for the "sampling distribution of a statistic" framing</w:t>
            </w:r>
          </w:p>
        </w:tc>
        <w:tc>
          <w:tcPr>
            <w:tcW w:type="dxa" w:w="1934"/>
            <w:tcBorders>
              <w:top w:val="single" w:sz="4" w:space="0" w:color="BFBFBF"/>
              <w:bottom w:val="single" w:sz="4" w:space="0" w:color="BFBFBF"/>
            </w:tcBorders>
          </w:tcPr>
          <w:p>
            <w:r>
              <w:rPr>
                <w:b/>
                <w:i w:val="0"/>
                <w:sz w:val="18"/>
              </w:rPr>
              <w:t>Ch. 5, §5.5, Convergence Concepts</w:t>
            </w:r>
            <w:r>
              <w:rPr>
                <w:b w:val="0"/>
                <w:i w:val="0"/>
                <w:sz w:val="18"/>
              </w:rPr>
              <w:t xml:space="preserve"> — sampling distribution of a statistic, convergence in probability, WLLN</w:t>
            </w:r>
          </w:p>
        </w:tc>
        <w:tc>
          <w:tcPr>
            <w:tcW w:type="dxa" w:w="2553"/>
            <w:tcBorders>
              <w:top w:val="single" w:sz="4" w:space="0" w:color="BFBFBF"/>
              <w:bottom w:val="single" w:sz="4" w:space="0" w:color="BFBFBF"/>
            </w:tcBorders>
          </w:tcPr>
          <w:p>
            <w:r>
              <w:rPr>
                <w:b/>
                <w:i w:val="0"/>
                <w:sz w:val="18"/>
              </w:rPr>
              <w:t>CASI §10.2</w:t>
            </w:r>
            <w:r>
              <w:rPr>
                <w:b w:val="0"/>
                <w:i w:val="0"/>
                <w:sz w:val="18"/>
              </w:rPr>
              <w:t xml:space="preserve"> — defines the sampling distribution as a thought experiment: imagine redrawing a fresh sample and recomputing the statistic thousands of times, and the sampling distribution is the spread you'd see if you actually could</w:t>
            </w:r>
          </w:p>
        </w:tc>
        <w:tc>
          <w:tcPr>
            <w:tcW w:type="dxa" w:w="3559"/>
            <w:tcBorders>
              <w:top w:val="single" w:sz="4" w:space="0" w:color="BFBFBF"/>
              <w:bottom w:val="single" w:sz="4" w:space="0" w:color="BFBFBF"/>
            </w:tcBorders>
          </w:tcPr>
          <w:p>
            <w:r>
              <w:rPr>
                <w:b/>
                <w:i w:val="0"/>
                <w:sz w:val="18"/>
              </w:rPr>
              <w:t>Grinstead &amp; Snell Fig. 9.5–9.6</w:t>
            </w:r>
            <w:r>
              <w:rPr>
                <w:b w:val="0"/>
                <w:i w:val="0"/>
                <w:sz w:val="18"/>
              </w:rPr>
              <w:t xml:space="preserve"> — a simulated poll and the resulting 100 confidence intervals side by side, so "95% coverage" becomes a picture. </w:t>
            </w:r>
            <w:r>
              <w:rPr>
                <w:b/>
                <w:i w:val="0"/>
                <w:sz w:val="18"/>
              </w:rPr>
              <w:t>ROS Ch. 5</w:t>
            </w:r>
            <w:r>
              <w:rPr>
                <w:b w:val="0"/>
                <w:i w:val="0"/>
                <w:sz w:val="18"/>
              </w:rPr>
              <w:t xml:space="preserve">, </w:t>
            </w:r>
            <w:r>
              <w:rPr>
                <w:rFonts w:ascii="Consolas" w:hAnsi="Consolas"/>
                <w:b w:val="0"/>
                <w:i w:val="0"/>
                <w:color w:val="8B2C1B"/>
                <w:sz w:val="18"/>
              </w:rPr>
              <w:t>ProbabilitySimulation/probsim</w:t>
            </w:r>
            <w:r>
              <w:rPr>
                <w:b w:val="0"/>
                <w:i w:val="0"/>
                <w:sz w:val="18"/>
              </w:rPr>
              <w:t xml:space="preserve"> — simulates the number of girls in 400 births 1000 times and histograms the result. </w:t>
            </w:r>
            <w:r>
              <w:rPr>
                <w:b/>
                <w:i w:val="0"/>
                <w:sz w:val="18"/>
              </w:rPr>
              <w:t>Spiegelhalter (full book)</w:t>
            </w:r>
            <w:r>
              <w:rPr>
                <w:b w:val="0"/>
                <w:i w:val="0"/>
                <w:sz w:val="18"/>
              </w:rPr>
              <w:t xml:space="preserve"> Ch. 7, "Estimates and Intervals," Figs 7.1–7.3 — an empirical distribution at varying sample sizes, real bootstrap resamples from a sample of 50, and the resulting bootstrap distribution of the mean</w:t>
            </w:r>
          </w:p>
        </w:tc>
        <w:tc>
          <w:tcPr>
            <w:tcW w:type="dxa" w:w="1934"/>
            <w:tcBorders>
              <w:top w:val="single" w:sz="4" w:space="0" w:color="BFBFBF"/>
              <w:bottom w:val="single" w:sz="4" w:space="0" w:color="BFBFBF"/>
            </w:tcBorders>
          </w:tcPr>
          <w:p>
            <w:r>
              <w:rPr>
                <w:rFonts w:ascii="Consolas" w:hAnsi="Consolas"/>
                <w:b w:val="0"/>
                <w:i w:val="0"/>
                <w:color w:val="8B2C1B"/>
                <w:sz w:val="18"/>
              </w:rPr>
              <w:t>class_10/08_01_sampling_distribution.ipynb</w:t>
            </w:r>
            <w:r>
              <w:rPr>
                <w:b w:val="0"/>
                <w:i w:val="0"/>
                <w:sz w:val="18"/>
              </w:rPr>
              <w:t xml:space="preserve"> (rough draft — CI section cuts off)</w:t>
            </w:r>
          </w:p>
        </w:tc>
      </w:tr>
      <w:tr>
        <w:tc>
          <w:tcPr>
            <w:tcW w:type="dxa" w:w="696"/>
            <w:tcBorders>
              <w:top w:val="single" w:sz="4" w:space="0" w:color="BFBFBF"/>
              <w:bottom w:val="single" w:sz="4" w:space="0" w:color="BFBFBF"/>
            </w:tcBorders>
          </w:tcPr>
          <w:p>
            <w:r>
              <w:rPr>
                <w:b w:val="0"/>
                <w:i w:val="0"/>
                <w:sz w:val="18"/>
              </w:rPr>
              <w:t>9/24</w:t>
            </w:r>
          </w:p>
        </w:tc>
        <w:tc>
          <w:tcPr>
            <w:tcW w:type="dxa" w:w="1315"/>
            <w:tcBorders>
              <w:top w:val="single" w:sz="4" w:space="0" w:color="BFBFBF"/>
              <w:bottom w:val="single" w:sz="4" w:space="0" w:color="BFBFBF"/>
            </w:tcBorders>
          </w:tcPr>
          <w:p>
            <w:r>
              <w:rPr>
                <w:b w:val="0"/>
                <w:i w:val="0"/>
                <w:sz w:val="18"/>
              </w:rPr>
              <w:t>Bootstrap Hypothesis Testing (CI / p-value / z-stats; bootstrap-normalization previews the CLT)</w:t>
            </w:r>
          </w:p>
        </w:tc>
        <w:tc>
          <w:tcPr>
            <w:tcW w:type="dxa" w:w="1625"/>
            <w:tcBorders>
              <w:top w:val="single" w:sz="4" w:space="0" w:color="BFBFBF"/>
              <w:bottom w:val="single" w:sz="4" w:space="0" w:color="BFBFBF"/>
            </w:tcBorders>
          </w:tcPr>
          <w:p>
            <w:r>
              <w:rPr>
                <w:b w:val="0"/>
                <w:i w:val="0"/>
                <w:sz w:val="18"/>
              </w:rPr>
              <w:t>Ch. 8 (The Bootstrap) + Ch. 10 (Hypothesis Testing and p-values)</w:t>
            </w:r>
          </w:p>
        </w:tc>
        <w:tc>
          <w:tcPr>
            <w:tcW w:type="dxa" w:w="1934"/>
            <w:tcBorders>
              <w:top w:val="single" w:sz="4" w:space="0" w:color="BFBFBF"/>
              <w:bottom w:val="single" w:sz="4" w:space="0" w:color="BFBFBF"/>
            </w:tcBorders>
          </w:tcPr>
          <w:p>
            <w:r>
              <w:rPr>
                <w:b w:val="0"/>
                <w:i w:val="0"/>
                <w:sz w:val="18"/>
              </w:rPr>
              <w:t>Ch. 5 (Convergence) — the CLT connection this class makes explicit</w:t>
            </w:r>
          </w:p>
        </w:tc>
        <w:tc>
          <w:tcPr>
            <w:tcW w:type="dxa" w:w="1934"/>
            <w:tcBorders>
              <w:top w:val="single" w:sz="4" w:space="0" w:color="BFBFBF"/>
              <w:bottom w:val="single" w:sz="4" w:space="0" w:color="BFBFBF"/>
            </w:tcBorders>
          </w:tcPr>
          <w:p>
            <w:r>
              <w:rPr>
                <w:b/>
                <w:i w:val="0"/>
                <w:sz w:val="18"/>
              </w:rPr>
              <w:t>Ch. 10, Asymptotic Evaluations</w:t>
            </w:r>
            <w:r>
              <w:rPr>
                <w:b w:val="0"/>
                <w:i w:val="0"/>
                <w:sz w:val="18"/>
              </w:rPr>
              <w:t xml:space="preserve"> — bootstrapping, the delta method, asymptotic normality; </w:t>
            </w:r>
            <w:r>
              <w:rPr>
                <w:b/>
                <w:i w:val="0"/>
                <w:sz w:val="18"/>
              </w:rPr>
              <w:t>Ch. 9, Interval Estimation</w:t>
            </w:r>
            <w:r>
              <w:rPr>
                <w:b w:val="0"/>
                <w:i w:val="0"/>
                <w:sz w:val="18"/>
              </w:rPr>
              <w:t xml:space="preserve"> — the "pivoting" framing rebuilt around p-values</w:t>
            </w:r>
          </w:p>
        </w:tc>
        <w:tc>
          <w:tcPr>
            <w:tcW w:type="dxa" w:w="2553"/>
            <w:tcBorders>
              <w:top w:val="single" w:sz="4" w:space="0" w:color="BFBFBF"/>
              <w:bottom w:val="single" w:sz="4" w:space="0" w:color="BFBFBF"/>
            </w:tcBorders>
          </w:tcPr>
          <w:p>
            <w:r>
              <w:rPr>
                <w:b/>
                <w:i w:val="0"/>
                <w:sz w:val="18"/>
              </w:rPr>
              <w:t>CASI §10.2, its own punchline</w:t>
            </w:r>
            <w:r>
              <w:rPr>
                <w:b w:val="0"/>
                <w:i w:val="0"/>
                <w:sz w:val="18"/>
              </w:rPr>
              <w:t xml:space="preserve"> — since you can't actually redraw from the true population to run the sampling-distribution thought experiment above, the bootstrap substitutes your own sample as a stand-in for the population and redraws from that instead</w:t>
            </w:r>
          </w:p>
        </w:tc>
        <w:tc>
          <w:tcPr>
            <w:tcW w:type="dxa" w:w="3559"/>
            <w:tcBorders>
              <w:top w:val="single" w:sz="4" w:space="0" w:color="BFBFBF"/>
              <w:bottom w:val="single" w:sz="4" w:space="0" w:color="BFBFBF"/>
            </w:tcBorders>
          </w:tcPr>
          <w:p>
            <w:r>
              <w:rPr>
                <w:b/>
                <w:i w:val="0"/>
                <w:sz w:val="18"/>
              </w:rPr>
              <w:t>CASI Fig. 10.2 &amp; 10.4</w:t>
            </w:r>
            <w:r>
              <w:rPr>
                <w:b w:val="0"/>
                <w:i w:val="0"/>
                <w:sz w:val="18"/>
              </w:rPr>
              <w:t xml:space="preserve"> — a histogram of B=2000 bootstrap replications with a long left tail disproving "just assume normality," and bootstrap replications for a two-sample median difference. </w:t>
            </w:r>
            <w:r>
              <w:rPr>
                <w:b/>
                <w:i w:val="0"/>
                <w:sz w:val="18"/>
              </w:rPr>
              <w:t>ROS Ch. 4</w:t>
            </w:r>
            <w:r>
              <w:rPr>
                <w:b w:val="0"/>
                <w:i w:val="0"/>
                <w:sz w:val="18"/>
              </w:rPr>
              <w:t xml:space="preserve">, </w:t>
            </w:r>
            <w:r>
              <w:rPr>
                <w:rFonts w:ascii="Consolas" w:hAnsi="Consolas"/>
                <w:b w:val="0"/>
                <w:i w:val="0"/>
                <w:color w:val="8B2C1B"/>
                <w:sz w:val="18"/>
              </w:rPr>
              <w:t>Coop/riverbay</w:t>
            </w:r>
            <w:r>
              <w:rPr>
                <w:b w:val="0"/>
                <w:i w:val="0"/>
                <w:sz w:val="18"/>
              </w:rPr>
              <w:t xml:space="preserve"> — hypothesis testing on a real 1989 co-op board election. </w:t>
            </w:r>
            <w:r>
              <w:rPr>
                <w:b/>
                <w:i w:val="0"/>
                <w:sz w:val="18"/>
              </w:rPr>
              <w:t>Spiegelhalter (full book)</w:t>
            </w:r>
            <w:r>
              <w:rPr>
                <w:b w:val="0"/>
                <w:i w:val="0"/>
                <w:sz w:val="18"/>
              </w:rPr>
              <w:t xml:space="preserve"> Ch. 7 Fig 7.4 (bootstrap regressions) + Ch. 10, "Answering Questions and Claiming Discoveries" — the Introduction's own teaser gets paid off here: could formal statistics have caught Shipman earlier (Fig 10.3, cumulative death certificates; Fig 10.4, a sequential test for a doubling in mortality risk)</w:t>
            </w:r>
          </w:p>
        </w:tc>
        <w:tc>
          <w:tcPr>
            <w:tcW w:type="dxa" w:w="1934"/>
            <w:tcBorders>
              <w:top w:val="single" w:sz="4" w:space="0" w:color="BFBFBF"/>
              <w:bottom w:val="single" w:sz="4" w:space="0" w:color="BFBFBF"/>
            </w:tcBorders>
          </w:tcPr>
          <w:p>
            <w:r>
              <w:rPr>
                <w:rFonts w:ascii="Consolas" w:hAnsi="Consolas"/>
                <w:b w:val="0"/>
                <w:i w:val="0"/>
                <w:color w:val="8B2C1B"/>
                <w:sz w:val="18"/>
              </w:rPr>
              <w:t>class_10/09_2_intro_to_bootstrap.ipynb</w:t>
            </w:r>
            <w:r>
              <w:rPr>
                <w:b w:val="0"/>
                <w:i w:val="0"/>
                <w:sz w:val="18"/>
              </w:rPr>
              <w:t xml:space="preserve">, </w:t>
            </w:r>
            <w:r>
              <w:rPr>
                <w:rFonts w:ascii="Consolas" w:hAnsi="Consolas"/>
                <w:b w:val="0"/>
                <w:i w:val="0"/>
                <w:color w:val="8B2C1B"/>
                <w:sz w:val="18"/>
              </w:rPr>
              <w:t>class_11/10_1_bootstrap_inference.ipynb</w:t>
            </w:r>
          </w:p>
        </w:tc>
      </w:tr>
      <w:tr>
        <w:tc>
          <w:tcPr>
            <w:tcW w:type="dxa" w:w="696"/>
            <w:tcBorders>
              <w:top w:val="single" w:sz="4" w:space="0" w:color="BFBFBF"/>
              <w:bottom w:val="single" w:sz="4" w:space="0" w:color="BFBFBF"/>
            </w:tcBorders>
          </w:tcPr>
          <w:p>
            <w:r>
              <w:rPr>
                <w:b w:val="0"/>
                <w:i w:val="0"/>
                <w:sz w:val="18"/>
              </w:rPr>
              <w:t>9/29</w:t>
            </w:r>
          </w:p>
        </w:tc>
        <w:tc>
          <w:tcPr>
            <w:tcW w:type="dxa" w:w="1315"/>
            <w:tcBorders>
              <w:top w:val="single" w:sz="4" w:space="0" w:color="BFBFBF"/>
              <w:bottom w:val="single" w:sz="4" w:space="0" w:color="BFBFBF"/>
            </w:tcBorders>
          </w:tcPr>
          <w:p>
            <w:r>
              <w:rPr>
                <w:b w:val="0"/>
                <w:i w:val="0"/>
                <w:sz w:val="18"/>
              </w:rPr>
              <w:t>SE, Z-stats</w:t>
            </w:r>
          </w:p>
        </w:tc>
        <w:tc>
          <w:tcPr>
            <w:tcW w:type="dxa" w:w="1625"/>
            <w:tcBorders>
              <w:top w:val="single" w:sz="4" w:space="0" w:color="BFBFBF"/>
              <w:bottom w:val="single" w:sz="4" w:space="0" w:color="BFBFBF"/>
            </w:tcBorders>
          </w:tcPr>
          <w:p>
            <w:r>
              <w:rPr>
                <w:b w:val="0"/>
                <w:i w:val="0"/>
                <w:sz w:val="18"/>
              </w:rPr>
              <w:t>Ch. 8 (SE/Z-statistic defined operationally)</w:t>
            </w:r>
          </w:p>
        </w:tc>
        <w:tc>
          <w:tcPr>
            <w:tcW w:type="dxa" w:w="1934"/>
            <w:tcBorders>
              <w:top w:val="single" w:sz="4" w:space="0" w:color="BFBFBF"/>
              <w:bottom w:val="single" w:sz="4" w:space="0" w:color="BFBFBF"/>
            </w:tcBorders>
          </w:tcPr>
          <w:p>
            <w:r>
              <w:rPr>
                <w:b w:val="0"/>
                <w:i w:val="0"/>
                <w:sz w:val="18"/>
              </w:rPr>
              <w:t>Ch. 10 (the Wald test is the formal home of the z-stat)</w:t>
            </w:r>
          </w:p>
        </w:tc>
        <w:tc>
          <w:tcPr>
            <w:tcW w:type="dxa" w:w="1934"/>
            <w:tcBorders>
              <w:top w:val="single" w:sz="4" w:space="0" w:color="BFBFBF"/>
              <w:bottom w:val="single" w:sz="4" w:space="0" w:color="BFBFBF"/>
            </w:tcBorders>
          </w:tcPr>
          <w:p>
            <w:r>
              <w:rPr>
                <w:b/>
                <w:i w:val="0"/>
                <w:sz w:val="18"/>
              </w:rPr>
              <w:t>Ch. 10, Asymptotic Evaluations</w:t>
            </w:r>
            <w:r>
              <w:rPr>
                <w:b w:val="0"/>
                <w:i w:val="0"/>
                <w:sz w:val="18"/>
              </w:rPr>
              <w:t xml:space="preserve"> — delta method and asymptotic normality, which justify treating an SE as if it came from a normal sampling distribution</w:t>
            </w:r>
          </w:p>
        </w:tc>
        <w:tc>
          <w:tcPr>
            <w:tcW w:type="dxa" w:w="2553"/>
            <w:tcBorders>
              <w:top w:val="single" w:sz="4" w:space="0" w:color="BFBFBF"/>
              <w:bottom w:val="single" w:sz="4" w:space="0" w:color="BFBFBF"/>
            </w:tcBorders>
          </w:tcPr>
          <w:p>
            <w:r>
              <w:rPr>
                <w:b/>
                <w:i w:val="0"/>
                <w:sz w:val="18"/>
              </w:rPr>
              <w:t>CASI's discussion around §10.3/Fig. 10.2</w:t>
            </w:r>
            <w:r>
              <w:rPr>
                <w:b w:val="0"/>
                <w:i w:val="0"/>
                <w:sz w:val="18"/>
              </w:rPr>
              <w:t xml:space="preserve"> — standard errors are usually used to build a confidence interval under an assumed normal shape for the statistic, and the chapter's own bootstrap histogram is deployed specifically to show a case where that normality assumption quietly fails</w:t>
            </w:r>
          </w:p>
        </w:tc>
        <w:tc>
          <w:tcPr>
            <w:tcW w:type="dxa" w:w="3559"/>
            <w:tcBorders>
              <w:top w:val="single" w:sz="4" w:space="0" w:color="BFBFBF"/>
              <w:bottom w:val="single" w:sz="4" w:space="0" w:color="BFBFBF"/>
            </w:tcBorders>
          </w:tcPr>
          <w:p>
            <w:r>
              <w:rPr>
                <w:b/>
                <w:i w:val="0"/>
                <w:sz w:val="18"/>
              </w:rPr>
              <w:t>CASI Fig. 10.1 &amp; 10.3</w:t>
            </w:r>
            <w:r>
              <w:rPr>
                <w:b w:val="0"/>
                <w:i w:val="0"/>
                <w:sz w:val="18"/>
              </w:rPr>
              <w:t xml:space="preserve"> — jackknife vs. bootstrap SE bars visibly disagreeing at one point, and the "resampling simplex" for n=3. </w:t>
            </w:r>
            <w:r>
              <w:rPr>
                <w:b/>
                <w:i w:val="0"/>
                <w:sz w:val="18"/>
              </w:rPr>
              <w:t>Spiegelhalter (full book)</w:t>
            </w:r>
            <w:r>
              <w:rPr>
                <w:b w:val="0"/>
                <w:i w:val="0"/>
                <w:sz w:val="18"/>
              </w:rPr>
              <w:t xml:space="preserve"> Ch. 9, "Putting Probability and Statistics Together," Table 9.1 — a direct numeric comparison of exact vs. bootstrap confidence intervals</w:t>
            </w:r>
          </w:p>
        </w:tc>
        <w:tc>
          <w:tcPr>
            <w:tcW w:type="dxa" w:w="1934"/>
            <w:tcBorders>
              <w:top w:val="single" w:sz="4" w:space="0" w:color="BFBFBF"/>
              <w:bottom w:val="single" w:sz="4" w:space="0" w:color="BFBFBF"/>
            </w:tcBorders>
          </w:tcPr>
          <w:p>
            <w:r>
              <w:rPr>
                <w:rFonts w:ascii="Consolas" w:hAnsi="Consolas"/>
                <w:b w:val="0"/>
                <w:i w:val="0"/>
                <w:color w:val="8B2C1B"/>
                <w:sz w:val="18"/>
              </w:rPr>
              <w:t>class_11/10_1_bootstrap_inference.ipynb</w:t>
            </w:r>
          </w:p>
        </w:tc>
      </w:tr>
      <w:tr>
        <w:tc>
          <w:tcPr>
            <w:tcW w:type="dxa" w:w="696"/>
            <w:tcBorders>
              <w:top w:val="single" w:sz="4" w:space="0" w:color="BFBFBF"/>
              <w:bottom w:val="single" w:sz="4" w:space="0" w:color="BFBFBF"/>
            </w:tcBorders>
          </w:tcPr>
          <w:p>
            <w:r>
              <w:rPr>
                <w:b w:val="0"/>
                <w:i w:val="0"/>
                <w:sz w:val="18"/>
              </w:rPr>
              <w:t>10/1</w:t>
            </w:r>
          </w:p>
        </w:tc>
        <w:tc>
          <w:tcPr>
            <w:tcW w:type="dxa" w:w="1315"/>
            <w:tcBorders>
              <w:top w:val="single" w:sz="4" w:space="0" w:color="BFBFBF"/>
              <w:bottom w:val="single" w:sz="4" w:space="0" w:color="BFBFBF"/>
            </w:tcBorders>
          </w:tcPr>
          <w:p>
            <w:r>
              <w:rPr>
                <w:b w:val="0"/>
                <w:i w:val="0"/>
                <w:sz w:val="18"/>
              </w:rPr>
              <w:t>CLT</w:t>
            </w:r>
          </w:p>
        </w:tc>
        <w:tc>
          <w:tcPr>
            <w:tcW w:type="dxa" w:w="1625"/>
            <w:tcBorders>
              <w:top w:val="single" w:sz="4" w:space="0" w:color="BFBFBF"/>
              <w:bottom w:val="single" w:sz="4" w:space="0" w:color="BFBFBF"/>
            </w:tcBorders>
          </w:tcPr>
          <w:p>
            <w:r>
              <w:rPr>
                <w:b w:val="0"/>
                <w:i w:val="0"/>
                <w:sz w:val="18"/>
              </w:rPr>
              <w:t>Ch. 5 (Convergence of Random Variables)</w:t>
            </w:r>
          </w:p>
        </w:tc>
        <w:tc>
          <w:tcPr>
            <w:tcW w:type="dxa" w:w="1934"/>
            <w:tcBorders>
              <w:top w:val="single" w:sz="4" w:space="0" w:color="BFBFBF"/>
              <w:bottom w:val="single" w:sz="4" w:space="0" w:color="BFBFBF"/>
            </w:tcBorders>
          </w:tcPr>
          <w:p>
            <w:r>
              <w:rPr>
                <w:b w:val="0"/>
                <w:i w:val="0"/>
                <w:sz w:val="18"/>
              </w:rPr>
              <w:t>Ch. 10 appendix (the t-test) — for this class's two-sample pooled-SE t-test extension</w:t>
            </w:r>
          </w:p>
        </w:tc>
        <w:tc>
          <w:tcPr>
            <w:tcW w:type="dxa" w:w="1934"/>
            <w:tcBorders>
              <w:top w:val="single" w:sz="4" w:space="0" w:color="BFBFBF"/>
              <w:bottom w:val="single" w:sz="4" w:space="0" w:color="BFBFBF"/>
            </w:tcBorders>
          </w:tcPr>
          <w:p>
            <w:r>
              <w:rPr>
                <w:b/>
                <w:i w:val="0"/>
                <w:sz w:val="18"/>
              </w:rPr>
              <w:t>Ch. 5, §5.5, Convergence Concepts</w:t>
            </w:r>
            <w:r>
              <w:rPr>
                <w:b w:val="0"/>
                <w:i w:val="0"/>
                <w:sz w:val="18"/>
              </w:rPr>
              <w:t xml:space="preserve"> — same section as 9/22; this is where the CLT is stated and proved</w:t>
            </w:r>
          </w:p>
        </w:tc>
        <w:tc>
          <w:tcPr>
            <w:tcW w:type="dxa" w:w="2553"/>
            <w:tcBorders>
              <w:top w:val="single" w:sz="4" w:space="0" w:color="BFBFBF"/>
              <w:bottom w:val="single" w:sz="4" w:space="0" w:color="BFBFBF"/>
            </w:tcBorders>
          </w:tcPr>
          <w:p>
            <w:r>
              <w:rPr>
                <w:b/>
                <w:i w:val="0"/>
                <w:sz w:val="18"/>
              </w:rPr>
              <w:t>Grinstead &amp; Snell, Ch. 9</w:t>
            </w:r>
            <w:r>
              <w:rPr>
                <w:b w:val="0"/>
                <w:i w:val="0"/>
                <w:sz w:val="18"/>
              </w:rPr>
              <w:t xml:space="preserve"> — organized around its own guiding question, "why does the bell curve show up everywhere?", answered before the chapter ever reaches Z-score machinery</w:t>
            </w:r>
          </w:p>
        </w:tc>
        <w:tc>
          <w:tcPr>
            <w:tcW w:type="dxa" w:w="3559"/>
            <w:tcBorders>
              <w:top w:val="single" w:sz="4" w:space="0" w:color="BFBFBF"/>
              <w:bottom w:val="single" w:sz="4" w:space="0" w:color="BFBFBF"/>
            </w:tcBorders>
          </w:tcPr>
          <w:p>
            <w:r>
              <w:rPr>
                <w:b/>
                <w:i w:val="0"/>
                <w:sz w:val="18"/>
              </w:rPr>
              <w:t>Grinstead &amp; Snell Fig. 9.2</w:t>
            </w:r>
            <w:r>
              <w:rPr>
                <w:b w:val="0"/>
                <w:i w:val="0"/>
                <w:sz w:val="18"/>
              </w:rPr>
              <w:t xml:space="preserve"> — the canonical histogram-converging-to-bell-curve overlay. </w:t>
            </w:r>
            <w:r>
              <w:rPr>
                <w:b/>
                <w:i w:val="0"/>
                <w:sz w:val="18"/>
              </w:rPr>
              <w:t>ROS Ch. 3</w:t>
            </w:r>
            <w:r>
              <w:rPr>
                <w:b w:val="0"/>
                <w:i w:val="0"/>
                <w:sz w:val="18"/>
              </w:rPr>
              <w:t xml:space="preserve">, </w:t>
            </w:r>
            <w:r>
              <w:rPr>
                <w:rFonts w:ascii="Consolas" w:hAnsi="Consolas"/>
                <w:b w:val="0"/>
                <w:i w:val="0"/>
                <w:color w:val="8B2C1B"/>
                <w:sz w:val="18"/>
              </w:rPr>
              <w:t>CentralLimitTheorem/heightweight</w:t>
            </w:r>
            <w:r>
              <w:rPr>
                <w:b w:val="0"/>
                <w:i w:val="0"/>
                <w:sz w:val="18"/>
              </w:rPr>
              <w:t xml:space="preserve"> — real height/weight histograms illustrating the CLT. </w:t>
            </w:r>
            <w:r>
              <w:rPr>
                <w:b w:val="0"/>
                <w:i/>
                <w:sz w:val="18"/>
              </w:rPr>
              <w:t>(Spiegelhalter has no dedicated CLT figure in its own List of Figures — genuinely not covered there, not an oversight on my part)</w:t>
            </w:r>
          </w:p>
        </w:tc>
        <w:tc>
          <w:tcPr>
            <w:tcW w:type="dxa" w:w="1934"/>
            <w:tcBorders>
              <w:top w:val="single" w:sz="4" w:space="0" w:color="BFBFBF"/>
              <w:bottom w:val="single" w:sz="4" w:space="0" w:color="BFBFBF"/>
            </w:tcBorders>
          </w:tcPr>
          <w:p>
            <w:r>
              <w:rPr>
                <w:rFonts w:ascii="Consolas" w:hAnsi="Consolas"/>
                <w:b w:val="0"/>
                <w:i w:val="0"/>
                <w:color w:val="8B2C1B"/>
                <w:sz w:val="18"/>
              </w:rPr>
              <w:t>class_11/10_2_CLT.ipynb</w:t>
            </w:r>
          </w:p>
        </w:tc>
      </w:tr>
    </w:tbl>
    <w:p>
      <w:pPr>
        <w:sectPr>
          <w:pgSz w:w="15840" w:h="12240" w:orient="landscape"/>
          <w:pgMar w:top="864" w:right="720" w:bottom="720" w:left="720" w:header="720" w:footer="720" w:gutter="0"/>
          <w:cols w:space="720"/>
          <w:docGrid w:linePitch="360"/>
        </w:sectPr>
      </w:pPr>
    </w:p>
    <w:p>
      <w:pPr>
        <w:pStyle w:val="Heading2"/>
      </w:pPr>
      <w:r>
        <w:rPr>
          <w:color w:val="1F1D1A"/>
          <w:sz w:val="28"/>
        </w:rPr>
        <w:t>Two honest gaps in Wasserman (and Casella &amp; Berger) — one of them now filled</w:t>
      </w:r>
    </w:p>
    <w:p>
      <w:r>
        <w:rPr>
          <w:b/>
          <w:i w:val="0"/>
          <w:sz w:val="21"/>
        </w:rPr>
        <w:t>Vectors and inner product (8/27) and data wrangling (8/25) aren't in any of these texts.</w:t>
      </w:r>
      <w:r>
        <w:rPr>
          <w:b w:val="0"/>
          <w:i w:val="0"/>
          <w:sz w:val="21"/>
        </w:rPr>
        <w:t xml:space="preserve"> All of them assume linear algebra and basic data-handling as prerequisites rather than teaching them. The class notebooks are the primary source for both; a standard linear-algebra reference (Strang) would be a better second source than any of these if you want one.</w:t>
      </w:r>
    </w:p>
    <w:p>
      <w:r>
        <w:rPr>
          <w:b/>
          <w:i w:val="0"/>
          <w:sz w:val="21"/>
        </w:rPr>
        <w:t>Survival function and hazard rate (9/17) isn't in Wasserman, and it isn't in Casella &amp; Berger either</w:t>
      </w:r>
      <w:r>
        <w:rPr>
          <w:b w:val="0"/>
          <w:i w:val="0"/>
          <w:sz w:val="21"/>
        </w:rPr>
        <w:t xml:space="preserve"> — I checked; neither has a survival-analysis chapter. It </w:t>
      </w:r>
      <w:r>
        <w:rPr>
          <w:b w:val="0"/>
          <w:i/>
          <w:sz w:val="21"/>
        </w:rPr>
        <w:t>is</w:t>
      </w:r>
      <w:r>
        <w:rPr>
          <w:b w:val="0"/>
          <w:i w:val="0"/>
          <w:sz w:val="21"/>
        </w:rPr>
        <w:t xml:space="preserve"> a full chapter in CASI (Ch. 9, "Survival Analysis and the EM Algorithm," §9.1–9.4: life tables, Kaplan–Meier, the log-rank test, and proportional hazards), which is the real fix for this gap.</w:t>
      </w:r>
    </w:p>
    <w:p>
      <w:r>
        <w:rPr>
          <w:b/>
          <w:i w:val="0"/>
          <w:sz w:val="21"/>
        </w:rPr>
        <w:t>KDE (9/15) is the mirror-image case</w:t>
      </w:r>
      <w:r>
        <w:rPr>
          <w:b w:val="0"/>
          <w:i w:val="0"/>
          <w:sz w:val="21"/>
        </w:rPr>
        <w:t>: Wasserman covers it (Ch. 20) but none of the other five sources do, since none of them is a density-estimation text.</w:t>
      </w:r>
    </w:p>
    <w:p>
      <w:pPr>
        <w:pStyle w:val="Heading2"/>
      </w:pPr>
      <w:r>
        <w:rPr>
          <w:color w:val="1F1D1A"/>
          <w:sz w:val="28"/>
        </w:rPr>
        <w:t>If you want a gentler on-ramp before Wasserman</w:t>
      </w:r>
    </w:p>
    <w:p>
      <w:r>
        <w:rPr>
          <w:b w:val="0"/>
          <w:i w:val="0"/>
          <w:sz w:val="21"/>
        </w:rPr>
        <w:t xml:space="preserve">The chapter guide already in </w:t>
      </w:r>
      <w:r>
        <w:rPr>
          <w:rFonts w:ascii="Consolas" w:hAnsi="Consolas"/>
          <w:b w:val="0"/>
          <w:i w:val="0"/>
          <w:color w:val="8B2C1B"/>
          <w:sz w:val="21"/>
        </w:rPr>
        <w:t>_Knowledge Base/textbooks/Understanding Uncertainty Prep/</w:t>
      </w:r>
      <w:r>
        <w:rPr>
          <w:b w:val="0"/>
          <w:i w:val="0"/>
          <w:sz w:val="21"/>
        </w:rPr>
        <w:t xml:space="preserve"> notes that Wasserman's Part I (Chapters 1–5) covers roughly the same ground as </w:t>
      </w:r>
      <w:r>
        <w:rPr>
          <w:b/>
          <w:i w:val="0"/>
          <w:sz w:val="21"/>
        </w:rPr>
        <w:t>Grinstead &amp; Snell</w:t>
      </w:r>
      <w:r>
        <w:rPr>
          <w:b w:val="0"/>
          <w:i w:val="0"/>
          <w:sz w:val="21"/>
        </w:rPr>
        <w:t>, Chapters 1, 2, and 4–9, at about a third of the pace and with much more derivation. For 9/1 and 9/22–10/1 specifically, Grinstead &amp; Snell is worth having as a slower-paced backup for any student who finds Wasserman's compressed treatment too terse on a first pass.</w:t>
      </w:r>
    </w:p>
    <w:p>
      <w:pPr>
        <w:pStyle w:val="Heading2"/>
      </w:pPr>
      <w:r>
        <w:rPr>
          <w:color w:val="1F1D1A"/>
          <w:sz w:val="28"/>
        </w:rPr>
        <w:t>Where each citation came from</w:t>
      </w:r>
    </w:p>
    <w:p>
      <w:pPr>
        <w:pStyle w:val="ListBullet"/>
      </w:pPr>
      <w:r>
        <w:rPr>
          <w:b/>
          <w:i w:val="0"/>
          <w:sz w:val="21"/>
        </w:rPr>
        <w:t>Wasserman</w:t>
      </w:r>
      <w:r>
        <w:rPr>
          <w:b w:val="0"/>
          <w:i w:val="0"/>
          <w:sz w:val="21"/>
        </w:rPr>
        <w:t xml:space="preserve"> — read directly from </w:t>
      </w:r>
      <w:r>
        <w:rPr>
          <w:rFonts w:ascii="Consolas" w:hAnsi="Consolas"/>
          <w:b w:val="0"/>
          <w:i w:val="0"/>
          <w:color w:val="8B2C1B"/>
          <w:sz w:val="21"/>
        </w:rPr>
        <w:t>_Knowledge Base/textbooks/Understanding Uncertainty Prep/2004 - wasserman - all of statistics.pdf</w:t>
      </w:r>
      <w:r>
        <w:rPr>
          <w:b w:val="0"/>
          <w:i w:val="0"/>
          <w:sz w:val="21"/>
        </w:rPr>
        <w:t>, cross-checked against the pre-existing chapter guide in the same folder.</w:t>
      </w:r>
    </w:p>
    <w:p>
      <w:pPr>
        <w:pStyle w:val="ListBullet"/>
      </w:pPr>
      <w:r>
        <w:rPr>
          <w:b/>
          <w:i w:val="0"/>
          <w:sz w:val="21"/>
        </w:rPr>
        <w:t>Casella &amp; Berger</w:t>
      </w:r>
      <w:r>
        <w:rPr>
          <w:b w:val="0"/>
          <w:i w:val="0"/>
          <w:sz w:val="21"/>
        </w:rPr>
        <w:t xml:space="preserve"> — read directly from </w:t>
      </w:r>
      <w:r>
        <w:rPr>
          <w:rFonts w:ascii="Consolas" w:hAnsi="Consolas"/>
          <w:b w:val="0"/>
          <w:i w:val="0"/>
          <w:color w:val="8B2C1B"/>
          <w:sz w:val="21"/>
        </w:rPr>
        <w:t>Casella_Berger_Statistical_Inference.pdf</w:t>
      </w:r>
      <w:r>
        <w:rPr>
          <w:b w:val="0"/>
          <w:i w:val="0"/>
          <w:sz w:val="21"/>
        </w:rPr>
        <w:t xml:space="preserve"> in the same folder. The PDF has no extractable text layer (a scan without OCR), so chapter numbers were read visually off the actual preface and one-year-course-coverage tables.</w:t>
      </w:r>
    </w:p>
    <w:p>
      <w:pPr>
        <w:pStyle w:val="ListBullet"/>
      </w:pPr>
      <w:r>
        <w:rPr>
          <w:b/>
          <w:i w:val="0"/>
          <w:sz w:val="21"/>
        </w:rPr>
        <w:t>Grinstead &amp; Snell</w:t>
      </w:r>
      <w:r>
        <w:rPr>
          <w:b w:val="0"/>
          <w:i w:val="0"/>
          <w:sz w:val="21"/>
        </w:rPr>
        <w:t xml:space="preserve"> — read directly from </w:t>
      </w:r>
      <w:r>
        <w:rPr>
          <w:rFonts w:ascii="Consolas" w:hAnsi="Consolas"/>
          <w:b w:val="0"/>
          <w:i w:val="0"/>
          <w:color w:val="8B2C1B"/>
          <w:sz w:val="21"/>
        </w:rPr>
        <w:t>Grinstead and Snell's Introduction to Probability.pdf</w:t>
      </w:r>
      <w:r>
        <w:rPr>
          <w:b w:val="0"/>
          <w:i w:val="0"/>
          <w:sz w:val="21"/>
        </w:rPr>
        <w:t xml:space="preserve"> in the same folder; all cited figure numbers and captions were pulled from the actual PDF text.</w:t>
      </w:r>
    </w:p>
    <w:p>
      <w:pPr>
        <w:pStyle w:val="ListBullet"/>
      </w:pPr>
      <w:r>
        <w:rPr>
          <w:b/>
          <w:i w:val="0"/>
          <w:sz w:val="21"/>
        </w:rPr>
        <w:t>CASI</w:t>
      </w:r>
      <w:r>
        <w:rPr>
          <w:b w:val="0"/>
          <w:i w:val="0"/>
          <w:sz w:val="21"/>
        </w:rPr>
        <w:t xml:space="preserve"> — read directly from </w:t>
      </w:r>
      <w:r>
        <w:rPr>
          <w:rFonts w:ascii="Consolas" w:hAnsi="Consolas"/>
          <w:b w:val="0"/>
          <w:i w:val="0"/>
          <w:color w:val="8B2C1B"/>
          <w:sz w:val="21"/>
        </w:rPr>
        <w:t>Computer Age Statistical Inference (CASI) - Efron and Hastie.pdf</w:t>
      </w:r>
      <w:r>
        <w:rPr>
          <w:b w:val="0"/>
          <w:i w:val="0"/>
          <w:sz w:val="21"/>
        </w:rPr>
        <w:t>; Chapter 9 (survival) and Chapter 10 (jackknife/bootstrap) were read in full.</w:t>
      </w:r>
    </w:p>
    <w:p>
      <w:pPr>
        <w:pStyle w:val="ListBullet"/>
      </w:pPr>
      <w:r>
        <w:rPr>
          <w:b/>
          <w:i w:val="0"/>
          <w:sz w:val="21"/>
        </w:rPr>
        <w:t>ROS</w:t>
      </w:r>
      <w:r>
        <w:rPr>
          <w:b w:val="0"/>
          <w:i w:val="0"/>
          <w:sz w:val="21"/>
        </w:rPr>
        <w:t xml:space="preserve"> — no local copy exists. I found one online, but its filename flagged it as sourced from a piracy site, so I deleted it without reading it and instead pulled the chapter structure from the book's own official companion site (</w:t>
      </w:r>
      <w:r>
        <w:rPr>
          <w:rFonts w:ascii="Consolas" w:hAnsi="Consolas"/>
          <w:b w:val="0"/>
          <w:i w:val="0"/>
          <w:color w:val="8B2C1B"/>
          <w:sz w:val="21"/>
        </w:rPr>
        <w:t>avehtari.github.io/ROS-Examples</w:t>
      </w:r>
      <w:r>
        <w:rPr>
          <w:b w:val="0"/>
          <w:i w:val="0"/>
          <w:sz w:val="21"/>
        </w:rPr>
        <w:t xml:space="preserve">) via its GitHub-hosted </w:t>
      </w:r>
      <w:r>
        <w:rPr>
          <w:rFonts w:ascii="Consolas" w:hAnsi="Consolas"/>
          <w:b w:val="0"/>
          <w:i w:val="0"/>
          <w:color w:val="8B2C1B"/>
          <w:sz w:val="21"/>
        </w:rPr>
        <w:t>examples.Rmd</w:t>
      </w:r>
      <w:r>
        <w:rPr>
          <w:b w:val="0"/>
          <w:i w:val="0"/>
          <w:sz w:val="21"/>
        </w:rPr>
        <w:t xml:space="preserve"> source file, where each example states its own book chapter directly. If you want these figures verified against the actual book, you'd need to point me at a legitimately-acquired copy.</w:t>
      </w:r>
    </w:p>
    <w:p>
      <w:pPr>
        <w:pStyle w:val="ListBullet"/>
      </w:pPr>
      <w:r>
        <w:rPr>
          <w:b/>
          <w:i w:val="0"/>
          <w:sz w:val="21"/>
        </w:rPr>
        <w:t>Spiegelhalter</w:t>
      </w:r>
      <w:r>
        <w:rPr>
          <w:b w:val="0"/>
          <w:i w:val="0"/>
          <w:sz w:val="21"/>
        </w:rPr>
        <w:t xml:space="preserve"> — read directly from the official Penguin sample PDF you linked (45 pages: full Introduction plus the opening of Chapter 1). Entries marked </w:t>
      </w:r>
      <w:r>
        <w:rPr>
          <w:b/>
          <w:i w:val="0"/>
          <w:sz w:val="21"/>
        </w:rPr>
        <w:t>(sample)</w:t>
      </w:r>
      <w:r>
        <w:rPr>
          <w:b w:val="0"/>
          <w:i w:val="0"/>
          <w:sz w:val="21"/>
        </w:rPr>
        <w:t xml:space="preserve"> are inside that file; entries marked </w:t>
      </w:r>
      <w:r>
        <w:rPr>
          <w:b/>
          <w:i w:val="0"/>
          <w:sz w:val="21"/>
        </w:rPr>
        <w:t>(full book)</w:t>
      </w:r>
      <w:r>
        <w:rPr>
          <w:b w:val="0"/>
          <w:i w:val="0"/>
          <w:sz w:val="21"/>
        </w:rPr>
        <w:t xml:space="preserve"> are confirmed real via the book's own List of Figures/Tables (included in the sample) but sit past page 28, outside the free preview. It no longer has its own column — its figures now live in "Visual supplements" and its intuitive prose lives in "Intuition," next to the equivalent entries from the other books.</w:t>
      </w:r>
    </w:p>
    <w:p>
      <w:pPr>
        <w:pStyle w:val="ListBullet"/>
      </w:pPr>
      <w:r>
        <w:rPr>
          <w:b/>
          <w:i w:val="0"/>
          <w:sz w:val="21"/>
        </w:rPr>
        <w:t>Intuition column</w:t>
      </w:r>
      <w:r>
        <w:rPr>
          <w:b w:val="0"/>
          <w:i w:val="0"/>
          <w:sz w:val="21"/>
        </w:rPr>
        <w:t xml:space="preserve"> — every entry points to a real passage or section I read directly in one of the copies above, described in my own words rather than quoted at length, and chosen to be a </w:t>
      </w:r>
      <w:r>
        <w:rPr>
          <w:b w:val="0"/>
          <w:i/>
          <w:sz w:val="21"/>
        </w:rPr>
        <w:t>different</w:t>
      </w:r>
      <w:r>
        <w:rPr>
          <w:b w:val="0"/>
          <w:i w:val="0"/>
          <w:sz w:val="21"/>
        </w:rPr>
        <w:t xml:space="preserve"> passage from whatever that same book already contributes to "Visual supplements," so nothing is cited twice under a different label.</w:t>
      </w:r>
    </w:p>
    <w:p>
      <w:pPr>
        <w:pStyle w:val="ListBullet"/>
      </w:pPr>
      <w:r>
        <w:rPr>
          <w:b w:val="0"/>
          <w:i w:val="0"/>
          <w:sz w:val="21"/>
        </w:rPr>
        <w:t xml:space="preserve">No file anywhere in </w:t>
      </w:r>
      <w:r>
        <w:rPr>
          <w:rFonts w:ascii="Consolas" w:hAnsi="Consolas"/>
          <w:b w:val="0"/>
          <w:i w:val="0"/>
          <w:color w:val="8B2C1B"/>
          <w:sz w:val="21"/>
        </w:rPr>
        <w:t>uu_fa26/</w:t>
      </w:r>
      <w:r>
        <w:rPr>
          <w:b w:val="0"/>
          <w:i w:val="0"/>
          <w:sz w:val="21"/>
        </w:rPr>
        <w:t xml:space="preserve"> cites any of these six sources by name — this roadmap is built fresh — and no copy of this file itself exists in </w:t>
      </w:r>
      <w:r>
        <w:rPr>
          <w:rFonts w:ascii="Consolas" w:hAnsi="Consolas"/>
          <w:b w:val="0"/>
          <w:i w:val="0"/>
          <w:color w:val="8B2C1B"/>
          <w:sz w:val="21"/>
        </w:rPr>
        <w:t>uu_fa26/</w:t>
      </w:r>
      <w:r>
        <w:rPr>
          <w:b w:val="0"/>
          <w:i w:val="0"/>
          <w:sz w:val="21"/>
        </w:rPr>
        <w: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