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1F1D1A"/>
          <w:sz w:val="40"/>
        </w:rPr>
        <w:t>Understanding Uncertainty — Reading Roadmap (Aug 25 – Oct 1, 2026)</w:t>
      </w:r>
    </w:p>
    <w:p>
      <w:r>
        <w:rPr>
          <w:b w:val="0"/>
          <w:i/>
          <w:color w:val="4A4740"/>
          <w:sz w:val="21"/>
        </w:rPr>
        <w:t>A prep-reading map for the current schedule. Two books carry the actual reading load: Larry Wasserman's</w:t>
      </w:r>
      <w:r>
        <w:rPr>
          <w:b w:val="0"/>
          <w:i/>
          <w:color w:val="4A4740"/>
          <w:sz w:val="21"/>
        </w:rPr>
        <w:t xml:space="preserve"> All of Statistics </w:t>
      </w:r>
      <w:r>
        <w:rPr>
          <w:b w:val="0"/>
          <w:i/>
          <w:color w:val="4A4740"/>
          <w:sz w:val="21"/>
        </w:rPr>
        <w:t>(2004) and Blitzstein &amp; Hwang's</w:t>
      </w:r>
      <w:r>
        <w:rPr>
          <w:b w:val="0"/>
          <w:i/>
          <w:color w:val="4A4740"/>
          <w:sz w:val="21"/>
        </w:rPr>
        <w:t xml:space="preserve"> Introduction to Probability </w:t>
      </w:r>
      <w:r>
        <w:rPr>
          <w:b w:val="0"/>
          <w:i/>
          <w:color w:val="4A4740"/>
          <w:sz w:val="21"/>
        </w:rPr>
        <w:t>(2nd ed., 2019) — wherever either has a real chapter or named section on the topic, it's listed as Primary or Supporting. Casella &amp; Berger's</w:t>
      </w:r>
      <w:r>
        <w:rPr>
          <w:b w:val="0"/>
          <w:i/>
          <w:color w:val="4A4740"/>
          <w:sz w:val="21"/>
        </w:rPr>
        <w:t xml:space="preserve"> Statistical Inference </w:t>
      </w:r>
      <w:r>
        <w:rPr>
          <w:b w:val="0"/>
          <w:i/>
          <w:color w:val="4A4740"/>
          <w:sz w:val="21"/>
        </w:rPr>
        <w:t>and Efron &amp; Hastie's</w:t>
      </w:r>
      <w:r>
        <w:rPr>
          <w:b w:val="0"/>
          <w:i/>
          <w:color w:val="4A4740"/>
          <w:sz w:val="21"/>
        </w:rPr>
        <w:t xml:space="preserve"> Computer Age Statistical Inference </w:t>
      </w:r>
      <w:r>
        <w:rPr>
          <w:b w:val="0"/>
          <w:i/>
          <w:color w:val="4A4740"/>
          <w:sz w:val="21"/>
        </w:rPr>
        <w:t>(CASI) are cited the same way — as Primary/Supporting — specifically where one of them has a full chapter that Wasserman/B&amp;H don't (survival analysis and the bootstrap both live only in CASI). Beyond that, intuition and in-class visuals are drawn from Grinstead &amp; Snell's</w:t>
      </w:r>
      <w:r>
        <w:rPr>
          <w:b w:val="0"/>
          <w:i/>
          <w:color w:val="4A4740"/>
          <w:sz w:val="21"/>
        </w:rPr>
        <w:t xml:space="preserve"> Introduction to Probability</w:t>
      </w:r>
      <w:r>
        <w:rPr>
          <w:b w:val="0"/>
          <w:i/>
          <w:color w:val="4A4740"/>
          <w:sz w:val="21"/>
        </w:rPr>
        <w:t>, CASI, Gelman/Hill/Vehtari's</w:t>
      </w:r>
      <w:r>
        <w:rPr>
          <w:b w:val="0"/>
          <w:i/>
          <w:color w:val="4A4740"/>
          <w:sz w:val="21"/>
        </w:rPr>
        <w:t xml:space="preserve"> Regression and Other Stories </w:t>
      </w:r>
      <w:r>
        <w:rPr>
          <w:b w:val="0"/>
          <w:i/>
          <w:color w:val="4A4740"/>
          <w:sz w:val="21"/>
        </w:rPr>
        <w:t>(ROS), and David Spiegelhalter's</w:t>
      </w:r>
      <w:r>
        <w:rPr>
          <w:b w:val="0"/>
          <w:i/>
          <w:color w:val="4A4740"/>
          <w:sz w:val="21"/>
        </w:rPr>
        <w:t xml:space="preserve"> The Art of Statistics </w:t>
      </w:r>
      <w:r>
        <w:rPr>
          <w:b w:val="0"/>
          <w:i/>
          <w:color w:val="4A4740"/>
          <w:sz w:val="21"/>
        </w:rPr>
        <w:t>— the last for in-class display, not assigned reading. Every chapter/section/figure number below was confirmed against an actual copy — six PDFs on hand (Wasserman, Blitzstein &amp; Hwang, Grinstead &amp; Snell, CASI, Casella &amp; Berger, and Penguin's official sample of Spiegelhalter) were read directly; ROS was checked against its official public companion site (</w:t>
      </w:r>
      <w:r>
        <w:rPr>
          <w:rFonts w:ascii="Consolas" w:hAnsi="Consolas"/>
          <w:b w:val="0"/>
          <w:i/>
          <w:color w:val="4A4740"/>
          <w:sz w:val="21"/>
        </w:rPr>
        <w:t>avehtari.github.io/ROS-Examples</w:t>
      </w:r>
      <w:r>
        <w:rPr>
          <w:b w:val="0"/>
          <w:i/>
          <w:color w:val="4A4740"/>
          <w:sz w:val="21"/>
        </w:rPr>
        <w:t xml:space="preserve">) rather than a local copy, since no local copy exists and the only one findable online was an unauthorized upload I deliberately did not use. (Two copies of Blitzstein &amp; Hwang sit in the Knowledge Base folder — one plainly named, one with a piracy-site tag in its filename; I read only the plain one.) Nothing here touches the site or the source repo; this is a planning document only, and it lives only in this </w:t>
      </w:r>
      <w:r>
        <w:rPr>
          <w:rFonts w:ascii="Consolas" w:hAnsi="Consolas"/>
          <w:b w:val="0"/>
          <w:i/>
          <w:color w:val="4A4740"/>
          <w:sz w:val="21"/>
        </w:rPr>
        <w:t>Understanding Uncertainty</w:t>
      </w:r>
      <w:r>
        <w:rPr>
          <w:b w:val="0"/>
          <w:i/>
          <w:color w:val="4A4740"/>
          <w:sz w:val="21"/>
        </w:rPr>
        <w:t xml:space="preserve"> folder.</w:t>
      </w:r>
    </w:p>
    <w:p>
      <w:r>
        <w:rPr>
          <w:b/>
          <w:sz w:val="21"/>
        </w:rPr>
        <w:t xml:space="preserve">How to read the table: </w:t>
      </w:r>
      <w:r>
        <w:rPr>
          <w:b w:val="0"/>
          <w:i w:val="0"/>
          <w:sz w:val="21"/>
        </w:rPr>
        <w:t xml:space="preserve">"Primary" and "Supporting" each combine Wasserman and Blitzstein &amp; Hwang (B&amp;H) — the two default reading tracks, prefixed inline so you can tell which is which; read whichever author you prefer, or both. "C&amp;B / CASI (fuller treatment)" is for topics where neither Wasserman nor B&amp;H has the material at all, or where you want more depth than either gives — three of our topics (survival analysis, the bootstrap, standard errors) are genuinely fuller in CASI than in either primary text, so those get elevated here rather than staying a footnote. "Intuition" points to a specific passage that explains the idea in plain language </w:t>
      </w:r>
      <w:r>
        <w:rPr>
          <w:b w:val="0"/>
          <w:i/>
          <w:sz w:val="21"/>
        </w:rPr>
        <w:t>before</w:t>
      </w:r>
      <w:r>
        <w:rPr>
          <w:b w:val="0"/>
          <w:i w:val="0"/>
          <w:sz w:val="21"/>
        </w:rPr>
        <w:t xml:space="preserve"> the formalism — a different passage from whatever the same book already contributes elsewhere in the row. "Visual supplements" are specific, real figures worth pulling up during class — Spiegelhalter's are marked </w:t>
      </w:r>
      <w:r>
        <w:rPr>
          <w:b/>
          <w:i w:val="0"/>
          <w:sz w:val="21"/>
        </w:rPr>
        <w:t>(sample)</w:t>
      </w:r>
      <w:r>
        <w:rPr>
          <w:b w:val="0"/>
          <w:i w:val="0"/>
          <w:sz w:val="21"/>
        </w:rPr>
        <w:t xml:space="preserve"> where free, or </w:t>
      </w:r>
      <w:r>
        <w:rPr>
          <w:b/>
          <w:i w:val="0"/>
          <w:sz w:val="21"/>
        </w:rPr>
        <w:t>(full book)</w:t>
      </w:r>
      <w:r>
        <w:rPr>
          <w:b w:val="0"/>
          <w:i w:val="0"/>
          <w:sz w:val="21"/>
        </w:rPr>
        <w:t xml:space="preserve"> where not. "Notebook source" is the actual </w:t>
      </w:r>
      <w:r>
        <w:rPr>
          <w:rFonts w:ascii="Consolas" w:hAnsi="Consolas"/>
          <w:b w:val="0"/>
          <w:i w:val="0"/>
          <w:color w:val="8B2C1B"/>
          <w:sz w:val="21"/>
        </w:rPr>
        <w:t>uu_fa26</w:t>
      </w:r>
      <w:r>
        <w:rPr>
          <w:b w:val="0"/>
          <w:i w:val="0"/>
          <w:sz w:val="21"/>
        </w:rPr>
        <w:t xml:space="preserve"> file the class is built from.</w:t>
      </w:r>
    </w:p>
    <w:p>
      <w:pPr>
        <w:sectPr>
          <w:pgSz w:w="12240" w:h="15840"/>
          <w:pgMar w:top="1152" w:right="1440" w:bottom="1152" w:left="1440" w:header="720" w:footer="720" w:gutter="0"/>
          <w:cols w:space="720"/>
          <w:docGrid w:linePitch="360"/>
        </w:sectPr>
      </w:pPr>
    </w:p>
    <w:tbl>
      <w:tblPr>
        <w:tblW w:type="auto" w:w="0"/>
        <w:jc w:val="center"/>
        <w:tblLayout w:type="fixed"/>
        <w:tblLook w:firstColumn="1" w:firstRow="1" w:lastColumn="0" w:lastRow="0" w:noHBand="0" w:noVBand="1" w:val="04A0"/>
      </w:tblPr>
      <w:tblGrid>
        <w:gridCol w:w="1854"/>
        <w:gridCol w:w="1854"/>
        <w:gridCol w:w="1854"/>
        <w:gridCol w:w="1854"/>
        <w:gridCol w:w="1854"/>
        <w:gridCol w:w="1854"/>
        <w:gridCol w:w="1854"/>
        <w:gridCol w:w="1854"/>
      </w:tblGrid>
      <w:tr>
        <w:trPr>
          <w:tblHeader w:val="true"/>
        </w:trPr>
        <w:tc>
          <w:tcPr>
            <w:tcW w:type="dxa" w:w="639"/>
            <w:shd w:val="clear" w:color="auto" w:fill="6B4A3A"/>
          </w:tcPr>
          <w:p>
            <w:r>
              <w:rPr>
                <w:b/>
                <w:color w:val="FFFFFF"/>
                <w:sz w:val="19"/>
              </w:rPr>
              <w:t>Date</w:t>
            </w:r>
          </w:p>
        </w:tc>
        <w:tc>
          <w:tcPr>
            <w:tcW w:type="dxa" w:w="1279"/>
            <w:shd w:val="clear" w:color="auto" w:fill="6B4A3A"/>
          </w:tcPr>
          <w:p>
            <w:r>
              <w:rPr>
                <w:b/>
                <w:color w:val="FFFFFF"/>
                <w:sz w:val="19"/>
              </w:rPr>
              <w:t>Topic</w:t>
            </w:r>
          </w:p>
        </w:tc>
        <w:tc>
          <w:tcPr>
            <w:tcW w:type="dxa" w:w="2429"/>
            <w:shd w:val="clear" w:color="auto" w:fill="6B4A3A"/>
          </w:tcPr>
          <w:p>
            <w:r>
              <w:rPr>
                <w:b/>
                <w:color w:val="FFFFFF"/>
                <w:sz w:val="19"/>
              </w:rPr>
              <w:t>Primary</w:t>
            </w:r>
          </w:p>
        </w:tc>
        <w:tc>
          <w:tcPr>
            <w:tcW w:type="dxa" w:w="2429"/>
            <w:shd w:val="clear" w:color="auto" w:fill="6B4A3A"/>
          </w:tcPr>
          <w:p>
            <w:r>
              <w:rPr>
                <w:b/>
                <w:color w:val="FFFFFF"/>
                <w:sz w:val="19"/>
              </w:rPr>
              <w:t>Supporting</w:t>
            </w:r>
          </w:p>
        </w:tc>
        <w:tc>
          <w:tcPr>
            <w:tcW w:type="dxa" w:w="1918"/>
            <w:shd w:val="clear" w:color="auto" w:fill="6B4A3A"/>
          </w:tcPr>
          <w:p>
            <w:r>
              <w:rPr>
                <w:b/>
                <w:color w:val="FFFFFF"/>
                <w:sz w:val="19"/>
              </w:rPr>
              <w:t>C&amp;B / CASI (fuller treatment)</w:t>
            </w:r>
          </w:p>
        </w:tc>
        <w:tc>
          <w:tcPr>
            <w:tcW w:type="dxa" w:w="2046"/>
            <w:shd w:val="clear" w:color="auto" w:fill="6B4A3A"/>
          </w:tcPr>
          <w:p>
            <w:r>
              <w:rPr>
                <w:b/>
                <w:color w:val="FFFFFF"/>
                <w:sz w:val="19"/>
              </w:rPr>
              <w:t>Intuition</w:t>
            </w:r>
          </w:p>
        </w:tc>
        <w:tc>
          <w:tcPr>
            <w:tcW w:type="dxa" w:w="2429"/>
            <w:shd w:val="clear" w:color="auto" w:fill="6B4A3A"/>
          </w:tcPr>
          <w:p>
            <w:r>
              <w:rPr>
                <w:b/>
                <w:color w:val="FFFFFF"/>
                <w:sz w:val="19"/>
              </w:rPr>
              <w:t>Visual supplements</w:t>
            </w:r>
          </w:p>
        </w:tc>
        <w:tc>
          <w:tcPr>
            <w:tcW w:type="dxa" w:w="1662"/>
            <w:shd w:val="clear" w:color="auto" w:fill="6B4A3A"/>
          </w:tcPr>
          <w:p>
            <w:r>
              <w:rPr>
                <w:b/>
                <w:color w:val="FFFFFF"/>
                <w:sz w:val="19"/>
              </w:rPr>
              <w:t>Notebook source</w:t>
            </w:r>
          </w:p>
        </w:tc>
      </w:tr>
      <w:tr>
        <w:tc>
          <w:tcPr>
            <w:tcW w:type="dxa" w:w="639"/>
            <w:tcBorders>
              <w:top w:val="single" w:sz="4" w:space="0" w:color="BFBFBF"/>
              <w:bottom w:val="single" w:sz="4" w:space="0" w:color="BFBFBF"/>
            </w:tcBorders>
          </w:tcPr>
          <w:p>
            <w:r>
              <w:rPr>
                <w:b w:val="0"/>
                <w:i w:val="0"/>
                <w:sz w:val="18"/>
              </w:rPr>
              <w:t>8/25</w:t>
            </w:r>
          </w:p>
        </w:tc>
        <w:tc>
          <w:tcPr>
            <w:tcW w:type="dxa" w:w="1279"/>
            <w:tcBorders>
              <w:top w:val="single" w:sz="4" w:space="0" w:color="BFBFBF"/>
              <w:bottom w:val="single" w:sz="4" w:space="0" w:color="BFBFBF"/>
            </w:tcBorders>
          </w:tcPr>
          <w:p>
            <w:r>
              <w:rPr>
                <w:b w:val="0"/>
                <w:i w:val="0"/>
                <w:sz w:val="18"/>
              </w:rPr>
              <w:t>Data wrangling + EDA</w:t>
            </w:r>
          </w:p>
        </w:tc>
        <w:tc>
          <w:tcPr>
            <w:tcW w:type="dxa" w:w="2429"/>
            <w:tcBorders>
              <w:top w:val="single" w:sz="4" w:space="0" w:color="BFBFBF"/>
              <w:bottom w:val="single" w:sz="4" w:space="0" w:color="BFBFBF"/>
            </w:tcBorders>
          </w:tcPr>
          <w:p>
            <w:r>
              <w:rPr>
                <w:b w:val="0"/>
                <w:i/>
                <w:sz w:val="18"/>
              </w:rPr>
              <w:t>(none in either)</w:t>
            </w:r>
          </w:p>
        </w:tc>
        <w:tc>
          <w:tcPr>
            <w:tcW w:type="dxa" w:w="2429"/>
            <w:tcBorders>
              <w:top w:val="single" w:sz="4" w:space="0" w:color="BFBFBF"/>
              <w:bottom w:val="single" w:sz="4" w:space="0" w:color="BFBFBF"/>
            </w:tcBorders>
          </w:tcPr>
          <w:p>
            <w:r>
              <w:rPr>
                <w:b/>
                <w:i w:val="0"/>
                <w:sz w:val="18"/>
              </w:rPr>
              <w:t>Wasserman:</w:t>
            </w:r>
            <w:r>
              <w:rPr>
                <w:b w:val="0"/>
                <w:i w:val="0"/>
                <w:sz w:val="18"/>
              </w:rPr>
              <w:t xml:space="preserve"> Ch. 3 (Expectation) for the mean/variance/covariance formulas EDA leans on</w:t>
            </w:r>
          </w:p>
        </w:tc>
        <w:tc>
          <w:tcPr>
            <w:tcW w:type="dxa" w:w="1918"/>
            <w:tcBorders>
              <w:top w:val="single" w:sz="4" w:space="0" w:color="BFBFBF"/>
              <w:bottom w:val="single" w:sz="4" w:space="0" w:color="BFBFBF"/>
            </w:tcBorders>
          </w:tcPr>
          <w:p>
            <w:r>
              <w:rPr>
                <w:b w:val="0"/>
                <w:i/>
                <w:sz w:val="18"/>
              </w:rPr>
              <w:t>(not covered by either)</w:t>
            </w:r>
          </w:p>
        </w:tc>
        <w:tc>
          <w:tcPr>
            <w:tcW w:type="dxa" w:w="2046"/>
            <w:tcBorders>
              <w:top w:val="single" w:sz="4" w:space="0" w:color="BFBFBF"/>
              <w:bottom w:val="single" w:sz="4" w:space="0" w:color="BFBFBF"/>
            </w:tcBorders>
          </w:tcPr>
          <w:p>
            <w:r>
              <w:rPr>
                <w:b/>
                <w:i w:val="0"/>
                <w:sz w:val="18"/>
              </w:rPr>
              <w:t>Spiegelhalter, Introduction, "Turning the World Into Data,"</w:t>
            </w:r>
            <w:r>
              <w:rPr>
                <w:b w:val="0"/>
                <w:i w:val="0"/>
                <w:sz w:val="18"/>
              </w:rPr>
              <w:t xml:space="preserve"> pp.7–12 — several pages, before any statistics, on how hard it is to even define one countable "thing" (the running example: how many trees are on the planet), making the point that data collection is already a judgment call</w:t>
            </w:r>
          </w:p>
        </w:tc>
        <w:tc>
          <w:tcPr>
            <w:tcW w:type="dxa" w:w="2429"/>
            <w:tcBorders>
              <w:top w:val="single" w:sz="4" w:space="0" w:color="BFBFBF"/>
              <w:bottom w:val="single" w:sz="4" w:space="0" w:color="BFBFBF"/>
            </w:tcBorders>
          </w:tcPr>
          <w:p>
            <w:r>
              <w:rPr>
                <w:b/>
                <w:i w:val="0"/>
                <w:sz w:val="18"/>
              </w:rPr>
              <w:t>Spiegelhalter (sample)</w:t>
            </w:r>
            <w:r>
              <w:rPr>
                <w:b w:val="0"/>
                <w:i w:val="0"/>
                <w:sz w:val="18"/>
              </w:rPr>
              <w:t xml:space="preserve"> Figs 0.1–0.2, p.3&amp;5 — the Harold Shipman case opens the book: a scatter-plot of victims' ages vs. year of death, and a time-of-day comparison line graph, both patterns obvious with zero formal analysis. </w:t>
            </w:r>
            <w:r>
              <w:rPr>
                <w:b/>
                <w:i w:val="0"/>
                <w:sz w:val="18"/>
              </w:rPr>
              <w:t>Fig 0.3</w:t>
            </w:r>
            <w:r>
              <w:rPr>
                <w:b w:val="0"/>
                <w:i w:val="0"/>
                <w:sz w:val="18"/>
              </w:rPr>
              <w:t xml:space="preserve">, p.14 — the PPDAC cycle. </w:t>
            </w:r>
            <w:r>
              <w:rPr>
                <w:b/>
                <w:i w:val="0"/>
                <w:sz w:val="18"/>
              </w:rPr>
              <w:t>Table 1.1 &amp; Fig 1.1</w:t>
            </w:r>
            <w:r>
              <w:rPr>
                <w:b w:val="0"/>
                <w:i w:val="0"/>
                <w:sz w:val="18"/>
              </w:rPr>
              <w:t>, p.23&amp;26 — real 13-hospital child-heart-surgery data, replotted with a truncated axis to show exactly how that choice exaggerates differences</w:t>
            </w:r>
          </w:p>
        </w:tc>
        <w:tc>
          <w:tcPr>
            <w:tcW w:type="dxa" w:w="1662"/>
            <w:tcBorders>
              <w:top w:val="single" w:sz="4" w:space="0" w:color="BFBFBF"/>
              <w:bottom w:val="single" w:sz="4" w:space="0" w:color="BFBFBF"/>
            </w:tcBorders>
          </w:tcPr>
          <w:p>
            <w:r>
              <w:rPr>
                <w:rFonts w:ascii="Consolas" w:hAnsi="Consolas"/>
                <w:b w:val="0"/>
                <w:i w:val="0"/>
                <w:color w:val="8B2C1B"/>
                <w:sz w:val="18"/>
              </w:rPr>
              <w:t>class_01/01_1_wrangling.ipynb</w:t>
            </w:r>
            <w:r>
              <w:rPr>
                <w:b w:val="0"/>
                <w:i w:val="0"/>
                <w:sz w:val="18"/>
              </w:rPr>
              <w:t xml:space="preserve">, </w:t>
            </w:r>
            <w:r>
              <w:rPr>
                <w:rFonts w:ascii="Consolas" w:hAnsi="Consolas"/>
                <w:b w:val="0"/>
                <w:i w:val="0"/>
                <w:color w:val="8B2C1B"/>
                <w:sz w:val="18"/>
              </w:rPr>
              <w:t>01_2_eda.ipynb</w:t>
            </w:r>
          </w:p>
        </w:tc>
      </w:tr>
      <w:tr>
        <w:tc>
          <w:tcPr>
            <w:tcW w:type="dxa" w:w="639"/>
            <w:tcBorders>
              <w:top w:val="single" w:sz="4" w:space="0" w:color="BFBFBF"/>
              <w:bottom w:val="single" w:sz="4" w:space="0" w:color="BFBFBF"/>
            </w:tcBorders>
          </w:tcPr>
          <w:p>
            <w:r>
              <w:rPr>
                <w:b w:val="0"/>
                <w:i w:val="0"/>
                <w:sz w:val="18"/>
              </w:rPr>
              <w:t>8/27</w:t>
            </w:r>
          </w:p>
        </w:tc>
        <w:tc>
          <w:tcPr>
            <w:tcW w:type="dxa" w:w="1279"/>
            <w:tcBorders>
              <w:top w:val="single" w:sz="4" w:space="0" w:color="BFBFBF"/>
              <w:bottom w:val="single" w:sz="4" w:space="0" w:color="BFBFBF"/>
            </w:tcBorders>
          </w:tcPr>
          <w:p>
            <w:r>
              <w:rPr>
                <w:b w:val="0"/>
                <w:i w:val="0"/>
                <w:sz w:val="18"/>
              </w:rPr>
              <w:t>Vectors and inner product</w:t>
            </w:r>
          </w:p>
        </w:tc>
        <w:tc>
          <w:tcPr>
            <w:tcW w:type="dxa" w:w="2429"/>
            <w:tcBorders>
              <w:top w:val="single" w:sz="4" w:space="0" w:color="BFBFBF"/>
              <w:bottom w:val="single" w:sz="4" w:space="0" w:color="BFBFBF"/>
            </w:tcBorders>
          </w:tcPr>
          <w:p>
            <w:r>
              <w:rPr>
                <w:b w:val="0"/>
                <w:i/>
                <w:sz w:val="18"/>
              </w:rPr>
              <w:t>(none in either — see note)</w:t>
            </w:r>
          </w:p>
        </w:tc>
        <w:tc>
          <w:tcPr>
            <w:tcW w:type="dxa" w:w="2429"/>
            <w:tcBorders>
              <w:top w:val="single" w:sz="4" w:space="0" w:color="BFBFBF"/>
              <w:bottom w:val="single" w:sz="4" w:space="0" w:color="BFBFBF"/>
            </w:tcBorders>
          </w:tcPr>
          <w:p>
            <w:r>
              <w:rPr>
                <w:b/>
                <w:i w:val="0"/>
                <w:sz w:val="18"/>
              </w:rPr>
              <w:t>B&amp;H:</w:t>
            </w:r>
            <w:r>
              <w:rPr>
                <w:b w:val="0"/>
                <w:i w:val="0"/>
                <w:sz w:val="18"/>
              </w:rPr>
              <w:t xml:space="preserve"> Appendix A.3, "Matrices" (p.550) — matrix addition/multiplication, transpose, eigenvalues/eigenvectors; a compact mechanical reference, but it never builds length/distance/covariance from the dot product the way this class does</w:t>
            </w:r>
          </w:p>
        </w:tc>
        <w:tc>
          <w:tcPr>
            <w:tcW w:type="dxa" w:w="1918"/>
            <w:tcBorders>
              <w:top w:val="single" w:sz="4" w:space="0" w:color="BFBFBF"/>
              <w:bottom w:val="single" w:sz="4" w:space="0" w:color="BFBFBF"/>
            </w:tcBorders>
          </w:tcPr>
          <w:p>
            <w:r>
              <w:rPr>
                <w:b w:val="0"/>
                <w:i/>
                <w:sz w:val="18"/>
              </w:rPr>
              <w:t>(not covered by either)</w:t>
            </w:r>
          </w:p>
        </w:tc>
        <w:tc>
          <w:tcPr>
            <w:tcW w:type="dxa" w:w="2046"/>
            <w:tcBorders>
              <w:top w:val="single" w:sz="4" w:space="0" w:color="BFBFBF"/>
              <w:bottom w:val="single" w:sz="4" w:space="0" w:color="BFBFBF"/>
            </w:tcBorders>
          </w:tcPr>
          <w:p>
            <w:r>
              <w:rPr>
                <w:b w:val="0"/>
                <w:i/>
                <w:sz w:val="18"/>
              </w:rPr>
              <w:t>(not covered — none of these six books treat linear algebra intuitively either; it's assumed background everywhere)</w:t>
            </w:r>
          </w:p>
        </w:tc>
        <w:tc>
          <w:tcPr>
            <w:tcW w:type="dxa" w:w="2429"/>
            <w:tcBorders>
              <w:top w:val="single" w:sz="4" w:space="0" w:color="BFBFBF"/>
              <w:bottom w:val="single" w:sz="4" w:space="0" w:color="BFBFBF"/>
            </w:tcBorders>
          </w:tcPr>
          <w:p>
            <w:r>
              <w:rPr>
                <w:color w:val="999999"/>
                <w:sz w:val="18"/>
              </w:rPr>
              <w:t>—</w:t>
            </w:r>
          </w:p>
        </w:tc>
        <w:tc>
          <w:tcPr>
            <w:tcW w:type="dxa" w:w="1662"/>
            <w:tcBorders>
              <w:top w:val="single" w:sz="4" w:space="0" w:color="BFBFBF"/>
              <w:bottom w:val="single" w:sz="4" w:space="0" w:color="BFBFBF"/>
            </w:tcBorders>
          </w:tcPr>
          <w:p>
            <w:r>
              <w:rPr>
                <w:rFonts w:ascii="Consolas" w:hAnsi="Consolas"/>
                <w:b w:val="0"/>
                <w:i w:val="0"/>
                <w:color w:val="8B2C1B"/>
                <w:sz w:val="18"/>
              </w:rPr>
              <w:t>class_02/02_1_vectors_and_matrices.ipynb</w:t>
            </w:r>
            <w:r>
              <w:rPr>
                <w:b w:val="0"/>
                <w:i w:val="0"/>
                <w:sz w:val="18"/>
              </w:rPr>
              <w:t xml:space="preserve">, </w:t>
            </w:r>
            <w:r>
              <w:rPr>
                <w:rFonts w:ascii="Consolas" w:hAnsi="Consolas"/>
                <w:b w:val="0"/>
                <w:i w:val="0"/>
                <w:color w:val="8B2C1B"/>
                <w:sz w:val="18"/>
              </w:rPr>
              <w:t>02_2_ortho.ipynb</w:t>
            </w:r>
          </w:p>
        </w:tc>
      </w:tr>
      <w:tr>
        <w:tc>
          <w:tcPr>
            <w:tcW w:type="dxa" w:w="639"/>
            <w:tcBorders>
              <w:top w:val="single" w:sz="4" w:space="0" w:color="BFBFBF"/>
              <w:bottom w:val="single" w:sz="4" w:space="0" w:color="BFBFBF"/>
            </w:tcBorders>
          </w:tcPr>
          <w:p>
            <w:r>
              <w:rPr>
                <w:b w:val="0"/>
                <w:i w:val="0"/>
                <w:sz w:val="18"/>
              </w:rPr>
              <w:t>9/1</w:t>
            </w:r>
          </w:p>
        </w:tc>
        <w:tc>
          <w:tcPr>
            <w:tcW w:type="dxa" w:w="1279"/>
            <w:tcBorders>
              <w:top w:val="single" w:sz="4" w:space="0" w:color="BFBFBF"/>
              <w:bottom w:val="single" w:sz="4" w:space="0" w:color="BFBFBF"/>
            </w:tcBorders>
          </w:tcPr>
          <w:p>
            <w:r>
              <w:rPr>
                <w:b w:val="0"/>
                <w:i w:val="0"/>
                <w:sz w:val="18"/>
              </w:rPr>
              <w:t>Probability Axioms &amp; random variables</w:t>
            </w:r>
          </w:p>
        </w:tc>
        <w:tc>
          <w:tcPr>
            <w:tcW w:type="dxa" w:w="2429"/>
            <w:tcBorders>
              <w:top w:val="single" w:sz="4" w:space="0" w:color="BFBFBF"/>
              <w:bottom w:val="single" w:sz="4" w:space="0" w:color="BFBFBF"/>
            </w:tcBorders>
          </w:tcPr>
          <w:p>
            <w:r>
              <w:rPr>
                <w:b/>
                <w:i w:val="0"/>
                <w:sz w:val="18"/>
              </w:rPr>
              <w:t>Wasserman:</w:t>
            </w:r>
            <w:r>
              <w:rPr>
                <w:b w:val="0"/>
                <w:i w:val="0"/>
                <w:sz w:val="18"/>
              </w:rPr>
              <w:t xml:space="preserve"> Ch. 1 + Ch. 2. </w:t>
            </w:r>
            <w:r>
              <w:rPr>
                <w:b/>
                <w:i w:val="0"/>
                <w:sz w:val="18"/>
              </w:rPr>
              <w:t>B&amp;H:</w:t>
            </w:r>
            <w:r>
              <w:rPr>
                <w:b w:val="0"/>
                <w:i w:val="0"/>
                <w:sz w:val="18"/>
              </w:rPr>
              <w:t xml:space="preserve"> Ch. 1, "Probability and counting" (naive vs. non-naive definition of probability, §1.3/§1.6) + Ch. 3, "Random variables and their distributions"</w:t>
            </w:r>
          </w:p>
        </w:tc>
        <w:tc>
          <w:tcPr>
            <w:tcW w:type="dxa" w:w="2429"/>
            <w:tcBorders>
              <w:top w:val="single" w:sz="4" w:space="0" w:color="BFBFBF"/>
              <w:bottom w:val="single" w:sz="4" w:space="0" w:color="BFBFBF"/>
            </w:tcBorders>
          </w:tcPr>
          <w:p>
            <w:r>
              <w:rPr>
                <w:b/>
                <w:i w:val="0"/>
                <w:sz w:val="18"/>
              </w:rPr>
              <w:t>B&amp;H:</w:t>
            </w:r>
            <w:r>
              <w:rPr>
                <w:b w:val="0"/>
                <w:i w:val="0"/>
                <w:sz w:val="18"/>
              </w:rPr>
              <w:t xml:space="preserve"> Ch. 2, "Conditional probability" (§2.3, Bayes' rule and the law of total probability)</w:t>
            </w:r>
          </w:p>
        </w:tc>
        <w:tc>
          <w:tcPr>
            <w:tcW w:type="dxa" w:w="1918"/>
            <w:tcBorders>
              <w:top w:val="single" w:sz="4" w:space="0" w:color="BFBFBF"/>
              <w:bottom w:val="single" w:sz="4" w:space="0" w:color="BFBFBF"/>
            </w:tcBorders>
          </w:tcPr>
          <w:p>
            <w:r>
              <w:rPr>
                <w:b/>
                <w:i w:val="0"/>
                <w:sz w:val="18"/>
              </w:rPr>
              <w:t>Ch. 1, Probability Theory</w:t>
            </w:r>
            <w:r>
              <w:rPr>
                <w:b w:val="0"/>
                <w:i w:val="0"/>
                <w:sz w:val="18"/>
              </w:rPr>
              <w:t xml:space="preserve"> (Casella &amp; Berger) — same axioms/sets/conditional-probability material, slower and more rigorous than either primary text</w:t>
            </w:r>
          </w:p>
        </w:tc>
        <w:tc>
          <w:tcPr>
            <w:tcW w:type="dxa" w:w="2046"/>
            <w:tcBorders>
              <w:top w:val="single" w:sz="4" w:space="0" w:color="BFBFBF"/>
              <w:bottom w:val="single" w:sz="4" w:space="0" w:color="BFBFBF"/>
            </w:tcBorders>
          </w:tcPr>
          <w:p>
            <w:r>
              <w:rPr>
                <w:b/>
                <w:i w:val="0"/>
                <w:sz w:val="18"/>
              </w:rPr>
              <w:t>Grinstead &amp; Snell §1.1, "Simulation of Discrete Probabilities"</w:t>
            </w:r>
            <w:r>
              <w:rPr>
                <w:b w:val="0"/>
                <w:i w:val="0"/>
                <w:sz w:val="18"/>
              </w:rPr>
              <w:t xml:space="preserve"> — the book opens with simulation, not axioms: build a weighted-outcomes model and run it on a computer first, and only state the formal probability axioms afterward in §1.2</w:t>
            </w:r>
          </w:p>
        </w:tc>
        <w:tc>
          <w:tcPr>
            <w:tcW w:type="dxa" w:w="2429"/>
            <w:tcBorders>
              <w:top w:val="single" w:sz="4" w:space="0" w:color="BFBFBF"/>
              <w:bottom w:val="single" w:sz="4" w:space="0" w:color="BFBFBF"/>
            </w:tcBorders>
          </w:tcPr>
          <w:p>
            <w:r>
              <w:rPr>
                <w:b/>
                <w:i w:val="0"/>
                <w:sz w:val="18"/>
              </w:rPr>
              <w:t>Spiegelhalter (full book)</w:t>
            </w:r>
            <w:r>
              <w:rPr>
                <w:b w:val="0"/>
                <w:i w:val="0"/>
                <w:sz w:val="18"/>
              </w:rPr>
              <w:t xml:space="preserve"> Ch. 8 — opens with a simulation of the 17th-century Chevalier de Méré dice problem, then builds expected-frequency trees for coin flips and for breast-cancer screening</w:t>
            </w:r>
          </w:p>
        </w:tc>
        <w:tc>
          <w:tcPr>
            <w:tcW w:type="dxa" w:w="1662"/>
            <w:tcBorders>
              <w:top w:val="single" w:sz="4" w:space="0" w:color="BFBFBF"/>
              <w:bottom w:val="single" w:sz="4" w:space="0" w:color="BFBFBF"/>
            </w:tcBorders>
          </w:tcPr>
          <w:p>
            <w:r>
              <w:rPr>
                <w:rFonts w:ascii="Consolas" w:hAnsi="Consolas"/>
                <w:b w:val="0"/>
                <w:i w:val="0"/>
                <w:color w:val="8B2C1B"/>
                <w:sz w:val="18"/>
              </w:rPr>
              <w:t>class_03/03_1_probability.ipynb</w:t>
            </w:r>
            <w:r>
              <w:rPr>
                <w:b w:val="0"/>
                <w:i w:val="0"/>
                <w:sz w:val="18"/>
              </w:rPr>
              <w:t xml:space="preserve">, </w:t>
            </w:r>
            <w:r>
              <w:rPr>
                <w:rFonts w:ascii="Consolas" w:hAnsi="Consolas"/>
                <w:b w:val="0"/>
                <w:i w:val="0"/>
                <w:color w:val="8B2C1B"/>
                <w:sz w:val="18"/>
              </w:rPr>
              <w:t>03_2_random_variables.ipynb</w:t>
            </w:r>
          </w:p>
        </w:tc>
      </w:tr>
      <w:tr>
        <w:tc>
          <w:tcPr>
            <w:tcW w:type="dxa" w:w="639"/>
            <w:tcBorders>
              <w:top w:val="single" w:sz="4" w:space="0" w:color="BFBFBF"/>
              <w:bottom w:val="single" w:sz="4" w:space="0" w:color="BFBFBF"/>
            </w:tcBorders>
          </w:tcPr>
          <w:p>
            <w:r>
              <w:rPr>
                <w:b w:val="0"/>
                <w:i w:val="0"/>
                <w:sz w:val="18"/>
              </w:rPr>
              <w:t>9/3</w:t>
            </w:r>
          </w:p>
        </w:tc>
        <w:tc>
          <w:tcPr>
            <w:tcW w:type="dxa" w:w="1279"/>
            <w:tcBorders>
              <w:top w:val="single" w:sz="4" w:space="0" w:color="BFBFBF"/>
              <w:bottom w:val="single" w:sz="4" w:space="0" w:color="BFBFBF"/>
            </w:tcBorders>
          </w:tcPr>
          <w:p>
            <w:r>
              <w:rPr>
                <w:b w:val="0"/>
                <w:i w:val="0"/>
                <w:sz w:val="18"/>
              </w:rPr>
              <w:t>Learning from Data</w:t>
            </w:r>
          </w:p>
        </w:tc>
        <w:tc>
          <w:tcPr>
            <w:tcW w:type="dxa" w:w="2429"/>
            <w:tcBorders>
              <w:top w:val="single" w:sz="4" w:space="0" w:color="BFBFBF"/>
              <w:bottom w:val="single" w:sz="4" w:space="0" w:color="BFBFBF"/>
            </w:tcBorders>
          </w:tcPr>
          <w:p>
            <w:r>
              <w:rPr>
                <w:b/>
                <w:i w:val="0"/>
                <w:sz w:val="18"/>
              </w:rPr>
              <w:t>Wasserman:</w:t>
            </w:r>
            <w:r>
              <w:rPr>
                <w:b w:val="0"/>
                <w:i w:val="0"/>
                <w:sz w:val="18"/>
              </w:rPr>
              <w:t xml:space="preserve"> Ch. 6 (Models, Statistical Inference and Learning). </w:t>
            </w:r>
            <w:r>
              <w:rPr>
                <w:b/>
                <w:i w:val="0"/>
                <w:sz w:val="18"/>
              </w:rPr>
              <w:t>B&amp;H:</w:t>
            </w:r>
            <w:r>
              <w:rPr>
                <w:b w:val="0"/>
                <w:i w:val="0"/>
                <w:sz w:val="18"/>
              </w:rPr>
              <w:t xml:space="preserve"> Ch. 6, §6.3, "Sample moments" (p.252) — defines the sample mean/variance explicitly as estimators of the true moments, the same framing this class builds</w:t>
            </w:r>
          </w:p>
        </w:tc>
        <w:tc>
          <w:tcPr>
            <w:tcW w:type="dxa" w:w="2429"/>
            <w:tcBorders>
              <w:top w:val="single" w:sz="4" w:space="0" w:color="BFBFBF"/>
              <w:bottom w:val="single" w:sz="4" w:space="0" w:color="BFBFBF"/>
            </w:tcBorders>
          </w:tcPr>
          <w:p>
            <w:r>
              <w:rPr>
                <w:b/>
                <w:i w:val="0"/>
                <w:sz w:val="18"/>
              </w:rPr>
              <w:t>Wasserman:</w:t>
            </w:r>
            <w:r>
              <w:rPr>
                <w:b w:val="0"/>
                <w:i w:val="0"/>
                <w:sz w:val="18"/>
              </w:rPr>
              <w:t xml:space="preserve"> Ch. 3 (Expectation) — the variance-of-the-mean proof this class walks through is exactly Ch. 3's machinery. </w:t>
            </w:r>
            <w:r>
              <w:rPr>
                <w:b/>
                <w:i w:val="0"/>
                <w:sz w:val="18"/>
              </w:rPr>
              <w:t>B&amp;H:</w:t>
            </w:r>
            <w:r>
              <w:rPr>
                <w:b w:val="0"/>
                <w:i w:val="0"/>
                <w:sz w:val="18"/>
              </w:rPr>
              <w:t xml:space="preserve"> Ch. 10, §10.2, "Law of large numbers" (p.431)</w:t>
            </w:r>
          </w:p>
        </w:tc>
        <w:tc>
          <w:tcPr>
            <w:tcW w:type="dxa" w:w="1918"/>
            <w:tcBorders>
              <w:top w:val="single" w:sz="4" w:space="0" w:color="BFBFBF"/>
              <w:bottom w:val="single" w:sz="4" w:space="0" w:color="BFBFBF"/>
            </w:tcBorders>
          </w:tcPr>
          <w:p>
            <w:r>
              <w:rPr>
                <w:b/>
                <w:i w:val="0"/>
                <w:sz w:val="18"/>
              </w:rPr>
              <w:t>Ch. 5, Properties of a Random Sample</w:t>
            </w:r>
            <w:r>
              <w:rPr>
                <w:b w:val="0"/>
                <w:i w:val="0"/>
                <w:sz w:val="18"/>
              </w:rPr>
              <w:t xml:space="preserve"> (Casella &amp; Berger) — formally proves the sample mean's unbiasedness and variance from first principles (§5.1–5.2)</w:t>
            </w:r>
          </w:p>
        </w:tc>
        <w:tc>
          <w:tcPr>
            <w:tcW w:type="dxa" w:w="2046"/>
            <w:tcBorders>
              <w:top w:val="single" w:sz="4" w:space="0" w:color="BFBFBF"/>
              <w:bottom w:val="single" w:sz="4" w:space="0" w:color="BFBFBF"/>
            </w:tcBorders>
          </w:tcPr>
          <w:p>
            <w:r>
              <w:rPr>
                <w:b/>
                <w:i w:val="0"/>
                <w:sz w:val="18"/>
              </w:rPr>
              <w:t>Grinstead &amp; Snell, Ch. 8</w:t>
            </w:r>
            <w:r>
              <w:rPr>
                <w:b w:val="0"/>
                <w:i w:val="0"/>
                <w:sz w:val="18"/>
              </w:rPr>
              <w:t xml:space="preserve"> — organized around its own guiding question, "why does long-run averaging work?", ahead of any variance-of-the-mean algebra</w:t>
            </w:r>
          </w:p>
        </w:tc>
        <w:tc>
          <w:tcPr>
            <w:tcW w:type="dxa" w:w="2429"/>
            <w:tcBorders>
              <w:top w:val="single" w:sz="4" w:space="0" w:color="BFBFBF"/>
              <w:bottom w:val="single" w:sz="4" w:space="0" w:color="BFBFBF"/>
            </w:tcBorders>
          </w:tcPr>
          <w:p>
            <w:r>
              <w:rPr>
                <w:b/>
                <w:i w:val="0"/>
                <w:sz w:val="18"/>
              </w:rPr>
              <w:t>Grinstead &amp; Snell Fig. 8.1</w:t>
            </w:r>
            <w:r>
              <w:rPr>
                <w:b w:val="0"/>
                <w:i w:val="0"/>
                <w:sz w:val="18"/>
              </w:rPr>
              <w:t xml:space="preserve"> ("Bernoulli trials distributions") and </w:t>
            </w:r>
            <w:r>
              <w:rPr>
                <w:b/>
                <w:i w:val="0"/>
                <w:sz w:val="18"/>
              </w:rPr>
              <w:t>Fig. 8.2</w:t>
            </w:r>
            <w:r>
              <w:rPr>
                <w:b w:val="0"/>
                <w:i w:val="0"/>
                <w:sz w:val="18"/>
              </w:rPr>
              <w:t xml:space="preserve"> ("Illustration of Law of Large Numbers — uniform case") — watch the sample mean's own distribution narrow as n grows</w:t>
            </w:r>
          </w:p>
        </w:tc>
        <w:tc>
          <w:tcPr>
            <w:tcW w:type="dxa" w:w="1662"/>
            <w:tcBorders>
              <w:top w:val="single" w:sz="4" w:space="0" w:color="BFBFBF"/>
              <w:bottom w:val="single" w:sz="4" w:space="0" w:color="BFBFBF"/>
            </w:tcBorders>
          </w:tcPr>
          <w:p>
            <w:r>
              <w:rPr>
                <w:rFonts w:ascii="Consolas" w:hAnsi="Consolas"/>
                <w:b w:val="0"/>
                <w:i w:val="0"/>
                <w:color w:val="8B2C1B"/>
                <w:sz w:val="18"/>
              </w:rPr>
              <w:t>class_04/04_1_learning_from_data.ipynb</w:t>
            </w:r>
            <w:r>
              <w:rPr>
                <w:b w:val="0"/>
                <w:i w:val="0"/>
                <w:sz w:val="18"/>
              </w:rPr>
              <w:t xml:space="preserve">, </w:t>
            </w:r>
            <w:r>
              <w:rPr>
                <w:rFonts w:ascii="Consolas" w:hAnsi="Consolas"/>
                <w:b w:val="0"/>
                <w:i w:val="0"/>
                <w:color w:val="8B2C1B"/>
                <w:sz w:val="18"/>
              </w:rPr>
              <w:t>04_2_random_number_generation.ipynb</w:t>
            </w:r>
          </w:p>
        </w:tc>
      </w:tr>
      <w:tr>
        <w:tc>
          <w:tcPr>
            <w:tcW w:type="dxa" w:w="639"/>
            <w:tcBorders>
              <w:top w:val="single" w:sz="4" w:space="0" w:color="BFBFBF"/>
              <w:bottom w:val="single" w:sz="4" w:space="0" w:color="BFBFBF"/>
            </w:tcBorders>
          </w:tcPr>
          <w:p>
            <w:r>
              <w:rPr>
                <w:b w:val="0"/>
                <w:i w:val="0"/>
                <w:sz w:val="18"/>
              </w:rPr>
              <w:t>9/8</w:t>
            </w:r>
          </w:p>
        </w:tc>
        <w:tc>
          <w:tcPr>
            <w:tcW w:type="dxa" w:w="1279"/>
            <w:tcBorders>
              <w:top w:val="single" w:sz="4" w:space="0" w:color="BFBFBF"/>
              <w:bottom w:val="single" w:sz="4" w:space="0" w:color="BFBFBF"/>
            </w:tcBorders>
          </w:tcPr>
          <w:p>
            <w:r>
              <w:rPr>
                <w:b w:val="0"/>
                <w:i w:val="0"/>
                <w:sz w:val="18"/>
              </w:rPr>
              <w:t>Categorical Variables/Indicator</w:t>
            </w:r>
          </w:p>
        </w:tc>
        <w:tc>
          <w:tcPr>
            <w:tcW w:type="dxa" w:w="2429"/>
            <w:tcBorders>
              <w:top w:val="single" w:sz="4" w:space="0" w:color="BFBFBF"/>
              <w:bottom w:val="single" w:sz="4" w:space="0" w:color="BFBFBF"/>
            </w:tcBorders>
          </w:tcPr>
          <w:p>
            <w:r>
              <w:rPr>
                <w:b/>
                <w:i w:val="0"/>
                <w:sz w:val="18"/>
              </w:rPr>
              <w:t>Wasserman:</w:t>
            </w:r>
            <w:r>
              <w:rPr>
                <w:b w:val="0"/>
                <w:i w:val="0"/>
                <w:sz w:val="18"/>
              </w:rPr>
              <w:t xml:space="preserve"> Ch. 2 (Bernoulli/discrete catalog). </w:t>
            </w:r>
            <w:r>
              <w:rPr>
                <w:b/>
                <w:i w:val="0"/>
                <w:sz w:val="18"/>
              </w:rPr>
              <w:t>B&amp;H:</w:t>
            </w:r>
            <w:r>
              <w:rPr>
                <w:b w:val="0"/>
                <w:i w:val="0"/>
                <w:sz w:val="18"/>
              </w:rPr>
              <w:t xml:space="preserve"> Ch. 4, §4.4, "Indicator r.v.s and the fundamental bridge" (p.151) — the most direct section-title match anywhere in these six books for this exact class</w:t>
            </w:r>
          </w:p>
        </w:tc>
        <w:tc>
          <w:tcPr>
            <w:tcW w:type="dxa" w:w="2429"/>
            <w:tcBorders>
              <w:top w:val="single" w:sz="4" w:space="0" w:color="BFBFBF"/>
              <w:bottom w:val="single" w:sz="4" w:space="0" w:color="BFBFBF"/>
            </w:tcBorders>
          </w:tcPr>
          <w:p>
            <w:r>
              <w:rPr>
                <w:b/>
                <w:i w:val="0"/>
                <w:sz w:val="18"/>
              </w:rPr>
              <w:t>Wasserman:</w:t>
            </w:r>
            <w:r>
              <w:rPr>
                <w:b w:val="0"/>
                <w:i w:val="0"/>
                <w:sz w:val="18"/>
              </w:rPr>
              <w:t xml:space="preserve"> Ch. 7 (Estimating the CDF) — </w:t>
            </w:r>
            <w:r>
              <w:rPr>
                <w:rFonts w:ascii="Consolas" w:hAnsi="Consolas"/>
                <w:b w:val="0"/>
                <w:i w:val="0"/>
                <w:color w:val="8B2C1B"/>
                <w:sz w:val="18"/>
              </w:rPr>
              <w:t>class_05</w:t>
            </w:r>
            <w:r>
              <w:rPr>
                <w:b w:val="0"/>
                <w:i w:val="0"/>
                <w:sz w:val="18"/>
              </w:rPr>
              <w:t xml:space="preserve">'s own notebook already derives the ECDF's unbiasedness and variance, a class early. </w:t>
            </w:r>
            <w:r>
              <w:rPr>
                <w:b/>
                <w:i w:val="0"/>
                <w:sz w:val="18"/>
              </w:rPr>
              <w:t>B&amp;H:</w:t>
            </w:r>
            <w:r>
              <w:rPr>
                <w:b w:val="0"/>
                <w:i w:val="0"/>
                <w:sz w:val="18"/>
              </w:rPr>
              <w:t xml:space="preserve"> Ch. 3, §3.3, "Bernoulli and Binomial" (p.100)</w:t>
            </w:r>
          </w:p>
        </w:tc>
        <w:tc>
          <w:tcPr>
            <w:tcW w:type="dxa" w:w="1918"/>
            <w:tcBorders>
              <w:top w:val="single" w:sz="4" w:space="0" w:color="BFBFBF"/>
              <w:bottom w:val="single" w:sz="4" w:space="0" w:color="BFBFBF"/>
            </w:tcBorders>
          </w:tcPr>
          <w:p>
            <w:r>
              <w:rPr>
                <w:b/>
                <w:i w:val="0"/>
                <w:sz w:val="18"/>
              </w:rPr>
              <w:t>Ch. 3, Common Families of Distributions</w:t>
            </w:r>
            <w:r>
              <w:rPr>
                <w:b w:val="0"/>
                <w:i w:val="0"/>
                <w:sz w:val="18"/>
              </w:rPr>
              <w:t xml:space="preserve"> (Casella &amp; Berger) — the Bernoulli/binomial family, more derivation than Wasserman's catalog</w:t>
            </w:r>
          </w:p>
        </w:tc>
        <w:tc>
          <w:tcPr>
            <w:tcW w:type="dxa" w:w="2046"/>
            <w:tcBorders>
              <w:top w:val="single" w:sz="4" w:space="0" w:color="BFBFBF"/>
              <w:bottom w:val="single" w:sz="4" w:space="0" w:color="BFBFBF"/>
            </w:tcBorders>
          </w:tcPr>
          <w:p>
            <w:r>
              <w:rPr>
                <w:b/>
                <w:i w:val="0"/>
                <w:sz w:val="18"/>
              </w:rPr>
              <w:t>Spiegelhalter, Ch. 1, "Getting Things in Proportion,"</w:t>
            </w:r>
            <w:r>
              <w:rPr>
                <w:b w:val="0"/>
                <w:i w:val="0"/>
                <w:sz w:val="18"/>
              </w:rPr>
              <w:t xml:space="preserve"> pp.19–28 — builds the definitions of binary and categorical data entirely around one real story, the Bristol child-heart-surgery inquiry, and covers positive-vs-negative framing rather than starting from set notation</w:t>
            </w:r>
          </w:p>
        </w:tc>
        <w:tc>
          <w:tcPr>
            <w:tcW w:type="dxa" w:w="2429"/>
            <w:tcBorders>
              <w:top w:val="single" w:sz="4" w:space="0" w:color="BFBFBF"/>
              <w:bottom w:val="single" w:sz="4" w:space="0" w:color="BFBFBF"/>
            </w:tcBorders>
          </w:tcPr>
          <w:p>
            <w:r>
              <w:rPr>
                <w:b/>
                <w:i w:val="0"/>
                <w:sz w:val="18"/>
              </w:rPr>
              <w:t>Spiegelhalter (full book)</w:t>
            </w:r>
            <w:r>
              <w:rPr>
                <w:b w:val="0"/>
                <w:i w:val="0"/>
                <w:sz w:val="18"/>
              </w:rPr>
              <w:t xml:space="preserve"> Figs 1.2–1.3 — the same hospital breakdown shown first as a pie chart, then as a bar chart</w:t>
            </w:r>
          </w:p>
        </w:tc>
        <w:tc>
          <w:tcPr>
            <w:tcW w:type="dxa" w:w="1662"/>
            <w:tcBorders>
              <w:top w:val="single" w:sz="4" w:space="0" w:color="BFBFBF"/>
              <w:bottom w:val="single" w:sz="4" w:space="0" w:color="BFBFBF"/>
            </w:tcBorders>
          </w:tcPr>
          <w:p>
            <w:r>
              <w:rPr>
                <w:rFonts w:ascii="Consolas" w:hAnsi="Consolas"/>
                <w:b w:val="0"/>
                <w:i w:val="0"/>
                <w:color w:val="8B2C1B"/>
                <w:sz w:val="18"/>
              </w:rPr>
              <w:t>class_05/01_categorical_variables.ipynb</w:t>
            </w:r>
            <w:r>
              <w:rPr>
                <w:b w:val="0"/>
                <w:i w:val="0"/>
                <w:sz w:val="18"/>
              </w:rPr>
              <w:t xml:space="preserve">, </w:t>
            </w:r>
            <w:r>
              <w:rPr>
                <w:rFonts w:ascii="Consolas" w:hAnsi="Consolas"/>
                <w:b w:val="0"/>
                <w:i w:val="0"/>
                <w:color w:val="8B2C1B"/>
                <w:sz w:val="18"/>
              </w:rPr>
              <w:t>02_numeric_variables.ipynb</w:t>
            </w:r>
          </w:p>
        </w:tc>
      </w:tr>
      <w:tr>
        <w:tc>
          <w:tcPr>
            <w:tcW w:type="dxa" w:w="639"/>
            <w:tcBorders>
              <w:top w:val="single" w:sz="4" w:space="0" w:color="BFBFBF"/>
              <w:bottom w:val="single" w:sz="4" w:space="0" w:color="BFBFBF"/>
            </w:tcBorders>
          </w:tcPr>
          <w:p>
            <w:r>
              <w:rPr>
                <w:b w:val="0"/>
                <w:i w:val="0"/>
                <w:sz w:val="18"/>
              </w:rPr>
              <w:t>9/10</w:t>
            </w:r>
          </w:p>
        </w:tc>
        <w:tc>
          <w:tcPr>
            <w:tcW w:type="dxa" w:w="1279"/>
            <w:tcBorders>
              <w:top w:val="single" w:sz="4" w:space="0" w:color="BFBFBF"/>
              <w:bottom w:val="single" w:sz="4" w:space="0" w:color="BFBFBF"/>
            </w:tcBorders>
          </w:tcPr>
          <w:p>
            <w:r>
              <w:rPr>
                <w:b w:val="0"/>
                <w:i w:val="0"/>
                <w:sz w:val="18"/>
              </w:rPr>
              <w:t>CDF/PDF</w:t>
            </w:r>
          </w:p>
        </w:tc>
        <w:tc>
          <w:tcPr>
            <w:tcW w:type="dxa" w:w="2429"/>
            <w:tcBorders>
              <w:top w:val="single" w:sz="4" w:space="0" w:color="BFBFBF"/>
              <w:bottom w:val="single" w:sz="4" w:space="0" w:color="BFBFBF"/>
            </w:tcBorders>
          </w:tcPr>
          <w:p>
            <w:r>
              <w:rPr>
                <w:b/>
                <w:i w:val="0"/>
                <w:sz w:val="18"/>
              </w:rPr>
              <w:t>Wasserman:</w:t>
            </w:r>
            <w:r>
              <w:rPr>
                <w:b w:val="0"/>
                <w:i w:val="0"/>
                <w:sz w:val="18"/>
              </w:rPr>
              <w:t xml:space="preserve"> Ch. 2 (CDF/PDF as objects, quantile function). </w:t>
            </w:r>
            <w:r>
              <w:rPr>
                <w:b/>
                <w:i w:val="0"/>
                <w:sz w:val="18"/>
              </w:rPr>
              <w:t>B&amp;H:</w:t>
            </w:r>
            <w:r>
              <w:rPr>
                <w:b w:val="0"/>
                <w:i w:val="0"/>
                <w:sz w:val="18"/>
              </w:rPr>
              <w:t xml:space="preserve"> Ch. 3, §3.6, "Cumulative distribution functions" (p.108) + Ch. 5, §5.1, "Probability density functions" (p.195)</w:t>
            </w:r>
          </w:p>
        </w:tc>
        <w:tc>
          <w:tcPr>
            <w:tcW w:type="dxa" w:w="2429"/>
            <w:tcBorders>
              <w:top w:val="single" w:sz="4" w:space="0" w:color="BFBFBF"/>
              <w:bottom w:val="single" w:sz="4" w:space="0" w:color="BFBFBF"/>
            </w:tcBorders>
          </w:tcPr>
          <w:p>
            <w:r>
              <w:rPr>
                <w:b/>
                <w:i w:val="0"/>
                <w:sz w:val="18"/>
              </w:rPr>
              <w:t>Wasserman:</w:t>
            </w:r>
            <w:r>
              <w:rPr>
                <w:b w:val="0"/>
                <w:i w:val="0"/>
                <w:sz w:val="18"/>
              </w:rPr>
              <w:t xml:space="preserve"> Ch. 7 (Estimating the CDF) — the empirical/estimation side, carried from 9/8</w:t>
            </w:r>
          </w:p>
        </w:tc>
        <w:tc>
          <w:tcPr>
            <w:tcW w:type="dxa" w:w="1918"/>
            <w:tcBorders>
              <w:top w:val="single" w:sz="4" w:space="0" w:color="BFBFBF"/>
              <w:bottom w:val="single" w:sz="4" w:space="0" w:color="BFBFBF"/>
            </w:tcBorders>
          </w:tcPr>
          <w:p>
            <w:r>
              <w:rPr>
                <w:b/>
                <w:i w:val="0"/>
                <w:sz w:val="18"/>
              </w:rPr>
              <w:t>Ch. 1</w:t>
            </w:r>
            <w:r>
              <w:rPr>
                <w:b w:val="0"/>
                <w:i w:val="0"/>
                <w:sz w:val="18"/>
              </w:rPr>
              <w:t xml:space="preserve"> (distribution functions defined rigorously, Casella &amp; Berger) + </w:t>
            </w:r>
            <w:r>
              <w:rPr>
                <w:b/>
                <w:i w:val="0"/>
                <w:sz w:val="18"/>
              </w:rPr>
              <w:t>Ch. 3</w:t>
            </w:r>
            <w:r>
              <w:rPr>
                <w:b w:val="0"/>
                <w:i w:val="0"/>
                <w:sz w:val="18"/>
              </w:rPr>
              <w:t xml:space="preserve"> (the named continuous distributions this class works through)</w:t>
            </w:r>
          </w:p>
        </w:tc>
        <w:tc>
          <w:tcPr>
            <w:tcW w:type="dxa" w:w="2046"/>
            <w:tcBorders>
              <w:top w:val="single" w:sz="4" w:space="0" w:color="BFBFBF"/>
              <w:bottom w:val="single" w:sz="4" w:space="0" w:color="BFBFBF"/>
            </w:tcBorders>
          </w:tcPr>
          <w:p>
            <w:r>
              <w:rPr>
                <w:b/>
                <w:i w:val="0"/>
                <w:sz w:val="18"/>
              </w:rPr>
              <w:t>Grinstead &amp; Snell, Ch. 1 vs. Ch. 2</w:t>
            </w:r>
            <w:r>
              <w:rPr>
                <w:b w:val="0"/>
                <w:i w:val="0"/>
                <w:sz w:val="18"/>
              </w:rPr>
              <w:t xml:space="preserve"> — paired around parallel questions, discrete vs. continuous, so a CDF/density pair reads as one idea worked twice</w:t>
            </w:r>
          </w:p>
        </w:tc>
        <w:tc>
          <w:tcPr>
            <w:tcW w:type="dxa" w:w="2429"/>
            <w:tcBorders>
              <w:top w:val="single" w:sz="4" w:space="0" w:color="BFBFBF"/>
              <w:bottom w:val="single" w:sz="4" w:space="0" w:color="BFBFBF"/>
            </w:tcBorders>
          </w:tcPr>
          <w:p>
            <w:r>
              <w:rPr>
                <w:color w:val="999999"/>
                <w:sz w:val="18"/>
              </w:rPr>
              <w:t>—</w:t>
            </w:r>
          </w:p>
        </w:tc>
        <w:tc>
          <w:tcPr>
            <w:tcW w:type="dxa" w:w="1662"/>
            <w:tcBorders>
              <w:top w:val="single" w:sz="4" w:space="0" w:color="BFBFBF"/>
              <w:bottom w:val="single" w:sz="4" w:space="0" w:color="BFBFBF"/>
            </w:tcBorders>
          </w:tcPr>
          <w:p>
            <w:r>
              <w:rPr>
                <w:rFonts w:ascii="Consolas" w:hAnsi="Consolas"/>
                <w:b w:val="0"/>
                <w:i w:val="0"/>
                <w:color w:val="8B2C1B"/>
                <w:sz w:val="18"/>
              </w:rPr>
              <w:t>class_06/04_1_cdf.ipynb</w:t>
            </w:r>
            <w:r>
              <w:rPr>
                <w:b w:val="0"/>
                <w:i w:val="0"/>
                <w:sz w:val="18"/>
              </w:rPr>
              <w:t xml:space="preserve">, </w:t>
            </w:r>
            <w:r>
              <w:rPr>
                <w:rFonts w:ascii="Consolas" w:hAnsi="Consolas"/>
                <w:b w:val="0"/>
                <w:i w:val="0"/>
                <w:color w:val="8B2C1B"/>
                <w:sz w:val="18"/>
              </w:rPr>
              <w:t>07_1_pdf.ipynb</w:t>
            </w:r>
          </w:p>
        </w:tc>
      </w:tr>
      <w:tr>
        <w:tc>
          <w:tcPr>
            <w:tcW w:type="dxa" w:w="639"/>
            <w:tcBorders>
              <w:top w:val="single" w:sz="4" w:space="0" w:color="BFBFBF"/>
              <w:bottom w:val="single" w:sz="4" w:space="0" w:color="BFBFBF"/>
            </w:tcBorders>
          </w:tcPr>
          <w:p>
            <w:r>
              <w:rPr>
                <w:b w:val="0"/>
                <w:i w:val="0"/>
                <w:sz w:val="18"/>
              </w:rPr>
              <w:t>9/15</w:t>
            </w:r>
          </w:p>
        </w:tc>
        <w:tc>
          <w:tcPr>
            <w:tcW w:type="dxa" w:w="1279"/>
            <w:tcBorders>
              <w:top w:val="single" w:sz="4" w:space="0" w:color="BFBFBF"/>
              <w:bottom w:val="single" w:sz="4" w:space="0" w:color="BFBFBF"/>
            </w:tcBorders>
          </w:tcPr>
          <w:p>
            <w:r>
              <w:rPr>
                <w:b w:val="0"/>
                <w:i w:val="0"/>
                <w:sz w:val="18"/>
              </w:rPr>
              <w:t>KDE: Windowing/Bandwidth, Uniform Kernel</w:t>
            </w:r>
          </w:p>
        </w:tc>
        <w:tc>
          <w:tcPr>
            <w:tcW w:type="dxa" w:w="2429"/>
            <w:tcBorders>
              <w:top w:val="single" w:sz="4" w:space="0" w:color="BFBFBF"/>
              <w:bottom w:val="single" w:sz="4" w:space="0" w:color="BFBFBF"/>
            </w:tcBorders>
          </w:tcPr>
          <w:p>
            <w:r>
              <w:rPr>
                <w:b/>
                <w:i w:val="0"/>
                <w:sz w:val="18"/>
              </w:rPr>
              <w:t>Wasserman:</w:t>
            </w:r>
            <w:r>
              <w:rPr>
                <w:b w:val="0"/>
                <w:i w:val="0"/>
                <w:sz w:val="18"/>
              </w:rPr>
              <w:t xml:space="preserve"> Ch. 20 (Nonparametric Curve Estimation). </w:t>
            </w:r>
            <w:r>
              <w:rPr>
                <w:b/>
                <w:i w:val="0"/>
                <w:sz w:val="18"/>
              </w:rPr>
              <w:t>B&amp;H:</w:t>
            </w:r>
            <w:r>
              <w:rPr>
                <w:b w:val="0"/>
                <w:i w:val="0"/>
                <w:sz w:val="18"/>
              </w:rPr>
              <w:t xml:space="preserve"> not covered — a pure-probability text with no density-estimation content</w:t>
            </w:r>
          </w:p>
        </w:tc>
        <w:tc>
          <w:tcPr>
            <w:tcW w:type="dxa" w:w="2429"/>
            <w:tcBorders>
              <w:top w:val="single" w:sz="4" w:space="0" w:color="BFBFBF"/>
              <w:bottom w:val="single" w:sz="4" w:space="0" w:color="BFBFBF"/>
            </w:tcBorders>
          </w:tcPr>
          <w:p>
            <w:r>
              <w:rPr>
                <w:color w:val="999999"/>
                <w:sz w:val="18"/>
              </w:rPr>
              <w:t>—</w:t>
            </w:r>
          </w:p>
        </w:tc>
        <w:tc>
          <w:tcPr>
            <w:tcW w:type="dxa" w:w="1918"/>
            <w:tcBorders>
              <w:top w:val="single" w:sz="4" w:space="0" w:color="BFBFBF"/>
              <w:bottom w:val="single" w:sz="4" w:space="0" w:color="BFBFBF"/>
            </w:tcBorders>
          </w:tcPr>
          <w:p>
            <w:r>
              <w:rPr>
                <w:b w:val="0"/>
                <w:i/>
                <w:sz w:val="18"/>
              </w:rPr>
              <w:t>(not covered — no density-estimation chapter in either)</w:t>
            </w:r>
          </w:p>
        </w:tc>
        <w:tc>
          <w:tcPr>
            <w:tcW w:type="dxa" w:w="2046"/>
            <w:tcBorders>
              <w:top w:val="single" w:sz="4" w:space="0" w:color="BFBFBF"/>
              <w:bottom w:val="single" w:sz="4" w:space="0" w:color="BFBFBF"/>
            </w:tcBorders>
          </w:tcPr>
          <w:p>
            <w:r>
              <w:rPr>
                <w:b w:val="0"/>
                <w:i/>
                <w:sz w:val="18"/>
              </w:rPr>
              <w:t>(not covered — none of the six companion texts treat density estimation at all; Wasserman Ch. 20 is genuinely the only source here)</w:t>
            </w:r>
          </w:p>
        </w:tc>
        <w:tc>
          <w:tcPr>
            <w:tcW w:type="dxa" w:w="2429"/>
            <w:tcBorders>
              <w:top w:val="single" w:sz="4" w:space="0" w:color="BFBFBF"/>
              <w:bottom w:val="single" w:sz="4" w:space="0" w:color="BFBFBF"/>
            </w:tcBorders>
          </w:tcPr>
          <w:p>
            <w:r>
              <w:rPr>
                <w:color w:val="999999"/>
                <w:sz w:val="18"/>
              </w:rPr>
              <w:t>—</w:t>
            </w:r>
          </w:p>
        </w:tc>
        <w:tc>
          <w:tcPr>
            <w:tcW w:type="dxa" w:w="1662"/>
            <w:tcBorders>
              <w:top w:val="single" w:sz="4" w:space="0" w:color="BFBFBF"/>
              <w:bottom w:val="single" w:sz="4" w:space="0" w:color="BFBFBF"/>
            </w:tcBorders>
          </w:tcPr>
          <w:p>
            <w:r>
              <w:rPr>
                <w:rFonts w:ascii="Consolas" w:hAnsi="Consolas"/>
                <w:b w:val="0"/>
                <w:i w:val="0"/>
                <w:color w:val="8B2C1B"/>
                <w:sz w:val="18"/>
              </w:rPr>
              <w:t>class_07/05_1_kde.ipynb</w:t>
            </w:r>
            <w:r>
              <w:rPr>
                <w:b w:val="0"/>
                <w:i w:val="0"/>
                <w:sz w:val="18"/>
              </w:rPr>
              <w:t xml:space="preserve">, </w:t>
            </w:r>
            <w:r>
              <w:rPr>
                <w:rFonts w:ascii="Consolas" w:hAnsi="Consolas"/>
                <w:b w:val="0"/>
                <w:i w:val="0"/>
                <w:color w:val="8B2C1B"/>
                <w:sz w:val="18"/>
              </w:rPr>
              <w:t>05_2_gaussian_kernel.ipynb</w:t>
            </w:r>
          </w:p>
        </w:tc>
      </w:tr>
      <w:tr>
        <w:tc>
          <w:tcPr>
            <w:tcW w:type="dxa" w:w="639"/>
            <w:tcBorders>
              <w:top w:val="single" w:sz="4" w:space="0" w:color="BFBFBF"/>
              <w:bottom w:val="single" w:sz="4" w:space="0" w:color="BFBFBF"/>
            </w:tcBorders>
          </w:tcPr>
          <w:p>
            <w:r>
              <w:rPr>
                <w:b w:val="0"/>
                <w:i w:val="0"/>
                <w:sz w:val="18"/>
              </w:rPr>
              <w:t>9/17</w:t>
            </w:r>
          </w:p>
        </w:tc>
        <w:tc>
          <w:tcPr>
            <w:tcW w:type="dxa" w:w="1279"/>
            <w:tcBorders>
              <w:top w:val="single" w:sz="4" w:space="0" w:color="BFBFBF"/>
              <w:bottom w:val="single" w:sz="4" w:space="0" w:color="BFBFBF"/>
            </w:tcBorders>
          </w:tcPr>
          <w:p>
            <w:r>
              <w:rPr>
                <w:b w:val="0"/>
                <w:i w:val="0"/>
                <w:sz w:val="18"/>
              </w:rPr>
              <w:t>Survival Function and Hazard Rate</w:t>
            </w:r>
          </w:p>
        </w:tc>
        <w:tc>
          <w:tcPr>
            <w:tcW w:type="dxa" w:w="2429"/>
            <w:tcBorders>
              <w:top w:val="single" w:sz="4" w:space="0" w:color="BFBFBF"/>
              <w:bottom w:val="single" w:sz="4" w:space="0" w:color="BFBFBF"/>
            </w:tcBorders>
          </w:tcPr>
          <w:p>
            <w:r>
              <w:rPr>
                <w:b/>
                <w:i w:val="0"/>
                <w:sz w:val="18"/>
              </w:rPr>
              <w:t>Not in Wasserman or B&amp;H</w:t>
            </w:r>
            <w:r>
              <w:rPr>
                <w:b w:val="0"/>
                <w:i w:val="0"/>
                <w:sz w:val="18"/>
              </w:rPr>
              <w:t xml:space="preserve"> — see note</w:t>
            </w:r>
          </w:p>
        </w:tc>
        <w:tc>
          <w:tcPr>
            <w:tcW w:type="dxa" w:w="2429"/>
            <w:tcBorders>
              <w:top w:val="single" w:sz="4" w:space="0" w:color="BFBFBF"/>
              <w:bottom w:val="single" w:sz="4" w:space="0" w:color="BFBFBF"/>
            </w:tcBorders>
          </w:tcPr>
          <w:p>
            <w:r>
              <w:rPr>
                <w:color w:val="999999"/>
                <w:sz w:val="18"/>
              </w:rPr>
              <w:t>—</w:t>
            </w:r>
          </w:p>
        </w:tc>
        <w:tc>
          <w:tcPr>
            <w:tcW w:type="dxa" w:w="1918"/>
            <w:tcBorders>
              <w:top w:val="single" w:sz="4" w:space="0" w:color="BFBFBF"/>
              <w:bottom w:val="single" w:sz="4" w:space="0" w:color="BFBFBF"/>
            </w:tcBorders>
          </w:tcPr>
          <w:p>
            <w:r>
              <w:rPr>
                <w:b/>
                <w:i w:val="0"/>
                <w:sz w:val="18"/>
              </w:rPr>
              <w:t>CASI Ch. 9, "Survival Analysis and the EM Algorithm," §9.1–9.4</w:t>
            </w:r>
            <w:r>
              <w:rPr>
                <w:b w:val="0"/>
                <w:i w:val="0"/>
                <w:sz w:val="18"/>
              </w:rPr>
              <w:t xml:space="preserve"> — life tables, Kaplan–Meier, the log-rank test, and proportional hazards; a genuine full chapter, the strongest reading for this class in any of the six books</w:t>
            </w:r>
          </w:p>
        </w:tc>
        <w:tc>
          <w:tcPr>
            <w:tcW w:type="dxa" w:w="2046"/>
            <w:tcBorders>
              <w:top w:val="single" w:sz="4" w:space="0" w:color="BFBFBF"/>
              <w:bottom w:val="single" w:sz="4" w:space="0" w:color="BFBFBF"/>
            </w:tcBorders>
          </w:tcPr>
          <w:p>
            <w:r>
              <w:rPr>
                <w:b/>
                <w:i w:val="0"/>
                <w:sz w:val="18"/>
              </w:rPr>
              <w:t>CASI §9.1's own opening</w:t>
            </w:r>
            <w:r>
              <w:rPr>
                <w:b w:val="0"/>
                <w:i w:val="0"/>
                <w:sz w:val="18"/>
              </w:rPr>
              <w:t xml:space="preserve"> — starts from an actuary's plain problem (an insurance company has to set rates for new policyholders without waiting fifty years to see how long people actually live), and the hazard rate falls out of that practical need before any formula appears</w:t>
            </w:r>
          </w:p>
        </w:tc>
        <w:tc>
          <w:tcPr>
            <w:tcW w:type="dxa" w:w="2429"/>
            <w:tcBorders>
              <w:top w:val="single" w:sz="4" w:space="0" w:color="BFBFBF"/>
              <w:bottom w:val="single" w:sz="4" w:space="0" w:color="BFBFBF"/>
            </w:tcBorders>
          </w:tcPr>
          <w:p>
            <w:r>
              <w:rPr>
                <w:b/>
                <w:i w:val="0"/>
                <w:sz w:val="18"/>
              </w:rPr>
              <w:t>CASI §9.1</w:t>
            </w:r>
            <w:r>
              <w:rPr>
                <w:b w:val="0"/>
                <w:i w:val="0"/>
                <w:sz w:val="18"/>
              </w:rPr>
              <w:t xml:space="preserve"> — Table 9.1, a real insurance life table with hazard rates ĥ and survival estimates Ŝ by age. </w:t>
            </w:r>
            <w:r>
              <w:rPr>
                <w:b/>
                <w:i w:val="0"/>
                <w:sz w:val="18"/>
              </w:rPr>
              <w:t>Fig. 9.1</w:t>
            </w:r>
            <w:r>
              <w:rPr>
                <w:b w:val="0"/>
                <w:i w:val="0"/>
                <w:sz w:val="18"/>
              </w:rPr>
              <w:t xml:space="preserve"> — NCOG Kaplan–Meier curves. </w:t>
            </w:r>
            <w:r>
              <w:rPr>
                <w:b/>
                <w:i w:val="0"/>
                <w:sz w:val="18"/>
              </w:rPr>
              <w:t>Fig. 9.2</w:t>
            </w:r>
            <w:r>
              <w:rPr>
                <w:b w:val="0"/>
                <w:i w:val="0"/>
                <w:sz w:val="18"/>
              </w:rPr>
              <w:t xml:space="preserve"> — the hazard function h(t) itself. </w:t>
            </w:r>
            <w:r>
              <w:rPr>
                <w:b/>
                <w:i w:val="0"/>
                <w:sz w:val="18"/>
              </w:rPr>
              <w:t>Spiegelhalter (full book)</w:t>
            </w:r>
            <w:r>
              <w:rPr>
                <w:b w:val="0"/>
                <w:i w:val="0"/>
                <w:sz w:val="18"/>
              </w:rPr>
              <w:t xml:space="preserve"> Fig. 6.7 — a real post-surgery breast-cancer survival-rate example</w:t>
            </w:r>
          </w:p>
        </w:tc>
        <w:tc>
          <w:tcPr>
            <w:tcW w:type="dxa" w:w="1662"/>
            <w:tcBorders>
              <w:top w:val="single" w:sz="4" w:space="0" w:color="BFBFBF"/>
              <w:bottom w:val="single" w:sz="4" w:space="0" w:color="BFBFBF"/>
            </w:tcBorders>
          </w:tcPr>
          <w:p>
            <w:r>
              <w:rPr>
                <w:rFonts w:ascii="Consolas" w:hAnsi="Consolas"/>
                <w:b w:val="0"/>
                <w:i w:val="0"/>
                <w:color w:val="8B2C1B"/>
                <w:sz w:val="18"/>
              </w:rPr>
              <w:t>class_08/06_01_survival_and_hazard.ipynb</w:t>
            </w:r>
            <w:r>
              <w:rPr>
                <w:b w:val="0"/>
                <w:i w:val="0"/>
                <w:sz w:val="18"/>
              </w:rPr>
              <w:t xml:space="preserve">, </w:t>
            </w:r>
            <w:r>
              <w:rPr>
                <w:rFonts w:ascii="Consolas" w:hAnsi="Consolas"/>
                <w:b w:val="0"/>
                <w:i w:val="0"/>
                <w:color w:val="8B2C1B"/>
                <w:sz w:val="18"/>
              </w:rPr>
              <w:t>06_02_optimal_stopping.ipynb</w:t>
            </w:r>
            <w:r>
              <w:rPr>
                <w:b w:val="0"/>
                <w:i w:val="0"/>
                <w:sz w:val="18"/>
              </w:rPr>
              <w:t xml:space="preserve"> (rougher draft)</w:t>
            </w:r>
          </w:p>
        </w:tc>
      </w:tr>
      <w:tr>
        <w:tc>
          <w:tcPr>
            <w:tcW w:type="dxa" w:w="639"/>
            <w:tcBorders>
              <w:top w:val="single" w:sz="4" w:space="0" w:color="BFBFBF"/>
              <w:bottom w:val="single" w:sz="4" w:space="0" w:color="BFBFBF"/>
            </w:tcBorders>
          </w:tcPr>
          <w:p>
            <w:r>
              <w:rPr>
                <w:b w:val="0"/>
                <w:i w:val="0"/>
                <w:sz w:val="18"/>
              </w:rPr>
              <w:t>9/22</w:t>
            </w:r>
          </w:p>
        </w:tc>
        <w:tc>
          <w:tcPr>
            <w:tcW w:type="dxa" w:w="1279"/>
            <w:tcBorders>
              <w:top w:val="single" w:sz="4" w:space="0" w:color="BFBFBF"/>
              <w:bottom w:val="single" w:sz="4" w:space="0" w:color="BFBFBF"/>
            </w:tcBorders>
          </w:tcPr>
          <w:p>
            <w:r>
              <w:rPr>
                <w:b w:val="0"/>
                <w:i w:val="0"/>
                <w:sz w:val="18"/>
              </w:rPr>
              <w:t>The Sampling Distribution</w:t>
            </w:r>
          </w:p>
        </w:tc>
        <w:tc>
          <w:tcPr>
            <w:tcW w:type="dxa" w:w="2429"/>
            <w:tcBorders>
              <w:top w:val="single" w:sz="4" w:space="0" w:color="BFBFBF"/>
              <w:bottom w:val="single" w:sz="4" w:space="0" w:color="BFBFBF"/>
            </w:tcBorders>
          </w:tcPr>
          <w:p>
            <w:r>
              <w:rPr>
                <w:b/>
                <w:i w:val="0"/>
                <w:sz w:val="18"/>
              </w:rPr>
              <w:t>Wasserman:</w:t>
            </w:r>
            <w:r>
              <w:rPr>
                <w:b w:val="0"/>
                <w:i w:val="0"/>
                <w:sz w:val="18"/>
              </w:rPr>
              <w:t xml:space="preserve"> Ch. 5 (Convergence of Random Variables). </w:t>
            </w:r>
            <w:r>
              <w:rPr>
                <w:b/>
                <w:i w:val="0"/>
                <w:sz w:val="18"/>
              </w:rPr>
              <w:t>B&amp;H:</w:t>
            </w:r>
            <w:r>
              <w:rPr>
                <w:b w:val="0"/>
                <w:i w:val="0"/>
                <w:sz w:val="18"/>
              </w:rPr>
              <w:t xml:space="preserve"> no dedicated section — Ch. 10 covers the limit theorems underneath this but never names "the sampling distribution" as its own object</w:t>
            </w:r>
          </w:p>
        </w:tc>
        <w:tc>
          <w:tcPr>
            <w:tcW w:type="dxa" w:w="2429"/>
            <w:tcBorders>
              <w:top w:val="single" w:sz="4" w:space="0" w:color="BFBFBF"/>
              <w:bottom w:val="single" w:sz="4" w:space="0" w:color="BFBFBF"/>
            </w:tcBorders>
          </w:tcPr>
          <w:p>
            <w:r>
              <w:rPr>
                <w:b/>
                <w:i w:val="0"/>
                <w:sz w:val="18"/>
              </w:rPr>
              <w:t>Wasserman:</w:t>
            </w:r>
            <w:r>
              <w:rPr>
                <w:b w:val="0"/>
                <w:i w:val="0"/>
                <w:sz w:val="18"/>
              </w:rPr>
              <w:t xml:space="preserve"> Ch. 6 (§ point estimation) for the "sampling distribution of a statistic" framing. </w:t>
            </w:r>
            <w:r>
              <w:rPr>
                <w:b/>
                <w:i w:val="0"/>
                <w:sz w:val="18"/>
              </w:rPr>
              <w:t>B&amp;H:</w:t>
            </w:r>
            <w:r>
              <w:rPr>
                <w:b w:val="0"/>
                <w:i w:val="0"/>
                <w:sz w:val="18"/>
              </w:rPr>
              <w:t xml:space="preserve"> Ch. 10, §10.2, "Law of large numbers" (p.431)</w:t>
            </w:r>
          </w:p>
        </w:tc>
        <w:tc>
          <w:tcPr>
            <w:tcW w:type="dxa" w:w="1918"/>
            <w:tcBorders>
              <w:top w:val="single" w:sz="4" w:space="0" w:color="BFBFBF"/>
              <w:bottom w:val="single" w:sz="4" w:space="0" w:color="BFBFBF"/>
            </w:tcBorders>
          </w:tcPr>
          <w:p>
            <w:r>
              <w:rPr>
                <w:b/>
                <w:i w:val="0"/>
                <w:sz w:val="18"/>
              </w:rPr>
              <w:t>CASI §10.2, "The Nonparametric Bootstrap"</w:t>
            </w:r>
            <w:r>
              <w:rPr>
                <w:b w:val="0"/>
                <w:i w:val="0"/>
                <w:sz w:val="18"/>
              </w:rPr>
              <w:t xml:space="preserve"> — defines the sampling distribution of a statistic as a repeatable thought experiment, more concretely than either primary text. </w:t>
            </w:r>
            <w:r>
              <w:rPr>
                <w:b/>
                <w:i w:val="0"/>
                <w:sz w:val="18"/>
              </w:rPr>
              <w:t>CASI Ch. 2, §2.1</w:t>
            </w:r>
            <w:r>
              <w:rPr>
                <w:b w:val="0"/>
                <w:i w:val="0"/>
                <w:sz w:val="18"/>
              </w:rPr>
              <w:t xml:space="preserve"> — the book's own formal setup of hypothetical repeated data sets and the resulting ensemble of estimates, on a real 211-patient kidney dataset (Fig. 2.1)</w:t>
            </w:r>
          </w:p>
        </w:tc>
        <w:tc>
          <w:tcPr>
            <w:tcW w:type="dxa" w:w="2046"/>
            <w:tcBorders>
              <w:top w:val="single" w:sz="4" w:space="0" w:color="BFBFBF"/>
              <w:bottom w:val="single" w:sz="4" w:space="0" w:color="BFBFBF"/>
            </w:tcBorders>
          </w:tcPr>
          <w:p>
            <w:r>
              <w:rPr>
                <w:b w:val="0"/>
                <w:i w:val="0"/>
                <w:sz w:val="18"/>
              </w:rPr>
              <w:t>Same passage, its own framing — imagine redrawing a fresh sample and recomputing the statistic thousands of times; the sampling distribution is the spread you'd see if you actually could</w:t>
            </w:r>
          </w:p>
        </w:tc>
        <w:tc>
          <w:tcPr>
            <w:tcW w:type="dxa" w:w="2429"/>
            <w:tcBorders>
              <w:top w:val="single" w:sz="4" w:space="0" w:color="BFBFBF"/>
              <w:bottom w:val="single" w:sz="4" w:space="0" w:color="BFBFBF"/>
            </w:tcBorders>
          </w:tcPr>
          <w:p>
            <w:r>
              <w:rPr>
                <w:b/>
                <w:i w:val="0"/>
                <w:sz w:val="18"/>
              </w:rPr>
              <w:t>Grinstead &amp; Snell Fig. 9.5–9.6</w:t>
            </w:r>
            <w:r>
              <w:rPr>
                <w:b w:val="0"/>
                <w:i w:val="0"/>
                <w:sz w:val="18"/>
              </w:rPr>
              <w:t xml:space="preserve"> — a simulated poll and the resulting 100 confidence intervals side by side. </w:t>
            </w:r>
            <w:r>
              <w:rPr>
                <w:b/>
                <w:i w:val="0"/>
                <w:sz w:val="18"/>
              </w:rPr>
              <w:t>ROS Ch. 5</w:t>
            </w:r>
            <w:r>
              <w:rPr>
                <w:b w:val="0"/>
                <w:i w:val="0"/>
                <w:sz w:val="18"/>
              </w:rPr>
              <w:t xml:space="preserve">, </w:t>
            </w:r>
            <w:r>
              <w:rPr>
                <w:rFonts w:ascii="Consolas" w:hAnsi="Consolas"/>
                <w:b w:val="0"/>
                <w:i w:val="0"/>
                <w:color w:val="8B2C1B"/>
                <w:sz w:val="18"/>
              </w:rPr>
              <w:t>ProbabilitySimulation/probsim</w:t>
            </w:r>
            <w:r>
              <w:rPr>
                <w:b w:val="0"/>
                <w:i w:val="0"/>
                <w:sz w:val="18"/>
              </w:rPr>
              <w:t xml:space="preserve">. </w:t>
            </w:r>
            <w:r>
              <w:rPr>
                <w:b/>
                <w:i w:val="0"/>
                <w:sz w:val="18"/>
              </w:rPr>
              <w:t>Spiegelhalter (full book)</w:t>
            </w:r>
            <w:r>
              <w:rPr>
                <w:b w:val="0"/>
                <w:i w:val="0"/>
                <w:sz w:val="18"/>
              </w:rPr>
              <w:t xml:space="preserve"> Ch. 7 Figs 7.1–7.3. </w:t>
            </w:r>
            <w:r>
              <w:rPr>
                <w:b/>
                <w:i w:val="0"/>
                <w:sz w:val="18"/>
              </w:rPr>
              <w:t>CASI Fig. 2.1</w:t>
            </w:r>
            <w:r>
              <w:rPr>
                <w:b w:val="0"/>
                <w:i w:val="0"/>
                <w:sz w:val="18"/>
              </w:rPr>
              <w:t xml:space="preserve"> — the real kidney-dataset histogram this section's whole argument is built on</w:t>
            </w:r>
          </w:p>
        </w:tc>
        <w:tc>
          <w:tcPr>
            <w:tcW w:type="dxa" w:w="1662"/>
            <w:tcBorders>
              <w:top w:val="single" w:sz="4" w:space="0" w:color="BFBFBF"/>
              <w:bottom w:val="single" w:sz="4" w:space="0" w:color="BFBFBF"/>
            </w:tcBorders>
          </w:tcPr>
          <w:p>
            <w:r>
              <w:rPr>
                <w:rFonts w:ascii="Consolas" w:hAnsi="Consolas"/>
                <w:b w:val="0"/>
                <w:i w:val="0"/>
                <w:color w:val="8B2C1B"/>
                <w:sz w:val="18"/>
              </w:rPr>
              <w:t>class_10/08_01_sampling_distribution.ipynb</w:t>
            </w:r>
            <w:r>
              <w:rPr>
                <w:b w:val="0"/>
                <w:i w:val="0"/>
                <w:sz w:val="18"/>
              </w:rPr>
              <w:t xml:space="preserve"> (rough draft — CI section cuts off)</w:t>
            </w:r>
          </w:p>
        </w:tc>
      </w:tr>
      <w:tr>
        <w:tc>
          <w:tcPr>
            <w:tcW w:type="dxa" w:w="639"/>
            <w:tcBorders>
              <w:top w:val="single" w:sz="4" w:space="0" w:color="BFBFBF"/>
              <w:bottom w:val="single" w:sz="4" w:space="0" w:color="BFBFBF"/>
            </w:tcBorders>
          </w:tcPr>
          <w:p>
            <w:r>
              <w:rPr>
                <w:b w:val="0"/>
                <w:i w:val="0"/>
                <w:sz w:val="18"/>
              </w:rPr>
              <w:t>9/24</w:t>
            </w:r>
          </w:p>
        </w:tc>
        <w:tc>
          <w:tcPr>
            <w:tcW w:type="dxa" w:w="1279"/>
            <w:tcBorders>
              <w:top w:val="single" w:sz="4" w:space="0" w:color="BFBFBF"/>
              <w:bottom w:val="single" w:sz="4" w:space="0" w:color="BFBFBF"/>
            </w:tcBorders>
          </w:tcPr>
          <w:p>
            <w:r>
              <w:rPr>
                <w:b w:val="0"/>
                <w:i w:val="0"/>
                <w:sz w:val="18"/>
              </w:rPr>
              <w:t>Bootstrap Hypothesis Testing (CI / p-value / z-stats; bootstrap-normalization previews the CLT)</w:t>
            </w:r>
          </w:p>
        </w:tc>
        <w:tc>
          <w:tcPr>
            <w:tcW w:type="dxa" w:w="2429"/>
            <w:tcBorders>
              <w:top w:val="single" w:sz="4" w:space="0" w:color="BFBFBF"/>
              <w:bottom w:val="single" w:sz="4" w:space="0" w:color="BFBFBF"/>
            </w:tcBorders>
          </w:tcPr>
          <w:p>
            <w:r>
              <w:rPr>
                <w:b/>
                <w:i w:val="0"/>
                <w:sz w:val="18"/>
              </w:rPr>
              <w:t>Wasserman:</w:t>
            </w:r>
            <w:r>
              <w:rPr>
                <w:b w:val="0"/>
                <w:i w:val="0"/>
                <w:sz w:val="18"/>
              </w:rPr>
              <w:t xml:space="preserve"> Ch. 8 (The Bootstrap) + Ch. 10 (Hypothesis Testing and p-values). </w:t>
            </w:r>
            <w:r>
              <w:rPr>
                <w:b/>
                <w:i w:val="0"/>
                <w:sz w:val="18"/>
              </w:rPr>
              <w:t>B&amp;H:</w:t>
            </w:r>
            <w:r>
              <w:rPr>
                <w:b w:val="0"/>
                <w:i w:val="0"/>
                <w:sz w:val="18"/>
              </w:rPr>
              <w:t xml:space="preserve"> not covered — bootstrap/resampling inference isn't in B&amp;H at all</w:t>
            </w:r>
          </w:p>
        </w:tc>
        <w:tc>
          <w:tcPr>
            <w:tcW w:type="dxa" w:w="2429"/>
            <w:tcBorders>
              <w:top w:val="single" w:sz="4" w:space="0" w:color="BFBFBF"/>
              <w:bottom w:val="single" w:sz="4" w:space="0" w:color="BFBFBF"/>
            </w:tcBorders>
          </w:tcPr>
          <w:p>
            <w:r>
              <w:rPr>
                <w:b/>
                <w:i w:val="0"/>
                <w:sz w:val="18"/>
              </w:rPr>
              <w:t>Wasserman:</w:t>
            </w:r>
            <w:r>
              <w:rPr>
                <w:b w:val="0"/>
                <w:i w:val="0"/>
                <w:sz w:val="18"/>
              </w:rPr>
              <w:t xml:space="preserve"> Ch. 5 (Convergence) — the CLT connection this class makes explicit</w:t>
            </w:r>
          </w:p>
        </w:tc>
        <w:tc>
          <w:tcPr>
            <w:tcW w:type="dxa" w:w="1918"/>
            <w:tcBorders>
              <w:top w:val="single" w:sz="4" w:space="0" w:color="BFBFBF"/>
              <w:bottom w:val="single" w:sz="4" w:space="0" w:color="BFBFBF"/>
            </w:tcBorders>
          </w:tcPr>
          <w:p>
            <w:r>
              <w:rPr>
                <w:b/>
                <w:i w:val="0"/>
                <w:sz w:val="18"/>
              </w:rPr>
              <w:t>CASI Ch. 10, "The Jackknife and the Bootstrap"</w:t>
            </w:r>
            <w:r>
              <w:rPr>
                <w:b w:val="0"/>
                <w:i w:val="0"/>
                <w:sz w:val="18"/>
              </w:rPr>
              <w:t xml:space="preserve"> + </w:t>
            </w:r>
            <w:r>
              <w:rPr>
                <w:b/>
                <w:i w:val="0"/>
                <w:sz w:val="18"/>
              </w:rPr>
              <w:t>Ch. 11, "Bootstrap Confidence Intervals"</w:t>
            </w:r>
            <w:r>
              <w:rPr>
                <w:b w:val="0"/>
                <w:i w:val="0"/>
                <w:sz w:val="18"/>
              </w:rPr>
              <w:t xml:space="preserve"> — two full chapters, meaningfully deeper than Wasserman's single chapter on the same topic; </w:t>
            </w:r>
            <w:r>
              <w:rPr>
                <w:b/>
                <w:i w:val="0"/>
                <w:sz w:val="18"/>
              </w:rPr>
              <w:t>CASI §1.2, "Hypothesis Testing"</w:t>
            </w:r>
            <w:r>
              <w:rPr>
                <w:b w:val="0"/>
                <w:i w:val="0"/>
                <w:sz w:val="18"/>
              </w:rPr>
              <w:t xml:space="preserve"> — the book's very first worked example of a two-sample t-test and p-value; </w:t>
            </w:r>
            <w:r>
              <w:rPr>
                <w:b/>
                <w:i w:val="0"/>
                <w:sz w:val="18"/>
              </w:rPr>
              <w:t>Casella &amp; Berger Ch. 10, Asymptotic Evaluations</w:t>
            </w:r>
            <w:r>
              <w:rPr>
                <w:b w:val="0"/>
                <w:i w:val="0"/>
                <w:sz w:val="18"/>
              </w:rPr>
              <w:t xml:space="preserve"> (bootstrapping, delta method) as a further option</w:t>
            </w:r>
          </w:p>
        </w:tc>
        <w:tc>
          <w:tcPr>
            <w:tcW w:type="dxa" w:w="2046"/>
            <w:tcBorders>
              <w:top w:val="single" w:sz="4" w:space="0" w:color="BFBFBF"/>
              <w:bottom w:val="single" w:sz="4" w:space="0" w:color="BFBFBF"/>
            </w:tcBorders>
          </w:tcPr>
          <w:p>
            <w:r>
              <w:rPr>
                <w:b/>
                <w:i w:val="0"/>
                <w:sz w:val="18"/>
              </w:rPr>
              <w:t>CASI §10.2, its own punchline</w:t>
            </w:r>
            <w:r>
              <w:rPr>
                <w:b w:val="0"/>
                <w:i w:val="0"/>
                <w:sz w:val="18"/>
              </w:rPr>
              <w:t xml:space="preserve"> — since you can't actually redraw from the true population to run the thought experiment above, the bootstrap substitutes your own sample as a stand-in and redraws from that instead</w:t>
            </w:r>
          </w:p>
        </w:tc>
        <w:tc>
          <w:tcPr>
            <w:tcW w:type="dxa" w:w="2429"/>
            <w:tcBorders>
              <w:top w:val="single" w:sz="4" w:space="0" w:color="BFBFBF"/>
              <w:bottom w:val="single" w:sz="4" w:space="0" w:color="BFBFBF"/>
            </w:tcBorders>
          </w:tcPr>
          <w:p>
            <w:r>
              <w:rPr>
                <w:b/>
                <w:i w:val="0"/>
                <w:sz w:val="18"/>
              </w:rPr>
              <w:t>CASI Fig. 10.2 &amp; 10.4</w:t>
            </w:r>
            <w:r>
              <w:rPr>
                <w:b w:val="0"/>
                <w:i w:val="0"/>
                <w:sz w:val="18"/>
              </w:rPr>
              <w:t xml:space="preserve"> — bootstrap-replication histograms. </w:t>
            </w:r>
            <w:r>
              <w:rPr>
                <w:b/>
                <w:i w:val="0"/>
                <w:sz w:val="18"/>
              </w:rPr>
              <w:t>ROS Ch. 4</w:t>
            </w:r>
            <w:r>
              <w:rPr>
                <w:b w:val="0"/>
                <w:i w:val="0"/>
                <w:sz w:val="18"/>
              </w:rPr>
              <w:t xml:space="preserve">, </w:t>
            </w:r>
            <w:r>
              <w:rPr>
                <w:rFonts w:ascii="Consolas" w:hAnsi="Consolas"/>
                <w:b w:val="0"/>
                <w:i w:val="0"/>
                <w:color w:val="8B2C1B"/>
                <w:sz w:val="18"/>
              </w:rPr>
              <w:t>Coop/riverbay</w:t>
            </w:r>
            <w:r>
              <w:rPr>
                <w:b w:val="0"/>
                <w:i w:val="0"/>
                <w:sz w:val="18"/>
              </w:rPr>
              <w:t xml:space="preserve">. </w:t>
            </w:r>
            <w:r>
              <w:rPr>
                <w:b/>
                <w:i w:val="0"/>
                <w:sz w:val="18"/>
              </w:rPr>
              <w:t>Spiegelhalter (full book)</w:t>
            </w:r>
            <w:r>
              <w:rPr>
                <w:b w:val="0"/>
                <w:i w:val="0"/>
                <w:sz w:val="18"/>
              </w:rPr>
              <w:t xml:space="preserve"> Ch. 7 Fig 7.4 + Ch. 10 Figs 10.3–10.4. </w:t>
            </w:r>
            <w:r>
              <w:rPr>
                <w:b/>
                <w:i w:val="0"/>
                <w:sz w:val="18"/>
              </w:rPr>
              <w:t>CASI Figs 1.4–1.5</w:t>
            </w:r>
            <w:r>
              <w:rPr>
                <w:b w:val="0"/>
                <w:i w:val="0"/>
                <w:sz w:val="18"/>
              </w:rPr>
              <w:t xml:space="preserve"> — a real two-sample leukemia gene-expression comparison, its t-statistic and p-value, then that same statistic recomputed across 7,128 genes and histogrammed against the theoretical null curve — a genuinely vivid picture of what a p-value and a null distribution mean</w:t>
            </w:r>
          </w:p>
        </w:tc>
        <w:tc>
          <w:tcPr>
            <w:tcW w:type="dxa" w:w="1662"/>
            <w:tcBorders>
              <w:top w:val="single" w:sz="4" w:space="0" w:color="BFBFBF"/>
              <w:bottom w:val="single" w:sz="4" w:space="0" w:color="BFBFBF"/>
            </w:tcBorders>
          </w:tcPr>
          <w:p>
            <w:r>
              <w:rPr>
                <w:rFonts w:ascii="Consolas" w:hAnsi="Consolas"/>
                <w:b w:val="0"/>
                <w:i w:val="0"/>
                <w:color w:val="8B2C1B"/>
                <w:sz w:val="18"/>
              </w:rPr>
              <w:t>class_10/09_2_intro_to_bootstrap.ipynb</w:t>
            </w:r>
            <w:r>
              <w:rPr>
                <w:b w:val="0"/>
                <w:i w:val="0"/>
                <w:sz w:val="18"/>
              </w:rPr>
              <w:t xml:space="preserve">, </w:t>
            </w:r>
            <w:r>
              <w:rPr>
                <w:rFonts w:ascii="Consolas" w:hAnsi="Consolas"/>
                <w:b w:val="0"/>
                <w:i w:val="0"/>
                <w:color w:val="8B2C1B"/>
                <w:sz w:val="18"/>
              </w:rPr>
              <w:t>class_11/10_1_bootstrap_inference.ipynb</w:t>
            </w:r>
          </w:p>
        </w:tc>
      </w:tr>
      <w:tr>
        <w:tc>
          <w:tcPr>
            <w:tcW w:type="dxa" w:w="639"/>
            <w:tcBorders>
              <w:top w:val="single" w:sz="4" w:space="0" w:color="BFBFBF"/>
              <w:bottom w:val="single" w:sz="4" w:space="0" w:color="BFBFBF"/>
            </w:tcBorders>
          </w:tcPr>
          <w:p>
            <w:r>
              <w:rPr>
                <w:b w:val="0"/>
                <w:i w:val="0"/>
                <w:sz w:val="18"/>
              </w:rPr>
              <w:t>9/29</w:t>
            </w:r>
          </w:p>
        </w:tc>
        <w:tc>
          <w:tcPr>
            <w:tcW w:type="dxa" w:w="1279"/>
            <w:tcBorders>
              <w:top w:val="single" w:sz="4" w:space="0" w:color="BFBFBF"/>
              <w:bottom w:val="single" w:sz="4" w:space="0" w:color="BFBFBF"/>
            </w:tcBorders>
          </w:tcPr>
          <w:p>
            <w:r>
              <w:rPr>
                <w:b w:val="0"/>
                <w:i w:val="0"/>
                <w:sz w:val="18"/>
              </w:rPr>
              <w:t>SE, Z-stats</w:t>
            </w:r>
          </w:p>
        </w:tc>
        <w:tc>
          <w:tcPr>
            <w:tcW w:type="dxa" w:w="2429"/>
            <w:tcBorders>
              <w:top w:val="single" w:sz="4" w:space="0" w:color="BFBFBF"/>
              <w:bottom w:val="single" w:sz="4" w:space="0" w:color="BFBFBF"/>
            </w:tcBorders>
          </w:tcPr>
          <w:p>
            <w:r>
              <w:rPr>
                <w:b/>
                <w:i w:val="0"/>
                <w:sz w:val="18"/>
              </w:rPr>
              <w:t>Wasserman:</w:t>
            </w:r>
            <w:r>
              <w:rPr>
                <w:b w:val="0"/>
                <w:i w:val="0"/>
                <w:sz w:val="18"/>
              </w:rPr>
              <w:t xml:space="preserve"> Ch. 8 (SE/Z-statistic defined operationally). </w:t>
            </w:r>
            <w:r>
              <w:rPr>
                <w:b/>
                <w:i w:val="0"/>
                <w:sz w:val="18"/>
              </w:rPr>
              <w:t>B&amp;H:</w:t>
            </w:r>
            <w:r>
              <w:rPr>
                <w:b w:val="0"/>
                <w:i w:val="0"/>
                <w:sz w:val="18"/>
              </w:rPr>
              <w:t xml:space="preserve"> no dedicated SE section — states the CLT itself in Ch. 10 §10.3 but doesn't isolate "standard error" as its own named object the way applied-stats texts do</w:t>
            </w:r>
          </w:p>
        </w:tc>
        <w:tc>
          <w:tcPr>
            <w:tcW w:type="dxa" w:w="2429"/>
            <w:tcBorders>
              <w:top w:val="single" w:sz="4" w:space="0" w:color="BFBFBF"/>
              <w:bottom w:val="single" w:sz="4" w:space="0" w:color="BFBFBF"/>
            </w:tcBorders>
          </w:tcPr>
          <w:p>
            <w:r>
              <w:rPr>
                <w:b/>
                <w:i w:val="0"/>
                <w:sz w:val="18"/>
              </w:rPr>
              <w:t>Wasserman:</w:t>
            </w:r>
            <w:r>
              <w:rPr>
                <w:b w:val="0"/>
                <w:i w:val="0"/>
                <w:sz w:val="18"/>
              </w:rPr>
              <w:t xml:space="preserve"> Ch. 10 (the Wald test is the formal home of the z-stat)</w:t>
            </w:r>
          </w:p>
        </w:tc>
        <w:tc>
          <w:tcPr>
            <w:tcW w:type="dxa" w:w="1918"/>
            <w:tcBorders>
              <w:top w:val="single" w:sz="4" w:space="0" w:color="BFBFBF"/>
              <w:bottom w:val="single" w:sz="4" w:space="0" w:color="BFBFBF"/>
            </w:tcBorders>
          </w:tcPr>
          <w:p>
            <w:r>
              <w:rPr>
                <w:b/>
                <w:i w:val="0"/>
                <w:sz w:val="18"/>
              </w:rPr>
              <w:t>CASI Ch. 10, §10.1, "The Jackknife Estimate of Standard Error"</w:t>
            </w:r>
            <w:r>
              <w:rPr>
                <w:b w:val="0"/>
                <w:i w:val="0"/>
                <w:sz w:val="18"/>
              </w:rPr>
              <w:t xml:space="preserve"> — a full named section on exactly this; </w:t>
            </w:r>
            <w:r>
              <w:rPr>
                <w:b/>
                <w:i w:val="0"/>
                <w:sz w:val="18"/>
              </w:rPr>
              <w:t>CASI Ch. 2, §2.1</w:t>
            </w:r>
            <w:r>
              <w:rPr>
                <w:b w:val="0"/>
                <w:i w:val="0"/>
                <w:sz w:val="18"/>
              </w:rPr>
              <w:t xml:space="preserve"> — names and works through the four devices frequentists actually use to get an SE (the plug-in principle, the delta method, parametric MLE, and the bootstrap), which is a clean map of everything this class touches; plus </w:t>
            </w:r>
            <w:r>
              <w:rPr>
                <w:b/>
                <w:i w:val="0"/>
                <w:sz w:val="18"/>
              </w:rPr>
              <w:t>Casella &amp; Berger Ch. 10, Asymptotic Evaluations</w:t>
            </w:r>
            <w:r>
              <w:rPr>
                <w:b w:val="0"/>
                <w:i w:val="0"/>
                <w:sz w:val="18"/>
              </w:rPr>
              <w:t xml:space="preserve"> for the delta-method justification</w:t>
            </w:r>
          </w:p>
        </w:tc>
        <w:tc>
          <w:tcPr>
            <w:tcW w:type="dxa" w:w="2046"/>
            <w:tcBorders>
              <w:top w:val="single" w:sz="4" w:space="0" w:color="BFBFBF"/>
              <w:bottom w:val="single" w:sz="4" w:space="0" w:color="BFBFBF"/>
            </w:tcBorders>
          </w:tcPr>
          <w:p>
            <w:r>
              <w:rPr>
                <w:b/>
                <w:i w:val="0"/>
                <w:sz w:val="18"/>
              </w:rPr>
              <w:t>CASI's discussion around §10.3/Fig. 10.2</w:t>
            </w:r>
            <w:r>
              <w:rPr>
                <w:b w:val="0"/>
                <w:i w:val="0"/>
                <w:sz w:val="18"/>
              </w:rPr>
              <w:t xml:space="preserve"> — standard errors are usually used to build a CI under an assumed normal shape, and the chapter's own bootstrap histogram is deployed specifically to show a case where that assumption quietly fails. </w:t>
            </w:r>
            <w:r>
              <w:rPr>
                <w:b/>
                <w:i w:val="0"/>
                <w:sz w:val="18"/>
              </w:rPr>
              <w:t>CASI §2.1, "the plug-in principle"</w:t>
            </w:r>
            <w:r>
              <w:rPr>
                <w:b w:val="0"/>
                <w:i w:val="0"/>
                <w:sz w:val="18"/>
              </w:rPr>
              <w:t xml:space="preserve"> — the SE formula itself is just the true variance formula with an estimate plugged in for the unknown variance, no more mysterious than that</w:t>
            </w:r>
          </w:p>
        </w:tc>
        <w:tc>
          <w:tcPr>
            <w:tcW w:type="dxa" w:w="2429"/>
            <w:tcBorders>
              <w:top w:val="single" w:sz="4" w:space="0" w:color="BFBFBF"/>
              <w:bottom w:val="single" w:sz="4" w:space="0" w:color="BFBFBF"/>
            </w:tcBorders>
          </w:tcPr>
          <w:p>
            <w:r>
              <w:rPr>
                <w:b/>
                <w:i w:val="0"/>
                <w:sz w:val="18"/>
              </w:rPr>
              <w:t>CASI Fig. 10.1 &amp; 10.3</w:t>
            </w:r>
            <w:r>
              <w:rPr>
                <w:b w:val="0"/>
                <w:i w:val="0"/>
                <w:sz w:val="18"/>
              </w:rPr>
              <w:t xml:space="preserve"> — jackknife vs. bootstrap SE bars visibly disagreeing. </w:t>
            </w:r>
            <w:r>
              <w:rPr>
                <w:b/>
                <w:i w:val="0"/>
                <w:sz w:val="18"/>
              </w:rPr>
              <w:t>Spiegelhalter (full book)</w:t>
            </w:r>
            <w:r>
              <w:rPr>
                <w:b w:val="0"/>
                <w:i w:val="0"/>
                <w:sz w:val="18"/>
              </w:rPr>
              <w:t xml:space="preserve"> Ch. 9 Table 9.1. </w:t>
            </w:r>
            <w:r>
              <w:rPr>
                <w:b/>
                <w:i w:val="0"/>
                <w:sz w:val="18"/>
              </w:rPr>
              <w:t>CASI Fig. 1.1</w:t>
            </w:r>
            <w:r>
              <w:rPr>
                <w:b w:val="0"/>
                <w:i w:val="0"/>
                <w:sz w:val="18"/>
              </w:rPr>
              <w:t xml:space="preserve"> — the very first figure in the book, a real kidney-function dataset with ±2 SE bars, right where SE is first defined</w:t>
            </w:r>
          </w:p>
        </w:tc>
        <w:tc>
          <w:tcPr>
            <w:tcW w:type="dxa" w:w="1662"/>
            <w:tcBorders>
              <w:top w:val="single" w:sz="4" w:space="0" w:color="BFBFBF"/>
              <w:bottom w:val="single" w:sz="4" w:space="0" w:color="BFBFBF"/>
            </w:tcBorders>
          </w:tcPr>
          <w:p>
            <w:r>
              <w:rPr>
                <w:rFonts w:ascii="Consolas" w:hAnsi="Consolas"/>
                <w:b w:val="0"/>
                <w:i w:val="0"/>
                <w:color w:val="8B2C1B"/>
                <w:sz w:val="18"/>
              </w:rPr>
              <w:t>class_11/10_1_bootstrap_inference.ipynb</w:t>
            </w:r>
          </w:p>
        </w:tc>
      </w:tr>
      <w:tr>
        <w:tc>
          <w:tcPr>
            <w:tcW w:type="dxa" w:w="639"/>
            <w:tcBorders>
              <w:top w:val="single" w:sz="4" w:space="0" w:color="BFBFBF"/>
              <w:bottom w:val="single" w:sz="4" w:space="0" w:color="BFBFBF"/>
            </w:tcBorders>
          </w:tcPr>
          <w:p>
            <w:r>
              <w:rPr>
                <w:b w:val="0"/>
                <w:i w:val="0"/>
                <w:sz w:val="18"/>
              </w:rPr>
              <w:t>10/1</w:t>
            </w:r>
          </w:p>
        </w:tc>
        <w:tc>
          <w:tcPr>
            <w:tcW w:type="dxa" w:w="1279"/>
            <w:tcBorders>
              <w:top w:val="single" w:sz="4" w:space="0" w:color="BFBFBF"/>
              <w:bottom w:val="single" w:sz="4" w:space="0" w:color="BFBFBF"/>
            </w:tcBorders>
          </w:tcPr>
          <w:p>
            <w:r>
              <w:rPr>
                <w:b w:val="0"/>
                <w:i w:val="0"/>
                <w:sz w:val="18"/>
              </w:rPr>
              <w:t>CLT</w:t>
            </w:r>
          </w:p>
        </w:tc>
        <w:tc>
          <w:tcPr>
            <w:tcW w:type="dxa" w:w="2429"/>
            <w:tcBorders>
              <w:top w:val="single" w:sz="4" w:space="0" w:color="BFBFBF"/>
              <w:bottom w:val="single" w:sz="4" w:space="0" w:color="BFBFBF"/>
            </w:tcBorders>
          </w:tcPr>
          <w:p>
            <w:r>
              <w:rPr>
                <w:b/>
                <w:i w:val="0"/>
                <w:sz w:val="18"/>
              </w:rPr>
              <w:t>Wasserman:</w:t>
            </w:r>
            <w:r>
              <w:rPr>
                <w:b w:val="0"/>
                <w:i w:val="0"/>
                <w:sz w:val="18"/>
              </w:rPr>
              <w:t xml:space="preserve"> Ch. 5 (Convergence of Random Variables). </w:t>
            </w:r>
            <w:r>
              <w:rPr>
                <w:b/>
                <w:i w:val="0"/>
                <w:sz w:val="18"/>
              </w:rPr>
              <w:t>B&amp;H:</w:t>
            </w:r>
            <w:r>
              <w:rPr>
                <w:b w:val="0"/>
                <w:i w:val="0"/>
                <w:sz w:val="18"/>
              </w:rPr>
              <w:t xml:space="preserve"> Ch. 10, §10.3, "Central limit theorem" (p.435) — a full named section, and the single most direct chapter-title match for this class anywhere in these six books</w:t>
            </w:r>
          </w:p>
        </w:tc>
        <w:tc>
          <w:tcPr>
            <w:tcW w:type="dxa" w:w="2429"/>
            <w:tcBorders>
              <w:top w:val="single" w:sz="4" w:space="0" w:color="BFBFBF"/>
              <w:bottom w:val="single" w:sz="4" w:space="0" w:color="BFBFBF"/>
            </w:tcBorders>
          </w:tcPr>
          <w:p>
            <w:r>
              <w:rPr>
                <w:b/>
                <w:i w:val="0"/>
                <w:sz w:val="18"/>
              </w:rPr>
              <w:t>Wasserman:</w:t>
            </w:r>
            <w:r>
              <w:rPr>
                <w:b w:val="0"/>
                <w:i w:val="0"/>
                <w:sz w:val="18"/>
              </w:rPr>
              <w:t xml:space="preserve"> Ch. 10 appendix (the t-test) — for this class's two-sample pooled-SE t-test extension. </w:t>
            </w:r>
            <w:r>
              <w:rPr>
                <w:b/>
                <w:i w:val="0"/>
                <w:sz w:val="18"/>
              </w:rPr>
              <w:t>B&amp;H:</w:t>
            </w:r>
            <w:r>
              <w:rPr>
                <w:b w:val="0"/>
                <w:i w:val="0"/>
                <w:sz w:val="18"/>
              </w:rPr>
              <w:t xml:space="preserve"> Ch. 10, §10.4, "Chi-Square and Student-t" (p.441) — feeds directly into that same extension</w:t>
            </w:r>
          </w:p>
        </w:tc>
        <w:tc>
          <w:tcPr>
            <w:tcW w:type="dxa" w:w="1918"/>
            <w:tcBorders>
              <w:top w:val="single" w:sz="4" w:space="0" w:color="BFBFBF"/>
              <w:bottom w:val="single" w:sz="4" w:space="0" w:color="BFBFBF"/>
            </w:tcBorders>
          </w:tcPr>
          <w:p>
            <w:r>
              <w:rPr>
                <w:b/>
                <w:i w:val="0"/>
                <w:sz w:val="18"/>
              </w:rPr>
              <w:t>Ch. 5, §5.5, Convergence Concepts</w:t>
            </w:r>
            <w:r>
              <w:rPr>
                <w:b w:val="0"/>
                <w:i w:val="0"/>
                <w:sz w:val="18"/>
              </w:rPr>
              <w:t xml:space="preserve"> (Casella &amp; Berger) — same section as 9/22; this is where the CLT is stated and proved there too. </w:t>
            </w:r>
            <w:r>
              <w:rPr>
                <w:b/>
                <w:i w:val="0"/>
                <w:sz w:val="18"/>
              </w:rPr>
              <w:t>CASI Ch. 2, §2.1, "Pivotal statistics"</w:t>
            </w:r>
            <w:r>
              <w:rPr>
                <w:b w:val="0"/>
                <w:i w:val="0"/>
                <w:sz w:val="18"/>
              </w:rPr>
              <w:t xml:space="preserve"> — derives the exact two-sample t-statistic and its 95% confidence interval on real leukemia gene-expression data, the same worked structure this class's own two-sample pooled-SE extension mirrors</w:t>
            </w:r>
          </w:p>
        </w:tc>
        <w:tc>
          <w:tcPr>
            <w:tcW w:type="dxa" w:w="2046"/>
            <w:tcBorders>
              <w:top w:val="single" w:sz="4" w:space="0" w:color="BFBFBF"/>
              <w:bottom w:val="single" w:sz="4" w:space="0" w:color="BFBFBF"/>
            </w:tcBorders>
          </w:tcPr>
          <w:p>
            <w:r>
              <w:rPr>
                <w:b/>
                <w:i w:val="0"/>
                <w:sz w:val="18"/>
              </w:rPr>
              <w:t>Grinstead &amp; Snell, Ch. 9</w:t>
            </w:r>
            <w:r>
              <w:rPr>
                <w:b w:val="0"/>
                <w:i w:val="0"/>
                <w:sz w:val="18"/>
              </w:rPr>
              <w:t xml:space="preserve"> — organized around its own guiding question, "why does the bell curve show up everywhere?"</w:t>
            </w:r>
          </w:p>
        </w:tc>
        <w:tc>
          <w:tcPr>
            <w:tcW w:type="dxa" w:w="2429"/>
            <w:tcBorders>
              <w:top w:val="single" w:sz="4" w:space="0" w:color="BFBFBF"/>
              <w:bottom w:val="single" w:sz="4" w:space="0" w:color="BFBFBF"/>
            </w:tcBorders>
          </w:tcPr>
          <w:p>
            <w:r>
              <w:rPr>
                <w:b/>
                <w:i w:val="0"/>
                <w:sz w:val="18"/>
              </w:rPr>
              <w:t>Grinstead &amp; Snell Fig. 9.2</w:t>
            </w:r>
            <w:r>
              <w:rPr>
                <w:b w:val="0"/>
                <w:i w:val="0"/>
                <w:sz w:val="18"/>
              </w:rPr>
              <w:t xml:space="preserve"> — the canonical histogram-converging-to-bell-curve overlay. </w:t>
            </w:r>
            <w:r>
              <w:rPr>
                <w:b/>
                <w:i w:val="0"/>
                <w:sz w:val="18"/>
              </w:rPr>
              <w:t>ROS Ch. 3</w:t>
            </w:r>
            <w:r>
              <w:rPr>
                <w:b w:val="0"/>
                <w:i w:val="0"/>
                <w:sz w:val="18"/>
              </w:rPr>
              <w:t xml:space="preserve">, </w:t>
            </w:r>
            <w:r>
              <w:rPr>
                <w:rFonts w:ascii="Consolas" w:hAnsi="Consolas"/>
                <w:b w:val="0"/>
                <w:i w:val="0"/>
                <w:color w:val="8B2C1B"/>
                <w:sz w:val="18"/>
              </w:rPr>
              <w:t>CentralLimitTheorem/heightweight</w:t>
            </w:r>
            <w:r>
              <w:rPr>
                <w:b w:val="0"/>
                <w:i w:val="0"/>
                <w:sz w:val="18"/>
              </w:rPr>
              <w:t xml:space="preserve">. </w:t>
            </w:r>
            <w:r>
              <w:rPr>
                <w:b w:val="0"/>
                <w:i/>
                <w:sz w:val="18"/>
              </w:rPr>
              <w:t>(Spiegelhalter has no dedicated CLT figure — genuinely not covered there)</w:t>
            </w:r>
          </w:p>
        </w:tc>
        <w:tc>
          <w:tcPr>
            <w:tcW w:type="dxa" w:w="1662"/>
            <w:tcBorders>
              <w:top w:val="single" w:sz="4" w:space="0" w:color="BFBFBF"/>
              <w:bottom w:val="single" w:sz="4" w:space="0" w:color="BFBFBF"/>
            </w:tcBorders>
          </w:tcPr>
          <w:p>
            <w:r>
              <w:rPr>
                <w:rFonts w:ascii="Consolas" w:hAnsi="Consolas"/>
                <w:b w:val="0"/>
                <w:i w:val="0"/>
                <w:color w:val="8B2C1B"/>
                <w:sz w:val="18"/>
              </w:rPr>
              <w:t>class_11/10_2_CLT.ipynb</w:t>
            </w:r>
          </w:p>
        </w:tc>
      </w:tr>
    </w:tbl>
    <w:p>
      <w:pPr>
        <w:sectPr>
          <w:pgSz w:w="15840" w:h="12240" w:orient="landscape"/>
          <w:pgMar w:top="720" w:right="504" w:bottom="576" w:left="504" w:header="720" w:footer="720" w:gutter="0"/>
          <w:cols w:space="720"/>
          <w:docGrid w:linePitch="360"/>
        </w:sectPr>
      </w:pPr>
    </w:p>
    <w:p>
      <w:pPr>
        <w:pStyle w:val="Heading2"/>
      </w:pPr>
      <w:r>
        <w:rPr>
          <w:color w:val="1F1D1A"/>
          <w:sz w:val="28"/>
        </w:rPr>
        <w:t>Two honest gaps — one filled by B&amp;H's appendix, none fully</w:t>
      </w:r>
    </w:p>
    <w:p>
      <w:r>
        <w:rPr>
          <w:b/>
          <w:i w:val="0"/>
          <w:sz w:val="21"/>
        </w:rPr>
        <w:t>Vectors and inner product (8/27) and data wrangling (8/25) aren't in any of these six texts as a *taught* topic.</w:t>
      </w:r>
      <w:r>
        <w:rPr>
          <w:b w:val="0"/>
          <w:i w:val="0"/>
          <w:sz w:val="21"/>
        </w:rPr>
        <w:t xml:space="preserve"> All of them assume linear algebra and basic data-handling as prerequisites. B&amp;H's Appendix A.3 does define matrix multiplication, transpose, and eigenvectors mechanically, so I've listed it as a Supporting reference — but it never builds the length/distance/covariance-as-dot-product intuition this class centers on, so it's a partial exception at best. The class notebooks remain the primary source for both; a standard linear-algebra reference (Strang) would still be a better second source than any of these six if you want one.</w:t>
      </w:r>
    </w:p>
    <w:p>
      <w:r>
        <w:rPr>
          <w:b/>
          <w:i w:val="0"/>
          <w:sz w:val="21"/>
        </w:rPr>
        <w:t>Survival function and hazard rate (9/17) isn't in Wasserman, B&amp;H, or Casella &amp; Berger</w:t>
      </w:r>
      <w:r>
        <w:rPr>
          <w:b w:val="0"/>
          <w:i w:val="0"/>
          <w:sz w:val="21"/>
        </w:rPr>
        <w:t xml:space="preserve"> — none of the three has a survival-analysis chapter. It </w:t>
      </w:r>
      <w:r>
        <w:rPr>
          <w:b w:val="0"/>
          <w:i/>
          <w:sz w:val="21"/>
        </w:rPr>
        <w:t>is</w:t>
      </w:r>
      <w:r>
        <w:rPr>
          <w:b w:val="0"/>
          <w:i w:val="0"/>
          <w:sz w:val="21"/>
        </w:rPr>
        <w:t xml:space="preserve"> a full chapter in CASI (Ch. 9), which is why it's promoted to the "fuller treatment" column rather than left as a footnote.</w:t>
      </w:r>
    </w:p>
    <w:p>
      <w:r>
        <w:rPr>
          <w:b/>
          <w:i w:val="0"/>
          <w:sz w:val="21"/>
        </w:rPr>
        <w:t>KDE (9/15) is the mirror-image case</w:t>
      </w:r>
      <w:r>
        <w:rPr>
          <w:b w:val="0"/>
          <w:i w:val="0"/>
          <w:sz w:val="21"/>
        </w:rPr>
        <w:t>: Wasserman covers it (Ch. 20) but none of the other five sources do, since none of them is a density-estimation text.</w:t>
      </w:r>
    </w:p>
    <w:p>
      <w:pPr>
        <w:pStyle w:val="Heading2"/>
      </w:pPr>
      <w:r>
        <w:rPr>
          <w:color w:val="1F1D1A"/>
          <w:sz w:val="28"/>
        </w:rPr>
        <w:t>If you want a gentler on-ramp before Wasserman/B&amp;H</w:t>
      </w:r>
    </w:p>
    <w:p>
      <w:r>
        <w:rPr>
          <w:b w:val="0"/>
          <w:i w:val="0"/>
          <w:sz w:val="21"/>
        </w:rPr>
        <w:t xml:space="preserve">The chapter guide already in </w:t>
      </w:r>
      <w:r>
        <w:rPr>
          <w:rFonts w:ascii="Consolas" w:hAnsi="Consolas"/>
          <w:b w:val="0"/>
          <w:i w:val="0"/>
          <w:color w:val="8B2C1B"/>
          <w:sz w:val="21"/>
        </w:rPr>
        <w:t>_Knowledge Base/textbooks/Understanding Uncertainty Prep/</w:t>
      </w:r>
      <w:r>
        <w:rPr>
          <w:b w:val="0"/>
          <w:i w:val="0"/>
          <w:sz w:val="21"/>
        </w:rPr>
        <w:t xml:space="preserve"> notes that Wasserman's Part I (Chapters 1–5) covers roughly the same ground as </w:t>
      </w:r>
      <w:r>
        <w:rPr>
          <w:b/>
          <w:i w:val="0"/>
          <w:sz w:val="21"/>
        </w:rPr>
        <w:t>Grinstead &amp; Snell</w:t>
      </w:r>
      <w:r>
        <w:rPr>
          <w:b w:val="0"/>
          <w:i w:val="0"/>
          <w:sz w:val="21"/>
        </w:rPr>
        <w:t>, Chapters 1, 2, and 4–9, at about a third of the pace and with much more derivation. For 9/1 and 9/22–10/1 specifically, Grinstead &amp; Snell is worth having as a slower-paced backup for any student who finds either primary text too terse on a first pass.</w:t>
      </w:r>
    </w:p>
    <w:p>
      <w:pPr>
        <w:pStyle w:val="Heading2"/>
      </w:pPr>
      <w:r>
        <w:rPr>
          <w:color w:val="1F1D1A"/>
          <w:sz w:val="28"/>
        </w:rPr>
        <w:t>Where each citation came from</w:t>
      </w:r>
    </w:p>
    <w:p>
      <w:pPr>
        <w:pStyle w:val="ListBullet"/>
      </w:pPr>
      <w:r>
        <w:rPr>
          <w:b/>
          <w:i w:val="0"/>
          <w:sz w:val="21"/>
        </w:rPr>
        <w:t>Wasserman</w:t>
      </w:r>
      <w:r>
        <w:rPr>
          <w:b w:val="0"/>
          <w:i w:val="0"/>
          <w:sz w:val="21"/>
        </w:rPr>
        <w:t xml:space="preserve"> — read directly from </w:t>
      </w:r>
      <w:r>
        <w:rPr>
          <w:rFonts w:ascii="Consolas" w:hAnsi="Consolas"/>
          <w:b w:val="0"/>
          <w:i w:val="0"/>
          <w:color w:val="8B2C1B"/>
          <w:sz w:val="21"/>
        </w:rPr>
        <w:t>_Knowledge Base/textbooks/Understanding Uncertainty Prep/2004 - wasserman - all of statistics.pdf</w:t>
      </w:r>
      <w:r>
        <w:rPr>
          <w:b w:val="0"/>
          <w:i w:val="0"/>
          <w:sz w:val="21"/>
        </w:rPr>
        <w:t>, cross-checked against the pre-existing chapter guide in the same folder.</w:t>
      </w:r>
    </w:p>
    <w:p>
      <w:pPr>
        <w:pStyle w:val="ListBullet"/>
      </w:pPr>
      <w:r>
        <w:rPr>
          <w:b/>
          <w:i w:val="0"/>
          <w:sz w:val="21"/>
        </w:rPr>
        <w:t>Blitzstein &amp; Hwang</w:t>
      </w:r>
      <w:r>
        <w:rPr>
          <w:b w:val="0"/>
          <w:i w:val="0"/>
          <w:sz w:val="21"/>
        </w:rPr>
        <w:t xml:space="preserve"> — read directly from </w:t>
      </w:r>
      <w:r>
        <w:rPr>
          <w:rFonts w:ascii="Consolas" w:hAnsi="Consolas"/>
          <w:b w:val="0"/>
          <w:i w:val="0"/>
          <w:color w:val="8B2C1B"/>
          <w:sz w:val="21"/>
        </w:rPr>
        <w:t>_Knowledge Base/textbooks/Introduction to Probability - Blitzstein.pdf</w:t>
      </w:r>
      <w:r>
        <w:rPr>
          <w:b w:val="0"/>
          <w:i w:val="0"/>
          <w:sz w:val="21"/>
        </w:rPr>
        <w:t>. Two copies of this book exist in the Knowledge Base folder; a second one, in the "Understanding Uncertainty Prep" subfolder, has a piracy-site tag (</w:t>
      </w:r>
      <w:r>
        <w:rPr>
          <w:rFonts w:ascii="Consolas" w:hAnsi="Consolas"/>
          <w:b w:val="0"/>
          <w:i w:val="0"/>
          <w:color w:val="8B2C1B"/>
          <w:sz w:val="21"/>
        </w:rPr>
        <w:t>libgen.li</w:t>
      </w:r>
      <w:r>
        <w:rPr>
          <w:b w:val="0"/>
          <w:i w:val="0"/>
          <w:sz w:val="21"/>
        </w:rPr>
        <w:t>) in its filename, and I deliberately read the plainly-named copy instead, not that one.</w:t>
      </w:r>
    </w:p>
    <w:p>
      <w:pPr>
        <w:pStyle w:val="ListBullet"/>
      </w:pPr>
      <w:r>
        <w:rPr>
          <w:b/>
          <w:i w:val="0"/>
          <w:sz w:val="21"/>
        </w:rPr>
        <w:t>Casella &amp; Berger</w:t>
      </w:r>
      <w:r>
        <w:rPr>
          <w:b w:val="0"/>
          <w:i w:val="0"/>
          <w:sz w:val="21"/>
        </w:rPr>
        <w:t xml:space="preserve"> — read directly from </w:t>
      </w:r>
      <w:r>
        <w:rPr>
          <w:rFonts w:ascii="Consolas" w:hAnsi="Consolas"/>
          <w:b w:val="0"/>
          <w:i w:val="0"/>
          <w:color w:val="8B2C1B"/>
          <w:sz w:val="21"/>
        </w:rPr>
        <w:t>Casella_Berger_Statistical_Inference.pdf</w:t>
      </w:r>
      <w:r>
        <w:rPr>
          <w:b w:val="0"/>
          <w:i w:val="0"/>
          <w:sz w:val="21"/>
        </w:rPr>
        <w:t>. The PDF has no extractable text layer (a scan without OCR), so chapter numbers were read visually off the actual preface and one-year-course-coverage tables.</w:t>
      </w:r>
    </w:p>
    <w:p>
      <w:pPr>
        <w:pStyle w:val="ListBullet"/>
      </w:pPr>
      <w:r>
        <w:rPr>
          <w:b/>
          <w:i w:val="0"/>
          <w:sz w:val="21"/>
        </w:rPr>
        <w:t>Grinstead &amp; Snell</w:t>
      </w:r>
      <w:r>
        <w:rPr>
          <w:b w:val="0"/>
          <w:i w:val="0"/>
          <w:sz w:val="21"/>
        </w:rPr>
        <w:t xml:space="preserve"> — read directly from </w:t>
      </w:r>
      <w:r>
        <w:rPr>
          <w:rFonts w:ascii="Consolas" w:hAnsi="Consolas"/>
          <w:b w:val="0"/>
          <w:i w:val="0"/>
          <w:color w:val="8B2C1B"/>
          <w:sz w:val="21"/>
        </w:rPr>
        <w:t>Grinstead and Snell's Introduction to Probability.pdf</w:t>
      </w:r>
      <w:r>
        <w:rPr>
          <w:b w:val="0"/>
          <w:i w:val="0"/>
          <w:sz w:val="21"/>
        </w:rPr>
        <w:t>; all cited figure numbers and captions were pulled from the actual PDF text.</w:t>
      </w:r>
    </w:p>
    <w:p>
      <w:pPr>
        <w:pStyle w:val="ListBullet"/>
      </w:pPr>
      <w:r>
        <w:rPr>
          <w:b/>
          <w:i w:val="0"/>
          <w:sz w:val="21"/>
        </w:rPr>
        <w:t>CASI</w:t>
      </w:r>
      <w:r>
        <w:rPr>
          <w:b w:val="0"/>
          <w:i w:val="0"/>
          <w:sz w:val="21"/>
        </w:rPr>
        <w:t xml:space="preserve"> — read directly from </w:t>
      </w:r>
      <w:r>
        <w:rPr>
          <w:rFonts w:ascii="Consolas" w:hAnsi="Consolas"/>
          <w:b w:val="0"/>
          <w:i w:val="0"/>
          <w:color w:val="8B2C1B"/>
          <w:sz w:val="21"/>
        </w:rPr>
        <w:t>Computer Age Statistical Inference (CASI) - Efron and Hastie.pdf</w:t>
      </w:r>
      <w:r>
        <w:rPr>
          <w:b w:val="0"/>
          <w:i w:val="0"/>
          <w:sz w:val="21"/>
        </w:rPr>
        <w:t>; Chapters 1, 2, 9, 10, and 11 were read in full. Chapters 1–2 turned out to be worth a second pass: the book opens (p.3) by defining the standard error on a real kidney-function dataset before anything else, and §1.2/§2.1 work a full two-sample hypothesis test and pivotal-statistic derivation on real leukemia gene-expression data — genuinely central material for the bootstrap/SE/CLT classes that I'd initially only pulled from the later chapters.</w:t>
      </w:r>
    </w:p>
    <w:p>
      <w:pPr>
        <w:pStyle w:val="ListBullet"/>
      </w:pPr>
      <w:r>
        <w:rPr>
          <w:b/>
          <w:i w:val="0"/>
          <w:sz w:val="21"/>
        </w:rPr>
        <w:t>ROS</w:t>
      </w:r>
      <w:r>
        <w:rPr>
          <w:b w:val="0"/>
          <w:i w:val="0"/>
          <w:sz w:val="21"/>
        </w:rPr>
        <w:t xml:space="preserve"> — no local copy exists. I found one online, but its filename flagged it as sourced from a piracy site, so I deleted it without reading it and instead pulled the chapter structure from the book's own official companion site (</w:t>
      </w:r>
      <w:r>
        <w:rPr>
          <w:rFonts w:ascii="Consolas" w:hAnsi="Consolas"/>
          <w:b w:val="0"/>
          <w:i w:val="0"/>
          <w:color w:val="8B2C1B"/>
          <w:sz w:val="21"/>
        </w:rPr>
        <w:t>avehtari.github.io/ROS-Examples</w:t>
      </w:r>
      <w:r>
        <w:rPr>
          <w:b w:val="0"/>
          <w:i w:val="0"/>
          <w:sz w:val="21"/>
        </w:rPr>
        <w:t xml:space="preserve">) via its GitHub-hosted </w:t>
      </w:r>
      <w:r>
        <w:rPr>
          <w:rFonts w:ascii="Consolas" w:hAnsi="Consolas"/>
          <w:b w:val="0"/>
          <w:i w:val="0"/>
          <w:color w:val="8B2C1B"/>
          <w:sz w:val="21"/>
        </w:rPr>
        <w:t>examples.Rmd</w:t>
      </w:r>
      <w:r>
        <w:rPr>
          <w:b w:val="0"/>
          <w:i w:val="0"/>
          <w:sz w:val="21"/>
        </w:rPr>
        <w:t xml:space="preserve"> source file. If you want these figures verified against the actual book, you'd need to point me at a legitimately-acquired copy.</w:t>
      </w:r>
    </w:p>
    <w:p>
      <w:pPr>
        <w:pStyle w:val="ListBullet"/>
      </w:pPr>
      <w:r>
        <w:rPr>
          <w:b/>
          <w:i w:val="0"/>
          <w:sz w:val="21"/>
        </w:rPr>
        <w:t>Spiegelhalter</w:t>
      </w:r>
      <w:r>
        <w:rPr>
          <w:b w:val="0"/>
          <w:i w:val="0"/>
          <w:sz w:val="21"/>
        </w:rPr>
        <w:t xml:space="preserve"> — read directly from the official Penguin sample PDF you linked (45 pages: full Introduction plus the opening of Chapter 1). Entries marked </w:t>
      </w:r>
      <w:r>
        <w:rPr>
          <w:b/>
          <w:i w:val="0"/>
          <w:sz w:val="21"/>
        </w:rPr>
        <w:t>(sample)</w:t>
      </w:r>
      <w:r>
        <w:rPr>
          <w:b w:val="0"/>
          <w:i w:val="0"/>
          <w:sz w:val="21"/>
        </w:rPr>
        <w:t xml:space="preserve"> are inside that file; entries marked </w:t>
      </w:r>
      <w:r>
        <w:rPr>
          <w:b/>
          <w:i w:val="0"/>
          <w:sz w:val="21"/>
        </w:rPr>
        <w:t>(full book)</w:t>
      </w:r>
      <w:r>
        <w:rPr>
          <w:b w:val="0"/>
          <w:i w:val="0"/>
          <w:sz w:val="21"/>
        </w:rPr>
        <w:t xml:space="preserve"> are confirmed real via the book's own List of Figures/Tables but sit past page 28, outside the free preview.</w:t>
      </w:r>
    </w:p>
    <w:p>
      <w:pPr>
        <w:pStyle w:val="ListBullet"/>
      </w:pPr>
      <w:r>
        <w:rPr>
          <w:b/>
          <w:i w:val="0"/>
          <w:sz w:val="21"/>
        </w:rPr>
        <w:t>Intuition column</w:t>
      </w:r>
      <w:r>
        <w:rPr>
          <w:b w:val="0"/>
          <w:i w:val="0"/>
          <w:sz w:val="21"/>
        </w:rPr>
        <w:t xml:space="preserve"> — every entry points to a real passage or section I read directly in one of the copies above, described in my own words rather than quoted at length, and chosen to be a </w:t>
      </w:r>
      <w:r>
        <w:rPr>
          <w:b w:val="0"/>
          <w:i/>
          <w:sz w:val="21"/>
        </w:rPr>
        <w:t>different</w:t>
      </w:r>
      <w:r>
        <w:rPr>
          <w:b w:val="0"/>
          <w:i w:val="0"/>
          <w:sz w:val="21"/>
        </w:rPr>
        <w:t xml:space="preserve"> passage from whatever that same book already contributes elsewhere in the same row.</w:t>
      </w:r>
    </w:p>
    <w:p>
      <w:pPr>
        <w:pStyle w:val="ListBullet"/>
      </w:pPr>
      <w:r>
        <w:rPr>
          <w:b w:val="0"/>
          <w:i w:val="0"/>
          <w:sz w:val="21"/>
        </w:rPr>
        <w:t xml:space="preserve">No file anywhere in </w:t>
      </w:r>
      <w:r>
        <w:rPr>
          <w:rFonts w:ascii="Consolas" w:hAnsi="Consolas"/>
          <w:b w:val="0"/>
          <w:i w:val="0"/>
          <w:color w:val="8B2C1B"/>
          <w:sz w:val="21"/>
        </w:rPr>
        <w:t>uu_fa26/</w:t>
      </w:r>
      <w:r>
        <w:rPr>
          <w:b w:val="0"/>
          <w:i w:val="0"/>
          <w:sz w:val="21"/>
        </w:rPr>
        <w:t xml:space="preserve"> cites any of these six sources by name — this roadmap is built fresh — and no copy of this file itself exists in </w:t>
      </w:r>
      <w:r>
        <w:rPr>
          <w:rFonts w:ascii="Consolas" w:hAnsi="Consolas"/>
          <w:b w:val="0"/>
          <w:i w:val="0"/>
          <w:color w:val="8B2C1B"/>
          <w:sz w:val="21"/>
        </w:rPr>
        <w:t>uu_fa26/</w:t>
      </w:r>
      <w:r>
        <w:rPr>
          <w:b w:val="0"/>
          <w:i w:val="0"/>
          <w:sz w:val="21"/>
        </w:rPr>
        <w:t>.</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