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rFonts w:ascii="Calibri" w:hAnsi="Calibri"/>
          <w:b/>
          <w:i w:val="0"/>
          <w:color w:val="5B6770"/>
          <w:sz w:val="19"/>
        </w:rPr>
        <w:t>SCORE DOCUMENTATION</w:t>
      </w:r>
    </w:p>
    <w:p>
      <w:pPr>
        <w:spacing w:after="80"/>
      </w:pPr>
      <w:r>
        <w:rPr>
          <w:rFonts w:ascii="Calibri" w:hAnsi="Calibri"/>
          <w:b/>
          <w:i w:val="0"/>
          <w:color w:val="151F2C"/>
          <w:sz w:val="56"/>
        </w:rPr>
        <w:t>Mind Palace - Musical System Map</w:t>
      </w:r>
    </w:p>
    <w:p>
      <w:pPr>
        <w:spacing w:after="360"/>
      </w:pPr>
      <w:r>
        <w:rPr>
          <w:rFonts w:ascii="Calibri" w:hAnsi="Calibri"/>
          <w:b w:val="0"/>
          <w:i w:val="0"/>
          <w:color w:val="1F4D78"/>
          <w:sz w:val="26"/>
        </w:rPr>
        <w:t>Generative, interactive VR composition for MUS 442 Senior Project II</w:t>
      </w:r>
    </w:p>
    <w:p>
      <w:pPr>
        <w:spacing w:after="240"/>
      </w:pPr>
      <w:r>
        <w:rPr>
          <w:rFonts w:ascii="Calibri" w:hAnsi="Calibri"/>
          <w:b/>
          <w:i w:val="0"/>
          <w:color w:val="2D8281"/>
          <w:sz w:val="21"/>
        </w:rPr>
        <w:t>Scene 1: The Shift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728"/>
            <w:shd w:fill="E8EEF5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Scene</w:t>
            </w:r>
          </w:p>
        </w:tc>
        <w:tc>
          <w:tcPr>
            <w:tcW w:type="dxa" w:w="2520"/>
            <w:shd w:fill="E8EEF5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Time structure</w:t>
            </w:r>
          </w:p>
        </w:tc>
        <w:tc>
          <w:tcPr>
            <w:tcW w:type="dxa" w:w="2520"/>
            <w:shd w:fill="E8EEF5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Pitch / material</w:t>
            </w:r>
          </w:p>
        </w:tc>
        <w:tc>
          <w:tcPr>
            <w:tcW w:type="dxa" w:w="2736"/>
            <w:shd w:fill="E8EEF5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Player mapping</w:t>
            </w:r>
          </w:p>
        </w:tc>
      </w:tr>
      <w:tr>
        <w:tc>
          <w:tcPr>
            <w:tcW w:type="dxa" w:w="1728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1. The Shift</w:t>
            </w:r>
          </w:p>
        </w:tc>
        <w:tc>
          <w:tcPr>
            <w:tcW w:type="dxa" w:w="2520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76 BPM, 16-step DSP grid</w:t>
            </w:r>
          </w:p>
        </w:tc>
        <w:tc>
          <w:tcPr>
            <w:tcW w:type="dxa" w:w="2520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Machine slices, A minor pentatonic</w:t>
            </w:r>
          </w:p>
        </w:tc>
        <w:tc>
          <w:tcPr>
            <w:tcW w:type="dxa" w:w="2736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Sorting adds quantized notes</w:t>
            </w:r>
          </w:p>
        </w:tc>
      </w:tr>
      <w:tr>
        <w:tc>
          <w:tcPr>
            <w:tcW w:type="dxa" w:w="1728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2. Playground</w:t>
            </w:r>
          </w:p>
        </w:tc>
        <w:tc>
          <w:tcPr>
            <w:tcW w:type="dxa" w:w="2520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No global grid</w:t>
            </w:r>
          </w:p>
        </w:tc>
        <w:tc>
          <w:tcPr>
            <w:tcW w:type="dxa" w:w="2520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Five color-coded synth voices</w:t>
            </w:r>
          </w:p>
        </w:tc>
        <w:tc>
          <w:tcPr>
            <w:tcW w:type="dxa" w:w="2736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Holding and throwing cubes sounds color</w:t>
            </w:r>
          </w:p>
        </w:tc>
      </w:tr>
      <w:tr>
        <w:tc>
          <w:tcPr>
            <w:tcW w:type="dxa" w:w="1728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3. Platform</w:t>
            </w:r>
          </w:p>
        </w:tc>
        <w:tc>
          <w:tcPr>
            <w:tcW w:type="dxa" w:w="2520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58 BPM plus incommensurate periods</w:t>
            </w:r>
          </w:p>
        </w:tc>
        <w:tc>
          <w:tcPr>
            <w:tcW w:type="dxa" w:w="2520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Station ensemble in A minor pentatonic</w:t>
            </w:r>
          </w:p>
        </w:tc>
        <w:tc>
          <w:tcPr>
            <w:tcW w:type="dxa" w:w="2736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Compulsory cleanup adds melody</w:t>
            </w:r>
          </w:p>
        </w:tc>
      </w:tr>
      <w:tr>
        <w:tc>
          <w:tcPr>
            <w:tcW w:type="dxa" w:w="1728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4. Concert / Loop</w:t>
            </w:r>
          </w:p>
        </w:tc>
        <w:tc>
          <w:tcPr>
            <w:tcW w:type="dxa" w:w="2520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DSP-synced stems; 12-step sequencer</w:t>
            </w:r>
          </w:p>
        </w:tc>
        <w:tc>
          <w:tcPr>
            <w:tcW w:type="dxa" w:w="2520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Six timbres, A3-A5 pitch reservoir</w:t>
            </w:r>
          </w:p>
        </w:tc>
        <w:tc>
          <w:tcPr>
            <w:tcW w:type="dxa" w:w="2736"/>
            <w:shd w:fill="FFFFFF"/>
            <w:vAlign w:val="center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151F2C"/>
                <w:sz w:val="17"/>
              </w:rPr>
              <w:t>Slots replace concert, then clock</w:t>
            </w:r>
          </w:p>
        </w:tc>
      </w:tr>
    </w:tbl>
    <w:p>
      <w:pPr>
        <w:pStyle w:val="Heading1"/>
      </w:pPr>
      <w:r>
        <w:rPr>
          <w:rFonts w:ascii="Calibri" w:hAnsi="Calibri"/>
          <w:b w:val="0"/>
          <w:i w:val="0"/>
          <w:color w:val="151F2C"/>
        </w:rPr>
        <w:t>1. Musical Arc of the Four-Scene Loop</w:t>
      </w:r>
    </w:p>
    <w:p>
      <w:r>
        <w:rPr>
          <w:rFonts w:ascii="Calibri" w:hAnsi="Calibri"/>
          <w:b w:val="0"/>
          <w:i w:val="0"/>
          <w:color w:val="151F2C"/>
        </w:rPr>
        <w:t>The full experience moves from externally measured work to free play, then to social routine, then to a player-authored loop that becomes the factory clock.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0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ar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Calibri" w:hAnsi="Calibri"/>
          <w:b w:val="0"/>
          <w:i w:val="0"/>
          <w:color w:val="151F2C"/>
        </w:rPr>
        <w:t>2. Scene 1: Factory Grid and Tape Loops</w:t>
      </w:r>
    </w:p>
    <w:p>
      <w:r>
        <w:rPr>
          <w:rFonts w:ascii="Calibri" w:hAnsi="Calibri"/>
          <w:b w:val="0"/>
          <w:i w:val="0"/>
          <w:color w:val="151F2C"/>
        </w:rPr>
        <w:t>The factory score combines a sample-accurate 16-step ostinato with long tape-loop layers sliced from machine recordings.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35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scen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5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Calibri" w:hAnsi="Calibri"/>
          <w:b w:val="0"/>
          <w:i w:val="0"/>
          <w:color w:val="151F2C"/>
        </w:rPr>
        <w:t>3. Scene 3: The Station as Ensemble</w:t>
      </w:r>
    </w:p>
    <w:p>
      <w:r>
        <w:rPr>
          <w:rFonts w:ascii="Calibri" w:hAnsi="Calibri"/>
          <w:b w:val="0"/>
          <w:i w:val="0"/>
          <w:color w:val="151F2C"/>
        </w:rPr>
        <w:t>The metro distributes musical responsibility across architecture, NPCs, PA speakers, trains, trash objects, and compulsory cleanup actions.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2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scen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2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Calibri" w:hAnsi="Calibri"/>
          <w:b w:val="0"/>
          <w:i w:val="0"/>
          <w:color w:val="151F2C"/>
        </w:rPr>
        <w:t>4. Scene 4: Sequencer as Clock Face</w:t>
      </w:r>
    </w:p>
    <w:p>
      <w:r>
        <w:rPr>
          <w:rFonts w:ascii="Calibri" w:hAnsi="Calibri"/>
          <w:b w:val="0"/>
          <w:i w:val="0"/>
          <w:color w:val="151F2C"/>
        </w:rPr>
        <w:t>The finale uses the same circular interface twice: first as a musical sequencer and then as the literal clock that returns the player to the factory.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291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clo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9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Calibri" w:hAnsi="Calibri"/>
          <w:b w:val="0"/>
          <w:i w:val="0"/>
          <w:color w:val="151F2C"/>
        </w:rPr>
        <w:t>5. Shared Pitch Reservoir</w:t>
      </w:r>
    </w:p>
    <w:p>
      <w:r>
        <w:rPr>
          <w:rFonts w:ascii="Calibri" w:hAnsi="Calibri"/>
          <w:b w:val="0"/>
          <w:i w:val="0"/>
          <w:color w:val="151F2C"/>
        </w:rPr>
        <w:t>A minor pentatonic functions as a common musical reservoir across the factory melody, station ensemble, and sequencer orbs.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1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_sta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1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Calibri" w:hAnsi="Calibri"/>
          <w:b w:val="0"/>
          <w:i w:val="0"/>
          <w:color w:val="151F2C"/>
        </w:rPr>
        <w:t>Notation and Authorship Note</w:t>
      </w:r>
    </w:p>
    <w:p>
      <w:r>
        <w:rPr>
          <w:rFonts w:ascii="Calibri" w:hAnsi="Calibri"/>
          <w:b w:val="0"/>
          <w:i w:val="0"/>
          <w:color w:val="151F2C"/>
        </w:rPr>
        <w:t>This document functions as notation for the implemented system. Conventional staff notation shows pitch material, but the composition itself is encoded in runtime scheduling, object mappings, scene transitions, and player-triggered rules. The project-specific interaction design, sound behavior, scene logic, generative music systems, and narrative integration were authored for Mind Palace by Semiha Paksoy.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770"/>
        <w:sz w:val="17"/>
      </w:rPr>
      <w:t>Istanbul Bilgi University - Music Department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B6770"/>
        <w:sz w:val="17"/>
      </w:rPr>
      <w:t>Mind Palace | MUS 442 Final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Calibri" w:hAnsi="Calibri"/>
      <w:color w:val="151F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