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100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请假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总产值-总产值/22*天数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bookmarkStart w:id="0" w:name="_GoBack"/>
            <w:bookmarkEnd w:id="0"/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8%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工天值：200/人*天             组天值：400/组*天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E007E76"/>
    <w:rsid w:val="2FEDBB10"/>
    <w:rsid w:val="377CF876"/>
    <w:rsid w:val="3999044A"/>
    <w:rsid w:val="3BCF23A9"/>
    <w:rsid w:val="3EB251A8"/>
    <w:rsid w:val="3FB7CB06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6FF7FAEA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5D3C24"/>
    <w:rsid w:val="7F7D2793"/>
    <w:rsid w:val="7FF5561B"/>
    <w:rsid w:val="7FF78747"/>
    <w:rsid w:val="973DAE7D"/>
    <w:rsid w:val="AFDD630F"/>
    <w:rsid w:val="B7B7F4FB"/>
    <w:rsid w:val="BBFDDE16"/>
    <w:rsid w:val="BE6C2D7E"/>
    <w:rsid w:val="BEBDECBA"/>
    <w:rsid w:val="BFBF78D4"/>
    <w:rsid w:val="BFDF8C7A"/>
    <w:rsid w:val="DF7F8B71"/>
    <w:rsid w:val="DFEEE7FE"/>
    <w:rsid w:val="EBF7B87F"/>
    <w:rsid w:val="EF5F60DA"/>
    <w:rsid w:val="F6672BC1"/>
    <w:rsid w:val="F7FF70E1"/>
    <w:rsid w:val="FAFEAEAF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2</TotalTime>
  <ScaleCrop>false</ScaleCrop>
  <LinksUpToDate>false</LinksUpToDate>
  <CharactersWithSpaces>3225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2023-09-19T10:52:00Z</dcterms:created>
  <dc:creator>fq_clz</dc:creator>
  <cp:lastModifiedBy>SmileTolife</cp:lastModifiedBy>
  <dcterms:modified xsi:type="dcterms:W3CDTF">2024-01-02T09:43:57Z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B92F7569757E447BA1351B602BE5B008</vt:lpwstr>
  </property>
</Properties>
</file>