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C206B">
      <w:pPr>
        <w:spacing w:before="0" w:after="4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44"/>
          <w:szCs w:val="20"/>
        </w:rPr>
        <w:t>DataFactory</w:t>
      </w:r>
    </w:p>
    <w:p w14:paraId="4CA92F31">
      <w:pPr>
        <w:spacing w:before="0" w:after="40"/>
        <w:rPr>
          <w:sz w:val="20"/>
          <w:szCs w:val="20"/>
        </w:rPr>
      </w:pPr>
      <w:r>
        <w:rPr>
          <w:rFonts w:ascii="Calibri" w:hAnsi="Calibri"/>
          <w:b w:val="0"/>
          <w:i/>
          <w:color w:val="1A1A2E"/>
          <w:sz w:val="22"/>
          <w:szCs w:val="20"/>
        </w:rPr>
        <w:t>AI Data Pipeline for Mining &amp; Industrial Vision</w:t>
      </w:r>
    </w:p>
    <w:p w14:paraId="015E1D0E">
      <w:pPr>
        <w:spacing w:before="200" w:after="6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20"/>
          <w:szCs w:val="20"/>
        </w:rPr>
        <w:t>THE PROBLEM</w:t>
      </w:r>
    </w:p>
    <w:p w14:paraId="628D7213">
      <w:pPr>
        <w:spacing w:after="60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Mining and industrial AI projects fail not because of bad models — they fail because of bad data. Camera footage arrives raw, noisy, and unlabeled. Engineers manually sort frames, discard blurry shots, and label objects one by one. A single labeling cycle takes weeks and costs thousands of dollars. When the model underperforms, no one can trace which data caused it.</w:t>
      </w:r>
    </w:p>
    <w:p w14:paraId="46E196FC">
      <w:pPr>
        <w:spacing w:after="80"/>
        <w:rPr>
          <w:sz w:val="20"/>
          <w:szCs w:val="20"/>
        </w:rPr>
      </w:pPr>
      <w:r>
        <w:rPr>
          <w:rFonts w:ascii="Calibri" w:hAnsi="Calibri"/>
          <w:b/>
          <w:i w:val="0"/>
          <w:color w:val="1A1A2E"/>
          <w:sz w:val="16"/>
          <w:szCs w:val="20"/>
        </w:rPr>
        <w:t>The bottleneck is not the model.  The bottleneck is the data pipeline.</w:t>
      </w:r>
    </w:p>
    <w:p w14:paraId="63A79A0D">
      <w:pPr>
        <w:spacing w:before="200" w:after="6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20"/>
          <w:szCs w:val="20"/>
        </w:rPr>
        <w:t>WHAT I BUILT</w:t>
      </w:r>
    </w:p>
    <w:p w14:paraId="31867516">
      <w:pPr>
        <w:spacing w:after="60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DataFactory is a full-cycle MLOps pipeline that takes raw video from field cameras and delivers trained, traceable computer vision models — with minimal human intervention.</w:t>
      </w:r>
    </w:p>
    <w:p w14:paraId="092A3547">
      <w:pPr>
        <w:spacing w:before="80" w:after="120"/>
        <w:jc w:val="center"/>
        <w:rPr>
          <w:sz w:val="20"/>
          <w:szCs w:val="20"/>
        </w:rPr>
      </w:pPr>
      <w:r>
        <w:rPr>
          <w:rFonts w:ascii="Calibri" w:hAnsi="Calibri"/>
          <w:b w:val="0"/>
          <w:i/>
          <w:color w:val="1A1A2E"/>
          <w:sz w:val="15"/>
          <w:szCs w:val="20"/>
        </w:rPr>
        <w:t>Raw Video  →  Auto QC  →  Key Frame Extraction  →  YOLO Detection</w:t>
      </w:r>
      <w:r>
        <w:rPr>
          <w:rFonts w:ascii="Calibri" w:hAnsi="Calibri"/>
          <w:b w:val="0"/>
          <w:i/>
          <w:color w:val="1A1A2E"/>
          <w:sz w:val="15"/>
          <w:szCs w:val="20"/>
        </w:rPr>
        <w:br w:type="textWrapping"/>
      </w:r>
      <w:r>
        <w:rPr>
          <w:rFonts w:ascii="Calibri" w:hAnsi="Calibri"/>
          <w:b w:val="0"/>
          <w:i/>
          <w:color w:val="1A1A2E"/>
          <w:sz w:val="15"/>
          <w:szCs w:val="20"/>
        </w:rPr>
        <w:t>→  Confidence Routing  →  CVAT Annotation  →  Model Training  →  MLflow Registry  →  Back to Pipeline</w:t>
      </w:r>
    </w:p>
    <w:p w14:paraId="1244BE8B">
      <w:pPr>
        <w:spacing w:before="200" w:after="8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20"/>
          <w:szCs w:val="20"/>
        </w:rPr>
        <w:t>HOW IT WORKS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257"/>
      </w:tblGrid>
      <w:tr w14:paraId="3D114219">
        <w:tc>
          <w:tcPr>
            <w:tcW w:w="2381" w:type="dxa"/>
            <w:shd w:val="clear" w:color="auto" w:fill="E8F5E9"/>
            <w:vAlign w:val="center"/>
          </w:tcPr>
          <w:p w14:paraId="3B7AA6F9">
            <w:pPr>
              <w:numPr>
                <w:numId w:val="0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color w:val="1A1A2E"/>
                <w:sz w:val="15"/>
                <w:szCs w:val="20"/>
              </w:rPr>
              <w:t>Ingest &amp; Quality Control</w:t>
            </w:r>
          </w:p>
        </w:tc>
        <w:tc>
          <w:tcPr>
            <w:tcW w:w="7257" w:type="dxa"/>
          </w:tcPr>
          <w:p w14:paraId="3BC2AB8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  <w:szCs w:val="20"/>
              </w:rPr>
              <w:t>Blurry, overexposed, or duplicate footage is automatically rejected before any expensive computation runs. Lean principle: stop bad material at the source, not at the end of the line.</w:t>
            </w:r>
          </w:p>
        </w:tc>
      </w:tr>
      <w:tr w14:paraId="1EEA64BF">
        <w:tc>
          <w:tcPr>
            <w:tcW w:w="2381" w:type="dxa"/>
            <w:shd w:val="clear" w:color="auto" w:fill="E8F5E9"/>
            <w:vAlign w:val="center"/>
          </w:tcPr>
          <w:p w14:paraId="50BCEFD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color w:val="1A1A2E"/>
                <w:sz w:val="15"/>
                <w:szCs w:val="20"/>
              </w:rPr>
              <w:t>Smart Frame Extraction</w:t>
            </w:r>
          </w:p>
        </w:tc>
        <w:tc>
          <w:tcPr>
            <w:tcW w:w="7257" w:type="dxa"/>
          </w:tcPr>
          <w:p w14:paraId="42E8558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  <w:szCs w:val="20"/>
              </w:rPr>
              <w:t>YOLO detects vehicles at configurable intervals. Frames are routed by confidence score — top 30% auto-approved (refinery), remainder sent to human review (inspection). No fixed arbitrary cutoff.</w:t>
            </w:r>
          </w:p>
        </w:tc>
      </w:tr>
      <w:tr w14:paraId="34D4FACC">
        <w:tc>
          <w:tcPr>
            <w:tcW w:w="2381" w:type="dxa"/>
            <w:shd w:val="clear" w:color="auto" w:fill="E8F5E9"/>
            <w:vAlign w:val="center"/>
          </w:tcPr>
          <w:p w14:paraId="60E4F798">
            <w:pPr>
              <w:numPr>
                <w:numId w:val="0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color w:val="1A1A2E"/>
                <w:sz w:val="15"/>
                <w:szCs w:val="20"/>
              </w:rPr>
              <w:t>Human-in-the-Loop Annotation</w:t>
            </w:r>
          </w:p>
        </w:tc>
        <w:tc>
          <w:tcPr>
            <w:tcW w:w="7257" w:type="dxa"/>
          </w:tcPr>
          <w:p w14:paraId="6FE66AE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  <w:szCs w:val="20"/>
              </w:rPr>
              <w:t>Inspection frames are auto-uploaded to CVAT (self-hosted, zero SaaS cost) with pre-annotations. Annotators confirm or correct — they do not start from scratch. Annotation effort reduced ~70%.</w:t>
            </w:r>
          </w:p>
        </w:tc>
      </w:tr>
      <w:tr w14:paraId="4FF922E4">
        <w:tc>
          <w:tcPr>
            <w:tcW w:w="2381" w:type="dxa"/>
            <w:shd w:val="clear" w:color="auto" w:fill="E8F5E9"/>
            <w:vAlign w:val="center"/>
          </w:tcPr>
          <w:p w14:paraId="4CE8AE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color w:val="1A1A2E"/>
                <w:sz w:val="15"/>
                <w:szCs w:val="20"/>
              </w:rPr>
              <w:t>Closed-Loop Training</w:t>
            </w:r>
          </w:p>
        </w:tc>
        <w:tc>
          <w:tcPr>
            <w:tcW w:w="7257" w:type="dxa"/>
          </w:tcPr>
          <w:p w14:paraId="3EEECA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  <w:szCs w:val="20"/>
              </w:rPr>
              <w:t>Corrected annotations are pulled back, validated, merged into the training set, and fed into YOLO fine-tuning. Results logged in MLflow with full data lineage: frame → batch → annotation → model version.</w:t>
            </w:r>
          </w:p>
        </w:tc>
      </w:tr>
      <w:tr w14:paraId="0171920F">
        <w:tc>
          <w:tcPr>
            <w:tcW w:w="2381" w:type="dxa"/>
            <w:shd w:val="clear" w:color="auto" w:fill="E8F5E9"/>
            <w:vAlign w:val="center"/>
          </w:tcPr>
          <w:p w14:paraId="4B7AF9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color w:val="1A1A2E"/>
                <w:sz w:val="15"/>
                <w:szCs w:val="20"/>
              </w:rPr>
              <w:t>Full Traceability</w:t>
            </w:r>
          </w:p>
        </w:tc>
        <w:tc>
          <w:tcPr>
            <w:tcW w:w="7257" w:type="dxa"/>
          </w:tcPr>
          <w:p w14:paraId="2FA1CF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  <w:szCs w:val="20"/>
              </w:rPr>
              <w:t>Every batch is traceable from raw video to deployed model, stored in PostgreSQL for multi-user team access.</w:t>
            </w:r>
          </w:p>
        </w:tc>
      </w:tr>
    </w:tbl>
    <w:p w14:paraId="23EA717C">
      <w:pPr>
        <w:spacing w:before="200" w:after="8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20"/>
          <w:szCs w:val="20"/>
        </w:rPr>
        <w:t>TECH STACK &amp; WHY THIS MATTERS FOR MINING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5102"/>
      </w:tblGrid>
      <w:tr w14:paraId="78237DA0">
        <w:trPr>
          <w:trHeight w:val="3024" w:hRule="atLeast"/>
        </w:trPr>
        <w:tc>
          <w:tcPr>
            <w:tcW w:w="4535" w:type="dxa"/>
          </w:tcPr>
          <w:p w14:paraId="1AC39E79">
            <w:pPr>
              <w:spacing w:after="0" w:line="240" w:lineRule="auto"/>
              <w:rPr>
                <w:sz w:val="20"/>
                <w:szCs w:val="20"/>
              </w:rPr>
            </w:pP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48"/>
              <w:gridCol w:w="2161"/>
            </w:tblGrid>
            <w:tr w14:paraId="2C572ACC">
              <w:trPr>
                <w:trHeight w:val="380" w:hRule="atLeast"/>
              </w:trPr>
              <w:tc>
                <w:tcPr>
                  <w:tcW w:w="2267" w:type="dxa"/>
                  <w:vAlign w:val="center"/>
                </w:tcPr>
                <w:p w14:paraId="07EEABE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Detection</w:t>
                  </w:r>
                </w:p>
              </w:tc>
              <w:tc>
                <w:tcPr>
                  <w:tcW w:w="2267" w:type="dxa"/>
                  <w:vAlign w:val="center"/>
                </w:tcPr>
                <w:p w14:paraId="47A2B91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YOLOv8 (Ultralytics)</w:t>
                  </w:r>
                </w:p>
              </w:tc>
            </w:tr>
            <w:tr w14:paraId="397EA7ED">
              <w:trPr>
                <w:trHeight w:val="352" w:hRule="atLeast"/>
              </w:trPr>
              <w:tc>
                <w:tcPr>
                  <w:tcW w:w="2267" w:type="dxa"/>
                  <w:vAlign w:val="center"/>
                </w:tcPr>
                <w:p w14:paraId="603958D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Annotation</w:t>
                  </w:r>
                </w:p>
              </w:tc>
              <w:tc>
                <w:tcPr>
                  <w:tcW w:w="2267" w:type="dxa"/>
                  <w:vAlign w:val="center"/>
                </w:tcPr>
                <w:p w14:paraId="61BFE516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CVAT (self-hosted Docker)</w:t>
                  </w:r>
                </w:p>
              </w:tc>
            </w:tr>
            <w:tr w14:paraId="29A21D28">
              <w:trPr>
                <w:trHeight w:val="325" w:hRule="atLeast"/>
              </w:trPr>
              <w:tc>
                <w:tcPr>
                  <w:tcW w:w="2267" w:type="dxa"/>
                  <w:vAlign w:val="center"/>
                </w:tcPr>
                <w:p w14:paraId="3C04A730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Experiment</w:t>
                  </w:r>
                </w:p>
              </w:tc>
              <w:tc>
                <w:tcPr>
                  <w:tcW w:w="2267" w:type="dxa"/>
                  <w:vAlign w:val="center"/>
                </w:tcPr>
                <w:p w14:paraId="380169D6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MLflow + Model Registry</w:t>
                  </w:r>
                </w:p>
              </w:tc>
            </w:tr>
            <w:tr w14:paraId="7EF33D5E">
              <w:trPr>
                <w:trHeight w:val="357" w:hRule="atLeast"/>
              </w:trPr>
              <w:tc>
                <w:tcPr>
                  <w:tcW w:w="2267" w:type="dxa"/>
                  <w:vAlign w:val="center"/>
                </w:tcPr>
                <w:p w14:paraId="709C7CD9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Database</w:t>
                  </w:r>
                </w:p>
              </w:tc>
              <w:tc>
                <w:tcPr>
                  <w:tcW w:w="2267" w:type="dxa"/>
                  <w:vAlign w:val="center"/>
                </w:tcPr>
                <w:p w14:paraId="37AD2FF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PostgreSQL</w:t>
                  </w:r>
                </w:p>
              </w:tc>
            </w:tr>
            <w:tr w14:paraId="2B171B0B">
              <w:tc>
                <w:tcPr>
                  <w:tcW w:w="2267" w:type="dxa"/>
                  <w:vAlign w:val="center"/>
                </w:tcPr>
                <w:p w14:paraId="0F6E483A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Orchestration</w:t>
                  </w:r>
                </w:p>
              </w:tc>
              <w:tc>
                <w:tcPr>
                  <w:tcW w:w="2267" w:type="dxa"/>
                  <w:vAlign w:val="center"/>
                </w:tcPr>
                <w:p w14:paraId="0B4BD306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Python pipeline + guard/watchdog mode</w:t>
                  </w:r>
                </w:p>
              </w:tc>
            </w:tr>
            <w:tr w14:paraId="70F225E6">
              <w:trPr>
                <w:trHeight w:val="522" w:hRule="atLeast"/>
              </w:trPr>
              <w:tc>
                <w:tcPr>
                  <w:tcW w:w="2267" w:type="dxa"/>
                  <w:vAlign w:val="center"/>
                </w:tcPr>
                <w:p w14:paraId="585C49C4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15"/>
                      <w:szCs w:val="20"/>
                    </w:rPr>
                    <w:t>Infra</w:t>
                  </w:r>
                </w:p>
              </w:tc>
              <w:tc>
                <w:tcPr>
                  <w:tcW w:w="2267" w:type="dxa"/>
                  <w:vAlign w:val="center"/>
                </w:tcPr>
                <w:p w14:paraId="6EEE4E2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 w:val="0"/>
                      <w:i w:val="0"/>
                      <w:color w:val="555555"/>
                      <w:sz w:val="15"/>
                      <w:szCs w:val="20"/>
                    </w:rPr>
                    <w:t>Docker Compose, REST API, .env config</w:t>
                  </w:r>
                </w:p>
              </w:tc>
            </w:tr>
          </w:tbl>
          <w:p w14:paraId="327AB2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102" w:type="dxa"/>
            <w:vAlign w:val="center"/>
          </w:tcPr>
          <w:p w14:paraId="667AA0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color w:val="555555"/>
                <w:sz w:val="16"/>
                <w:szCs w:val="20"/>
              </w:rPr>
              <w:t>Mining AI is stuck at one gap: domain experts who don't speak ML, and ML engineers who don't know the field.</w:t>
            </w:r>
            <w:r>
              <w:rPr>
                <w:rFonts w:ascii="Calibri" w:hAnsi="Calibri"/>
                <w:b w:val="0"/>
                <w:i/>
                <w:color w:val="555555"/>
                <w:sz w:val="16"/>
                <w:szCs w:val="20"/>
              </w:rPr>
              <w:br w:type="textWrapping"/>
            </w:r>
            <w:r>
              <w:rPr>
                <w:rFonts w:ascii="Calibri" w:hAnsi="Calibri"/>
                <w:b w:val="0"/>
                <w:i/>
                <w:color w:val="555555"/>
                <w:sz w:val="16"/>
                <w:szCs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1A1A2E"/>
                <w:sz w:val="15"/>
                <w:szCs w:val="20"/>
              </w:rPr>
              <w:t>▸  IE background → quality controlled at the source, not patched downstream</w:t>
            </w:r>
            <w:r>
              <w:rPr>
                <w:rFonts w:ascii="Calibri" w:hAnsi="Calibri"/>
                <w:b w:val="0"/>
                <w:i w:val="0"/>
                <w:color w:val="1A1A2E"/>
                <w:sz w:val="15"/>
                <w:szCs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1A1A2E"/>
                <w:sz w:val="15"/>
                <w:szCs w:val="20"/>
              </w:rPr>
              <w:t>▸  Mining Engineering (Laurentian) → understands field constraints: dust, vibration, camera angles, equipment cycles</w:t>
            </w:r>
            <w:r>
              <w:rPr>
                <w:rFonts w:ascii="Calibri" w:hAnsi="Calibri"/>
                <w:b w:val="0"/>
                <w:i w:val="0"/>
                <w:color w:val="1A1A2E"/>
                <w:sz w:val="15"/>
                <w:szCs w:val="20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1A1A2E"/>
                <w:sz w:val="15"/>
                <w:szCs w:val="20"/>
              </w:rPr>
              <w:t>▸  MLOps → closes the loop between data collection and model improvement automatically</w:t>
            </w:r>
          </w:p>
          <w:p w14:paraId="724623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color w:val="555555"/>
                <w:sz w:val="15"/>
                <w:szCs w:val="20"/>
              </w:rPr>
              <w:br w:type="textWrapping"/>
            </w:r>
            <w:r>
              <w:rPr>
                <w:rFonts w:ascii="Calibri" w:hAnsi="Calibri"/>
                <w:b w:val="0"/>
                <w:i/>
                <w:color w:val="555555"/>
                <w:sz w:val="15"/>
                <w:szCs w:val="20"/>
              </w:rPr>
              <w:t>Extends to: haul truck load estimation · equipment anomaly detection · personnel safety · ore classification</w:t>
            </w:r>
          </w:p>
        </w:tc>
      </w:tr>
    </w:tbl>
    <w:p w14:paraId="0452FAEF">
      <w:pPr>
        <w:spacing w:before="160" w:after="60"/>
        <w:rPr>
          <w:sz w:val="20"/>
          <w:szCs w:val="20"/>
        </w:rPr>
      </w:pPr>
      <w:r>
        <w:rPr>
          <w:rFonts w:ascii="Calibri" w:hAnsi="Calibri"/>
          <w:b/>
          <w:i w:val="0"/>
          <w:color w:val="16713E"/>
          <w:sz w:val="20"/>
          <w:szCs w:val="20"/>
        </w:rPr>
        <w:t>CURRENT STATUS</w:t>
      </w:r>
    </w:p>
    <w:p w14:paraId="2F1A60A2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Full pipeline operational end-to-end on dashcam footage</w:t>
      </w:r>
    </w:p>
    <w:p w14:paraId="22197A43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Automated upload/download with CVAT annotation platform</w:t>
      </w:r>
    </w:p>
    <w:p w14:paraId="0126F5B7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MLflow experiment tracking and model registry connected</w:t>
      </w:r>
    </w:p>
    <w:p w14:paraId="1BCDE00C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PostgreSQL-backed multi-user data lineage</w:t>
      </w:r>
    </w:p>
    <w:p w14:paraId="69B8142A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First fine-tuned model (vehicle_detector/v1) trained and deployed into pipeline</w:t>
      </w:r>
    </w:p>
    <w:p w14:paraId="341C706A">
      <w:pPr>
        <w:pStyle w:val="16"/>
        <w:spacing w:before="0" w:after="40"/>
        <w:ind w:left="283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6"/>
          <w:szCs w:val="20"/>
        </w:rPr>
        <w:t>Configurable for new scenes, classes, and camera sources in &lt; 1 hour</w:t>
      </w:r>
    </w:p>
    <w:p w14:paraId="145DD05F">
      <w:pPr>
        <w:pBdr>
          <w:bottom w:val="single" w:color="CCCCCC" w:sz="4" w:space="1"/>
        </w:pBdr>
        <w:spacing w:before="80" w:after="80"/>
        <w:rPr>
          <w:sz w:val="20"/>
          <w:szCs w:val="20"/>
        </w:rPr>
      </w:pPr>
    </w:p>
    <w:p w14:paraId="5771E9EA">
      <w:pPr>
        <w:spacing w:before="120"/>
        <w:jc w:val="center"/>
        <w:rPr>
          <w:sz w:val="20"/>
          <w:szCs w:val="20"/>
        </w:rPr>
      </w:pPr>
      <w:r>
        <w:rPr>
          <w:rFonts w:ascii="Calibri" w:hAnsi="Calibri"/>
          <w:b w:val="0"/>
          <w:i w:val="0"/>
          <w:color w:val="555555"/>
          <w:sz w:val="15"/>
          <w:szCs w:val="20"/>
        </w:rPr>
        <w:t>IE (Bachelor)  ·  Mining Engineering M.Eng — Laurentian University  ·  Machine Learning</w:t>
      </w:r>
      <w:r>
        <w:rPr>
          <w:rFonts w:ascii="Calibri" w:hAnsi="Calibri"/>
          <w:b w:val="0"/>
          <w:i w:val="0"/>
          <w:color w:val="555555"/>
          <w:sz w:val="15"/>
          <w:szCs w:val="20"/>
        </w:rPr>
        <w:br w:type="textWrapping"/>
      </w:r>
      <w:r>
        <w:rPr>
          <w:rFonts w:ascii="Calibri" w:hAnsi="Calibri"/>
          <w:b w:val="0"/>
          <w:i w:val="0"/>
          <w:color w:val="555555"/>
          <w:sz w:val="15"/>
          <w:szCs w:val="20"/>
        </w:rPr>
        <w:t>GitHub: [</w:t>
      </w:r>
      <w:r>
        <w:rPr>
          <w:rFonts w:hint="eastAsia" w:ascii="Calibri" w:hAnsi="Calibri"/>
          <w:b w:val="0"/>
          <w:i w:val="0"/>
          <w:color w:val="555555"/>
          <w:sz w:val="15"/>
          <w:szCs w:val="20"/>
        </w:rPr>
        <w:t>https://github.com/smileyimao/DataFactory</w:t>
      </w:r>
      <w:r>
        <w:rPr>
          <w:rFonts w:ascii="Calibri" w:hAnsi="Calibri"/>
          <w:b w:val="0"/>
          <w:i w:val="0"/>
          <w:color w:val="555555"/>
          <w:sz w:val="15"/>
          <w:szCs w:val="20"/>
        </w:rPr>
        <w:t>]  ·  LinkedIn: [</w:t>
      </w:r>
      <w:r>
        <w:rPr>
          <w:rFonts w:hint="eastAsia" w:ascii="Calibri" w:hAnsi="Calibri"/>
          <w:b w:val="0"/>
          <w:i w:val="0"/>
          <w:color w:val="555555"/>
          <w:sz w:val="15"/>
          <w:szCs w:val="20"/>
        </w:rPr>
        <w:t>www.linkedi</w:t>
      </w:r>
      <w:bookmarkStart w:id="0" w:name="_GoBack"/>
      <w:bookmarkEnd w:id="0"/>
      <w:r>
        <w:rPr>
          <w:rFonts w:hint="eastAsia" w:ascii="Calibri" w:hAnsi="Calibri"/>
          <w:b w:val="0"/>
          <w:i w:val="0"/>
          <w:color w:val="555555"/>
          <w:sz w:val="15"/>
          <w:szCs w:val="20"/>
        </w:rPr>
        <w:t>n.com/in/felix-yimao-he</w:t>
      </w:r>
      <w:r>
        <w:rPr>
          <w:rFonts w:ascii="Calibri" w:hAnsi="Calibri"/>
          <w:b w:val="0"/>
          <w:i w:val="0"/>
          <w:color w:val="555555"/>
          <w:sz w:val="15"/>
          <w:szCs w:val="20"/>
        </w:rPr>
        <w:t>]  ·  Email: [</w:t>
      </w:r>
      <w:r>
        <w:rPr>
          <w:rFonts w:hint="eastAsia" w:ascii="Calibri" w:hAnsi="Calibri" w:eastAsia="宋体"/>
          <w:b w:val="0"/>
          <w:i w:val="0"/>
          <w:color w:val="555555"/>
          <w:sz w:val="15"/>
          <w:szCs w:val="20"/>
          <w:lang w:val="en-US" w:eastAsia="zh-CN"/>
        </w:rPr>
        <w:t>x</w:t>
      </w:r>
      <w:r>
        <w:rPr>
          <w:rFonts w:hint="default" w:ascii="Calibri" w:hAnsi="Calibri" w:eastAsia="宋体"/>
          <w:b w:val="0"/>
          <w:i w:val="0"/>
          <w:color w:val="555555"/>
          <w:sz w:val="15"/>
          <w:szCs w:val="20"/>
          <w:lang w:val="en-US" w:eastAsia="zh-CN"/>
        </w:rPr>
        <w:t>ituled@gmail.com</w:t>
      </w:r>
      <w:r>
        <w:rPr>
          <w:rFonts w:ascii="Calibri" w:hAnsi="Calibri"/>
          <w:b w:val="0"/>
          <w:i w:val="0"/>
          <w:color w:val="555555"/>
          <w:sz w:val="15"/>
          <w:szCs w:val="20"/>
        </w:rPr>
        <w:t>]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lOTYzZTk5NTg4YzlhN2I4N2IxYWIxMTU5NmFmND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F242F7"/>
    <w:rsid w:val="EDDE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1550</TotalTime>
  <ScaleCrop>false</ScaleCrop>
  <LinksUpToDate>false</LinksUpToDate>
  <CharactersWithSpaces>0</CharactersWithSpaces>
  <Application>WPS Office_6.10.0.8870_F1E327BC-269C-435d-A152-05C5408002CA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何益茂</cp:lastModifiedBy>
  <dcterms:modified xsi:type="dcterms:W3CDTF">2026-03-05T12:29:11Z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2052-6.10.0.8870</vt:lpwstr>
  </property>
  <property fmtid="{D5CDD505-2E9C-101B-9397-08002B2CF9AE}" pid="3" name="ICV">
    <vt:lpwstr>BB13EE02ECDB108D61B5A56917C988DB_42</vt:lpwstr>
  </property>
</Properties>
</file>