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5643" w14:textId="77777777" w:rsidR="004E1393" w:rsidRDefault="00EB4DE5">
      <w:pPr>
        <w:pStyle w:val="aa"/>
        <w:spacing w:after="200"/>
        <w:jc w:val="center"/>
        <w:rPr>
          <w:lang w:eastAsia="zh-CN"/>
        </w:rPr>
      </w:pPr>
      <w:r>
        <w:rPr>
          <w:rFonts w:ascii="Times New Roman" w:eastAsia="宋体" w:hAnsi="Times New Roman" w:cs="Times New Roman"/>
          <w:lang w:eastAsia="zh-CN"/>
        </w:rPr>
        <w:t>企业所受到的清单限制强度与经营表现及部门成本分析</w:t>
      </w:r>
    </w:p>
    <w:p w14:paraId="5A3F0ED9" w14:textId="3B4A24DA" w:rsidR="004E1393" w:rsidRDefault="008D7DBD">
      <w:pPr>
        <w:rPr>
          <w:lang w:eastAsia="zh-CN"/>
        </w:rPr>
      </w:pPr>
      <w:r w:rsidRPr="008D7DBD">
        <w:rPr>
          <w:rFonts w:cs="Times New Roman"/>
          <w:color w:val="000000"/>
          <w:lang w:eastAsia="zh-CN"/>
        </w:rPr>
        <w:t>本研究拟利用</w:t>
      </w:r>
      <w:r w:rsidRPr="008D7DBD">
        <w:rPr>
          <w:rFonts w:cs="Times New Roman"/>
          <w:color w:val="000000"/>
          <w:lang w:eastAsia="zh-CN"/>
        </w:rPr>
        <w:t>2007—2020</w:t>
      </w:r>
      <w:r w:rsidRPr="008D7DBD">
        <w:rPr>
          <w:rFonts w:cs="Times New Roman"/>
          <w:color w:val="000000"/>
          <w:lang w:eastAsia="zh-CN"/>
        </w:rPr>
        <w:t>年税收调查资料，考察清单限制强度与企业生产表现之间的联系，并区分外国控制生产与国内控制生产，进一步分析部门生产份额及相应的等效跨国生产成本变化。</w:t>
      </w:r>
      <w:r w:rsidR="00EB4DE5">
        <w:rPr>
          <w:rFonts w:cs="Times New Roman"/>
          <w:color w:val="000000"/>
          <w:lang w:eastAsia="zh-CN"/>
        </w:rPr>
        <w:t>研究分为三个环节：首先，依据企业所属行业及有效政策条款，借助大语言模型（</w:t>
      </w:r>
      <w:r w:rsidR="00EB4DE5">
        <w:rPr>
          <w:rFonts w:cs="Times New Roman"/>
          <w:color w:val="000000"/>
          <w:lang w:eastAsia="zh-CN"/>
        </w:rPr>
        <w:t>LLM</w:t>
      </w:r>
      <w:r w:rsidR="00EB4DE5">
        <w:rPr>
          <w:rFonts w:cs="Times New Roman"/>
          <w:color w:val="000000"/>
          <w:lang w:eastAsia="zh-CN"/>
        </w:rPr>
        <w:t>）识别限制要求，按照固定规则构建企业所受到的清单限制强度</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sidR="00EB4DE5">
        <w:rPr>
          <w:rFonts w:cs="Times New Roman"/>
          <w:color w:val="000000"/>
          <w:lang w:eastAsia="zh-CN"/>
        </w:rPr>
        <w:t>；其次，估计限制强度与企业经营表现的关系，在同一基准年份预测实际限制与取消限制两种情景下的外国和国内控制生产，形成部门份额变化目标；最后，利用结构模型反推与该目标相对应的等效跨国生产（</w:t>
      </w:r>
      <w:r w:rsidR="00EB4DE5">
        <w:rPr>
          <w:rFonts w:cs="Times New Roman"/>
          <w:color w:val="000000"/>
          <w:lang w:eastAsia="zh-CN"/>
        </w:rPr>
        <w:t>MP</w:t>
      </w:r>
      <w:r w:rsidR="00EB4DE5">
        <w:rPr>
          <w:rFonts w:cs="Times New Roman"/>
          <w:color w:val="000000"/>
          <w:lang w:eastAsia="zh-CN"/>
        </w:rPr>
        <w:t>）成本变化，考察一般均衡下的生产布局、实际收入与福利。</w:t>
      </w:r>
    </w:p>
    <w:p w14:paraId="402971C0" w14:textId="77777777" w:rsidR="004E1393" w:rsidRDefault="00EB4DE5">
      <w:pPr>
        <w:ind w:firstLine="0"/>
        <w:jc w:val="center"/>
        <w:rPr>
          <w:lang w:eastAsia="zh-CN"/>
        </w:rPr>
      </w:pPr>
      <w:r>
        <w:rPr>
          <w:rFonts w:cs="Times New Roman"/>
          <w:b/>
          <w:color w:val="000000"/>
          <w:sz w:val="22"/>
          <w:lang w:eastAsia="zh-CN"/>
        </w:rPr>
        <w:t>图</w:t>
      </w:r>
      <w:r>
        <w:rPr>
          <w:rFonts w:cs="Times New Roman"/>
          <w:b/>
          <w:color w:val="000000"/>
          <w:sz w:val="22"/>
          <w:lang w:eastAsia="zh-CN"/>
        </w:rPr>
        <w:t xml:space="preserve">A1  </w:t>
      </w:r>
      <w:r>
        <w:rPr>
          <w:rFonts w:cs="Times New Roman"/>
          <w:b/>
          <w:color w:val="000000"/>
          <w:sz w:val="22"/>
          <w:lang w:eastAsia="zh-CN"/>
        </w:rPr>
        <w:t>研究思路与主要环节</w:t>
      </w:r>
    </w:p>
    <w:tbl>
      <w:tblPr>
        <w:tblW w:w="0" w:type="auto"/>
        <w:jc w:val="center"/>
        <w:tblLayout w:type="fixed"/>
        <w:tblLook w:val="04A0" w:firstRow="1" w:lastRow="0" w:firstColumn="1" w:lastColumn="0" w:noHBand="0" w:noVBand="1"/>
      </w:tblPr>
      <w:tblGrid>
        <w:gridCol w:w="4620"/>
        <w:gridCol w:w="4620"/>
      </w:tblGrid>
      <w:tr w:rsidR="004E1393" w14:paraId="3346AB0D" w14:textId="77777777">
        <w:trPr>
          <w:cantSplit/>
          <w:tblHeader/>
          <w:jc w:val="center"/>
        </w:trPr>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10FDA134"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A</w:t>
            </w:r>
            <w:r>
              <w:rPr>
                <w:rFonts w:cs="Times New Roman"/>
                <w:b/>
                <w:color w:val="000000"/>
                <w:sz w:val="21"/>
                <w:lang w:eastAsia="zh-CN"/>
              </w:rPr>
              <w:t>：形成企业所受到的清单限制强度</w:t>
            </w:r>
          </w:p>
        </w:tc>
        <w:tc>
          <w:tcPr>
            <w:tcW w:w="4620" w:type="dxa"/>
            <w:tcBorders>
              <w:top w:val="single" w:sz="4" w:space="0" w:color="999999"/>
              <w:left w:val="single" w:sz="4" w:space="0" w:color="999999"/>
              <w:bottom w:val="single" w:sz="4" w:space="0" w:color="999999"/>
              <w:right w:val="single" w:sz="4" w:space="0" w:color="999999"/>
            </w:tcBorders>
            <w:shd w:val="clear" w:color="auto" w:fill="EFEFEF"/>
          </w:tcPr>
          <w:p w14:paraId="6D1E022F" w14:textId="77777777" w:rsidR="004E1393" w:rsidRDefault="00EB4DE5">
            <w:pPr>
              <w:spacing w:before="100" w:after="100" w:line="288" w:lineRule="auto"/>
              <w:ind w:firstLine="0"/>
              <w:jc w:val="center"/>
              <w:rPr>
                <w:lang w:eastAsia="zh-CN"/>
              </w:rPr>
            </w:pPr>
            <w:r>
              <w:rPr>
                <w:rFonts w:cs="Times New Roman"/>
                <w:b/>
                <w:color w:val="000000"/>
                <w:sz w:val="21"/>
                <w:lang w:eastAsia="zh-CN"/>
              </w:rPr>
              <w:t>路径</w:t>
            </w:r>
            <w:r>
              <w:rPr>
                <w:rFonts w:cs="Times New Roman"/>
                <w:b/>
                <w:color w:val="000000"/>
                <w:sz w:val="21"/>
                <w:lang w:eastAsia="zh-CN"/>
              </w:rPr>
              <w:t>B</w:t>
            </w:r>
            <w:r>
              <w:rPr>
                <w:rFonts w:cs="Times New Roman"/>
                <w:b/>
                <w:color w:val="000000"/>
                <w:sz w:val="21"/>
                <w:lang w:eastAsia="zh-CN"/>
              </w:rPr>
              <w:t>：确定当期生产归属</w:t>
            </w:r>
          </w:p>
        </w:tc>
      </w:tr>
      <w:tr w:rsidR="004E1393" w14:paraId="7A2450E8" w14:textId="77777777">
        <w:trPr>
          <w:cantSplit/>
          <w:jc w:val="center"/>
        </w:trPr>
        <w:tc>
          <w:tcPr>
            <w:tcW w:w="4620" w:type="dxa"/>
            <w:tcBorders>
              <w:top w:val="single" w:sz="4" w:space="0" w:color="999999"/>
              <w:left w:val="single" w:sz="4" w:space="0" w:color="999999"/>
              <w:bottom w:val="single" w:sz="4" w:space="0" w:color="999999"/>
              <w:right w:val="single" w:sz="4" w:space="0" w:color="999999"/>
            </w:tcBorders>
          </w:tcPr>
          <w:p w14:paraId="391CF3CE"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lang w:eastAsia="zh-CN"/>
              </w:rPr>
              <w:br/>
            </w:r>
            <w:r>
              <w:rPr>
                <w:rFonts w:cs="Times New Roman"/>
                <w:color w:val="000000"/>
                <w:sz w:val="21"/>
                <w:lang w:eastAsia="zh-CN"/>
              </w:rPr>
              <w:t xml:space="preserve">↓ </w:t>
            </w:r>
            <w:r>
              <w:rPr>
                <w:rFonts w:cs="Times New Roman"/>
                <w:color w:val="000000"/>
                <w:sz w:val="21"/>
                <w:lang w:eastAsia="zh-CN"/>
              </w:rPr>
              <w:t>取得对应版本的</w:t>
            </w:r>
            <w:r>
              <w:rPr>
                <w:rFonts w:cs="Times New Roman"/>
                <w:color w:val="000000"/>
                <w:sz w:val="21"/>
                <w:lang w:eastAsia="zh-CN"/>
              </w:rPr>
              <w:t>GB</w:t>
            </w:r>
            <w:r>
              <w:rPr>
                <w:rFonts w:cs="Times New Roman"/>
                <w:color w:val="000000"/>
                <w:sz w:val="21"/>
                <w:lang w:eastAsia="zh-CN"/>
              </w:rPr>
              <w:t>小类名称</w:t>
            </w:r>
            <w:r>
              <w:rPr>
                <w:lang w:eastAsia="zh-CN"/>
              </w:rPr>
              <w:br/>
            </w:r>
            <w:r>
              <w:rPr>
                <w:rFonts w:cs="Times New Roman"/>
                <w:color w:val="000000"/>
                <w:sz w:val="21"/>
                <w:lang w:eastAsia="zh-CN"/>
              </w:rPr>
              <w:t>↓ LLM</w:t>
            </w:r>
            <w:r>
              <w:rPr>
                <w:rFonts w:cs="Times New Roman"/>
                <w:color w:val="000000"/>
                <w:sz w:val="21"/>
                <w:lang w:eastAsia="zh-CN"/>
              </w:rPr>
              <w:t>识别与有效政策活动的匹配关系</w:t>
            </w:r>
            <w:r>
              <w:rPr>
                <w:lang w:eastAsia="zh-CN"/>
              </w:rPr>
              <w:br/>
            </w:r>
            <w:r>
              <w:rPr>
                <w:rFonts w:cs="Times New Roman"/>
                <w:color w:val="000000"/>
                <w:sz w:val="21"/>
                <w:lang w:eastAsia="zh-CN"/>
              </w:rPr>
              <w:t xml:space="preserve">↓ </w:t>
            </w:r>
            <w:r>
              <w:rPr>
                <w:rFonts w:cs="Times New Roman"/>
                <w:color w:val="000000"/>
                <w:sz w:val="21"/>
                <w:lang w:eastAsia="zh-CN"/>
              </w:rPr>
              <w:t>提取限制类型及评分所需数值</w:t>
            </w:r>
            <w:r>
              <w:rPr>
                <w:lang w:eastAsia="zh-CN"/>
              </w:rPr>
              <w:br/>
            </w:r>
            <w:r>
              <w:rPr>
                <w:rFonts w:cs="Times New Roman"/>
                <w:color w:val="000000"/>
                <w:sz w:val="21"/>
                <w:lang w:eastAsia="zh-CN"/>
              </w:rPr>
              <w:t xml:space="preserve">↓ </w:t>
            </w:r>
            <w:r>
              <w:rPr>
                <w:rFonts w:cs="Times New Roman"/>
                <w:color w:val="000000"/>
                <w:sz w:val="21"/>
                <w:lang w:eastAsia="zh-CN"/>
              </w:rPr>
              <w:t>按固定规则赋分并形成年度强度</w:t>
            </w:r>
            <w:r>
              <w:rPr>
                <w:lang w:eastAsia="zh-CN"/>
              </w:rPr>
              <w:br/>
            </w:r>
            <w:r>
              <w:rPr>
                <w:rFonts w:cs="Times New Roman"/>
                <w:color w:val="000000"/>
                <w:sz w:val="21"/>
                <w:lang w:eastAsia="zh-CN"/>
              </w:rPr>
              <w:t xml:space="preserve">↓ </w:t>
            </w:r>
            <w:r>
              <w:rPr>
                <w:rFonts w:cs="Times New Roman"/>
                <w:color w:val="000000"/>
                <w:sz w:val="21"/>
                <w:lang w:eastAsia="zh-CN"/>
              </w:rPr>
              <w:t>将</w:t>
            </w:r>
            <m:oMath>
              <m:sSub>
                <m:sSubPr>
                  <m:ctrlPr>
                    <w:rPr>
                      <w:rFonts w:ascii="Cambria Math" w:hAnsi="Cambria Math"/>
                    </w:rPr>
                  </m:ctrlPr>
                </m:sSubPr>
                <m:e>
                  <m:r>
                    <m:rPr>
                      <m:sty m:val="p"/>
                    </m:rPr>
                    <w:rPr>
                      <w:rFonts w:ascii="Cambria Math" w:hAnsi="Cambria Math" w:cs="Cambria Math"/>
                      <w:sz w:val="21"/>
                      <w:lang w:eastAsia="zh-CN"/>
                    </w:rPr>
                    <m:t>Intensity</m:t>
                  </m:r>
                </m:e>
                <m:sub>
                  <m:r>
                    <w:rPr>
                      <w:rFonts w:ascii="Cambria Math" w:hAnsi="Cambria Math" w:cs="Cambria Math"/>
                      <w:sz w:val="21"/>
                      <w:lang w:eastAsia="zh-CN"/>
                    </w:rPr>
                    <m:t>ft</m:t>
                  </m:r>
                </m:sub>
              </m:sSub>
            </m:oMath>
            <w:r>
              <w:rPr>
                <w:rFonts w:cs="Times New Roman"/>
                <w:color w:val="000000"/>
                <w:sz w:val="21"/>
                <w:lang w:eastAsia="zh-CN"/>
              </w:rPr>
              <w:t>赋予相应企业</w:t>
            </w:r>
          </w:p>
        </w:tc>
        <w:tc>
          <w:tcPr>
            <w:tcW w:w="4620" w:type="dxa"/>
            <w:tcBorders>
              <w:top w:val="single" w:sz="4" w:space="0" w:color="999999"/>
              <w:left w:val="single" w:sz="4" w:space="0" w:color="999999"/>
              <w:bottom w:val="single" w:sz="4" w:space="0" w:color="999999"/>
              <w:right w:val="single" w:sz="4" w:space="0" w:color="999999"/>
            </w:tcBorders>
          </w:tcPr>
          <w:p w14:paraId="26C1F6C3" w14:textId="77777777" w:rsidR="004E1393" w:rsidRDefault="00EB4DE5">
            <w:pPr>
              <w:spacing w:before="100" w:after="100" w:line="288" w:lineRule="auto"/>
              <w:ind w:firstLine="0"/>
              <w:jc w:val="center"/>
              <w:rPr>
                <w:lang w:eastAsia="zh-CN"/>
              </w:rPr>
            </w:pPr>
            <w:r>
              <w:rPr>
                <w:rFonts w:cs="Times New Roman"/>
                <w:color w:val="000000"/>
                <w:sz w:val="21"/>
                <w:lang w:eastAsia="zh-CN"/>
              </w:rPr>
              <w:t>企业当期行业代码及</w:t>
            </w:r>
            <w:r>
              <w:rPr>
                <w:rFonts w:cs="Times New Roman"/>
                <w:color w:val="000000"/>
                <w:sz w:val="21"/>
                <w:lang w:eastAsia="zh-CN"/>
              </w:rPr>
              <w:t>GB</w:t>
            </w:r>
            <w:r>
              <w:rPr>
                <w:rFonts w:cs="Times New Roman"/>
                <w:color w:val="000000"/>
                <w:sz w:val="21"/>
                <w:lang w:eastAsia="zh-CN"/>
              </w:rPr>
              <w:t>版本</w:t>
            </w:r>
            <w:r>
              <w:rPr>
                <w:lang w:eastAsia="zh-CN"/>
              </w:rPr>
              <w:br/>
            </w:r>
            <w:r>
              <w:rPr>
                <w:rFonts w:cs="Times New Roman"/>
                <w:color w:val="000000"/>
                <w:sz w:val="21"/>
                <w:lang w:eastAsia="zh-CN"/>
              </w:rPr>
              <w:t xml:space="preserve">↓ </w:t>
            </w:r>
            <w:r>
              <w:rPr>
                <w:rFonts w:cs="Times New Roman"/>
                <w:color w:val="000000"/>
                <w:sz w:val="21"/>
                <w:lang w:eastAsia="zh-CN"/>
              </w:rPr>
              <w:t>按新旧分类对照转为</w:t>
            </w:r>
            <w:r>
              <w:rPr>
                <w:rFonts w:cs="Times New Roman"/>
                <w:color w:val="000000"/>
                <w:sz w:val="21"/>
                <w:lang w:eastAsia="zh-CN"/>
              </w:rPr>
              <w:t>GB2017</w:t>
            </w:r>
            <w:r>
              <w:rPr>
                <w:lang w:eastAsia="zh-CN"/>
              </w:rPr>
              <w:br/>
            </w:r>
            <w:r>
              <w:rPr>
                <w:rFonts w:cs="Times New Roman"/>
                <w:color w:val="000000"/>
                <w:sz w:val="21"/>
                <w:lang w:eastAsia="zh-CN"/>
              </w:rPr>
              <w:t xml:space="preserve">↓ </w:t>
            </w:r>
            <w:r>
              <w:rPr>
                <w:rFonts w:cs="Times New Roman"/>
                <w:color w:val="000000"/>
                <w:sz w:val="21"/>
                <w:lang w:eastAsia="zh-CN"/>
              </w:rPr>
              <w:t>对应</w:t>
            </w:r>
            <w:r>
              <w:rPr>
                <w:rFonts w:cs="Times New Roman"/>
                <w:color w:val="000000"/>
                <w:sz w:val="21"/>
                <w:lang w:eastAsia="zh-CN"/>
              </w:rPr>
              <w:t>ISIC Rev.4</w:t>
            </w:r>
            <w:r>
              <w:rPr>
                <w:lang w:eastAsia="zh-CN"/>
              </w:rPr>
              <w:br/>
            </w:r>
            <w:r>
              <w:rPr>
                <w:rFonts w:cs="Times New Roman"/>
                <w:color w:val="000000"/>
                <w:sz w:val="21"/>
                <w:lang w:eastAsia="zh-CN"/>
              </w:rPr>
              <w:t xml:space="preserve">↓ </w:t>
            </w:r>
            <w:r>
              <w:rPr>
                <w:rFonts w:cs="Times New Roman"/>
                <w:color w:val="000000"/>
                <w:sz w:val="21"/>
                <w:lang w:eastAsia="zh-CN"/>
              </w:rPr>
              <w:t>归入</w:t>
            </w:r>
            <w:r>
              <w:rPr>
                <w:rFonts w:cs="Times New Roman"/>
                <w:color w:val="000000"/>
                <w:sz w:val="21"/>
                <w:lang w:eastAsia="zh-CN"/>
              </w:rPr>
              <w:t>AMNE</w:t>
            </w:r>
            <w:r>
              <w:rPr>
                <w:rFonts w:cs="Times New Roman"/>
                <w:color w:val="000000"/>
                <w:sz w:val="21"/>
                <w:lang w:eastAsia="zh-CN"/>
              </w:rPr>
              <w:t>部门并聚合至模型部门</w:t>
            </w:r>
            <w:r>
              <w:rPr>
                <w:lang w:eastAsia="zh-CN"/>
              </w:rPr>
              <w:br/>
            </w:r>
            <w:r>
              <w:rPr>
                <w:rFonts w:cs="Times New Roman"/>
                <w:color w:val="000000"/>
                <w:sz w:val="21"/>
                <w:lang w:eastAsia="zh-CN"/>
              </w:rPr>
              <w:t xml:space="preserve">↓ </w:t>
            </w:r>
            <w:r>
              <w:rPr>
                <w:rFonts w:cs="Times New Roman"/>
                <w:color w:val="000000"/>
                <w:sz w:val="21"/>
                <w:lang w:eastAsia="zh-CN"/>
              </w:rPr>
              <w:t>确定企业当期生产的部门归属</w:t>
            </w:r>
          </w:p>
        </w:tc>
      </w:tr>
      <w:tr w:rsidR="004E1393" w14:paraId="76D419FF"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5E40CBB7" w14:textId="77777777" w:rsidR="004E1393" w:rsidRDefault="00EB4DE5">
            <w:pPr>
              <w:spacing w:before="120" w:after="120" w:line="288" w:lineRule="auto"/>
              <w:ind w:firstLine="0"/>
              <w:jc w:val="center"/>
              <w:rPr>
                <w:lang w:eastAsia="zh-CN"/>
              </w:rPr>
            </w:pPr>
            <w:r>
              <w:rPr>
                <w:rFonts w:cs="Times New Roman"/>
                <w:color w:val="000000"/>
                <w:sz w:val="21"/>
                <w:lang w:eastAsia="zh-CN"/>
              </w:rPr>
              <w:t>企业面板：估计限制强度与生产、投资、就业和控制关系的联系</w:t>
            </w:r>
            <w:r>
              <w:rPr>
                <w:lang w:eastAsia="zh-CN"/>
              </w:rPr>
              <w:br/>
            </w:r>
            <w:r>
              <w:rPr>
                <w:rFonts w:cs="Times New Roman"/>
                <w:color w:val="000000"/>
                <w:sz w:val="21"/>
                <w:lang w:eastAsia="zh-CN"/>
              </w:rPr>
              <w:t xml:space="preserve">↓ </w:t>
            </w:r>
            <w:r>
              <w:rPr>
                <w:rFonts w:cs="Times New Roman"/>
                <w:color w:val="000000"/>
                <w:sz w:val="21"/>
                <w:lang w:eastAsia="zh-CN"/>
              </w:rPr>
              <w:t>预测实际限制与取消限制两种情景下的外国和国内控制生产</w:t>
            </w:r>
          </w:p>
        </w:tc>
      </w:tr>
      <w:tr w:rsidR="004E1393" w14:paraId="20526E3B" w14:textId="77777777">
        <w:trPr>
          <w:cantSplit/>
          <w:jc w:val="center"/>
        </w:trPr>
        <w:tc>
          <w:tcPr>
            <w:tcW w:w="9240" w:type="dxa"/>
            <w:gridSpan w:val="2"/>
            <w:tcBorders>
              <w:top w:val="single" w:sz="4" w:space="0" w:color="999999"/>
              <w:left w:val="single" w:sz="4" w:space="0" w:color="999999"/>
              <w:bottom w:val="single" w:sz="4" w:space="0" w:color="999999"/>
              <w:right w:val="single" w:sz="4" w:space="0" w:color="999999"/>
            </w:tcBorders>
          </w:tcPr>
          <w:p w14:paraId="41F648C4" w14:textId="77777777" w:rsidR="004E1393" w:rsidRDefault="00EB4DE5">
            <w:pPr>
              <w:spacing w:before="120" w:after="120" w:line="288" w:lineRule="auto"/>
              <w:ind w:firstLine="0"/>
              <w:jc w:val="center"/>
              <w:rPr>
                <w:lang w:eastAsia="zh-CN"/>
              </w:rPr>
            </w:pPr>
            <w:r>
              <w:rPr>
                <w:rFonts w:cs="Times New Roman"/>
                <w:color w:val="000000"/>
                <w:sz w:val="21"/>
                <w:lang w:eastAsia="zh-CN"/>
              </w:rPr>
              <w:t>按部门加总样本预测生产</w:t>
            </w:r>
            <w:r>
              <w:rPr>
                <w:rFonts w:cs="Times New Roman"/>
                <w:color w:val="000000"/>
                <w:sz w:val="21"/>
                <w:lang w:eastAsia="zh-CN"/>
              </w:rPr>
              <w:t xml:space="preserve"> → </w:t>
            </w:r>
            <w:r>
              <w:rPr>
                <w:rFonts w:cs="Times New Roman"/>
                <w:color w:val="000000"/>
                <w:sz w:val="21"/>
                <w:lang w:eastAsia="zh-CN"/>
              </w:rPr>
              <w:t>计算外国控制生产份额变化</w:t>
            </w:r>
            <w:r>
              <w:rPr>
                <w:rFonts w:cs="Times New Roman"/>
                <w:color w:val="000000"/>
                <w:sz w:val="21"/>
                <w:lang w:eastAsia="zh-CN"/>
              </w:rPr>
              <w:t xml:space="preserve"> → </w:t>
            </w:r>
            <w:r>
              <w:rPr>
                <w:rFonts w:cs="Times New Roman"/>
                <w:color w:val="000000"/>
                <w:sz w:val="21"/>
                <w:lang w:eastAsia="zh-CN"/>
              </w:rPr>
              <w:t>反演等效</w:t>
            </w:r>
            <w:r>
              <w:rPr>
                <w:rFonts w:cs="Times New Roman"/>
                <w:color w:val="000000"/>
                <w:sz w:val="21"/>
                <w:lang w:eastAsia="zh-CN"/>
              </w:rPr>
              <w:t>MP</w:t>
            </w:r>
            <w:r>
              <w:rPr>
                <w:rFonts w:cs="Times New Roman"/>
                <w:color w:val="000000"/>
                <w:sz w:val="21"/>
                <w:lang w:eastAsia="zh-CN"/>
              </w:rPr>
              <w:t>成本</w:t>
            </w:r>
            <w:r>
              <w:rPr>
                <w:lang w:eastAsia="zh-CN"/>
              </w:rPr>
              <w:br/>
            </w:r>
            <w:r>
              <w:rPr>
                <w:rFonts w:cs="Times New Roman"/>
                <w:color w:val="000000"/>
                <w:sz w:val="21"/>
                <w:lang w:eastAsia="zh-CN"/>
              </w:rPr>
              <w:t xml:space="preserve">↓ </w:t>
            </w:r>
            <w:r>
              <w:rPr>
                <w:rFonts w:cs="Times New Roman"/>
                <w:color w:val="000000"/>
                <w:sz w:val="21"/>
                <w:lang w:eastAsia="zh-CN"/>
              </w:rPr>
              <w:t>一般均衡反事实：生产布局、价格、实际收入与福利</w:t>
            </w:r>
          </w:p>
        </w:tc>
      </w:tr>
    </w:tbl>
    <w:p w14:paraId="155B9DE9" w14:textId="77777777" w:rsidR="004E1393" w:rsidRDefault="00EB4DE5">
      <w:pPr>
        <w:spacing w:before="80" w:line="276" w:lineRule="auto"/>
        <w:ind w:firstLine="0"/>
        <w:rPr>
          <w:lang w:eastAsia="zh-CN"/>
        </w:rPr>
      </w:pPr>
      <w:r>
        <w:rPr>
          <w:rFonts w:cs="Times New Roman"/>
          <w:color w:val="000000"/>
          <w:sz w:val="20"/>
          <w:lang w:eastAsia="zh-CN"/>
        </w:rPr>
        <w:t>注：</w:t>
      </w:r>
      <w:r>
        <w:rPr>
          <w:rFonts w:cs="Times New Roman"/>
          <w:color w:val="000000"/>
          <w:sz w:val="20"/>
          <w:lang w:eastAsia="zh-CN"/>
        </w:rPr>
        <w:t>GB2002</w:t>
      </w:r>
      <w:r>
        <w:rPr>
          <w:rFonts w:cs="Times New Roman"/>
          <w:color w:val="000000"/>
          <w:sz w:val="20"/>
          <w:lang w:eastAsia="zh-CN"/>
        </w:rPr>
        <w:t>、</w:t>
      </w:r>
      <w:r>
        <w:rPr>
          <w:rFonts w:cs="Times New Roman"/>
          <w:color w:val="000000"/>
          <w:sz w:val="20"/>
          <w:lang w:eastAsia="zh-CN"/>
        </w:rPr>
        <w:t>GB2011</w:t>
      </w:r>
      <w:r>
        <w:rPr>
          <w:rFonts w:cs="Times New Roman"/>
          <w:color w:val="000000"/>
          <w:sz w:val="20"/>
          <w:lang w:eastAsia="zh-CN"/>
        </w:rPr>
        <w:t>和</w:t>
      </w:r>
      <w:r>
        <w:rPr>
          <w:rFonts w:cs="Times New Roman"/>
          <w:color w:val="000000"/>
          <w:sz w:val="20"/>
          <w:lang w:eastAsia="zh-CN"/>
        </w:rPr>
        <w:t>GB2017</w:t>
      </w:r>
      <w:r>
        <w:rPr>
          <w:rFonts w:cs="Times New Roman"/>
          <w:color w:val="000000"/>
          <w:sz w:val="20"/>
          <w:lang w:eastAsia="zh-CN"/>
        </w:rPr>
        <w:t>指相应行业分类版本；</w:t>
      </w:r>
      <w:r>
        <w:rPr>
          <w:rFonts w:cs="Times New Roman"/>
          <w:color w:val="000000"/>
          <w:sz w:val="20"/>
          <w:lang w:eastAsia="zh-CN"/>
        </w:rPr>
        <w:t>ISIC Rev.4</w:t>
      </w:r>
      <w:r>
        <w:rPr>
          <w:rFonts w:cs="Times New Roman"/>
          <w:color w:val="000000"/>
          <w:sz w:val="20"/>
          <w:lang w:eastAsia="zh-CN"/>
        </w:rPr>
        <w:t>为国际标准产业分类第四版，</w:t>
      </w:r>
      <w:r>
        <w:rPr>
          <w:rFonts w:cs="Times New Roman"/>
          <w:color w:val="000000"/>
          <w:sz w:val="20"/>
          <w:lang w:eastAsia="zh-CN"/>
        </w:rPr>
        <w:t>AMNE</w:t>
      </w:r>
      <w:r>
        <w:rPr>
          <w:rFonts w:cs="Times New Roman"/>
          <w:color w:val="000000"/>
          <w:sz w:val="20"/>
          <w:lang w:eastAsia="zh-CN"/>
        </w:rPr>
        <w:t>为</w:t>
      </w:r>
      <w:r>
        <w:rPr>
          <w:rFonts w:cs="Times New Roman"/>
          <w:color w:val="000000"/>
          <w:sz w:val="20"/>
          <w:lang w:eastAsia="zh-CN"/>
        </w:rPr>
        <w:t>OECD</w:t>
      </w:r>
      <w:r>
        <w:rPr>
          <w:rFonts w:cs="Times New Roman"/>
          <w:color w:val="000000"/>
          <w:sz w:val="20"/>
          <w:lang w:eastAsia="zh-CN"/>
        </w:rPr>
        <w:t>分析性跨国企业活动数据库。</w:t>
      </w:r>
    </w:p>
    <w:p w14:paraId="76C5AA44" w14:textId="77777777" w:rsidR="00E86E51" w:rsidRDefault="004902CB">
      <w:pPr>
        <w:spacing w:after="0" w:line="20" w:lineRule="exact"/>
        <w:ind w:firstLine="0"/>
        <w:rPr>
          <w:lang w:eastAsia="zh-CN"/>
        </w:rPr>
      </w:pPr>
      <w:r>
        <w:rPr>
          <w:sz w:val="2"/>
          <w:lang w:eastAsia="zh-CN"/>
        </w:rPr>
        <w:br w:type="page"/>
      </w:r>
    </w:p>
    <w:p w14:paraId="1821DC81"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A.1 </w:t>
      </w:r>
      <w:r>
        <w:rPr>
          <w:rFonts w:ascii="Times New Roman" w:eastAsia="宋体" w:hAnsi="Times New Roman" w:cs="Times New Roman"/>
          <w:lang w:eastAsia="zh-CN"/>
        </w:rPr>
        <w:t>研究问题与作用机制</w:t>
      </w:r>
    </w:p>
    <w:p w14:paraId="6615069F" w14:textId="77777777" w:rsidR="004E1393" w:rsidRDefault="00EB4DE5">
      <w:pPr>
        <w:rPr>
          <w:lang w:eastAsia="zh-CN"/>
        </w:rPr>
      </w:pPr>
      <w:r>
        <w:rPr>
          <w:rFonts w:cs="Times New Roman"/>
          <w:color w:val="000000"/>
          <w:lang w:eastAsia="zh-CN"/>
        </w:rPr>
        <w:t>本研究将清单限制界定为针对外国投资者身份设置的差别化要求，主要包括外资股比上限、强制合资合作、中方控股和禁止外资进入等。测度以全国一般规则为基准，政策文本包括</w:t>
      </w:r>
      <w:r>
        <w:rPr>
          <w:rFonts w:cs="Times New Roman"/>
          <w:color w:val="000000"/>
          <w:lang w:eastAsia="zh-CN"/>
        </w:rPr>
        <w:t>2004</w:t>
      </w:r>
      <w:r>
        <w:rPr>
          <w:rFonts w:cs="Times New Roman"/>
          <w:color w:val="000000"/>
          <w:lang w:eastAsia="zh-CN"/>
        </w:rPr>
        <w:t>、</w:t>
      </w:r>
      <w:r>
        <w:rPr>
          <w:rFonts w:cs="Times New Roman"/>
          <w:color w:val="000000"/>
          <w:lang w:eastAsia="zh-CN"/>
        </w:rPr>
        <w:t>2007</w:t>
      </w:r>
      <w:r>
        <w:rPr>
          <w:rFonts w:cs="Times New Roman"/>
          <w:color w:val="000000"/>
          <w:lang w:eastAsia="zh-CN"/>
        </w:rPr>
        <w:t>、</w:t>
      </w:r>
      <w:r>
        <w:rPr>
          <w:rFonts w:cs="Times New Roman"/>
          <w:color w:val="000000"/>
          <w:lang w:eastAsia="zh-CN"/>
        </w:rPr>
        <w:t>2011</w:t>
      </w:r>
      <w:r>
        <w:rPr>
          <w:rFonts w:cs="Times New Roman"/>
          <w:color w:val="000000"/>
          <w:lang w:eastAsia="zh-CN"/>
        </w:rPr>
        <w:t>、</w:t>
      </w:r>
      <w:r>
        <w:rPr>
          <w:rFonts w:cs="Times New Roman"/>
          <w:color w:val="000000"/>
          <w:lang w:eastAsia="zh-CN"/>
        </w:rPr>
        <w:t>2015</w:t>
      </w:r>
      <w:r>
        <w:rPr>
          <w:rFonts w:cs="Times New Roman"/>
          <w:color w:val="000000"/>
          <w:lang w:eastAsia="zh-CN"/>
        </w:rPr>
        <w:t>和</w:t>
      </w:r>
      <w:r>
        <w:rPr>
          <w:rFonts w:cs="Times New Roman"/>
          <w:color w:val="000000"/>
          <w:lang w:eastAsia="zh-CN"/>
        </w:rPr>
        <w:t>2017</w:t>
      </w:r>
      <w:r>
        <w:rPr>
          <w:rFonts w:cs="Times New Roman"/>
          <w:color w:val="000000"/>
          <w:lang w:eastAsia="zh-CN"/>
        </w:rPr>
        <w:t>年《外商投资产业指导目录》，以及</w:t>
      </w:r>
      <w:r>
        <w:rPr>
          <w:rFonts w:cs="Times New Roman"/>
          <w:color w:val="000000"/>
          <w:lang w:eastAsia="zh-CN"/>
        </w:rPr>
        <w:t>2018—2020</w:t>
      </w:r>
      <w:r>
        <w:rPr>
          <w:rFonts w:cs="Times New Roman"/>
          <w:color w:val="000000"/>
          <w:lang w:eastAsia="zh-CN"/>
        </w:rPr>
        <w:t>年全国外资准入负面清单。</w:t>
      </w:r>
      <w:r>
        <w:rPr>
          <w:rFonts w:cs="Times New Roman"/>
          <w:color w:val="000000"/>
          <w:lang w:eastAsia="zh-CN"/>
        </w:rPr>
        <w:t xml:space="preserve">[1] </w:t>
      </w:r>
      <w:r>
        <w:rPr>
          <w:rFonts w:cs="Times New Roman"/>
          <w:color w:val="000000"/>
          <w:lang w:eastAsia="zh-CN"/>
        </w:rPr>
        <w:t>内外资共同适用的监管要求和单纯鼓励资格不纳入评分，由此限定本文所考察的制度内容。</w:t>
      </w:r>
    </w:p>
    <w:p w14:paraId="4FABDFB9" w14:textId="77777777" w:rsidR="004E1393" w:rsidRDefault="00EB4DE5">
      <w:pPr>
        <w:rPr>
          <w:lang w:eastAsia="zh-CN"/>
        </w:rPr>
      </w:pPr>
      <w:r>
        <w:rPr>
          <w:rFonts w:cs="Times New Roman"/>
          <w:color w:val="000000"/>
          <w:lang w:eastAsia="zh-CN"/>
        </w:rPr>
        <w:t>清单限制的放宽可能改变企业的股权安排、管理权和技术投入，进而影响生产；也可能改变国内企业接受外资收购、增资以及面对市场竞争的机会。因此，本研究同时考察生产、投资、就业和控制关系，以区分企业经营规模的调整与所有权重组。两者具有不同含义：即使总产出没有增加，控制权转换仍会改变生产在外国与国内控制企业之间的归属。在企业分析的基础上，研究进一步构造部门生产目标，并借助结构模型考察相应的成本变化及市场反馈。</w:t>
      </w:r>
    </w:p>
    <w:p w14:paraId="0FB28D82" w14:textId="77777777" w:rsidR="004E1393" w:rsidRDefault="00EB4DE5">
      <w:pPr>
        <w:pStyle w:val="1"/>
        <w:spacing w:before="0"/>
        <w:rPr>
          <w:lang w:eastAsia="zh-CN"/>
        </w:rPr>
      </w:pPr>
      <w:r>
        <w:rPr>
          <w:rFonts w:ascii="Times New Roman" w:eastAsia="宋体" w:hAnsi="Times New Roman" w:cs="Times New Roman"/>
          <w:lang w:eastAsia="zh-CN"/>
        </w:rPr>
        <w:t xml:space="preserve">A.2 </w:t>
      </w:r>
      <w:r>
        <w:rPr>
          <w:rFonts w:ascii="Times New Roman" w:eastAsia="宋体" w:hAnsi="Times New Roman" w:cs="Times New Roman"/>
          <w:lang w:eastAsia="zh-CN"/>
        </w:rPr>
        <w:t>企业资料与主要变量</w:t>
      </w:r>
    </w:p>
    <w:p w14:paraId="0D770C42" w14:textId="19E1C33F" w:rsidR="00270EDD" w:rsidRPr="00270EDD" w:rsidRDefault="00270EDD" w:rsidP="00270EDD">
      <w:pPr>
        <w:rPr>
          <w:rFonts w:cs="Times New Roman"/>
          <w:color w:val="000000"/>
          <w:lang w:eastAsia="zh-CN"/>
        </w:rPr>
      </w:pPr>
      <w:r w:rsidRPr="00270EDD">
        <w:rPr>
          <w:rFonts w:cs="Times New Roman"/>
          <w:color w:val="000000"/>
          <w:lang w:eastAsia="zh-CN"/>
        </w:rPr>
        <w:t>本研究以</w:t>
      </w:r>
      <w:r w:rsidRPr="00270EDD">
        <w:rPr>
          <w:rFonts w:cs="Times New Roman"/>
          <w:color w:val="000000"/>
          <w:lang w:eastAsia="zh-CN"/>
        </w:rPr>
        <w:t>2007—2020</w:t>
      </w:r>
      <w:r w:rsidRPr="00270EDD">
        <w:rPr>
          <w:rFonts w:cs="Times New Roman"/>
          <w:color w:val="000000"/>
          <w:lang w:eastAsia="zh-CN"/>
        </w:rPr>
        <w:t>年税调企业</w:t>
      </w:r>
      <w:r w:rsidRPr="00270EDD">
        <w:rPr>
          <w:rFonts w:cs="Times New Roman"/>
          <w:color w:val="000000"/>
          <w:lang w:eastAsia="zh-CN"/>
        </w:rPr>
        <w:t>—</w:t>
      </w:r>
      <w:r w:rsidRPr="00270EDD">
        <w:rPr>
          <w:rFonts w:cs="Times New Roman"/>
          <w:color w:val="000000"/>
          <w:lang w:eastAsia="zh-CN"/>
        </w:rPr>
        <w:t>年份记录为主体，以税调填报的企业总产值衡量生产价值</w:t>
      </w:r>
      <m:oMath>
        <m:sSub>
          <m:sSubPr>
            <m:ctrlPr>
              <w:rPr>
                <w:rFonts w:ascii="Cambria Math" w:hAnsi="Cambria Math" w:cs="Times New Roman"/>
                <w:i/>
                <w:color w:val="000000"/>
                <w:lang w:eastAsia="zh-CN"/>
              </w:rPr>
            </m:ctrlPr>
          </m:sSubPr>
          <m:e>
            <m:r>
              <w:rPr>
                <w:rFonts w:ascii="Cambria Math" w:hAnsi="Cambria Math" w:cs="Times New Roman"/>
                <w:color w:val="000000"/>
                <w:lang w:eastAsia="zh-CN"/>
              </w:rPr>
              <m:t>Q</m:t>
            </m:r>
          </m:e>
          <m:sub>
            <m:r>
              <w:rPr>
                <w:rFonts w:ascii="Cambria Math" w:hAnsi="Cambria Math" w:cs="Times New Roman"/>
                <w:color w:val="000000"/>
                <w:lang w:eastAsia="zh-CN"/>
              </w:rPr>
              <m:t>ft</m:t>
            </m:r>
          </m:sub>
        </m:sSub>
      </m:oMath>
      <w:r w:rsidRPr="00270EDD">
        <w:rPr>
          <w:rFonts w:cs="Times New Roman"/>
          <w:color w:val="000000"/>
          <w:lang w:eastAsia="zh-CN"/>
        </w:rPr>
        <w:t>，作为主要结果变量。</w:t>
      </w:r>
      <w:r w:rsidRPr="00270EDD">
        <w:rPr>
          <w:rFonts w:cs="Times New Roman"/>
          <w:color w:val="000000"/>
          <w:lang w:eastAsia="zh-CN"/>
        </w:rPr>
        <w:t xml:space="preserve">[3] </w:t>
      </w:r>
      <w:r w:rsidRPr="00270EDD">
        <w:rPr>
          <w:rFonts w:cs="Times New Roman"/>
          <w:color w:val="000000"/>
          <w:lang w:eastAsia="zh-CN"/>
        </w:rPr>
        <w:t>投资和就业作为补充结果，用于描述企业资本投入与用工的调整。其中，投资采用固定资产增加额等流量指标，就业依据各年填报定义确定可比的人数口径。</w:t>
      </w:r>
    </w:p>
    <w:p w14:paraId="2B1DFD45" w14:textId="77777777" w:rsidR="00270EDD" w:rsidRPr="00270EDD" w:rsidRDefault="00270EDD" w:rsidP="00270EDD">
      <w:pPr>
        <w:rPr>
          <w:rFonts w:cs="Times New Roman"/>
          <w:color w:val="000000"/>
          <w:lang w:eastAsia="zh-CN"/>
        </w:rPr>
      </w:pPr>
      <w:r w:rsidRPr="00270EDD">
        <w:rPr>
          <w:rFonts w:cs="Times New Roman"/>
          <w:color w:val="000000"/>
          <w:lang w:eastAsia="zh-CN"/>
        </w:rPr>
        <w:t>外国控制身份按照所采用的</w:t>
      </w:r>
      <w:r w:rsidRPr="00270EDD">
        <w:rPr>
          <w:rFonts w:cs="Times New Roman"/>
          <w:color w:val="000000"/>
          <w:lang w:eastAsia="zh-CN"/>
        </w:rPr>
        <w:t>Analytical AMNE</w:t>
      </w:r>
      <w:r w:rsidRPr="00270EDD">
        <w:rPr>
          <w:rFonts w:cs="Times New Roman"/>
          <w:color w:val="000000"/>
          <w:lang w:eastAsia="zh-CN"/>
        </w:rPr>
        <w:t>数据库版本的分类标准，依据股权及相关控制资料识别。</w:t>
      </w:r>
      <w:r w:rsidRPr="00270EDD">
        <w:rPr>
          <w:rFonts w:cs="Times New Roman"/>
          <w:color w:val="000000"/>
          <w:lang w:eastAsia="zh-CN"/>
        </w:rPr>
        <w:t xml:space="preserve">[6] </w:t>
      </w:r>
      <w:r w:rsidRPr="00270EDD">
        <w:rPr>
          <w:rFonts w:cs="Times New Roman"/>
          <w:color w:val="000000"/>
          <w:lang w:eastAsia="zh-CN"/>
        </w:rPr>
        <w:t>在此基础上，将外国控制企业和国内控制企业的全部产值分别计入相应类别，并在税调样本内按统一部门划分和价值口径加总，为</w:t>
      </w:r>
      <w:r w:rsidRPr="00270EDD">
        <w:rPr>
          <w:rFonts w:cs="Times New Roman"/>
          <w:color w:val="000000"/>
          <w:lang w:eastAsia="zh-CN"/>
        </w:rPr>
        <w:t>A.6</w:t>
      </w:r>
      <w:r w:rsidRPr="00270EDD">
        <w:rPr>
          <w:rFonts w:cs="Times New Roman"/>
          <w:color w:val="000000"/>
          <w:lang w:eastAsia="zh-CN"/>
        </w:rPr>
        <w:t>构造部门生产份额变化目标提供基础。无法确认控制身份的记录保留为未知。</w:t>
      </w:r>
    </w:p>
    <w:p w14:paraId="6DCBD2B7" w14:textId="77777777" w:rsidR="004E1393" w:rsidRDefault="00EB4DE5">
      <w:pPr>
        <w:pStyle w:val="1"/>
        <w:spacing w:before="0"/>
        <w:rPr>
          <w:lang w:eastAsia="zh-CN"/>
        </w:rPr>
      </w:pPr>
      <w:r>
        <w:rPr>
          <w:rFonts w:ascii="Times New Roman" w:eastAsia="宋体" w:hAnsi="Times New Roman" w:cs="Times New Roman"/>
          <w:lang w:eastAsia="zh-CN"/>
        </w:rPr>
        <w:t xml:space="preserve">A.3 </w:t>
      </w:r>
      <w:r>
        <w:rPr>
          <w:rFonts w:ascii="Times New Roman" w:eastAsia="宋体" w:hAnsi="Times New Roman" w:cs="Times New Roman"/>
          <w:lang w:eastAsia="zh-CN"/>
        </w:rPr>
        <w:t>企业所受到的清单限制强度如何形成</w:t>
      </w:r>
    </w:p>
    <w:p w14:paraId="3F5FBA6E" w14:textId="77777777" w:rsidR="004E1393" w:rsidRDefault="00EB4DE5">
      <w:pPr>
        <w:rPr>
          <w:lang w:eastAsia="zh-CN"/>
        </w:rPr>
      </w:pPr>
      <w:r>
        <w:rPr>
          <w:rFonts w:cs="Times New Roman"/>
          <w:color w:val="000000"/>
          <w:lang w:eastAsia="zh-CN"/>
        </w:rPr>
        <w:t>路径</w:t>
      </w:r>
      <w:r>
        <w:rPr>
          <w:rFonts w:cs="Times New Roman"/>
          <w:color w:val="000000"/>
          <w:lang w:eastAsia="zh-CN"/>
        </w:rPr>
        <w:t>A</w:t>
      </w:r>
      <w:r>
        <w:rPr>
          <w:rFonts w:cs="Times New Roman"/>
          <w:color w:val="000000"/>
          <w:lang w:eastAsia="zh-CN"/>
        </w:rPr>
        <w:t>用于将政策条款转化为企业所受到的清单限制强度。首先，依据企业当期行业代码及其所属《国民经济行业分类》（</w:t>
      </w:r>
      <w:r>
        <w:rPr>
          <w:rFonts w:cs="Times New Roman"/>
          <w:color w:val="000000"/>
          <w:lang w:eastAsia="zh-CN"/>
        </w:rPr>
        <w:t>GB</w:t>
      </w:r>
      <w:r>
        <w:rPr>
          <w:rFonts w:cs="Times New Roman"/>
          <w:color w:val="000000"/>
          <w:lang w:eastAsia="zh-CN"/>
        </w:rPr>
        <w:t>）版本确定小类名称，例如</w:t>
      </w:r>
      <w:r>
        <w:rPr>
          <w:rFonts w:cs="Times New Roman"/>
          <w:color w:val="000000"/>
          <w:lang w:eastAsia="zh-CN"/>
        </w:rPr>
        <w:t>GB2002</w:t>
      </w:r>
      <w:r>
        <w:rPr>
          <w:rFonts w:cs="Times New Roman"/>
          <w:color w:val="000000"/>
          <w:lang w:eastAsia="zh-CN"/>
        </w:rPr>
        <w:t>的</w:t>
      </w:r>
      <w:r>
        <w:rPr>
          <w:rFonts w:cs="Times New Roman"/>
          <w:color w:val="000000"/>
          <w:lang w:eastAsia="zh-CN"/>
        </w:rPr>
        <w:t>H6361</w:t>
      </w:r>
      <w:r>
        <w:rPr>
          <w:rFonts w:cs="Times New Roman"/>
          <w:color w:val="000000"/>
          <w:lang w:eastAsia="zh-CN"/>
        </w:rPr>
        <w:t>对应</w:t>
      </w:r>
      <w:r>
        <w:rPr>
          <w:rFonts w:cs="Times New Roman"/>
          <w:color w:val="000000"/>
          <w:lang w:eastAsia="zh-CN"/>
        </w:rPr>
        <w:t>“</w:t>
      </w:r>
      <w:r>
        <w:rPr>
          <w:rFonts w:cs="Times New Roman"/>
          <w:color w:val="000000"/>
          <w:lang w:eastAsia="zh-CN"/>
        </w:rPr>
        <w:t>煤炭及制品批发</w:t>
      </w:r>
      <w:r>
        <w:rPr>
          <w:rFonts w:cs="Times New Roman"/>
          <w:color w:val="000000"/>
          <w:lang w:eastAsia="zh-CN"/>
        </w:rPr>
        <w:t>”</w:t>
      </w:r>
      <w:r>
        <w:rPr>
          <w:rFonts w:cs="Times New Roman"/>
          <w:color w:val="000000"/>
          <w:lang w:eastAsia="zh-CN"/>
        </w:rPr>
        <w:t>。</w:t>
      </w:r>
      <w:r>
        <w:rPr>
          <w:rFonts w:cs="Times New Roman"/>
          <w:color w:val="000000"/>
          <w:lang w:eastAsia="zh-CN"/>
        </w:rPr>
        <w:t xml:space="preserve">[4] </w:t>
      </w:r>
      <w:r>
        <w:rPr>
          <w:rFonts w:cs="Times New Roman"/>
          <w:color w:val="000000"/>
          <w:lang w:eastAsia="zh-CN"/>
        </w:rPr>
        <w:t>随后，由</w:t>
      </w:r>
      <w:r>
        <w:rPr>
          <w:rFonts w:cs="Times New Roman"/>
          <w:color w:val="000000"/>
          <w:lang w:eastAsia="zh-CN"/>
        </w:rPr>
        <w:t>LLM</w:t>
      </w:r>
      <w:r>
        <w:rPr>
          <w:rFonts w:cs="Times New Roman"/>
          <w:color w:val="000000"/>
          <w:lang w:eastAsia="zh-CN"/>
        </w:rPr>
        <w:t>比较该名称与有效政策条款所述活动；两者存在局部或全部匹配时，均将相应条款纳入该小类的评分范围。</w:t>
      </w:r>
      <w:r>
        <w:rPr>
          <w:rFonts w:cs="Times New Roman"/>
          <w:color w:val="000000"/>
          <w:lang w:eastAsia="zh-CN"/>
        </w:rPr>
        <w:t>LLM</w:t>
      </w:r>
      <w:r>
        <w:rPr>
          <w:rFonts w:cs="Times New Roman"/>
          <w:color w:val="000000"/>
          <w:lang w:eastAsia="zh-CN"/>
        </w:rPr>
        <w:t>按固定格式提取限制类型及评分所需数值，在此基础上，按照预先规定的映射表机械赋分。</w:t>
      </w:r>
    </w:p>
    <w:p w14:paraId="567FE2DB" w14:textId="77777777" w:rsidR="004E1393" w:rsidRDefault="00EB4DE5">
      <w:pPr>
        <w:rPr>
          <w:lang w:eastAsia="zh-CN"/>
        </w:rPr>
      </w:pPr>
      <w:r>
        <w:rPr>
          <w:rFonts w:cs="Times New Roman"/>
          <w:color w:val="000000"/>
          <w:lang w:eastAsia="zh-CN"/>
        </w:rPr>
        <w:t>每项匹配结果均保留政策名称、版本、生效区间、条款位置和原文，使分数能够追溯到具体法律要求。同一</w:t>
      </w:r>
      <w:r>
        <w:rPr>
          <w:rFonts w:cs="Times New Roman"/>
          <w:color w:val="000000"/>
          <w:lang w:eastAsia="zh-CN"/>
        </w:rPr>
        <w:t>GB</w:t>
      </w:r>
      <w:r>
        <w:rPr>
          <w:rFonts w:cs="Times New Roman"/>
          <w:color w:val="000000"/>
          <w:lang w:eastAsia="zh-CN"/>
        </w:rPr>
        <w:t>版本、小类名称和政策版本共用一套复核结果，规则未变的连续年份沿用该结果。因此，同一小类、同一年份的企业取相同分数。表</w:t>
      </w:r>
      <w:r>
        <w:rPr>
          <w:rFonts w:cs="Times New Roman"/>
          <w:color w:val="000000"/>
          <w:lang w:eastAsia="zh-CN"/>
        </w:rPr>
        <w:t>A1</w:t>
      </w:r>
      <w:r>
        <w:rPr>
          <w:rFonts w:cs="Times New Roman"/>
          <w:color w:val="000000"/>
          <w:lang w:eastAsia="zh-CN"/>
        </w:rPr>
        <w:t>列示四个维度及其固定映射规则；具体分值和等权合成方式均为本研究采用的度量约定。</w:t>
      </w:r>
      <w:r>
        <w:rPr>
          <w:rFonts w:cs="Times New Roman"/>
          <w:color w:val="000000"/>
          <w:lang w:eastAsia="zh-CN"/>
        </w:rPr>
        <w:t>[7]</w:t>
      </w:r>
    </w:p>
    <w:p w14:paraId="032EBDAF"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A1  </w:t>
      </w:r>
      <w:r>
        <w:rPr>
          <w:rFonts w:cs="Times New Roman"/>
          <w:b/>
          <w:color w:val="000000"/>
          <w:sz w:val="22"/>
          <w:lang w:eastAsia="zh-CN"/>
        </w:rPr>
        <w:t>清单限制的基准评分</w:t>
      </w:r>
    </w:p>
    <w:tbl>
      <w:tblPr>
        <w:tblW w:w="0" w:type="auto"/>
        <w:jc w:val="center"/>
        <w:tblLayout w:type="fixed"/>
        <w:tblLook w:val="04A0" w:firstRow="1" w:lastRow="0" w:firstColumn="1" w:lastColumn="0" w:noHBand="0" w:noVBand="1"/>
      </w:tblPr>
      <w:tblGrid>
        <w:gridCol w:w="1600"/>
        <w:gridCol w:w="3050"/>
        <w:gridCol w:w="4591"/>
      </w:tblGrid>
      <w:tr w:rsidR="004E1393" w14:paraId="536B5243" w14:textId="77777777">
        <w:trPr>
          <w:cantSplit/>
          <w:tblHeader/>
          <w:jc w:val="center"/>
        </w:trPr>
        <w:tc>
          <w:tcPr>
            <w:tcW w:w="1600" w:type="dxa"/>
            <w:tcBorders>
              <w:top w:val="single" w:sz="10" w:space="0" w:color="000000"/>
              <w:left w:val="nil"/>
              <w:bottom w:val="single" w:sz="6" w:space="0" w:color="000000"/>
              <w:right w:val="nil"/>
            </w:tcBorders>
            <w:vAlign w:val="center"/>
          </w:tcPr>
          <w:p w14:paraId="332F990C" w14:textId="77777777" w:rsidR="004E1393" w:rsidRDefault="00EB4DE5">
            <w:pPr>
              <w:spacing w:before="80" w:line="283" w:lineRule="auto"/>
              <w:ind w:firstLine="0"/>
            </w:pPr>
            <w:r>
              <w:rPr>
                <w:rFonts w:cs="Times New Roman"/>
                <w:b/>
                <w:color w:val="000000"/>
                <w:sz w:val="21"/>
              </w:rPr>
              <w:lastRenderedPageBreak/>
              <w:t>维度及最高分</w:t>
            </w:r>
          </w:p>
        </w:tc>
        <w:tc>
          <w:tcPr>
            <w:tcW w:w="3050" w:type="dxa"/>
            <w:tcBorders>
              <w:top w:val="single" w:sz="10" w:space="0" w:color="000000"/>
              <w:left w:val="nil"/>
              <w:bottom w:val="single" w:sz="6" w:space="0" w:color="000000"/>
              <w:right w:val="nil"/>
            </w:tcBorders>
            <w:vAlign w:val="center"/>
          </w:tcPr>
          <w:p w14:paraId="440F3D39" w14:textId="77777777" w:rsidR="004E1393" w:rsidRDefault="00EB4DE5">
            <w:pPr>
              <w:spacing w:before="80" w:line="283" w:lineRule="auto"/>
              <w:ind w:firstLine="0"/>
            </w:pPr>
            <w:r>
              <w:rPr>
                <w:rFonts w:cs="Times New Roman"/>
                <w:b/>
                <w:color w:val="000000"/>
                <w:sz w:val="21"/>
              </w:rPr>
              <w:t>识别的法律要求</w:t>
            </w:r>
          </w:p>
        </w:tc>
        <w:tc>
          <w:tcPr>
            <w:tcW w:w="4591" w:type="dxa"/>
            <w:tcBorders>
              <w:top w:val="single" w:sz="10" w:space="0" w:color="000000"/>
              <w:left w:val="nil"/>
              <w:bottom w:val="single" w:sz="6" w:space="0" w:color="000000"/>
              <w:right w:val="nil"/>
            </w:tcBorders>
            <w:vAlign w:val="center"/>
          </w:tcPr>
          <w:p w14:paraId="17AC98B7" w14:textId="77777777" w:rsidR="004E1393" w:rsidRDefault="00EB4DE5">
            <w:pPr>
              <w:spacing w:before="80" w:line="283" w:lineRule="auto"/>
              <w:ind w:firstLine="0"/>
            </w:pPr>
            <w:r>
              <w:rPr>
                <w:rFonts w:cs="Times New Roman"/>
                <w:b/>
                <w:color w:val="000000"/>
                <w:sz w:val="21"/>
              </w:rPr>
              <w:t>固定分值</w:t>
            </w:r>
          </w:p>
        </w:tc>
      </w:tr>
      <w:tr w:rsidR="004E1393" w14:paraId="64BAC0AC" w14:textId="77777777">
        <w:trPr>
          <w:cantSplit/>
          <w:jc w:val="center"/>
        </w:trPr>
        <w:tc>
          <w:tcPr>
            <w:tcW w:w="1600" w:type="dxa"/>
            <w:tcBorders>
              <w:top w:val="nil"/>
              <w:left w:val="nil"/>
              <w:bottom w:val="nil"/>
              <w:right w:val="nil"/>
            </w:tcBorders>
            <w:vAlign w:val="center"/>
          </w:tcPr>
          <w:p w14:paraId="573FAD81" w14:textId="77777777" w:rsidR="004E1393" w:rsidRDefault="00EB4DE5">
            <w:pPr>
              <w:spacing w:before="80" w:line="283" w:lineRule="auto"/>
              <w:ind w:firstLine="0"/>
              <w:rPr>
                <w:lang w:eastAsia="zh-CN"/>
              </w:rPr>
            </w:pPr>
            <w:r>
              <w:rPr>
                <w:rFonts w:cs="Times New Roman"/>
                <w:color w:val="000000"/>
                <w:sz w:val="21"/>
                <w:lang w:eastAsia="zh-CN"/>
              </w:rPr>
              <w:t>股权与控制</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1</m:t>
                    </m:r>
                  </m:sub>
                </m:sSub>
                <m:r>
                  <w:rPr>
                    <w:rFonts w:ascii="Cambria Math" w:hAnsi="Cambria Math" w:cs="Cambria Math"/>
                    <w:sz w:val="21"/>
                  </w:rPr>
                  <m:t>=3</m:t>
                </m:r>
              </m:oMath>
            </m:oMathPara>
          </w:p>
        </w:tc>
        <w:tc>
          <w:tcPr>
            <w:tcW w:w="3050" w:type="dxa"/>
            <w:tcBorders>
              <w:top w:val="nil"/>
              <w:left w:val="nil"/>
              <w:bottom w:val="nil"/>
              <w:right w:val="nil"/>
            </w:tcBorders>
            <w:vAlign w:val="center"/>
          </w:tcPr>
          <w:p w14:paraId="40F00D8C" w14:textId="77777777" w:rsidR="004E1393" w:rsidRDefault="00EB4DE5">
            <w:pPr>
              <w:spacing w:before="80" w:line="283" w:lineRule="auto"/>
              <w:ind w:firstLine="0"/>
              <w:rPr>
                <w:lang w:eastAsia="zh-CN"/>
              </w:rPr>
            </w:pPr>
            <w:r>
              <w:rPr>
                <w:rFonts w:cs="Times New Roman"/>
                <w:color w:val="000000"/>
                <w:sz w:val="21"/>
                <w:lang w:eastAsia="zh-CN"/>
              </w:rPr>
              <w:t>外资合计持股上限</w:t>
            </w:r>
            <m:oMath>
              <m:r>
                <w:rPr>
                  <w:rFonts w:ascii="Cambria Math" w:hAnsi="Cambria Math" w:cs="Cambria Math"/>
                  <w:sz w:val="21"/>
                  <w:lang w:eastAsia="zh-CN"/>
                </w:rPr>
                <m:t>p</m:t>
              </m:r>
            </m:oMath>
            <w:r>
              <w:rPr>
                <w:rFonts w:cs="Times New Roman"/>
                <w:color w:val="000000"/>
                <w:sz w:val="21"/>
                <w:lang w:eastAsia="zh-CN"/>
              </w:rPr>
              <w:t>；中方控股或禁止外资控股；单一外方上限</w:t>
            </w:r>
            <m:oMath>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oMath>
          </w:p>
        </w:tc>
        <w:tc>
          <w:tcPr>
            <w:tcW w:w="4591" w:type="dxa"/>
            <w:tcBorders>
              <w:top w:val="nil"/>
              <w:left w:val="nil"/>
              <w:bottom w:val="nil"/>
              <w:right w:val="nil"/>
            </w:tcBorders>
            <w:vAlign w:val="center"/>
          </w:tcPr>
          <w:p w14:paraId="54448BF9" w14:textId="77777777" w:rsidR="004E1393" w:rsidRDefault="00EB4DE5">
            <w:pPr>
              <w:spacing w:before="80" w:line="283" w:lineRule="auto"/>
              <w:ind w:firstLine="0"/>
              <w:rPr>
                <w:lang w:eastAsia="zh-CN"/>
              </w:rPr>
            </w:pPr>
            <m:oMath>
              <m:r>
                <w:rPr>
                  <w:rFonts w:ascii="Cambria Math" w:hAnsi="Cambria Math" w:cs="Cambria Math"/>
                  <w:sz w:val="21"/>
                  <w:lang w:eastAsia="zh-CN"/>
                </w:rPr>
                <m:t>0&lt;p&lt;25</m:t>
              </m:r>
            </m:oMath>
            <w:r>
              <w:rPr>
                <w:rFonts w:cs="Times New Roman"/>
                <w:color w:val="000000"/>
                <w:sz w:val="21"/>
                <w:lang w:eastAsia="zh-CN"/>
              </w:rPr>
              <w:t>记</w:t>
            </w:r>
            <w:r>
              <w:rPr>
                <w:rFonts w:cs="Times New Roman"/>
                <w:color w:val="000000"/>
                <w:sz w:val="21"/>
                <w:lang w:eastAsia="zh-CN"/>
              </w:rPr>
              <w:t>3</w:t>
            </w:r>
            <w:r>
              <w:rPr>
                <w:rFonts w:cs="Times New Roman"/>
                <w:color w:val="000000"/>
                <w:sz w:val="21"/>
                <w:lang w:eastAsia="zh-CN"/>
              </w:rPr>
              <w:t>；</w:t>
            </w:r>
            <m:oMath>
              <m:r>
                <w:rPr>
                  <w:rFonts w:ascii="Cambria Math" w:hAnsi="Cambria Math" w:cs="Cambria Math"/>
                  <w:sz w:val="21"/>
                  <w:lang w:eastAsia="zh-CN"/>
                </w:rPr>
                <m:t>25≤p≤50</m:t>
              </m:r>
            </m:oMath>
            <w:r>
              <w:rPr>
                <w:rFonts w:cs="Times New Roman"/>
                <w:color w:val="000000"/>
                <w:sz w:val="21"/>
                <w:lang w:eastAsia="zh-CN"/>
              </w:rPr>
              <w:t>记</w:t>
            </w:r>
            <w:r>
              <w:rPr>
                <w:rFonts w:cs="Times New Roman"/>
                <w:color w:val="000000"/>
                <w:sz w:val="21"/>
                <w:lang w:eastAsia="zh-CN"/>
              </w:rPr>
              <w:t>2</w:t>
            </w:r>
            <w:r>
              <w:rPr>
                <w:rFonts w:cs="Times New Roman"/>
                <w:color w:val="000000"/>
                <w:sz w:val="21"/>
                <w:lang w:eastAsia="zh-CN"/>
              </w:rPr>
              <w:t>；</w:t>
            </w:r>
            <m:oMath>
              <m:r>
                <w:rPr>
                  <w:rFonts w:ascii="Cambria Math" w:hAnsi="Cambria Math" w:cs="Cambria Math"/>
                  <w:sz w:val="21"/>
                  <w:lang w:eastAsia="zh-CN"/>
                </w:rPr>
                <m:t>50&lt;p&lt;100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r>
                <w:rPr>
                  <w:rFonts w:ascii="Cambria Math" w:hAnsi="Cambria Math" w:cs="Cambria Math"/>
                  <w:sz w:val="21"/>
                  <w:lang w:eastAsia="zh-CN"/>
                </w:rPr>
                <m:t>p=100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m:oMath>
              <m:r>
                <w:rPr>
                  <w:rFonts w:ascii="Cambria Math" w:hAnsi="Cambria Math" w:cs="Cambria Math"/>
                  <w:sz w:val="21"/>
                  <w:lang w:eastAsia="zh-CN"/>
                </w:rPr>
                <m:t>p=0</m:t>
              </m:r>
            </m:oMath>
            <w:r>
              <w:rPr>
                <w:rFonts w:cs="Times New Roman"/>
                <w:color w:val="000000"/>
                <w:sz w:val="21"/>
                <w:lang w:eastAsia="zh-CN"/>
              </w:rPr>
              <w:t>归禁入。中方控股或禁止外资控股记</w:t>
            </w:r>
            <w:r>
              <w:rPr>
                <w:rFonts w:cs="Times New Roman"/>
                <w:color w:val="000000"/>
                <w:sz w:val="21"/>
                <w:lang w:eastAsia="zh-CN"/>
              </w:rPr>
              <w:t>2</w:t>
            </w:r>
            <w:r>
              <w:rPr>
                <w:rFonts w:cs="Times New Roman"/>
                <w:color w:val="000000"/>
                <w:sz w:val="21"/>
                <w:lang w:eastAsia="zh-CN"/>
              </w:rPr>
              <w:t>；</w:t>
            </w:r>
            <m:oMath>
              <m:r>
                <w:rPr>
                  <w:rFonts w:ascii="Cambria Math" w:hAnsi="Cambria Math" w:cs="Cambria Math"/>
                  <w:sz w:val="21"/>
                  <w:lang w:eastAsia="zh-CN"/>
                </w:rPr>
                <m:t>0&lt;</m:t>
              </m:r>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r>
                <w:rPr>
                  <w:rFonts w:ascii="Cambria Math" w:hAnsi="Cambria Math" w:cs="Cambria Math"/>
                  <w:sz w:val="21"/>
                  <w:lang w:eastAsia="zh-CN"/>
                </w:rPr>
                <m:t>&lt;100</m:t>
              </m:r>
            </m:oMath>
            <w:r>
              <w:rPr>
                <w:rFonts w:cs="Times New Roman"/>
                <w:color w:val="000000"/>
                <w:sz w:val="21"/>
                <w:lang w:eastAsia="zh-CN"/>
              </w:rPr>
              <w:t>记</w:t>
            </w:r>
            <w:r>
              <w:rPr>
                <w:rFonts w:cs="Times New Roman"/>
                <w:color w:val="000000"/>
                <w:sz w:val="21"/>
                <w:lang w:eastAsia="zh-CN"/>
              </w:rPr>
              <w:t>1</w:t>
            </w:r>
            <w:r>
              <w:rPr>
                <w:rFonts w:cs="Times New Roman"/>
                <w:color w:val="000000"/>
                <w:sz w:val="21"/>
                <w:lang w:eastAsia="zh-CN"/>
              </w:rPr>
              <w:t>，</w:t>
            </w:r>
            <m:oMath>
              <m:sSub>
                <m:sSubPr>
                  <m:ctrlPr>
                    <w:rPr>
                      <w:rFonts w:ascii="Cambria Math" w:hAnsi="Cambria Math"/>
                    </w:rPr>
                  </m:ctrlPr>
                </m:sSubPr>
                <m:e>
                  <m:r>
                    <w:rPr>
                      <w:rFonts w:ascii="Cambria Math" w:hAnsi="Cambria Math" w:cs="Cambria Math"/>
                      <w:sz w:val="21"/>
                      <w:lang w:eastAsia="zh-CN"/>
                    </w:rPr>
                    <m:t>p</m:t>
                  </m:r>
                </m:e>
                <m:sub>
                  <m:r>
                    <w:rPr>
                      <w:rFonts w:ascii="Cambria Math" w:hAnsi="Cambria Math" w:cs="Cambria Math"/>
                      <w:sz w:val="21"/>
                      <w:lang w:eastAsia="zh-CN"/>
                    </w:rPr>
                    <m:t>i</m:t>
                  </m:r>
                </m:sub>
              </m:sSub>
              <m:r>
                <w:rPr>
                  <w:rFonts w:ascii="Cambria Math" w:hAnsi="Cambria Math" w:cs="Cambria Math"/>
                  <w:sz w:val="21"/>
                  <w:lang w:eastAsia="zh-CN"/>
                </w:rPr>
                <m:t>=100</m:t>
              </m:r>
            </m:oMath>
            <w:r>
              <w:rPr>
                <w:rFonts w:cs="Times New Roman"/>
                <w:color w:val="000000"/>
                <w:sz w:val="21"/>
                <w:lang w:eastAsia="zh-CN"/>
              </w:rPr>
              <w:t>记</w:t>
            </w:r>
            <w:r>
              <w:rPr>
                <w:rFonts w:cs="Times New Roman"/>
                <w:color w:val="000000"/>
                <w:sz w:val="21"/>
                <w:lang w:eastAsia="zh-CN"/>
              </w:rPr>
              <w:t>0</w:t>
            </w:r>
            <w:r>
              <w:rPr>
                <w:rFonts w:cs="Times New Roman"/>
                <w:color w:val="000000"/>
                <w:sz w:val="21"/>
                <w:lang w:eastAsia="zh-CN"/>
              </w:rPr>
              <w:t>。</w:t>
            </w:r>
          </w:p>
        </w:tc>
      </w:tr>
      <w:tr w:rsidR="004E1393" w14:paraId="7A5F74D0" w14:textId="77777777">
        <w:trPr>
          <w:cantSplit/>
          <w:jc w:val="center"/>
        </w:trPr>
        <w:tc>
          <w:tcPr>
            <w:tcW w:w="1600" w:type="dxa"/>
            <w:tcBorders>
              <w:top w:val="nil"/>
              <w:left w:val="nil"/>
              <w:bottom w:val="nil"/>
              <w:right w:val="nil"/>
            </w:tcBorders>
            <w:vAlign w:val="center"/>
          </w:tcPr>
          <w:p w14:paraId="6B7E71EE" w14:textId="77777777" w:rsidR="004E1393" w:rsidRDefault="00EB4DE5">
            <w:pPr>
              <w:spacing w:before="80" w:line="283" w:lineRule="auto"/>
              <w:ind w:firstLine="0"/>
            </w:pPr>
            <w:r>
              <w:rPr>
                <w:rFonts w:cs="Times New Roman"/>
                <w:color w:val="000000"/>
                <w:sz w:val="21"/>
              </w:rPr>
              <w:t>组织形式</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2</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6CE5A36E" w14:textId="77777777" w:rsidR="004E1393" w:rsidRDefault="00EB4DE5">
            <w:pPr>
              <w:spacing w:before="80" w:line="283" w:lineRule="auto"/>
              <w:ind w:firstLine="0"/>
              <w:rPr>
                <w:lang w:eastAsia="zh-CN"/>
              </w:rPr>
            </w:pPr>
            <w:r>
              <w:rPr>
                <w:rFonts w:cs="Times New Roman"/>
                <w:color w:val="000000"/>
                <w:sz w:val="21"/>
                <w:lang w:eastAsia="zh-CN"/>
              </w:rPr>
              <w:t>必须合资、合作或采用特定本地法人形式</w:t>
            </w:r>
          </w:p>
        </w:tc>
        <w:tc>
          <w:tcPr>
            <w:tcW w:w="4591" w:type="dxa"/>
            <w:tcBorders>
              <w:top w:val="nil"/>
              <w:left w:val="nil"/>
              <w:bottom w:val="nil"/>
              <w:right w:val="nil"/>
            </w:tcBorders>
            <w:vAlign w:val="center"/>
          </w:tcPr>
          <w:p w14:paraId="40BBA96C"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，无要求记</w:t>
            </w:r>
            <w:r>
              <w:rPr>
                <w:rFonts w:cs="Times New Roman"/>
                <w:color w:val="000000"/>
                <w:sz w:val="21"/>
                <w:lang w:eastAsia="zh-CN"/>
              </w:rPr>
              <w:t>0</w:t>
            </w:r>
            <w:r>
              <w:rPr>
                <w:rFonts w:cs="Times New Roman"/>
                <w:color w:val="000000"/>
                <w:sz w:val="21"/>
                <w:lang w:eastAsia="zh-CN"/>
              </w:rPr>
              <w:t>。</w:t>
            </w:r>
          </w:p>
        </w:tc>
      </w:tr>
      <w:tr w:rsidR="004E1393" w14:paraId="55F2886B" w14:textId="77777777">
        <w:trPr>
          <w:cantSplit/>
          <w:jc w:val="center"/>
        </w:trPr>
        <w:tc>
          <w:tcPr>
            <w:tcW w:w="1600" w:type="dxa"/>
            <w:tcBorders>
              <w:top w:val="nil"/>
              <w:left w:val="nil"/>
              <w:bottom w:val="nil"/>
              <w:right w:val="nil"/>
            </w:tcBorders>
            <w:vAlign w:val="center"/>
          </w:tcPr>
          <w:p w14:paraId="3B1154EF" w14:textId="77777777" w:rsidR="004E1393" w:rsidRDefault="00EB4DE5">
            <w:pPr>
              <w:spacing w:before="80" w:line="283" w:lineRule="auto"/>
              <w:ind w:firstLine="0"/>
              <w:rPr>
                <w:lang w:eastAsia="zh-CN"/>
              </w:rPr>
            </w:pPr>
            <w:r>
              <w:rPr>
                <w:rFonts w:cs="Times New Roman"/>
                <w:color w:val="000000"/>
                <w:sz w:val="21"/>
                <w:lang w:eastAsia="zh-CN"/>
              </w:rPr>
              <w:t>治理人员</w:t>
            </w:r>
            <w:r>
              <w:rPr>
                <w:rFonts w:cs="Times New Roman"/>
                <w:color w:val="000000"/>
                <w:sz w:val="21"/>
                <w:lang w:eastAsia="zh-CN"/>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3</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22F43AF4" w14:textId="77777777" w:rsidR="004E1393" w:rsidRDefault="00EB4DE5">
            <w:pPr>
              <w:spacing w:before="80" w:line="283" w:lineRule="auto"/>
              <w:ind w:firstLine="0"/>
              <w:rPr>
                <w:lang w:eastAsia="zh-CN"/>
              </w:rPr>
            </w:pPr>
            <w:r>
              <w:rPr>
                <w:rFonts w:cs="Times New Roman"/>
                <w:color w:val="000000"/>
                <w:sz w:val="21"/>
                <w:lang w:eastAsia="zh-CN"/>
              </w:rPr>
              <w:t>治理人员须满足国籍、居住或中方委派要求</w:t>
            </w:r>
          </w:p>
        </w:tc>
        <w:tc>
          <w:tcPr>
            <w:tcW w:w="4591" w:type="dxa"/>
            <w:tcBorders>
              <w:top w:val="nil"/>
              <w:left w:val="nil"/>
              <w:bottom w:val="nil"/>
              <w:right w:val="nil"/>
            </w:tcBorders>
            <w:vAlign w:val="center"/>
          </w:tcPr>
          <w:p w14:paraId="0E866C39"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，无要求记</w:t>
            </w:r>
            <w:r>
              <w:rPr>
                <w:rFonts w:cs="Times New Roman"/>
                <w:color w:val="000000"/>
                <w:sz w:val="21"/>
                <w:lang w:eastAsia="zh-CN"/>
              </w:rPr>
              <w:t>0</w:t>
            </w:r>
            <w:r>
              <w:rPr>
                <w:rFonts w:cs="Times New Roman"/>
                <w:color w:val="000000"/>
                <w:sz w:val="21"/>
                <w:lang w:eastAsia="zh-CN"/>
              </w:rPr>
              <w:t>。</w:t>
            </w:r>
          </w:p>
        </w:tc>
      </w:tr>
      <w:tr w:rsidR="004E1393" w14:paraId="0B32D02E" w14:textId="77777777">
        <w:trPr>
          <w:cantSplit/>
          <w:jc w:val="center"/>
        </w:trPr>
        <w:tc>
          <w:tcPr>
            <w:tcW w:w="1600" w:type="dxa"/>
            <w:tcBorders>
              <w:top w:val="nil"/>
              <w:left w:val="nil"/>
              <w:bottom w:val="nil"/>
              <w:right w:val="nil"/>
            </w:tcBorders>
            <w:vAlign w:val="center"/>
          </w:tcPr>
          <w:p w14:paraId="5468562C" w14:textId="77777777" w:rsidR="004E1393" w:rsidRDefault="00EB4DE5">
            <w:pPr>
              <w:spacing w:before="80" w:line="283" w:lineRule="auto"/>
              <w:ind w:firstLine="0"/>
            </w:pPr>
            <w:r>
              <w:rPr>
                <w:rFonts w:cs="Times New Roman"/>
                <w:color w:val="000000"/>
                <w:sz w:val="21"/>
              </w:rPr>
              <w:t>经营准入</w:t>
            </w:r>
            <w:r>
              <w:rPr>
                <w:rFonts w:cs="Times New Roman"/>
                <w:color w:val="000000"/>
                <w:sz w:val="21"/>
              </w:rPr>
              <w:br/>
            </w:r>
            <m:oMathPara>
              <m:oMath>
                <m:sSub>
                  <m:sSubPr>
                    <m:ctrlPr>
                      <w:rPr>
                        <w:rFonts w:ascii="Cambria Math" w:hAnsi="Cambria Math"/>
                      </w:rPr>
                    </m:ctrlPr>
                  </m:sSubPr>
                  <m:e>
                    <m:r>
                      <w:rPr>
                        <w:rFonts w:ascii="Cambria Math" w:hAnsi="Cambria Math" w:cs="Cambria Math"/>
                        <w:sz w:val="21"/>
                      </w:rPr>
                      <m:t>M</m:t>
                    </m:r>
                  </m:e>
                  <m:sub>
                    <m:r>
                      <w:rPr>
                        <w:rFonts w:ascii="Cambria Math" w:hAnsi="Cambria Math" w:cs="Cambria Math"/>
                        <w:sz w:val="21"/>
                      </w:rPr>
                      <m:t>4</m:t>
                    </m:r>
                  </m:sub>
                </m:sSub>
                <m:r>
                  <w:rPr>
                    <w:rFonts w:ascii="Cambria Math" w:hAnsi="Cambria Math" w:cs="Cambria Math"/>
                    <w:sz w:val="21"/>
                  </w:rPr>
                  <m:t>=1</m:t>
                </m:r>
              </m:oMath>
            </m:oMathPara>
          </w:p>
        </w:tc>
        <w:tc>
          <w:tcPr>
            <w:tcW w:w="3050" w:type="dxa"/>
            <w:tcBorders>
              <w:top w:val="nil"/>
              <w:left w:val="nil"/>
              <w:bottom w:val="nil"/>
              <w:right w:val="nil"/>
            </w:tcBorders>
            <w:vAlign w:val="center"/>
          </w:tcPr>
          <w:p w14:paraId="41BEC601" w14:textId="77777777" w:rsidR="004E1393" w:rsidRDefault="00EB4DE5">
            <w:pPr>
              <w:spacing w:before="80" w:line="283" w:lineRule="auto"/>
              <w:ind w:firstLine="0"/>
              <w:rPr>
                <w:lang w:eastAsia="zh-CN"/>
              </w:rPr>
            </w:pPr>
            <w:r>
              <w:rPr>
                <w:rFonts w:cs="Times New Roman"/>
                <w:color w:val="000000"/>
                <w:sz w:val="21"/>
                <w:lang w:eastAsia="zh-CN"/>
              </w:rPr>
              <w:t>针对外资的业务范围、数量、地域或专门许可要求</w:t>
            </w:r>
          </w:p>
        </w:tc>
        <w:tc>
          <w:tcPr>
            <w:tcW w:w="4591" w:type="dxa"/>
            <w:tcBorders>
              <w:top w:val="nil"/>
              <w:left w:val="nil"/>
              <w:bottom w:val="nil"/>
              <w:right w:val="nil"/>
            </w:tcBorders>
            <w:vAlign w:val="center"/>
          </w:tcPr>
          <w:p w14:paraId="4EBEDD0B" w14:textId="77777777" w:rsidR="004E1393" w:rsidRDefault="00EB4DE5">
            <w:pPr>
              <w:spacing w:before="80" w:line="283" w:lineRule="auto"/>
              <w:ind w:firstLine="0"/>
              <w:rPr>
                <w:lang w:eastAsia="zh-CN"/>
              </w:rPr>
            </w:pPr>
            <w:r>
              <w:rPr>
                <w:rFonts w:cs="Times New Roman"/>
                <w:color w:val="000000"/>
                <w:sz w:val="21"/>
                <w:lang w:eastAsia="zh-CN"/>
              </w:rPr>
              <w:t>任一明确要求记</w:t>
            </w:r>
            <w:r>
              <w:rPr>
                <w:rFonts w:cs="Times New Roman"/>
                <w:color w:val="000000"/>
                <w:sz w:val="21"/>
                <w:lang w:eastAsia="zh-CN"/>
              </w:rPr>
              <w:t>1</w:t>
            </w:r>
            <w:r>
              <w:rPr>
                <w:rFonts w:cs="Times New Roman"/>
                <w:color w:val="000000"/>
                <w:sz w:val="21"/>
                <w:lang w:eastAsia="zh-CN"/>
              </w:rPr>
              <w:t>；内外资共同要求不计。</w:t>
            </w:r>
          </w:p>
        </w:tc>
      </w:tr>
      <w:tr w:rsidR="004E1393" w14:paraId="52EAD192" w14:textId="77777777">
        <w:trPr>
          <w:cantSplit/>
          <w:jc w:val="center"/>
        </w:trPr>
        <w:tc>
          <w:tcPr>
            <w:tcW w:w="1600" w:type="dxa"/>
            <w:tcBorders>
              <w:top w:val="nil"/>
              <w:left w:val="nil"/>
              <w:bottom w:val="single" w:sz="10" w:space="0" w:color="000000"/>
              <w:right w:val="nil"/>
            </w:tcBorders>
            <w:vAlign w:val="center"/>
          </w:tcPr>
          <w:p w14:paraId="37693EBE" w14:textId="77777777" w:rsidR="004E1393" w:rsidRDefault="00EB4DE5">
            <w:pPr>
              <w:spacing w:before="80" w:line="283" w:lineRule="auto"/>
              <w:ind w:firstLine="0"/>
              <w:rPr>
                <w:lang w:eastAsia="zh-CN"/>
              </w:rPr>
            </w:pPr>
            <w:r>
              <w:rPr>
                <w:rFonts w:cs="Times New Roman"/>
                <w:color w:val="000000"/>
                <w:sz w:val="21"/>
                <w:lang w:eastAsia="zh-CN"/>
              </w:rPr>
              <w:t>禁入项</w:t>
            </w:r>
          </w:p>
        </w:tc>
        <w:tc>
          <w:tcPr>
            <w:tcW w:w="3050" w:type="dxa"/>
            <w:tcBorders>
              <w:top w:val="nil"/>
              <w:left w:val="nil"/>
              <w:bottom w:val="single" w:sz="10" w:space="0" w:color="000000"/>
              <w:right w:val="nil"/>
            </w:tcBorders>
            <w:vAlign w:val="center"/>
          </w:tcPr>
          <w:p w14:paraId="5B98C42E" w14:textId="77777777" w:rsidR="004E1393" w:rsidRDefault="00EB4DE5">
            <w:pPr>
              <w:spacing w:before="80" w:line="283" w:lineRule="auto"/>
              <w:ind w:firstLine="0"/>
              <w:rPr>
                <w:lang w:eastAsia="zh-CN"/>
              </w:rPr>
            </w:pPr>
            <w:r>
              <w:rPr>
                <w:rFonts w:cs="Times New Roman"/>
                <w:color w:val="000000"/>
                <w:sz w:val="21"/>
                <w:lang w:eastAsia="zh-CN"/>
              </w:rPr>
              <w:t>明确禁止外资进入匹配活动</w:t>
            </w:r>
          </w:p>
        </w:tc>
        <w:tc>
          <w:tcPr>
            <w:tcW w:w="4591" w:type="dxa"/>
            <w:tcBorders>
              <w:top w:val="nil"/>
              <w:left w:val="nil"/>
              <w:bottom w:val="single" w:sz="10" w:space="0" w:color="000000"/>
              <w:right w:val="nil"/>
            </w:tcBorders>
            <w:vAlign w:val="center"/>
          </w:tcPr>
          <w:p w14:paraId="0EAB0BA7" w14:textId="77777777" w:rsidR="004E1393" w:rsidRDefault="002738FB">
            <w:pPr>
              <w:spacing w:before="80" w:line="283" w:lineRule="auto"/>
              <w:ind w:firstLine="0"/>
              <w:rPr>
                <w:lang w:eastAsia="zh-CN"/>
              </w:rPr>
            </w:pPr>
            <m:oMath>
              <m:sSub>
                <m:sSubPr>
                  <m:ctrlPr>
                    <w:rPr>
                      <w:rFonts w:ascii="Cambria Math" w:hAnsi="Cambria Math"/>
                    </w:rPr>
                  </m:ctrlPr>
                </m:sSubPr>
                <m:e>
                  <m:r>
                    <w:rPr>
                      <w:rFonts w:ascii="Cambria Math" w:hAnsi="Cambria Math" w:cs="Cambria Math"/>
                      <w:sz w:val="21"/>
                      <w:lang w:eastAsia="zh-CN"/>
                    </w:rPr>
                    <m:t>B</m:t>
                  </m:r>
                </m:e>
                <m:sub>
                  <m:r>
                    <w:rPr>
                      <w:rFonts w:ascii="Cambria Math" w:hAnsi="Cambria Math" w:cs="Cambria Math"/>
                      <w:sz w:val="21"/>
                      <w:lang w:eastAsia="zh-CN"/>
                    </w:rPr>
                    <m:t>gt</m:t>
                  </m:r>
                </m:sub>
              </m:sSub>
              <m:r>
                <w:rPr>
                  <w:rFonts w:ascii="Cambria Math" w:hAnsi="Cambria Math" w:cs="Cambria Math"/>
                  <w:sz w:val="21"/>
                  <w:lang w:eastAsia="zh-CN"/>
                </w:rPr>
                <m:t>=1</m:t>
              </m:r>
            </m:oMath>
            <w:r w:rsidR="00EB4DE5">
              <w:rPr>
                <w:rFonts w:cs="Times New Roman"/>
                <w:color w:val="000000"/>
                <w:sz w:val="21"/>
                <w:lang w:eastAsia="zh-CN"/>
              </w:rPr>
              <w:t>，综合强度直接置</w:t>
            </w:r>
            <w:r w:rsidR="00EB4DE5">
              <w:rPr>
                <w:rFonts w:cs="Times New Roman"/>
                <w:color w:val="000000"/>
                <w:sz w:val="21"/>
                <w:lang w:eastAsia="zh-CN"/>
              </w:rPr>
              <w:t>1</w:t>
            </w:r>
            <w:r w:rsidR="00EB4DE5">
              <w:rPr>
                <w:rFonts w:cs="Times New Roman"/>
                <w:color w:val="000000"/>
                <w:sz w:val="21"/>
                <w:lang w:eastAsia="zh-CN"/>
              </w:rPr>
              <w:t>。</w:t>
            </w:r>
          </w:p>
        </w:tc>
      </w:tr>
    </w:tbl>
    <w:p w14:paraId="1576A7F5" w14:textId="77777777" w:rsidR="004E1393" w:rsidRDefault="00EB4DE5">
      <w:pPr>
        <w:rPr>
          <w:lang w:eastAsia="zh-CN"/>
        </w:rPr>
      </w:pPr>
      <w:r>
        <w:rPr>
          <w:rFonts w:cs="Times New Roman"/>
          <w:color w:val="000000"/>
          <w:lang w:eastAsia="zh-CN"/>
        </w:rPr>
        <w:t>表</w:t>
      </w:r>
      <w:r>
        <w:rPr>
          <w:rFonts w:cs="Times New Roman"/>
          <w:color w:val="000000"/>
          <w:lang w:eastAsia="zh-CN"/>
        </w:rPr>
        <w:t>A1</w:t>
      </w:r>
      <w:r>
        <w:rPr>
          <w:rFonts w:cs="Times New Roman"/>
          <w:color w:val="000000"/>
          <w:lang w:eastAsia="zh-CN"/>
        </w:rPr>
        <w:t>中的股比均以百分数数值表示，</w:t>
      </w:r>
      <m:oMath>
        <m:r>
          <w:rPr>
            <w:rFonts w:ascii="Cambria Math" w:hAnsi="Cambria Math" w:cs="Cambria Math"/>
            <w:lang w:eastAsia="zh-CN"/>
          </w:rPr>
          <m:t>p</m:t>
        </m:r>
      </m:oMath>
      <w:r>
        <w:rPr>
          <w:rFonts w:cs="Times New Roman"/>
          <w:color w:val="000000"/>
          <w:lang w:eastAsia="zh-CN"/>
        </w:rPr>
        <w:t>为外资合计持股上限，</w:t>
      </w:r>
      <m:oMath>
        <m:sSub>
          <m:sSubPr>
            <m:ctrlPr>
              <w:rPr>
                <w:rFonts w:ascii="Cambria Math" w:hAnsi="Cambria Math"/>
              </w:rPr>
            </m:ctrlPr>
          </m:sSubPr>
          <m:e>
            <m:r>
              <w:rPr>
                <w:rFonts w:ascii="Cambria Math" w:hAnsi="Cambria Math" w:cs="Cambria Math"/>
                <w:lang w:eastAsia="zh-CN"/>
              </w:rPr>
              <m:t>p</m:t>
            </m:r>
          </m:e>
          <m:sub>
            <m:r>
              <w:rPr>
                <w:rFonts w:ascii="Cambria Math" w:hAnsi="Cambria Math" w:cs="Cambria Math"/>
                <w:lang w:eastAsia="zh-CN"/>
              </w:rPr>
              <m:t>i</m:t>
            </m:r>
          </m:sub>
        </m:sSub>
      </m:oMath>
      <w:r>
        <w:rPr>
          <w:rFonts w:cs="Times New Roman"/>
          <w:color w:val="000000"/>
          <w:lang w:eastAsia="zh-CN"/>
        </w:rPr>
        <w:t>为单一投资者持股上限。单一投资者的上限为零，并不直接意味着全部外资禁止进入。股比、组织形式和治理要求分别依据明确规定提取，不由其中一类要求推算另一类要求。计分前先确定条款的生效、替代和例外关系，同一法律要求只计一次；再在同一小类的各个维度内，按最严格的有效要求确定分数：</w:t>
      </w:r>
    </w:p>
    <w:p w14:paraId="04161449"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sz w:val="22"/>
              </w:rPr>
              <m:t>s</m:t>
            </m:r>
          </m:e>
          <m:sub>
            <m:r>
              <w:rPr>
                <w:rFonts w:ascii="Cambria Math" w:hAnsi="Cambria Math" w:cs="Cambria Math"/>
                <w:sz w:val="22"/>
              </w:rPr>
              <m:t>gtd</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max</m:t>
            </m:r>
          </m:e>
          <m:sub>
            <m:r>
              <w:rPr>
                <w:rFonts w:ascii="Cambria Math" w:hAnsi="Cambria Math" w:cs="Cambria Math"/>
                <w:sz w:val="22"/>
              </w:rPr>
              <m:t>k∈</m:t>
            </m:r>
            <m:sSub>
              <m:sSubPr>
                <m:ctrlPr>
                  <w:rPr>
                    <w:rFonts w:ascii="Cambria Math" w:hAnsi="Cambria Math"/>
                  </w:rPr>
                </m:ctrlPr>
              </m:sSubPr>
              <m:e>
                <m:r>
                  <m:rPr>
                    <m:scr m:val="script"/>
                  </m:rPr>
                  <w:rPr>
                    <w:rFonts w:ascii="Cambria Math" w:hAnsi="Cambria Math" w:cs="Cambria Math"/>
                    <w:sz w:val="22"/>
                  </w:rPr>
                  <m:t>K</m:t>
                </m:r>
              </m:e>
              <m:sub>
                <m:r>
                  <w:rPr>
                    <w:rFonts w:ascii="Cambria Math" w:hAnsi="Cambria Math" w:cs="Cambria Math"/>
                    <w:sz w:val="22"/>
                  </w:rPr>
                  <m:t>gt</m:t>
                </m:r>
              </m:sub>
            </m:sSub>
          </m:sub>
        </m:sSub>
        <m:sSub>
          <m:sSubPr>
            <m:ctrlPr>
              <w:rPr>
                <w:rFonts w:ascii="Cambria Math" w:hAnsi="Cambria Math"/>
              </w:rPr>
            </m:ctrlPr>
          </m:sSubPr>
          <m:e>
            <m:r>
              <w:rPr>
                <w:rFonts w:ascii="Cambria Math" w:hAnsi="Cambria Math" w:cs="Cambria Math"/>
                <w:sz w:val="22"/>
              </w:rPr>
              <m:t>a</m:t>
            </m:r>
          </m:e>
          <m:sub>
            <m:r>
              <w:rPr>
                <w:rFonts w:ascii="Cambria Math" w:hAnsi="Cambria Math" w:cs="Cambria Math"/>
                <w:sz w:val="22"/>
              </w:rPr>
              <m:t>gktd</m:t>
            </m:r>
          </m:sub>
        </m:sSub>
        <m:r>
          <w:rPr>
            <w:rFonts w:ascii="Cambria Math" w:hAnsi="Cambria Math" w:cs="Cambria Math"/>
            <w:sz w:val="22"/>
          </w:rPr>
          <m:t>,</m:t>
        </m:r>
        <m:r>
          <m:rPr>
            <m:nor/>
          </m:rPr>
          <w:rPr>
            <w:rFonts w:ascii="Cambria Math" w:hAnsi="Cambria Math" w:cs="Cambria Math"/>
            <w:sz w:val="22"/>
          </w:rPr>
          <m:t> </m:t>
        </m:r>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1</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2</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3</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M</m:t>
            </m:r>
          </m:e>
          <m:sub>
            <m:r>
              <w:rPr>
                <w:rFonts w:ascii="Cambria Math" w:hAnsi="Cambria Math" w:cs="Cambria Math"/>
                <w:sz w:val="22"/>
              </w:rPr>
              <m:t>4</m:t>
            </m:r>
          </m:sub>
        </m:sSub>
        <m:r>
          <w:rPr>
            <w:rFonts w:ascii="Cambria Math" w:hAnsi="Cambria Math" w:cs="Cambria Math"/>
            <w:sz w:val="22"/>
          </w:rPr>
          <m:t>)=(3,1,1,1).</m:t>
        </m:r>
      </m:oMath>
      <w:r>
        <w:rPr>
          <w:rFonts w:cs="Times New Roman"/>
          <w:color w:val="000000"/>
          <w:lang w:eastAsia="zh-CN"/>
        </w:rPr>
        <w:tab/>
      </w:r>
      <w:r>
        <w:rPr>
          <w:rFonts w:cs="Times New Roman"/>
          <w:color w:val="000000"/>
          <w:lang w:eastAsia="zh-CN"/>
        </w:rPr>
        <w:t>（</w:t>
      </w:r>
      <w:r>
        <w:rPr>
          <w:rFonts w:cs="Times New Roman"/>
          <w:color w:val="000000"/>
          <w:lang w:eastAsia="zh-CN"/>
        </w:rPr>
        <w:t>A1</w:t>
      </w:r>
      <w:r>
        <w:rPr>
          <w:rFonts w:cs="Times New Roman"/>
          <w:color w:val="000000"/>
          <w:lang w:eastAsia="zh-CN"/>
        </w:rPr>
        <w:t>）</w:t>
      </w:r>
    </w:p>
    <w:p w14:paraId="5E14E36C" w14:textId="77777777" w:rsidR="004E1393" w:rsidRDefault="00EB4DE5">
      <w:pPr>
        <w:rPr>
          <w:lang w:eastAsia="zh-CN"/>
        </w:rPr>
      </w:pPr>
      <w:r>
        <w:rPr>
          <w:rFonts w:cs="Times New Roman"/>
          <w:color w:val="000000"/>
          <w:lang w:eastAsia="zh-CN"/>
        </w:rPr>
        <w:t>其中，</w:t>
      </w:r>
      <m:oMath>
        <m:r>
          <w:rPr>
            <w:rFonts w:ascii="Cambria Math" w:hAnsi="Cambria Math" w:cs="Cambria Math"/>
            <w:lang w:eastAsia="zh-CN"/>
          </w:rPr>
          <m:t>g</m:t>
        </m:r>
      </m:oMath>
      <w:r>
        <w:rPr>
          <w:rFonts w:cs="Times New Roman"/>
          <w:color w:val="000000"/>
          <w:lang w:eastAsia="zh-CN"/>
        </w:rPr>
        <w:t>表示带有</w:t>
      </w:r>
      <w:r>
        <w:rPr>
          <w:rFonts w:cs="Times New Roman"/>
          <w:color w:val="000000"/>
          <w:lang w:eastAsia="zh-CN"/>
        </w:rPr>
        <w:t>GB</w:t>
      </w:r>
      <w:r>
        <w:rPr>
          <w:rFonts w:cs="Times New Roman"/>
          <w:color w:val="000000"/>
          <w:lang w:eastAsia="zh-CN"/>
        </w:rPr>
        <w:t>版本标识的行业小类，</w:t>
      </w:r>
      <m:oMath>
        <m:r>
          <w:rPr>
            <w:rFonts w:ascii="Cambria Math" w:hAnsi="Cambria Math" w:cs="Cambria Math"/>
            <w:lang w:eastAsia="zh-CN"/>
          </w:rPr>
          <m:t>k</m:t>
        </m:r>
      </m:oMath>
      <w:r>
        <w:rPr>
          <w:rFonts w:cs="Times New Roman"/>
          <w:color w:val="000000"/>
          <w:lang w:eastAsia="zh-CN"/>
        </w:rPr>
        <w:t>表示匹配到的有效要求，</w:t>
      </w:r>
      <m:oMath>
        <m:sSub>
          <m:sSubPr>
            <m:ctrlPr>
              <w:rPr>
                <w:rFonts w:ascii="Cambria Math" w:hAnsi="Cambria Math"/>
              </w:rPr>
            </m:ctrlPr>
          </m:sSubPr>
          <m:e>
            <m:r>
              <w:rPr>
                <w:rFonts w:ascii="Cambria Math" w:hAnsi="Cambria Math" w:cs="Cambria Math"/>
                <w:lang w:eastAsia="zh-CN"/>
              </w:rPr>
              <m:t>a</m:t>
            </m:r>
          </m:e>
          <m:sub>
            <m:r>
              <w:rPr>
                <w:rFonts w:ascii="Cambria Math" w:hAnsi="Cambria Math" w:cs="Cambria Math"/>
                <w:lang w:eastAsia="zh-CN"/>
              </w:rPr>
              <m:t>gktd</m:t>
            </m:r>
          </m:sub>
        </m:sSub>
      </m:oMath>
      <w:r>
        <w:rPr>
          <w:rFonts w:cs="Times New Roman"/>
          <w:color w:val="000000"/>
          <w:lang w:eastAsia="zh-CN"/>
        </w:rPr>
        <w:t>是该要求在第</w:t>
      </w:r>
      <m:oMath>
        <m:r>
          <w:rPr>
            <w:rFonts w:ascii="Cambria Math" w:hAnsi="Cambria Math" w:cs="Cambria Math"/>
            <w:lang w:eastAsia="zh-CN"/>
          </w:rPr>
          <m:t>d</m:t>
        </m:r>
      </m:oMath>
      <w:r>
        <w:rPr>
          <w:rFonts w:cs="Times New Roman"/>
          <w:color w:val="000000"/>
          <w:lang w:eastAsia="zh-CN"/>
        </w:rPr>
        <w:t>维按固定规则映射的分数，</w:t>
      </w:r>
      <m:oMath>
        <m:sSub>
          <m:sSubPr>
            <m:ctrlPr>
              <w:rPr>
                <w:rFonts w:ascii="Cambria Math" w:hAnsi="Cambria Math"/>
              </w:rPr>
            </m:ctrlPr>
          </m:sSubPr>
          <m:e>
            <m:r>
              <w:rPr>
                <w:rFonts w:ascii="Cambria Math" w:hAnsi="Cambria Math" w:cs="Cambria Math"/>
                <w:lang w:eastAsia="zh-CN"/>
              </w:rPr>
              <m:t>M</m:t>
            </m:r>
          </m:e>
          <m:sub>
            <m:r>
              <w:rPr>
                <w:rFonts w:ascii="Cambria Math" w:hAnsi="Cambria Math" w:cs="Cambria Math"/>
                <w:lang w:eastAsia="zh-CN"/>
              </w:rPr>
              <m:t>d</m:t>
            </m:r>
          </m:sub>
        </m:sSub>
      </m:oMath>
      <w:r>
        <w:rPr>
          <w:rFonts w:cs="Times New Roman"/>
          <w:color w:val="000000"/>
          <w:lang w:eastAsia="zh-CN"/>
        </w:rPr>
        <w:t>为该维度的固定最高分。只有确认某一维度没有要求时，该维度才记为</w:t>
      </w:r>
      <w:r>
        <w:rPr>
          <w:rFonts w:cs="Times New Roman"/>
          <w:color w:val="000000"/>
          <w:lang w:eastAsia="zh-CN"/>
        </w:rPr>
        <w:t>0</w:t>
      </w:r>
      <w:r>
        <w:rPr>
          <w:rFonts w:cs="Times New Roman"/>
          <w:color w:val="000000"/>
          <w:lang w:eastAsia="zh-CN"/>
        </w:rPr>
        <w:t>；无法确认时保留未知。进一步令</w:t>
      </w:r>
      <m:oMath>
        <m:sSub>
          <m:sSubPr>
            <m:ctrlPr>
              <w:rPr>
                <w:rFonts w:ascii="Cambria Math" w:hAnsi="Cambria Math"/>
              </w:rPr>
            </m:ctrlPr>
          </m:sSubPr>
          <m:e>
            <m:r>
              <w:rPr>
                <w:rFonts w:ascii="Cambria Math" w:hAnsi="Cambria Math" w:cs="Cambria Math"/>
                <w:lang w:eastAsia="zh-CN"/>
              </w:rPr>
              <m:t>B</m:t>
            </m:r>
          </m:e>
          <m:sub>
            <m:r>
              <w:rPr>
                <w:rFonts w:ascii="Cambria Math" w:hAnsi="Cambria Math" w:cs="Cambria Math"/>
                <w:lang w:eastAsia="zh-CN"/>
              </w:rPr>
              <m:t>gt</m:t>
            </m:r>
          </m:sub>
        </m:sSub>
      </m:oMath>
      <w:r>
        <w:rPr>
          <w:rFonts w:cs="Times New Roman"/>
          <w:color w:val="000000"/>
          <w:lang w:eastAsia="zh-CN"/>
        </w:rPr>
        <w:t>表示匹配到的活动是否明确禁止外资进入，综合强度定义为</w:t>
      </w:r>
    </w:p>
    <w:p w14:paraId="62659B32"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m:rPr>
                <m:sty m:val="p"/>
              </m:rPr>
              <w:rPr>
                <w:rFonts w:ascii="Cambria Math" w:hAnsi="Cambria Math" w:cs="Cambria Math"/>
                <w:sz w:val="22"/>
                <w:lang w:eastAsia="zh-CN"/>
              </w:rPr>
              <m:t>Intensity</m:t>
            </m:r>
          </m:e>
          <m:sub>
            <m:r>
              <w:rPr>
                <w:rFonts w:ascii="Cambria Math" w:hAnsi="Cambria Math" w:cs="Cambria Math"/>
                <w:sz w:val="22"/>
                <w:lang w:eastAsia="zh-CN"/>
              </w:rPr>
              <m:t>ft</m:t>
            </m:r>
          </m:sub>
        </m:sSub>
        <m:r>
          <w:rPr>
            <w:rFonts w:ascii="Cambria Math" w:hAnsi="Cambria Math" w:cs="Cambria Math"/>
            <w:sz w:val="22"/>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cs="Cambria Math"/>
                      <w:sz w:val="22"/>
                      <w:lang w:eastAsia="zh-CN"/>
                    </w:rPr>
                    <m:t>1,</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=1,</m:t>
                  </m:r>
                </m:e>
              </m:mr>
              <m:mr>
                <m:e>
                  <m:f>
                    <m:fPr>
                      <m:ctrlPr>
                        <w:rPr>
                          <w:rFonts w:ascii="Cambria Math" w:hAnsi="Cambria Math"/>
                        </w:rPr>
                      </m:ctrlPr>
                    </m:fPr>
                    <m:num>
                      <m:r>
                        <w:rPr>
                          <w:rFonts w:ascii="Cambria Math" w:hAnsi="Cambria Math" w:cs="Cambria Math"/>
                          <w:sz w:val="22"/>
                          <w:lang w:eastAsia="zh-CN"/>
                        </w:rPr>
                        <m:t>1</m:t>
                      </m:r>
                    </m:num>
                    <m:den>
                      <m:r>
                        <w:rPr>
                          <w:rFonts w:ascii="Cambria Math" w:hAnsi="Cambria Math" w:cs="Cambria Math"/>
                          <w:sz w:val="22"/>
                          <w:lang w:eastAsia="zh-CN"/>
                        </w:rPr>
                        <m:t>4</m:t>
                      </m:r>
                    </m:den>
                  </m:f>
                  <m:nary>
                    <m:naryPr>
                      <m:chr m:val="∑"/>
                      <m:limLoc m:val="subSup"/>
                      <m:grow m:val="1"/>
                      <m:ctrlPr>
                        <w:rPr>
                          <w:rFonts w:ascii="Cambria Math" w:hAnsi="Cambria Math"/>
                        </w:rPr>
                      </m:ctrlPr>
                    </m:naryPr>
                    <m:sub>
                      <m:r>
                        <w:rPr>
                          <w:rFonts w:ascii="Cambria Math" w:hAnsi="Cambria Math" w:cs="Cambria Math"/>
                          <w:sz w:val="22"/>
                          <w:lang w:eastAsia="zh-CN"/>
                        </w:rPr>
                        <m:t>d=1</m:t>
                      </m:r>
                    </m:sub>
                    <m:sup>
                      <m:r>
                        <w:rPr>
                          <w:rFonts w:ascii="Cambria Math" w:hAnsi="Cambria Math" w:cs="Cambria Math"/>
                          <w:sz w:val="22"/>
                          <w:lang w:eastAsia="zh-CN"/>
                        </w:rPr>
                        <m:t>4</m:t>
                      </m:r>
                    </m:sup>
                    <m:e>
                      <m:f>
                        <m:fPr>
                          <m:ctrlPr>
                            <w:rPr>
                              <w:rFonts w:ascii="Cambria Math" w:hAnsi="Cambria Math"/>
                            </w:rPr>
                          </m:ctrlPr>
                        </m:fPr>
                        <m:num>
                          <m:sSub>
                            <m:sSubPr>
                              <m:ctrlPr>
                                <w:rPr>
                                  <w:rFonts w:ascii="Cambria Math" w:hAnsi="Cambria Math"/>
                                </w:rPr>
                              </m:ctrlPr>
                            </m:sSubPr>
                            <m:e>
                              <m:r>
                                <w:rPr>
                                  <w:rFonts w:ascii="Cambria Math" w:hAnsi="Cambria Math" w:cs="Cambria Math"/>
                                  <w:sz w:val="22"/>
                                  <w:lang w:eastAsia="zh-CN"/>
                                </w:rPr>
                                <m:t>s</m:t>
                              </m:r>
                            </m:e>
                            <m:sub>
                              <m:r>
                                <w:rPr>
                                  <w:rFonts w:ascii="Cambria Math" w:hAnsi="Cambria Math" w:cs="Cambria Math"/>
                                  <w:sz w:val="22"/>
                                  <w:lang w:eastAsia="zh-CN"/>
                                </w:rPr>
                                <m:t>g(f,t),t,d</m:t>
                              </m:r>
                            </m:sub>
                          </m:sSub>
                        </m:num>
                        <m:den>
                          <m:sSub>
                            <m:sSubPr>
                              <m:ctrlPr>
                                <w:rPr>
                                  <w:rFonts w:ascii="Cambria Math" w:hAnsi="Cambria Math"/>
                                </w:rPr>
                              </m:ctrlPr>
                            </m:sSubPr>
                            <m:e>
                              <m:r>
                                <w:rPr>
                                  <w:rFonts w:ascii="Cambria Math" w:hAnsi="Cambria Math" w:cs="Cambria Math"/>
                                  <w:sz w:val="22"/>
                                  <w:lang w:eastAsia="zh-CN"/>
                                </w:rPr>
                                <m:t>M</m:t>
                              </m:r>
                            </m:e>
                            <m:sub>
                              <m:r>
                                <w:rPr>
                                  <w:rFonts w:ascii="Cambria Math" w:hAnsi="Cambria Math" w:cs="Cambria Math"/>
                                  <w:sz w:val="22"/>
                                  <w:lang w:eastAsia="zh-CN"/>
                                </w:rPr>
                                <m:t>d</m:t>
                              </m:r>
                            </m:sub>
                          </m:sSub>
                        </m:den>
                      </m:f>
                    </m:e>
                  </m:nary>
                  <m:r>
                    <w:rPr>
                      <w:rFonts w:ascii="Cambria Math" w:hAnsi="Cambria Math" w:cs="Cambria Math"/>
                      <w:sz w:val="22"/>
                      <w:lang w:eastAsia="zh-CN"/>
                    </w:rPr>
                    <m:t>,</m:t>
                  </m:r>
                </m:e>
                <m:e>
                  <m:sSub>
                    <m:sSubPr>
                      <m:ctrlPr>
                        <w:rPr>
                          <w:rFonts w:ascii="Cambria Math" w:hAnsi="Cambria Math"/>
                        </w:rPr>
                      </m:ctrlPr>
                    </m:sSubPr>
                    <m:e>
                      <m:r>
                        <w:rPr>
                          <w:rFonts w:ascii="Cambria Math" w:hAnsi="Cambria Math" w:cs="Cambria Math"/>
                          <w:sz w:val="22"/>
                          <w:lang w:eastAsia="zh-CN"/>
                        </w:rPr>
                        <m:t>B</m:t>
                      </m:r>
                    </m:e>
                    <m:sub>
                      <m:r>
                        <w:rPr>
                          <w:rFonts w:ascii="Cambria Math" w:hAnsi="Cambria Math" w:cs="Cambria Math"/>
                          <w:sz w:val="22"/>
                          <w:lang w:eastAsia="zh-CN"/>
                        </w:rPr>
                        <m:t>g(f,t),t</m:t>
                      </m:r>
                    </m:sub>
                  </m:sSub>
                  <m:r>
                    <w:rPr>
                      <w:rFonts w:ascii="Cambria Math" w:hAnsi="Cambria Math" w:cs="Cambria Math"/>
                      <w:sz w:val="22"/>
                      <w:lang w:eastAsia="zh-CN"/>
                    </w:rPr>
                    <m:t>=0</m:t>
                  </m:r>
                  <m:r>
                    <m:rPr>
                      <m:nor/>
                    </m:rPr>
                    <w:rPr>
                      <w:rFonts w:ascii="Cambria Math" w:hAnsi="Cambria Math" w:cs="Cambria Math"/>
                      <w:sz w:val="22"/>
                      <w:lang w:eastAsia="zh-CN"/>
                    </w:rPr>
                    <m:t>且四维均已知</m:t>
                  </m:r>
                  <m:r>
                    <w:rPr>
                      <w:rFonts w:ascii="Cambria Math" w:hAnsi="Cambria Math" w:cs="Cambria Math"/>
                      <w:sz w:val="22"/>
                      <w:lang w:eastAsia="zh-CN"/>
                    </w:rPr>
                    <m:t>,</m:t>
                  </m:r>
                </m:e>
              </m:mr>
              <m:mr>
                <m:e>
                  <m:r>
                    <m:rPr>
                      <m:nor/>
                    </m:rPr>
                    <w:rPr>
                      <w:rFonts w:ascii="Cambria Math" w:hAnsi="Cambria Math" w:cs="Cambria Math"/>
                      <w:sz w:val="22"/>
                      <w:lang w:eastAsia="zh-CN"/>
                    </w:rPr>
                    <m:t>未知</m:t>
                  </m:r>
                  <m:r>
                    <w:rPr>
                      <w:rFonts w:ascii="Cambria Math" w:hAnsi="Cambria Math" w:cs="Cambria Math"/>
                      <w:sz w:val="22"/>
                      <w:lang w:eastAsia="zh-CN"/>
                    </w:rPr>
                    <m:t>,</m:t>
                  </m:r>
                </m:e>
                <m:e>
                  <m:r>
                    <m:rPr>
                      <m:nor/>
                    </m:rPr>
                    <w:rPr>
                      <w:rFonts w:ascii="Cambria Math" w:hAnsi="Cambria Math" w:cs="Cambria Math"/>
                      <w:sz w:val="22"/>
                      <w:lang w:eastAsia="zh-CN"/>
                    </w:rPr>
                    <m:t>其他情形</m:t>
                  </m:r>
                  <m:r>
                    <w:rPr>
                      <w:rFonts w:ascii="Cambria Math" w:hAnsi="Cambria Math" w:cs="Cambria Math"/>
                      <w:sz w:val="22"/>
                      <w:lang w:eastAsia="zh-CN"/>
                    </w:rPr>
                    <m:t>.</m:t>
                  </m:r>
                </m:e>
              </m:mr>
            </m:m>
          </m:e>
        </m:d>
      </m:oMath>
      <w:r>
        <w:rPr>
          <w:rFonts w:cs="Times New Roman"/>
          <w:color w:val="000000"/>
          <w:lang w:eastAsia="zh-CN"/>
        </w:rPr>
        <w:tab/>
      </w:r>
      <w:r>
        <w:rPr>
          <w:rFonts w:cs="Times New Roman"/>
          <w:color w:val="000000"/>
          <w:lang w:eastAsia="zh-CN"/>
        </w:rPr>
        <w:t>（</w:t>
      </w:r>
      <w:r>
        <w:rPr>
          <w:rFonts w:cs="Times New Roman"/>
          <w:color w:val="000000"/>
          <w:lang w:eastAsia="zh-CN"/>
        </w:rPr>
        <w:t>A2</w:t>
      </w:r>
      <w:r>
        <w:rPr>
          <w:rFonts w:cs="Times New Roman"/>
          <w:color w:val="000000"/>
          <w:lang w:eastAsia="zh-CN"/>
        </w:rPr>
        <w:t>）</w:t>
      </w:r>
    </w:p>
    <w:p w14:paraId="6EFFBBC1" w14:textId="77777777" w:rsidR="004E1393" w:rsidRDefault="00EB4DE5">
      <w:pPr>
        <w:rPr>
          <w:lang w:eastAsia="zh-CN"/>
        </w:rPr>
      </w:pPr>
      <w:r>
        <w:rPr>
          <w:rFonts w:cs="Times New Roman"/>
          <w:color w:val="000000"/>
          <w:lang w:eastAsia="zh-CN"/>
        </w:rPr>
        <w:t>式中，</w:t>
      </w:r>
      <m:oMath>
        <m:r>
          <w:rPr>
            <w:rFonts w:ascii="Cambria Math" w:hAnsi="Cambria Math" w:cs="Cambria Math"/>
            <w:lang w:eastAsia="zh-CN"/>
          </w:rPr>
          <m:t>g(f,t)</m:t>
        </m:r>
      </m:oMath>
      <w:r>
        <w:rPr>
          <w:rFonts w:cs="Times New Roman"/>
          <w:color w:val="000000"/>
          <w:lang w:eastAsia="zh-CN"/>
        </w:rPr>
        <w:t>为企业当期所属小类。确认存在禁入时，综合强度取</w:t>
      </w:r>
      <w:r>
        <w:rPr>
          <w:rFonts w:cs="Times New Roman"/>
          <w:color w:val="000000"/>
          <w:lang w:eastAsia="zh-CN"/>
        </w:rPr>
        <w:t>1</w:t>
      </w:r>
      <w:r>
        <w:rPr>
          <w:rFonts w:cs="Times New Roman"/>
          <w:color w:val="000000"/>
          <w:lang w:eastAsia="zh-CN"/>
        </w:rPr>
        <w:t>；其余无法确认的信息保留未知，不补零，也不通过缩小分母继续计算。由于政策活动与小类名称可以局部匹配，局部匹配到禁入要求时也按最严格要求处理，此时的指标含义是匹配活动中存在禁入。禁入项另行列示，以区别于同样可能得到</w:t>
      </w:r>
      <w:r>
        <w:rPr>
          <w:rFonts w:cs="Times New Roman"/>
          <w:color w:val="000000"/>
          <w:lang w:eastAsia="zh-CN"/>
        </w:rPr>
        <w:t>1</w:t>
      </w:r>
      <w:r>
        <w:rPr>
          <w:rFonts w:cs="Times New Roman"/>
          <w:color w:val="000000"/>
          <w:lang w:eastAsia="zh-CN"/>
        </w:rPr>
        <w:t>的非禁入高分组合。</w:t>
      </w:r>
    </w:p>
    <w:p w14:paraId="63D2DF36" w14:textId="77777777" w:rsidR="00D108A5" w:rsidRDefault="002738FB">
      <w:pPr>
        <w:rPr>
          <w:lang w:eastAsia="zh-CN"/>
        </w:rPr>
      </w:pPr>
      <w:r>
        <w:rPr>
          <w:rFonts w:cs="Times New Roman"/>
          <w:color w:val="000000"/>
          <w:lang w:eastAsia="zh-CN"/>
        </w:rPr>
        <w:t>此外，构造辅助指标</w:t>
      </w:r>
      <m:oMath>
        <m:sSub>
          <m:sSubPr>
            <m:ctrlPr>
              <w:rPr>
                <w:rFonts w:ascii="Cambria Math" w:hAnsi="Cambria Math"/>
              </w:rPr>
            </m:ctrlPr>
          </m:sSubPr>
          <m:e>
            <m:r>
              <m:rPr>
                <m:sty m:val="p"/>
              </m:rPr>
              <w:rPr>
                <w:rFonts w:ascii="Cambria Math" w:hAnsi="Cambria Math" w:cs="Cambria Math"/>
                <w:lang w:eastAsia="zh-CN"/>
              </w:rPr>
              <m:t>Restrict</m:t>
            </m:r>
          </m:e>
          <m:sub>
            <m:r>
              <w:rPr>
                <w:rFonts w:ascii="Cambria Math" w:hAnsi="Cambria Math" w:cs="Cambria Math"/>
                <w:lang w:eastAsia="zh-CN"/>
              </w:rPr>
              <m:t>ft</m:t>
            </m:r>
          </m:sub>
        </m:sSub>
      </m:oMath>
      <w:r>
        <w:rPr>
          <w:rFonts w:cs="Times New Roman"/>
          <w:color w:val="000000"/>
          <w:lang w:eastAsia="zh-CN"/>
        </w:rPr>
        <w:t>：确认存在限制时取</w:t>
      </w:r>
      <w:r>
        <w:rPr>
          <w:rFonts w:cs="Times New Roman"/>
          <w:color w:val="000000"/>
          <w:lang w:eastAsia="zh-CN"/>
        </w:rPr>
        <w:t>1</w:t>
      </w:r>
      <w:r>
        <w:rPr>
          <w:rFonts w:cs="Times New Roman"/>
          <w:color w:val="000000"/>
          <w:lang w:eastAsia="zh-CN"/>
        </w:rPr>
        <w:t>，全部确认没有要求时取</w:t>
      </w:r>
      <w:r>
        <w:rPr>
          <w:rFonts w:cs="Times New Roman"/>
          <w:color w:val="000000"/>
          <w:lang w:eastAsia="zh-CN"/>
        </w:rPr>
        <w:t>0</w:t>
      </w:r>
      <w:r>
        <w:rPr>
          <w:rFonts w:cs="Times New Roman"/>
          <w:color w:val="000000"/>
          <w:lang w:eastAsia="zh-CN"/>
        </w:rPr>
        <w:t>，其余情形保留未知。主要分析使用综合强度</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w:t>
      </w:r>
    </w:p>
    <w:p w14:paraId="2BC9FD73" w14:textId="77777777" w:rsidR="004E1393" w:rsidRDefault="00EB4DE5">
      <w:pPr>
        <w:rPr>
          <w:lang w:eastAsia="zh-CN"/>
        </w:rPr>
      </w:pPr>
      <w:r>
        <w:rPr>
          <w:rFonts w:cs="Times New Roman"/>
          <w:color w:val="000000"/>
          <w:lang w:eastAsia="zh-CN"/>
        </w:rPr>
        <w:t>例如，在不存在禁入的情况下，若外资合计股比上限为</w:t>
      </w:r>
      <w:r>
        <w:rPr>
          <w:rFonts w:cs="Times New Roman"/>
          <w:color w:val="000000"/>
          <w:lang w:eastAsia="zh-CN"/>
        </w:rPr>
        <w:t>49%</w:t>
      </w:r>
      <w:r>
        <w:rPr>
          <w:rFonts w:cs="Times New Roman"/>
          <w:color w:val="000000"/>
          <w:lang w:eastAsia="zh-CN"/>
        </w:rPr>
        <w:t>、必须采用合资形式，且其余两个维度均确认没有要求，则四维得分依次为</w:t>
      </w:r>
      <m:oMath>
        <m:d>
          <m:dPr>
            <m:sepChr m:val=","/>
            <m:ctrlPr>
              <w:rPr>
                <w:rFonts w:ascii="Cambria Math" w:hAnsi="Cambria Math"/>
              </w:rPr>
            </m:ctrlPr>
          </m:dPr>
          <m:e>
            <m:r>
              <w:rPr>
                <w:rFonts w:ascii="Cambria Math" w:hAnsi="Cambria Math" w:cs="Cambria Math"/>
                <w:lang w:eastAsia="zh-CN"/>
              </w:rPr>
              <m:t>2</m:t>
            </m:r>
          </m:e>
          <m:e>
            <m:r>
              <w:rPr>
                <w:rFonts w:ascii="Cambria Math" w:hAnsi="Cambria Math" w:cs="Cambria Math"/>
                <w:lang w:eastAsia="zh-CN"/>
              </w:rPr>
              <m:t>1</m:t>
            </m:r>
          </m:e>
          <m:e>
            <m:r>
              <w:rPr>
                <w:rFonts w:ascii="Cambria Math" w:hAnsi="Cambria Math" w:cs="Cambria Math"/>
                <w:lang w:eastAsia="zh-CN"/>
              </w:rPr>
              <m:t>0</m:t>
            </m:r>
          </m:e>
          <m:e>
            <m:r>
              <w:rPr>
                <w:rFonts w:ascii="Cambria Math" w:hAnsi="Cambria Math" w:cs="Cambria Math"/>
                <w:lang w:eastAsia="zh-CN"/>
              </w:rPr>
              <m:t>0</m:t>
            </m:r>
          </m:e>
        </m:d>
      </m:oMath>
      <w:r>
        <w:rPr>
          <w:rFonts w:cs="Times New Roman"/>
          <w:color w:val="000000"/>
          <w:lang w:eastAsia="zh-CN"/>
        </w:rPr>
        <w:t>，综合强度为</w:t>
      </w:r>
      <m:oMath>
        <m:r>
          <w:rPr>
            <w:rFonts w:ascii="Cambria Math" w:hAnsi="Cambria Math" w:cs="Cambria Math"/>
            <w:lang w:eastAsia="zh-CN"/>
          </w:rPr>
          <m:t>(2/3+</m:t>
        </m:r>
        <m:r>
          <w:rPr>
            <w:rFonts w:ascii="Cambria Math" w:hAnsi="Cambria Math" w:cs="Cambria Math"/>
            <w:lang w:eastAsia="zh-CN"/>
          </w:rPr>
          <w:lastRenderedPageBreak/>
          <m:t>1)/4=5/12</m:t>
        </m:r>
      </m:oMath>
      <w:r>
        <w:rPr>
          <w:rFonts w:cs="Times New Roman"/>
          <w:color w:val="000000"/>
          <w:lang w:eastAsia="zh-CN"/>
        </w:rPr>
        <w:t>。当股比上限提高至</w:t>
      </w:r>
      <w:r>
        <w:rPr>
          <w:rFonts w:cs="Times New Roman"/>
          <w:color w:val="000000"/>
          <w:lang w:eastAsia="zh-CN"/>
        </w:rPr>
        <w:t>70%</w:t>
      </w:r>
      <w:r>
        <w:rPr>
          <w:rFonts w:cs="Times New Roman"/>
          <w:color w:val="000000"/>
          <w:lang w:eastAsia="zh-CN"/>
        </w:rPr>
        <w:t>且其他要求不变时，综合强度降为</w:t>
      </w:r>
      <m:oMath>
        <m:f>
          <m:fPr>
            <m:type m:val="lin"/>
            <m:ctrlPr>
              <w:rPr>
                <w:rFonts w:ascii="Cambria Math" w:hAnsi="Cambria Math"/>
              </w:rPr>
            </m:ctrlPr>
          </m:fPr>
          <m:num>
            <m:r>
              <w:rPr>
                <w:rFonts w:ascii="Cambria Math" w:hAnsi="Cambria Math" w:cs="Cambria Math"/>
                <w:lang w:eastAsia="zh-CN"/>
              </w:rPr>
              <m:t>1</m:t>
            </m:r>
          </m:num>
          <m:den>
            <m:r>
              <w:rPr>
                <w:rFonts w:ascii="Cambria Math" w:hAnsi="Cambria Math" w:cs="Cambria Math"/>
                <w:lang w:eastAsia="zh-CN"/>
              </w:rPr>
              <m:t>3</m:t>
            </m:r>
          </m:den>
        </m:f>
      </m:oMath>
      <w:r>
        <w:rPr>
          <w:rFonts w:cs="Times New Roman"/>
          <w:color w:val="000000"/>
          <w:lang w:eastAsia="zh-CN"/>
        </w:rPr>
        <w:t>。评分时仍保留原始股比数值，以记录分档计分未能反映的同一档内变化。</w:t>
      </w:r>
    </w:p>
    <w:p w14:paraId="7F0CEEA7" w14:textId="77777777" w:rsidR="004E1393" w:rsidRDefault="00EB4DE5">
      <w:pPr>
        <w:rPr>
          <w:lang w:eastAsia="zh-CN"/>
        </w:rPr>
      </w:pPr>
      <w:r>
        <w:rPr>
          <w:rFonts w:cs="Times New Roman"/>
          <w:color w:val="000000"/>
          <w:lang w:eastAsia="zh-CN"/>
        </w:rPr>
        <w:t>年度赋值以每年</w:t>
      </w:r>
      <w:r>
        <w:rPr>
          <w:rFonts w:cs="Times New Roman"/>
          <w:color w:val="000000"/>
          <w:lang w:eastAsia="zh-CN"/>
        </w:rPr>
        <w:t>1</w:t>
      </w:r>
      <w:r>
        <w:rPr>
          <w:rFonts w:cs="Times New Roman"/>
          <w:color w:val="000000"/>
          <w:lang w:eastAsia="zh-CN"/>
        </w:rPr>
        <w:t>月</w:t>
      </w:r>
      <w:r>
        <w:rPr>
          <w:rFonts w:cs="Times New Roman"/>
          <w:color w:val="000000"/>
          <w:lang w:eastAsia="zh-CN"/>
        </w:rPr>
        <w:t>1</w:t>
      </w:r>
      <w:r>
        <w:rPr>
          <w:rFonts w:cs="Times New Roman"/>
          <w:color w:val="000000"/>
          <w:lang w:eastAsia="zh-CN"/>
        </w:rPr>
        <w:t>日已经生效的全国规则为基准，草案不作为已生效规则参与评分。各年使用相同的制度定义、评分表和固定最高分，以保持不同年份的评分尺度一致。判断限制是否放宽时，仍须依据措施的具体内容。例如，</w:t>
      </w:r>
      <w:r>
        <w:rPr>
          <w:rFonts w:cs="Times New Roman"/>
          <w:color w:val="000000"/>
          <w:lang w:eastAsia="zh-CN"/>
        </w:rPr>
        <w:t>2017</w:t>
      </w:r>
      <w:r>
        <w:rPr>
          <w:rFonts w:cs="Times New Roman"/>
          <w:color w:val="000000"/>
          <w:lang w:eastAsia="zh-CN"/>
        </w:rPr>
        <w:t>年目录删除的部分措施属于内外资共同限制，因此条目消失本身不构成本文指标的下降。</w:t>
      </w:r>
      <w:r>
        <w:rPr>
          <w:rFonts w:cs="Times New Roman"/>
          <w:color w:val="000000"/>
          <w:lang w:eastAsia="zh-CN"/>
        </w:rPr>
        <w:t xml:space="preserve">[2] </w:t>
      </w:r>
      <w:r>
        <w:rPr>
          <w:rFonts w:cs="Times New Roman"/>
          <w:color w:val="000000"/>
          <w:lang w:eastAsia="zh-CN"/>
        </w:rPr>
        <w:t>鼓励待遇和自贸试验区等特殊规则另作为补充制度信息。</w:t>
      </w:r>
    </w:p>
    <w:p w14:paraId="2E2C809E" w14:textId="77777777" w:rsidR="004E1393" w:rsidRDefault="00EB4DE5">
      <w:pPr>
        <w:pStyle w:val="1"/>
        <w:spacing w:before="0"/>
        <w:rPr>
          <w:lang w:eastAsia="zh-CN"/>
        </w:rPr>
      </w:pPr>
      <w:r>
        <w:rPr>
          <w:rFonts w:ascii="Times New Roman" w:eastAsia="宋体" w:hAnsi="Times New Roman" w:cs="Times New Roman"/>
          <w:lang w:eastAsia="zh-CN"/>
        </w:rPr>
        <w:t xml:space="preserve">A.4 </w:t>
      </w:r>
      <w:r>
        <w:rPr>
          <w:rFonts w:ascii="Times New Roman" w:eastAsia="宋体" w:hAnsi="Times New Roman" w:cs="Times New Roman"/>
          <w:lang w:eastAsia="zh-CN"/>
        </w:rPr>
        <w:t>从行业代码到</w:t>
      </w:r>
      <w:r>
        <w:rPr>
          <w:rFonts w:ascii="Times New Roman" w:eastAsia="宋体" w:hAnsi="Times New Roman" w:cs="Times New Roman"/>
          <w:lang w:eastAsia="zh-CN"/>
        </w:rPr>
        <w:t>AMNE</w:t>
      </w:r>
      <w:r>
        <w:rPr>
          <w:rFonts w:ascii="Times New Roman" w:eastAsia="宋体" w:hAnsi="Times New Roman" w:cs="Times New Roman"/>
          <w:lang w:eastAsia="zh-CN"/>
        </w:rPr>
        <w:t>部门及模型部门</w:t>
      </w:r>
    </w:p>
    <w:p w14:paraId="7C4F024A" w14:textId="77777777" w:rsidR="004E1393" w:rsidRDefault="00EB4DE5">
      <w:pPr>
        <w:rPr>
          <w:rFonts w:cs="Times New Roman"/>
          <w:color w:val="000000"/>
          <w:lang w:eastAsia="zh-CN"/>
        </w:rPr>
      </w:pPr>
      <w:r>
        <w:rPr>
          <w:rFonts w:cs="Times New Roman"/>
          <w:color w:val="000000"/>
          <w:lang w:eastAsia="zh-CN"/>
        </w:rPr>
        <w:t>路径</w:t>
      </w:r>
      <w:r>
        <w:rPr>
          <w:rFonts w:cs="Times New Roman"/>
          <w:color w:val="000000"/>
          <w:lang w:eastAsia="zh-CN"/>
        </w:rPr>
        <w:t>B</w:t>
      </w:r>
      <w:r>
        <w:rPr>
          <w:rFonts w:cs="Times New Roman"/>
          <w:color w:val="000000"/>
          <w:lang w:eastAsia="zh-CN"/>
        </w:rPr>
        <w:t>用于确定企业当期生产在</w:t>
      </w:r>
      <w:r>
        <w:rPr>
          <w:rFonts w:cs="Times New Roman"/>
          <w:color w:val="000000"/>
          <w:lang w:eastAsia="zh-CN"/>
        </w:rPr>
        <w:t>AMNE</w:t>
      </w:r>
      <w:r>
        <w:rPr>
          <w:rFonts w:cs="Times New Roman"/>
          <w:color w:val="000000"/>
          <w:lang w:eastAsia="zh-CN"/>
        </w:rPr>
        <w:t>及模型中的部门归属。首先，依据企业当期行业代码及所属版本衔接新旧</w:t>
      </w:r>
      <w:r>
        <w:rPr>
          <w:rFonts w:cs="Times New Roman"/>
          <w:color w:val="000000"/>
          <w:lang w:eastAsia="zh-CN"/>
        </w:rPr>
        <w:t>GB</w:t>
      </w:r>
      <w:r>
        <w:rPr>
          <w:rFonts w:cs="Times New Roman"/>
          <w:color w:val="000000"/>
          <w:lang w:eastAsia="zh-CN"/>
        </w:rPr>
        <w:t>分类：</w:t>
      </w:r>
      <w:r>
        <w:rPr>
          <w:rFonts w:cs="Times New Roman"/>
          <w:color w:val="000000"/>
          <w:lang w:eastAsia="zh-CN"/>
        </w:rPr>
        <w:t>GB2002</w:t>
      </w:r>
      <w:r>
        <w:rPr>
          <w:rFonts w:cs="Times New Roman"/>
          <w:color w:val="000000"/>
          <w:lang w:eastAsia="zh-CN"/>
        </w:rPr>
        <w:t>代码经</w:t>
      </w:r>
      <w:r>
        <w:rPr>
          <w:rFonts w:cs="Times New Roman"/>
          <w:color w:val="000000"/>
          <w:lang w:eastAsia="zh-CN"/>
        </w:rPr>
        <w:t>GB2002—GB2011</w:t>
      </w:r>
      <w:r>
        <w:rPr>
          <w:rFonts w:cs="Times New Roman"/>
          <w:color w:val="000000"/>
          <w:lang w:eastAsia="zh-CN"/>
        </w:rPr>
        <w:t>对照表转至</w:t>
      </w:r>
      <w:r>
        <w:rPr>
          <w:rFonts w:cs="Times New Roman"/>
          <w:color w:val="000000"/>
          <w:lang w:eastAsia="zh-CN"/>
        </w:rPr>
        <w:t>GB2011</w:t>
      </w:r>
      <w:r>
        <w:rPr>
          <w:rFonts w:cs="Times New Roman"/>
          <w:color w:val="000000"/>
          <w:lang w:eastAsia="zh-CN"/>
        </w:rPr>
        <w:t>，再通过</w:t>
      </w:r>
      <w:r>
        <w:rPr>
          <w:rFonts w:cs="Times New Roman"/>
          <w:color w:val="000000"/>
          <w:lang w:eastAsia="zh-CN"/>
        </w:rPr>
        <w:t>GB2017</w:t>
      </w:r>
      <w:r>
        <w:rPr>
          <w:rFonts w:cs="Times New Roman"/>
          <w:color w:val="000000"/>
          <w:lang w:eastAsia="zh-CN"/>
        </w:rPr>
        <w:t>附录</w:t>
      </w:r>
      <w:r>
        <w:rPr>
          <w:rFonts w:cs="Times New Roman"/>
          <w:color w:val="000000"/>
          <w:lang w:eastAsia="zh-CN"/>
        </w:rPr>
        <w:t>B</w:t>
      </w:r>
      <w:r>
        <w:rPr>
          <w:rFonts w:cs="Times New Roman"/>
          <w:color w:val="000000"/>
          <w:lang w:eastAsia="zh-CN"/>
        </w:rPr>
        <w:t>衔接至</w:t>
      </w:r>
      <w:r>
        <w:rPr>
          <w:rFonts w:cs="Times New Roman"/>
          <w:color w:val="000000"/>
          <w:lang w:eastAsia="zh-CN"/>
        </w:rPr>
        <w:t>GB2017</w:t>
      </w:r>
      <w:r>
        <w:rPr>
          <w:rFonts w:cs="Times New Roman"/>
          <w:color w:val="000000"/>
          <w:lang w:eastAsia="zh-CN"/>
        </w:rPr>
        <w:t>。随后，依据</w:t>
      </w:r>
      <w:r>
        <w:rPr>
          <w:rFonts w:cs="Times New Roman"/>
          <w:color w:val="000000"/>
          <w:lang w:eastAsia="zh-CN"/>
        </w:rPr>
        <w:t>GB2017</w:t>
      </w:r>
      <w:r>
        <w:rPr>
          <w:rFonts w:cs="Times New Roman"/>
          <w:color w:val="000000"/>
          <w:lang w:eastAsia="zh-CN"/>
        </w:rPr>
        <w:t>附录</w:t>
      </w:r>
      <w:r>
        <w:rPr>
          <w:rFonts w:cs="Times New Roman"/>
          <w:color w:val="000000"/>
          <w:lang w:eastAsia="zh-CN"/>
        </w:rPr>
        <w:t>C</w:t>
      </w:r>
      <w:r>
        <w:rPr>
          <w:rFonts w:cs="Times New Roman"/>
          <w:color w:val="000000"/>
          <w:lang w:eastAsia="zh-CN"/>
        </w:rPr>
        <w:t>对应</w:t>
      </w:r>
      <w:r>
        <w:rPr>
          <w:rFonts w:cs="Times New Roman"/>
          <w:color w:val="000000"/>
          <w:lang w:eastAsia="zh-CN"/>
        </w:rPr>
        <w:t>ISIC Rev.4</w:t>
      </w:r>
      <w:r>
        <w:rPr>
          <w:rFonts w:cs="Times New Roman"/>
          <w:color w:val="000000"/>
          <w:lang w:eastAsia="zh-CN"/>
        </w:rPr>
        <w:t>，按</w:t>
      </w:r>
      <w:r>
        <w:rPr>
          <w:rFonts w:cs="Times New Roman"/>
          <w:color w:val="000000"/>
          <w:lang w:eastAsia="zh-CN"/>
        </w:rPr>
        <w:t>AMNE</w:t>
      </w:r>
      <w:r>
        <w:rPr>
          <w:rFonts w:cs="Times New Roman"/>
          <w:color w:val="000000"/>
          <w:lang w:eastAsia="zh-CN"/>
        </w:rPr>
        <w:t>发布版所列的</w:t>
      </w:r>
      <w:r>
        <w:rPr>
          <w:rFonts w:cs="Times New Roman"/>
          <w:color w:val="000000"/>
          <w:lang w:eastAsia="zh-CN"/>
        </w:rPr>
        <w:t>ISIC</w:t>
      </w:r>
      <w:r>
        <w:rPr>
          <w:rFonts w:cs="Times New Roman"/>
          <w:color w:val="000000"/>
          <w:lang w:eastAsia="zh-CN"/>
        </w:rPr>
        <w:t>范围归类，最后聚合至模型部门。</w:t>
      </w:r>
      <w:r>
        <w:rPr>
          <w:rFonts w:cs="Times New Roman"/>
          <w:color w:val="000000"/>
          <w:lang w:eastAsia="zh-CN"/>
        </w:rPr>
        <w:t>[4,5,6]</w:t>
      </w:r>
    </w:p>
    <w:p w14:paraId="2A45B8CA" w14:textId="3BEDCF2D" w:rsidR="00930D9F" w:rsidRDefault="00930D9F">
      <w:pPr>
        <w:rPr>
          <w:lang w:eastAsia="zh-CN"/>
        </w:rPr>
      </w:pPr>
      <w:r w:rsidRPr="00930D9F">
        <w:rPr>
          <w:lang w:eastAsia="zh-CN"/>
        </w:rPr>
        <w:t>新旧分类存在一对多对应时，依据分类对照表保留可能的行业归属。若这些候选行业均属于同一</w:t>
      </w:r>
      <w:r w:rsidRPr="00930D9F">
        <w:rPr>
          <w:lang w:eastAsia="zh-CN"/>
        </w:rPr>
        <w:t>AMNE</w:t>
      </w:r>
      <w:r w:rsidRPr="00930D9F">
        <w:rPr>
          <w:lang w:eastAsia="zh-CN"/>
        </w:rPr>
        <w:t>部门或模型部门，则可以确定企业在相应层级的部门归属；若仍对应不同部门且缺乏进一步区分的资料，则暂不确定该层级归属。随后，将部门标识与企业当年的清单限制强度相匹配，用于后续分析和部门生产加总。</w:t>
      </w:r>
    </w:p>
    <w:p w14:paraId="7194F7FB" w14:textId="77777777" w:rsidR="004E1393" w:rsidRDefault="00EB4DE5">
      <w:pPr>
        <w:pStyle w:val="1"/>
        <w:spacing w:before="0"/>
        <w:rPr>
          <w:lang w:eastAsia="zh-CN"/>
        </w:rPr>
      </w:pPr>
      <w:r>
        <w:rPr>
          <w:rFonts w:ascii="Times New Roman" w:eastAsia="宋体" w:hAnsi="Times New Roman" w:cs="Times New Roman"/>
          <w:lang w:eastAsia="zh-CN"/>
        </w:rPr>
        <w:t xml:space="preserve">A.5 </w:t>
      </w:r>
      <w:r>
        <w:rPr>
          <w:rFonts w:ascii="Times New Roman" w:eastAsia="宋体" w:hAnsi="Times New Roman" w:cs="Times New Roman"/>
          <w:lang w:eastAsia="zh-CN"/>
        </w:rPr>
        <w:t>清单限制强度与企业经营表现</w:t>
      </w:r>
    </w:p>
    <w:p w14:paraId="7AFA5A7B" w14:textId="77777777" w:rsidR="004E1393" w:rsidRDefault="00EB4DE5">
      <w:pPr>
        <w:rPr>
          <w:lang w:eastAsia="zh-CN"/>
        </w:rPr>
      </w:pPr>
      <w:r>
        <w:rPr>
          <w:rFonts w:cs="Times New Roman"/>
          <w:color w:val="000000"/>
          <w:lang w:eastAsia="zh-CN"/>
        </w:rPr>
        <w:t>在完成限制强度赋值和部门匹配后，本文利用企业面板估计限制强度与经营表现的关系。生产价值采用泊松伪极大似然（</w:t>
      </w:r>
      <w:r>
        <w:rPr>
          <w:rFonts w:cs="Times New Roman"/>
          <w:color w:val="000000"/>
          <w:lang w:eastAsia="zh-CN"/>
        </w:rPr>
        <w:t>PPML</w:t>
      </w:r>
      <w:r>
        <w:rPr>
          <w:rFonts w:cs="Times New Roman"/>
          <w:color w:val="000000"/>
          <w:lang w:eastAsia="zh-CN"/>
        </w:rPr>
        <w:t>）条件均值模型，其中</w:t>
      </w:r>
      <m:oMath>
        <m:r>
          <w:rPr>
            <w:rFonts w:ascii="Cambria Math" w:hAnsi="Cambria Math" w:cs="Cambria Math"/>
            <w:lang w:eastAsia="zh-CN"/>
          </w:rPr>
          <m:t>f</m:t>
        </m:r>
      </m:oMath>
      <w:r>
        <w:rPr>
          <w:rFonts w:cs="Times New Roman"/>
          <w:color w:val="000000"/>
          <w:lang w:eastAsia="zh-CN"/>
        </w:rPr>
        <w:t>表示企业，</w:t>
      </w:r>
      <m:oMath>
        <m:r>
          <w:rPr>
            <w:rFonts w:ascii="Cambria Math" w:hAnsi="Cambria Math" w:cs="Cambria Math"/>
            <w:lang w:eastAsia="zh-CN"/>
          </w:rPr>
          <m:t>t</m:t>
        </m:r>
      </m:oMath>
      <w:r>
        <w:rPr>
          <w:rFonts w:cs="Times New Roman"/>
          <w:color w:val="000000"/>
          <w:lang w:eastAsia="zh-CN"/>
        </w:rPr>
        <w:t>表示年份，</w:t>
      </w:r>
      <m:oMath>
        <m:sSub>
          <m:sSubPr>
            <m:ctrlPr>
              <w:rPr>
                <w:rFonts w:ascii="Cambria Math" w:hAnsi="Cambria Math"/>
              </w:rPr>
            </m:ctrlPr>
          </m:sSubPr>
          <m:e>
            <m:r>
              <w:rPr>
                <w:rFonts w:ascii="Cambria Math" w:hAnsi="Cambria Math" w:cs="Cambria Math"/>
                <w:lang w:eastAsia="zh-CN"/>
              </w:rPr>
              <m:t>X</m:t>
            </m:r>
          </m:e>
          <m:sub>
            <m:r>
              <w:rPr>
                <w:rFonts w:ascii="Cambria Math" w:hAnsi="Cambria Math" w:cs="Cambria Math"/>
                <w:lang w:eastAsia="zh-CN"/>
              </w:rPr>
              <m:t>ft</m:t>
            </m:r>
          </m:sub>
        </m:sSub>
      </m:oMath>
      <w:r>
        <w:rPr>
          <w:rFonts w:cs="Times New Roman"/>
          <w:color w:val="000000"/>
          <w:lang w:eastAsia="zh-CN"/>
        </w:rPr>
        <w:t>为控制变量：</w:t>
      </w:r>
      <w:r>
        <w:rPr>
          <w:rFonts w:cs="Times New Roman"/>
          <w:color w:val="000000"/>
          <w:lang w:eastAsia="zh-CN"/>
        </w:rPr>
        <w:t>[8]</w:t>
      </w:r>
    </w:p>
    <w:p w14:paraId="716E1C16"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r>
          <w:rPr>
            <w:rFonts w:ascii="Cambria Math" w:hAnsi="Cambria Math" w:cs="Cambria Math"/>
            <w:sz w:val="22"/>
          </w:rPr>
          <m:t>E[</m:t>
        </m:r>
        <m:sSub>
          <m:sSubPr>
            <m:ctrlPr>
              <w:rPr>
                <w:rFonts w:ascii="Cambria Math" w:hAnsi="Cambria Math"/>
              </w:rPr>
            </m:ctrlPr>
          </m:sSubPr>
          <m:e>
            <m:r>
              <w:rPr>
                <w:rFonts w:ascii="Cambria Math" w:hAnsi="Cambria Math" w:cs="Cambria Math"/>
                <w:sz w:val="22"/>
              </w:rPr>
              <m:t>Q</m:t>
            </m:r>
          </m:e>
          <m:sub>
            <m:r>
              <w:rPr>
                <w:rFonts w:ascii="Cambria Math" w:hAnsi="Cambria Math" w:cs="Cambria Math"/>
                <w:sz w:val="22"/>
              </w:rPr>
              <m:t>ft</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Z</m:t>
            </m:r>
          </m:e>
          <m:sub>
            <m:r>
              <w:rPr>
                <w:rFonts w:ascii="Cambria Math" w:hAnsi="Cambria Math" w:cs="Cambria Math"/>
                <w:sz w:val="22"/>
              </w:rPr>
              <m:t>ft</m:t>
            </m:r>
          </m:sub>
        </m:sSub>
        <m:r>
          <w:rPr>
            <w:rFonts w:ascii="Cambria Math" w:hAnsi="Cambria Math" w:cs="Cambria Math"/>
            <w:sz w:val="22"/>
          </w:rPr>
          <m:t>]=</m:t>
        </m:r>
        <m:r>
          <m:rPr>
            <m:sty m:val="p"/>
          </m:rPr>
          <w:rPr>
            <w:rFonts w:ascii="Cambria Math" w:hAnsi="Cambria Math" w:cs="Cambria Math"/>
            <w:sz w:val="22"/>
          </w:rPr>
          <m:t>exp</m:t>
        </m:r>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α</m:t>
            </m:r>
          </m:e>
          <m:sub>
            <m:r>
              <w:rPr>
                <w:rFonts w:ascii="Cambria Math" w:hAnsi="Cambria Math" w:cs="Cambria Math"/>
                <w:sz w:val="22"/>
              </w:rPr>
              <m:t>f</m:t>
            </m:r>
          </m:sub>
        </m:sSub>
        <m:r>
          <w:rPr>
            <w:rFonts w:ascii="Cambria Math" w:hAnsi="Cambria Math" w:cs="Cambria Math"/>
            <w:sz w:val="22"/>
          </w:rPr>
          <m:t>+</m:t>
        </m:r>
        <m:sSub>
          <m:sSubPr>
            <m:ctrlPr>
              <w:rPr>
                <w:rFonts w:ascii="Cambria Math" w:hAnsi="Cambria Math"/>
              </w:rPr>
            </m:ctrlPr>
          </m:sSubPr>
          <m:e>
            <m:r>
              <w:rPr>
                <w:rFonts w:ascii="Cambria Math" w:hAnsi="Cambria Math" w:cs="Cambria Math"/>
                <w:sz w:val="22"/>
              </w:rPr>
              <m:t>λ</m:t>
            </m:r>
          </m:e>
          <m:sub>
            <m:r>
              <w:rPr>
                <w:rFonts w:ascii="Cambria Math" w:hAnsi="Cambria Math" w:cs="Cambria Math"/>
                <w:sz w:val="22"/>
              </w:rPr>
              <m:t>t</m:t>
            </m:r>
          </m:sub>
        </m:sSub>
        <m:r>
          <w:rPr>
            <w:rFonts w:ascii="Cambria Math" w:hAnsi="Cambria Math" w:cs="Cambria Math"/>
            <w:sz w:val="22"/>
          </w:rPr>
          <m:t>+β</m:t>
        </m:r>
        <m:sSub>
          <m:sSubPr>
            <m:ctrlPr>
              <w:rPr>
                <w:rFonts w:ascii="Cambria Math" w:hAnsi="Cambria Math"/>
              </w:rPr>
            </m:ctrlPr>
          </m:sSubPr>
          <m:e>
            <m:r>
              <m:rPr>
                <m:sty m:val="p"/>
              </m:rPr>
              <w:rPr>
                <w:rFonts w:ascii="Cambria Math" w:hAnsi="Cambria Math" w:cs="Cambria Math"/>
                <w:sz w:val="22"/>
              </w:rPr>
              <m:t>Intensity</m:t>
            </m:r>
          </m:e>
          <m:sub>
            <m:r>
              <w:rPr>
                <w:rFonts w:ascii="Cambria Math" w:hAnsi="Cambria Math" w:cs="Cambria Math"/>
                <w:sz w:val="22"/>
              </w:rPr>
              <m:t>ft</m:t>
            </m:r>
          </m:sub>
        </m:sSub>
        <m:r>
          <w:rPr>
            <w:rFonts w:ascii="Cambria Math" w:hAnsi="Cambria Math" w:cs="Cambria Math"/>
            <w:sz w:val="22"/>
          </w:rPr>
          <m:t>+</m:t>
        </m:r>
        <m:sSubSup>
          <m:sSubSupPr>
            <m:ctrlPr>
              <w:rPr>
                <w:rFonts w:ascii="Cambria Math" w:hAnsi="Cambria Math"/>
              </w:rPr>
            </m:ctrlPr>
          </m:sSubSupPr>
          <m:e>
            <m:r>
              <w:rPr>
                <w:rFonts w:ascii="Cambria Math" w:hAnsi="Cambria Math" w:cs="Cambria Math"/>
                <w:sz w:val="22"/>
              </w:rPr>
              <m:t>X</m:t>
            </m:r>
          </m:e>
          <m:sub>
            <m:r>
              <w:rPr>
                <w:rFonts w:ascii="Cambria Math" w:hAnsi="Cambria Math" w:cs="Cambria Math"/>
                <w:sz w:val="22"/>
              </w:rPr>
              <m:t>ft</m:t>
            </m:r>
          </m:sub>
          <m:sup>
            <m:r>
              <w:rPr>
                <w:rFonts w:ascii="Cambria Math" w:hAnsi="Cambria Math" w:cs="Cambria Math"/>
                <w:sz w:val="22"/>
              </w:rPr>
              <m:t>'</m:t>
            </m:r>
          </m:sup>
        </m:sSubSup>
        <m:r>
          <w:rPr>
            <w:rFonts w:ascii="Cambria Math" w:hAnsi="Cambria Math" w:cs="Cambria Math"/>
            <w:sz w:val="22"/>
          </w:rPr>
          <m:t>γ).</m:t>
        </m:r>
      </m:oMath>
      <w:r>
        <w:rPr>
          <w:rFonts w:cs="Times New Roman"/>
          <w:color w:val="000000"/>
          <w:lang w:eastAsia="zh-CN"/>
        </w:rPr>
        <w:tab/>
      </w:r>
      <w:r>
        <w:rPr>
          <w:rFonts w:cs="Times New Roman"/>
          <w:color w:val="000000"/>
          <w:lang w:eastAsia="zh-CN"/>
        </w:rPr>
        <w:t>（</w:t>
      </w:r>
      <w:r>
        <w:rPr>
          <w:rFonts w:cs="Times New Roman"/>
          <w:color w:val="000000"/>
          <w:lang w:eastAsia="zh-CN"/>
        </w:rPr>
        <w:t>A3</w:t>
      </w:r>
      <w:r>
        <w:rPr>
          <w:rFonts w:cs="Times New Roman"/>
          <w:color w:val="000000"/>
          <w:lang w:eastAsia="zh-CN"/>
        </w:rPr>
        <w:t>）</w:t>
      </w:r>
    </w:p>
    <w:p w14:paraId="28387E7E" w14:textId="77777777" w:rsidR="004E1393" w:rsidRDefault="00FD0012">
      <w:pPr>
        <w:rPr>
          <w:lang w:eastAsia="zh-CN"/>
        </w:rPr>
      </w:pPr>
      <w:r>
        <w:rPr>
          <w:rFonts w:cs="Times New Roman"/>
          <w:color w:val="000000"/>
          <w:lang w:eastAsia="zh-CN"/>
        </w:rPr>
        <w:t>其中，</w:t>
      </w:r>
      <m:oMath>
        <m:sSub>
          <m:sSubPr>
            <m:ctrlPr>
              <w:rPr>
                <w:rFonts w:ascii="Cambria Math" w:hAnsi="Cambria Math"/>
              </w:rPr>
            </m:ctrlPr>
          </m:sSubPr>
          <m:e>
            <m:r>
              <w:rPr>
                <w:rFonts w:ascii="Cambria Math" w:hAnsi="Cambria Math" w:cs="Cambria Math"/>
                <w:lang w:eastAsia="zh-CN"/>
              </w:rPr>
              <m:t>α</m:t>
            </m:r>
          </m:e>
          <m:sub>
            <m:r>
              <w:rPr>
                <w:rFonts w:ascii="Cambria Math" w:hAnsi="Cambria Math" w:cs="Cambria Math"/>
                <w:lang w:eastAsia="zh-CN"/>
              </w:rPr>
              <m:t>f</m:t>
            </m:r>
          </m:sub>
        </m:sSub>
      </m:oMath>
      <w:r>
        <w:rPr>
          <w:rFonts w:cs="Times New Roman"/>
          <w:color w:val="000000"/>
          <w:lang w:eastAsia="zh-CN"/>
        </w:rPr>
        <w:t>和</w:t>
      </w:r>
      <m:oMath>
        <m:sSub>
          <m:sSubPr>
            <m:ctrlPr>
              <w:rPr>
                <w:rFonts w:ascii="Cambria Math" w:hAnsi="Cambria Math"/>
              </w:rPr>
            </m:ctrlPr>
          </m:sSubPr>
          <m:e>
            <m:r>
              <w:rPr>
                <w:rFonts w:ascii="Cambria Math" w:hAnsi="Cambria Math" w:cs="Cambria Math"/>
                <w:lang w:eastAsia="zh-CN"/>
              </w:rPr>
              <m:t>λ</m:t>
            </m:r>
          </m:e>
          <m:sub>
            <m:r>
              <w:rPr>
                <w:rFonts w:ascii="Cambria Math" w:hAnsi="Cambria Math" w:cs="Cambria Math"/>
                <w:lang w:eastAsia="zh-CN"/>
              </w:rPr>
              <m:t>t</m:t>
            </m:r>
          </m:sub>
        </m:sSub>
      </m:oMath>
      <w:r>
        <w:rPr>
          <w:rFonts w:cs="Times New Roman"/>
          <w:color w:val="000000"/>
          <w:lang w:eastAsia="zh-CN"/>
        </w:rPr>
        <w:t>分别为企业固定效应与年份固定效应，用于控制不随时间变化的企业特征和各企业共同面对的年度环境。在其他条件给定时，限制强度增加</w:t>
      </w:r>
      <w:r>
        <w:rPr>
          <w:rFonts w:cs="Times New Roman"/>
          <w:color w:val="000000"/>
          <w:lang w:eastAsia="zh-CN"/>
        </w:rPr>
        <w:t>0.1</w:t>
      </w:r>
      <w:r>
        <w:rPr>
          <w:rFonts w:cs="Times New Roman"/>
          <w:color w:val="000000"/>
          <w:lang w:eastAsia="zh-CN"/>
        </w:rPr>
        <w:t>个指数单位，对应的条件生产均值比例变化为</w:t>
      </w:r>
      <m:oMath>
        <m:sSup>
          <m:sSupPr>
            <m:ctrlPr>
              <w:rPr>
                <w:rFonts w:ascii="Cambria Math" w:hAnsi="Cambria Math" w:cs="Cambria Math"/>
                <w:i/>
                <w:lang w:eastAsia="zh-CN"/>
              </w:rPr>
            </m:ctrlPr>
          </m:sSupPr>
          <m:e>
            <m:r>
              <w:rPr>
                <w:rFonts w:ascii="Cambria Math" w:hAnsi="Cambria Math" w:cs="Cambria Math"/>
                <w:lang w:eastAsia="zh-CN"/>
              </w:rPr>
              <m:t>e</m:t>
            </m:r>
          </m:e>
          <m:sup>
            <m:r>
              <w:rPr>
                <w:rFonts w:ascii="Cambria Math" w:hAnsi="Cambria Math" w:cs="Cambria Math"/>
                <w:lang w:eastAsia="zh-CN"/>
              </w:rPr>
              <m:t>0.1β</m:t>
            </m:r>
          </m:sup>
        </m:sSup>
        <m:r>
          <w:rPr>
            <w:rFonts w:ascii="Cambria Math" w:hAnsi="Cambria Math" w:cs="Cambria Math"/>
            <w:lang w:eastAsia="zh-CN"/>
          </w:rPr>
          <m:t>-1</m:t>
        </m:r>
      </m:oMath>
      <w:r>
        <w:rPr>
          <w:rFonts w:cs="Times New Roman"/>
          <w:color w:val="000000"/>
          <w:lang w:eastAsia="zh-CN"/>
        </w:rPr>
        <w:t>。上述估计刻画限制强度与生产之间的条件性联系。</w:t>
      </w:r>
    </w:p>
    <w:p w14:paraId="715374D1" w14:textId="77777777" w:rsidR="00D108A5" w:rsidRDefault="002738FB" w:rsidP="00BA3143">
      <w:pPr>
        <w:spacing w:after="0" w:line="20" w:lineRule="exact"/>
        <w:ind w:firstLine="0"/>
        <w:rPr>
          <w:lang w:eastAsia="zh-CN"/>
        </w:rPr>
      </w:pPr>
      <w:r>
        <w:rPr>
          <w:sz w:val="2"/>
          <w:lang w:eastAsia="zh-CN"/>
        </w:rPr>
        <w:br w:type="page"/>
      </w:r>
    </w:p>
    <w:p w14:paraId="29B55F80" w14:textId="77777777" w:rsidR="004E1393" w:rsidRDefault="00EB4DE5">
      <w:pPr>
        <w:pStyle w:val="1"/>
        <w:spacing w:before="0"/>
        <w:rPr>
          <w:lang w:eastAsia="zh-CN"/>
        </w:rPr>
      </w:pPr>
      <w:r>
        <w:rPr>
          <w:rFonts w:ascii="Times New Roman" w:eastAsia="宋体" w:hAnsi="Times New Roman" w:cs="Times New Roman"/>
          <w:lang w:eastAsia="zh-CN"/>
        </w:rPr>
        <w:lastRenderedPageBreak/>
        <w:t xml:space="preserve">A.6 </w:t>
      </w:r>
      <w:r>
        <w:rPr>
          <w:rFonts w:ascii="Times New Roman" w:eastAsia="宋体" w:hAnsi="Times New Roman" w:cs="Times New Roman"/>
          <w:lang w:eastAsia="zh-CN"/>
        </w:rPr>
        <w:t>从企业预测形成部门生产目标</w:t>
      </w:r>
    </w:p>
    <w:p w14:paraId="2E1D88CB" w14:textId="77777777" w:rsidR="004E1393" w:rsidRDefault="00EB4DE5">
      <w:pPr>
        <w:rPr>
          <w:lang w:eastAsia="zh-CN"/>
        </w:rPr>
      </w:pPr>
      <w:r>
        <w:rPr>
          <w:rFonts w:cs="Times New Roman"/>
          <w:color w:val="000000"/>
          <w:lang w:eastAsia="zh-CN"/>
        </w:rPr>
        <w:t>本节将企业回归结果转为部门生产目标。具体而言，在同一基准年份比较实际限制与取消限制两种情景，计算税调样本的部门外国控制生产份额之差，供</w:t>
      </w:r>
      <w:r>
        <w:rPr>
          <w:rFonts w:cs="Times New Roman"/>
          <w:color w:val="000000"/>
          <w:lang w:eastAsia="zh-CN"/>
        </w:rPr>
        <w:t>A.7</w:t>
      </w:r>
      <w:r>
        <w:rPr>
          <w:rFonts w:cs="Times New Roman"/>
          <w:color w:val="000000"/>
          <w:lang w:eastAsia="zh-CN"/>
        </w:rPr>
        <w:t>的结构模型拟合。</w:t>
      </w:r>
    </w:p>
    <w:p w14:paraId="3E159EAD" w14:textId="77777777" w:rsidR="004E1393" w:rsidRDefault="00EB4DE5">
      <w:pPr>
        <w:rPr>
          <w:lang w:eastAsia="zh-CN"/>
        </w:rPr>
      </w:pPr>
      <w:r>
        <w:rPr>
          <w:rFonts w:cs="Times New Roman"/>
          <w:color w:val="000000"/>
          <w:lang w:eastAsia="zh-CN"/>
        </w:rPr>
        <w:t>首先，沿用</w:t>
      </w:r>
      <w:r>
        <w:rPr>
          <w:rFonts w:cs="Times New Roman"/>
          <w:color w:val="000000"/>
          <w:lang w:eastAsia="zh-CN"/>
        </w:rPr>
        <w:t>A.5</w:t>
      </w:r>
      <w:r>
        <w:rPr>
          <w:rFonts w:cs="Times New Roman"/>
          <w:color w:val="000000"/>
          <w:lang w:eastAsia="zh-CN"/>
        </w:rPr>
        <w:t>的模型形式，分别以外国控制生产和国内控制生产为被解释变量，估计两套预测方程。随后，在同一基准年份</w:t>
      </w:r>
      <m:oMath>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oMath>
      <w:r>
        <w:rPr>
          <w:rFonts w:cs="Times New Roman"/>
          <w:color w:val="000000"/>
          <w:lang w:eastAsia="zh-CN"/>
        </w:rPr>
        <w:t>构造两种情景：情景</w:t>
      </w:r>
      <w:r>
        <w:rPr>
          <w:rFonts w:cs="Times New Roman"/>
          <w:color w:val="000000"/>
          <w:lang w:eastAsia="zh-CN"/>
        </w:rPr>
        <w:t>0</w:t>
      </w:r>
      <w:r>
        <w:rPr>
          <w:rFonts w:cs="Times New Roman"/>
          <w:color w:val="000000"/>
          <w:lang w:eastAsia="zh-CN"/>
        </w:rPr>
        <w:t>保留实际限制强度</w:t>
      </w:r>
      <m:oMath>
        <m:sSub>
          <m:sSubPr>
            <m:ctrlPr>
              <w:rPr>
                <w:rFonts w:ascii="Cambria Math" w:hAnsi="Cambria Math"/>
              </w:rPr>
            </m:ctrlPr>
          </m:sSubPr>
          <m:e>
            <m:r>
              <m:rPr>
                <m:sty m:val="p"/>
              </m:rPr>
              <w:rPr>
                <w:rFonts w:ascii="Cambria Math" w:hAnsi="Cambria Math" w:cs="Cambria Math"/>
                <w:lang w:eastAsia="zh-CN"/>
              </w:rPr>
              <m:t>Intensity</m:t>
            </m:r>
          </m:e>
          <m:sub>
            <m:r>
              <w:rPr>
                <w:rFonts w:ascii="Cambria Math" w:hAnsi="Cambria Math" w:cs="Cambria Math"/>
                <w:lang w:eastAsia="zh-CN"/>
              </w:rPr>
              <m:t>ft</m:t>
            </m:r>
          </m:sub>
        </m:sSub>
      </m:oMath>
      <w:r>
        <w:rPr>
          <w:rFonts w:cs="Times New Roman"/>
          <w:color w:val="000000"/>
          <w:lang w:eastAsia="zh-CN"/>
        </w:rPr>
        <w:t>，情景</w:t>
      </w:r>
      <w:r>
        <w:rPr>
          <w:rFonts w:cs="Times New Roman"/>
          <w:color w:val="000000"/>
          <w:lang w:eastAsia="zh-CN"/>
        </w:rPr>
        <w:t>1</w:t>
      </w:r>
      <w:r>
        <w:rPr>
          <w:rFonts w:cs="Times New Roman"/>
          <w:color w:val="000000"/>
          <w:lang w:eastAsia="zh-CN"/>
        </w:rPr>
        <w:t>将强度统一设为</w:t>
      </w:r>
      <w:r>
        <w:rPr>
          <w:rFonts w:cs="Times New Roman"/>
          <w:color w:val="000000"/>
          <w:lang w:eastAsia="zh-CN"/>
        </w:rPr>
        <w:t>0</w:t>
      </w:r>
      <w:r>
        <w:rPr>
          <w:rFonts w:cs="Times New Roman"/>
          <w:color w:val="000000"/>
          <w:lang w:eastAsia="zh-CN"/>
        </w:rPr>
        <w:t>，表示取消本研究纳入的清单限制。</w:t>
      </w:r>
    </w:p>
    <w:p w14:paraId="5E751EE6" w14:textId="77777777" w:rsidR="00D108A5" w:rsidRDefault="002738FB">
      <w:pPr>
        <w:rPr>
          <w:lang w:eastAsia="zh-CN"/>
        </w:rPr>
      </w:pPr>
      <w:r>
        <w:rPr>
          <w:rFonts w:cs="Times New Roman"/>
          <w:color w:val="000000"/>
          <w:lang w:eastAsia="zh-CN"/>
        </w:rPr>
        <w:t>两种情景使用同一批税调样本企业，并保持行业归属和控制口径一致。对每一套方程，预测时均保留其估计系数、固定效应和控制变量，仅替换限制强度输入，从而分别得到两种情景下的外国控制生产与国内控制生产。</w:t>
      </w:r>
    </w:p>
    <w:p w14:paraId="4E2F4568" w14:textId="77777777" w:rsidR="004E1393" w:rsidRDefault="00EB4DE5">
      <w:pPr>
        <w:rPr>
          <w:lang w:eastAsia="zh-CN"/>
        </w:rPr>
      </w:pPr>
      <w:r>
        <w:rPr>
          <w:rFonts w:cs="Times New Roman"/>
          <w:color w:val="000000"/>
          <w:lang w:eastAsia="zh-CN"/>
        </w:rPr>
        <w:t>其次，按照路径</w:t>
      </w:r>
      <w:r>
        <w:rPr>
          <w:rFonts w:cs="Times New Roman"/>
          <w:color w:val="000000"/>
          <w:lang w:eastAsia="zh-CN"/>
        </w:rPr>
        <w:t>B</w:t>
      </w:r>
      <w:r>
        <w:rPr>
          <w:rFonts w:cs="Times New Roman"/>
          <w:color w:val="000000"/>
          <w:lang w:eastAsia="zh-CN"/>
        </w:rPr>
        <w:t>确定的部门归属，在同一预测样本范围内加总企业预测值，得到各模型部门的外国控制生产</w:t>
      </w:r>
      <m:oMath>
        <m:sSubSup>
          <m:sSubSupPr>
            <m:ctrlPr>
              <w:rPr>
                <w:rFonts w:ascii="Cambria Math" w:hAnsi="Cambria Math"/>
              </w:rPr>
            </m:ctrlPr>
          </m:sSubSupPr>
          <m:e>
            <m:r>
              <w:rPr>
                <w:rFonts w:ascii="Cambria Math" w:hAnsi="Cambria Math" w:cs="Cambria Math"/>
                <w:lang w:eastAsia="zh-CN"/>
              </w:rPr>
              <m:t>F</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和国内控制生产</w:t>
      </w:r>
      <m:oMath>
        <m:sSubSup>
          <m:sSubSupPr>
            <m:ctrlPr>
              <w:rPr>
                <w:rFonts w:ascii="Cambria Math" w:hAnsi="Cambria Math"/>
              </w:rPr>
            </m:ctrlPr>
          </m:sSubSupPr>
          <m:e>
            <m:r>
              <w:rPr>
                <w:rFonts w:ascii="Cambria Math" w:hAnsi="Cambria Math" w:cs="Cambria Math"/>
                <w:lang w:eastAsia="zh-CN"/>
              </w:rPr>
              <m:t>D</m:t>
            </m:r>
          </m:e>
          <m:sub>
            <m:r>
              <w:rPr>
                <w:rFonts w:ascii="Cambria Math" w:hAnsi="Cambria Math" w:cs="Cambria Math"/>
                <w:lang w:eastAsia="zh-CN"/>
              </w:rPr>
              <m:t>j,</m:t>
            </m:r>
            <m:sSup>
              <m:sSupPr>
                <m:ctrlPr>
                  <w:rPr>
                    <w:rFonts w:ascii="Cambria Math" w:hAnsi="Cambria Math"/>
                  </w:rPr>
                </m:ctrlPr>
              </m:sSupPr>
              <m:e>
                <m:r>
                  <w:rPr>
                    <w:rFonts w:ascii="Cambria Math" w:hAnsi="Cambria Math" w:cs="Cambria Math"/>
                    <w:lang w:eastAsia="zh-CN"/>
                  </w:rPr>
                  <m:t>t</m:t>
                </m:r>
              </m:e>
              <m:sup>
                <m:r>
                  <w:rPr>
                    <w:rFonts w:ascii="Cambria Math" w:hAnsi="Cambria Math" w:cs="Cambria Math"/>
                    <w:lang w:eastAsia="zh-CN"/>
                  </w:rPr>
                  <m:t>*</m:t>
                </m:r>
              </m:sup>
            </m:sSup>
          </m:sub>
          <m:sup>
            <m:r>
              <w:rPr>
                <w:rFonts w:ascii="Cambria Math" w:hAnsi="Cambria Math" w:cs="Cambria Math"/>
                <w:lang w:eastAsia="zh-CN"/>
              </w:rPr>
              <m:t>a</m:t>
            </m:r>
          </m:sup>
        </m:sSubSup>
      </m:oMath>
      <w:r>
        <w:rPr>
          <w:rFonts w:cs="Times New Roman"/>
          <w:color w:val="000000"/>
          <w:lang w:eastAsia="zh-CN"/>
        </w:rPr>
        <w:t>，其中</w:t>
      </w:r>
      <m:oMath>
        <m:r>
          <w:rPr>
            <w:rFonts w:ascii="Cambria Math" w:hAnsi="Cambria Math" w:cs="Cambria Math"/>
            <w:lang w:eastAsia="zh-CN"/>
          </w:rPr>
          <m:t>a=0,1</m:t>
        </m:r>
      </m:oMath>
      <w:r>
        <w:rPr>
          <w:rFonts w:cs="Times New Roman"/>
          <w:color w:val="000000"/>
          <w:lang w:eastAsia="zh-CN"/>
        </w:rPr>
        <w:t>分别表示实际限制与取消限制两种情景。以外国控制生产占两类生产之和的比重计算各情景的外国控制生产份额，再以情景</w:t>
      </w:r>
      <w:r>
        <w:rPr>
          <w:rFonts w:cs="Times New Roman"/>
          <w:color w:val="000000"/>
          <w:lang w:eastAsia="zh-CN"/>
        </w:rPr>
        <w:t>1</w:t>
      </w:r>
      <w:r>
        <w:rPr>
          <w:rFonts w:cs="Times New Roman"/>
          <w:color w:val="000000"/>
          <w:lang w:eastAsia="zh-CN"/>
        </w:rPr>
        <w:t>减去情景</w:t>
      </w:r>
      <w:r>
        <w:rPr>
          <w:rFonts w:cs="Times New Roman"/>
          <w:color w:val="000000"/>
          <w:lang w:eastAsia="zh-CN"/>
        </w:rPr>
        <w:t>0</w:t>
      </w:r>
      <w:r>
        <w:rPr>
          <w:rFonts w:cs="Times New Roman"/>
          <w:color w:val="000000"/>
          <w:lang w:eastAsia="zh-CN"/>
        </w:rPr>
        <w:t>，形成部门目标：</w:t>
      </w:r>
    </w:p>
    <w:p w14:paraId="0686772F" w14:textId="77777777" w:rsidR="004E1393" w:rsidRDefault="00EB4DE5">
      <w:pPr>
        <w:tabs>
          <w:tab w:val="center" w:pos="4309"/>
          <w:tab w:val="right" w:pos="9241"/>
        </w:tabs>
        <w:spacing w:before="140" w:after="140" w:line="252" w:lineRule="auto"/>
        <w:ind w:firstLine="0"/>
        <w:rPr>
          <w:lang w:eastAsia="zh-CN"/>
        </w:rPr>
      </w:pPr>
      <w:r>
        <w:rPr>
          <w:rFonts w:cs="Times New Roman"/>
          <w:color w:val="000000"/>
          <w:lang w:eastAsia="zh-CN"/>
        </w:rPr>
        <w:tab/>
      </w:r>
      <m:oMath>
        <m:sSub>
          <m:sSubPr>
            <m:ctrlPr>
              <w:rPr>
                <w:rFonts w:ascii="Cambria Math" w:hAnsi="Cambria Math"/>
              </w:rPr>
            </m:ctrlPr>
          </m:sSubPr>
          <m:e>
            <m:r>
              <w:rPr>
                <w:rFonts w:ascii="Cambria Math" w:hAnsi="Cambria Math" w:cs="Cambria Math"/>
                <w:sz w:val="22"/>
                <w:lang w:eastAsia="zh-CN"/>
              </w:rPr>
              <m:t>μ</m:t>
            </m:r>
          </m:e>
          <m:sub>
            <m:r>
              <w:rPr>
                <w:rFonts w:ascii="Cambria Math" w:hAnsi="Cambria Math" w:cs="Cambria Math"/>
                <w:sz w:val="22"/>
                <w:lang w:eastAsia="zh-CN"/>
              </w:rPr>
              <m:t>j</m:t>
            </m:r>
          </m:sub>
        </m:sSub>
        <m:r>
          <w:rPr>
            <w:rFonts w:ascii="Cambria Math" w:hAnsi="Cambria Math" w:cs="Cambria Math"/>
            <w:sz w:val="22"/>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num>
          <m:den>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r>
              <w:rPr>
                <w:rFonts w:ascii="Cambria Math" w:hAnsi="Cambria Math" w:cs="Cambria Math"/>
                <w:sz w:val="22"/>
                <w:lang w:eastAsia="zh-CN"/>
              </w:rPr>
              <m:t>+</m:t>
            </m:r>
            <m:sSubSup>
              <m:sSubSupPr>
                <m:ctrlPr>
                  <w:rPr>
                    <w:rFonts w:ascii="Cambria Math" w:hAnsi="Cambria Math"/>
                  </w:rPr>
                </m:ctrlPr>
              </m:sSubSupPr>
              <m:e>
                <m:r>
                  <w:rPr>
                    <w:rFonts w:ascii="Cambria Math" w:hAnsi="Cambria Math" w:cs="Cambria Math"/>
                    <w:sz w:val="22"/>
                    <w:lang w:eastAsia="zh-CN"/>
                  </w:rPr>
                  <m:t>D</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1</m:t>
                </m:r>
              </m:sup>
            </m:sSubSup>
          </m:den>
        </m:f>
        <m:r>
          <w:rPr>
            <w:rFonts w:ascii="Cambria Math" w:hAnsi="Cambria Math" w:cs="Cambria Math"/>
            <w:sz w:val="22"/>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num>
          <m:den>
            <m:sSubSup>
              <m:sSubSupPr>
                <m:ctrlPr>
                  <w:rPr>
                    <w:rFonts w:ascii="Cambria Math" w:hAnsi="Cambria Math"/>
                  </w:rPr>
                </m:ctrlPr>
              </m:sSubSupPr>
              <m:e>
                <m:r>
                  <w:rPr>
                    <w:rFonts w:ascii="Cambria Math" w:hAnsi="Cambria Math" w:cs="Cambria Math"/>
                    <w:sz w:val="22"/>
                    <w:lang w:eastAsia="zh-CN"/>
                  </w:rPr>
                  <m:t>F</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r>
              <w:rPr>
                <w:rFonts w:ascii="Cambria Math" w:hAnsi="Cambria Math" w:cs="Cambria Math"/>
                <w:sz w:val="22"/>
                <w:lang w:eastAsia="zh-CN"/>
              </w:rPr>
              <m:t>+</m:t>
            </m:r>
            <m:sSubSup>
              <m:sSubSupPr>
                <m:ctrlPr>
                  <w:rPr>
                    <w:rFonts w:ascii="Cambria Math" w:hAnsi="Cambria Math"/>
                  </w:rPr>
                </m:ctrlPr>
              </m:sSubSupPr>
              <m:e>
                <m:r>
                  <w:rPr>
                    <w:rFonts w:ascii="Cambria Math" w:hAnsi="Cambria Math" w:cs="Cambria Math"/>
                    <w:sz w:val="22"/>
                    <w:lang w:eastAsia="zh-CN"/>
                  </w:rPr>
                  <m:t>D</m:t>
                </m:r>
              </m:e>
              <m:sub>
                <m:r>
                  <w:rPr>
                    <w:rFonts w:ascii="Cambria Math" w:hAnsi="Cambria Math" w:cs="Cambria Math"/>
                    <w:sz w:val="22"/>
                    <w:lang w:eastAsia="zh-CN"/>
                  </w:rPr>
                  <m:t>j,</m:t>
                </m:r>
                <m:sSup>
                  <m:sSupPr>
                    <m:ctrlPr>
                      <w:rPr>
                        <w:rFonts w:ascii="Cambria Math" w:hAnsi="Cambria Math"/>
                      </w:rPr>
                    </m:ctrlPr>
                  </m:sSupPr>
                  <m:e>
                    <m:r>
                      <w:rPr>
                        <w:rFonts w:ascii="Cambria Math" w:hAnsi="Cambria Math" w:cs="Cambria Math"/>
                        <w:sz w:val="22"/>
                        <w:lang w:eastAsia="zh-CN"/>
                      </w:rPr>
                      <m:t>t</m:t>
                    </m:r>
                  </m:e>
                  <m:sup>
                    <m:r>
                      <w:rPr>
                        <w:rFonts w:ascii="Cambria Math" w:hAnsi="Cambria Math" w:cs="Cambria Math"/>
                        <w:sz w:val="22"/>
                        <w:lang w:eastAsia="zh-CN"/>
                      </w:rPr>
                      <m:t>*</m:t>
                    </m:r>
                  </m:sup>
                </m:sSup>
              </m:sub>
              <m:sup>
                <m:r>
                  <w:rPr>
                    <w:rFonts w:ascii="Cambria Math" w:hAnsi="Cambria Math" w:cs="Cambria Math"/>
                    <w:sz w:val="22"/>
                    <w:lang w:eastAsia="zh-CN"/>
                  </w:rPr>
                  <m:t>0</m:t>
                </m:r>
              </m:sup>
            </m:sSubSup>
          </m:den>
        </m:f>
        <m:r>
          <w:rPr>
            <w:rFonts w:ascii="Cambria Math" w:hAnsi="Cambria Math" w:cs="Cambria Math"/>
            <w:sz w:val="22"/>
            <w:lang w:eastAsia="zh-CN"/>
          </w:rPr>
          <m:t>.</m:t>
        </m:r>
      </m:oMath>
      <w:r>
        <w:rPr>
          <w:rFonts w:cs="Times New Roman"/>
          <w:color w:val="000000"/>
          <w:lang w:eastAsia="zh-CN"/>
        </w:rPr>
        <w:tab/>
      </w:r>
      <w:r>
        <w:rPr>
          <w:rFonts w:cs="Times New Roman"/>
          <w:color w:val="000000"/>
          <w:lang w:eastAsia="zh-CN"/>
        </w:rPr>
        <w:t>（</w:t>
      </w:r>
      <w:r>
        <w:rPr>
          <w:rFonts w:cs="Times New Roman"/>
          <w:color w:val="000000"/>
          <w:lang w:eastAsia="zh-CN"/>
        </w:rPr>
        <w:t>A4</w:t>
      </w:r>
      <w:r>
        <w:rPr>
          <w:rFonts w:cs="Times New Roman"/>
          <w:color w:val="000000"/>
          <w:lang w:eastAsia="zh-CN"/>
        </w:rPr>
        <w:t>）</w:t>
      </w:r>
    </w:p>
    <w:p w14:paraId="6F96F5BA" w14:textId="77777777" w:rsidR="004E1393" w:rsidRDefault="00EB4DE5">
      <w:pPr>
        <w:rPr>
          <w:lang w:eastAsia="zh-CN"/>
        </w:rPr>
      </w:pPr>
      <w:r>
        <w:rPr>
          <w:rFonts w:cs="Times New Roman"/>
          <w:color w:val="000000"/>
          <w:lang w:eastAsia="zh-CN"/>
        </w:rPr>
        <w:t>表</w:t>
      </w:r>
      <w:r>
        <w:rPr>
          <w:rFonts w:cs="Times New Roman"/>
          <w:color w:val="000000"/>
          <w:lang w:eastAsia="zh-CN"/>
        </w:rPr>
        <w:t>A2</w:t>
      </w:r>
      <w:r>
        <w:rPr>
          <w:rFonts w:cs="Times New Roman"/>
          <w:color w:val="000000"/>
          <w:lang w:eastAsia="zh-CN"/>
        </w:rPr>
        <w:t>使用相同金额单位下的虚拟预测值说明计算。实际限制情景下，外国控制生产份额为</w:t>
      </w:r>
      <m:oMath>
        <m:r>
          <w:rPr>
            <w:rFonts w:ascii="Cambria Math" w:hAnsi="Cambria Math" w:cs="Cambria Math"/>
            <w:lang w:eastAsia="zh-CN"/>
          </w:rPr>
          <m:t>200/(200+800)=20%</m:t>
        </m:r>
      </m:oMath>
      <w:r>
        <w:rPr>
          <w:rFonts w:cs="Times New Roman"/>
          <w:color w:val="000000"/>
          <w:lang w:eastAsia="zh-CN"/>
        </w:rPr>
        <w:t>；取消限制后为</w:t>
      </w:r>
      <m:oMath>
        <m:r>
          <w:rPr>
            <w:rFonts w:ascii="Cambria Math" w:hAnsi="Cambria Math" w:cs="Cambria Math"/>
            <w:lang w:eastAsia="zh-CN"/>
          </w:rPr>
          <m:t>300/(300+900)=25%</m:t>
        </m:r>
      </m:oMath>
      <w:r>
        <w:rPr>
          <w:rFonts w:cs="Times New Roman"/>
          <w:color w:val="000000"/>
          <w:lang w:eastAsia="zh-CN"/>
        </w:rPr>
        <w:t>，因此</w:t>
      </w:r>
      <m:oMath>
        <m:sSub>
          <m:sSubPr>
            <m:ctrlPr>
              <w:rPr>
                <w:rFonts w:ascii="Cambria Math" w:hAnsi="Cambria Math"/>
              </w:rPr>
            </m:ctrlPr>
          </m:sSubPr>
          <m:e>
            <m:r>
              <w:rPr>
                <w:rFonts w:ascii="Cambria Math" w:hAnsi="Cambria Math" w:cs="Cambria Math"/>
                <w:lang w:eastAsia="zh-CN"/>
              </w:rPr>
              <m:t>μ</m:t>
            </m:r>
          </m:e>
          <m:sub>
            <m:r>
              <w:rPr>
                <w:rFonts w:ascii="Cambria Math" w:hAnsi="Cambria Math" w:cs="Cambria Math"/>
                <w:lang w:eastAsia="zh-CN"/>
              </w:rPr>
              <m:t>j</m:t>
            </m:r>
          </m:sub>
        </m:sSub>
        <m:r>
          <w:rPr>
            <w:rFonts w:ascii="Cambria Math" w:hAnsi="Cambria Math" w:cs="Cambria Math"/>
            <w:lang w:eastAsia="zh-CN"/>
          </w:rPr>
          <m:t>=0.05</m:t>
        </m:r>
      </m:oMath>
      <w:r>
        <w:rPr>
          <w:rFonts w:cs="Times New Roman"/>
          <w:color w:val="000000"/>
          <w:lang w:eastAsia="zh-CN"/>
        </w:rPr>
        <w:t>，即模型需要拟合该份额提高</w:t>
      </w:r>
      <w:r>
        <w:rPr>
          <w:rFonts w:cs="Times New Roman"/>
          <w:color w:val="000000"/>
          <w:lang w:eastAsia="zh-CN"/>
        </w:rPr>
        <w:t>5</w:t>
      </w:r>
      <w:r>
        <w:rPr>
          <w:rFonts w:cs="Times New Roman"/>
          <w:color w:val="000000"/>
          <w:lang w:eastAsia="zh-CN"/>
        </w:rPr>
        <w:t>个百分点的变化。除份额外，还保留外国控制生产、国内控制生产及总生产的预测值，以辨明份额变化来自哪一类生产调整。</w:t>
      </w:r>
    </w:p>
    <w:p w14:paraId="0D5DCE7E" w14:textId="77777777" w:rsidR="004E1393" w:rsidRDefault="00EB4DE5">
      <w:pPr>
        <w:ind w:firstLine="0"/>
        <w:jc w:val="center"/>
        <w:rPr>
          <w:lang w:eastAsia="zh-CN"/>
        </w:rPr>
      </w:pPr>
      <w:r>
        <w:rPr>
          <w:rFonts w:cs="Times New Roman"/>
          <w:b/>
          <w:color w:val="000000"/>
          <w:sz w:val="22"/>
          <w:lang w:eastAsia="zh-CN"/>
        </w:rPr>
        <w:t>表</w:t>
      </w:r>
      <w:r>
        <w:rPr>
          <w:rFonts w:cs="Times New Roman"/>
          <w:b/>
          <w:color w:val="000000"/>
          <w:sz w:val="22"/>
          <w:lang w:eastAsia="zh-CN"/>
        </w:rPr>
        <w:t xml:space="preserve">A2  </w:t>
      </w:r>
      <w:r>
        <w:rPr>
          <w:rFonts w:cs="Times New Roman"/>
          <w:b/>
          <w:color w:val="000000"/>
          <w:sz w:val="22"/>
          <w:lang w:eastAsia="zh-CN"/>
        </w:rPr>
        <w:t>两种限制情景的税调样本预测示例（虚拟数值）</w:t>
      </w:r>
    </w:p>
    <w:tbl>
      <w:tblPr>
        <w:tblW w:w="0" w:type="auto"/>
        <w:jc w:val="center"/>
        <w:tblLayout w:type="fixed"/>
        <w:tblLook w:val="04A0" w:firstRow="1" w:lastRow="0" w:firstColumn="1" w:lastColumn="0" w:noHBand="0" w:noVBand="1"/>
      </w:tblPr>
      <w:tblGrid>
        <w:gridCol w:w="4000"/>
        <w:gridCol w:w="2620"/>
        <w:gridCol w:w="2621"/>
      </w:tblGrid>
      <w:tr w:rsidR="004E1393" w14:paraId="0D278484" w14:textId="77777777">
        <w:trPr>
          <w:cantSplit/>
          <w:tblHeader/>
          <w:jc w:val="center"/>
        </w:trPr>
        <w:tc>
          <w:tcPr>
            <w:tcW w:w="4000" w:type="dxa"/>
            <w:tcBorders>
              <w:top w:val="single" w:sz="10" w:space="0" w:color="000000"/>
              <w:left w:val="nil"/>
              <w:bottom w:val="single" w:sz="6" w:space="0" w:color="000000"/>
              <w:right w:val="nil"/>
            </w:tcBorders>
            <w:vAlign w:val="center"/>
          </w:tcPr>
          <w:p w14:paraId="62C77D3B" w14:textId="77777777" w:rsidR="004E1393" w:rsidRDefault="00EB4DE5">
            <w:pPr>
              <w:spacing w:before="80" w:line="283" w:lineRule="auto"/>
              <w:ind w:firstLine="0"/>
            </w:pPr>
            <w:r>
              <w:rPr>
                <w:rFonts w:cs="Times New Roman"/>
                <w:b/>
                <w:color w:val="000000"/>
                <w:sz w:val="21"/>
              </w:rPr>
              <w:t>税调样本预测结果</w:t>
            </w:r>
          </w:p>
        </w:tc>
        <w:tc>
          <w:tcPr>
            <w:tcW w:w="2620" w:type="dxa"/>
            <w:tcBorders>
              <w:top w:val="single" w:sz="10" w:space="0" w:color="000000"/>
              <w:left w:val="nil"/>
              <w:bottom w:val="single" w:sz="6" w:space="0" w:color="000000"/>
              <w:right w:val="nil"/>
            </w:tcBorders>
            <w:vAlign w:val="center"/>
          </w:tcPr>
          <w:p w14:paraId="1A1C28E3" w14:textId="77777777" w:rsidR="004E1393" w:rsidRDefault="00EB4DE5">
            <w:pPr>
              <w:spacing w:before="80" w:line="283" w:lineRule="auto"/>
              <w:ind w:firstLine="0"/>
              <w:jc w:val="center"/>
            </w:pPr>
            <w:r>
              <w:rPr>
                <w:rFonts w:cs="Times New Roman"/>
                <w:b/>
                <w:color w:val="000000"/>
                <w:sz w:val="21"/>
              </w:rPr>
              <w:t>情景</w:t>
            </w:r>
            <w:r>
              <w:rPr>
                <w:rFonts w:cs="Times New Roman"/>
                <w:b/>
                <w:color w:val="000000"/>
                <w:sz w:val="21"/>
              </w:rPr>
              <w:t>0</w:t>
            </w:r>
            <w:r>
              <w:rPr>
                <w:rFonts w:cs="Times New Roman"/>
                <w:b/>
                <w:color w:val="000000"/>
                <w:sz w:val="21"/>
              </w:rPr>
              <w:t>：实际限制</w:t>
            </w:r>
          </w:p>
        </w:tc>
        <w:tc>
          <w:tcPr>
            <w:tcW w:w="2621" w:type="dxa"/>
            <w:tcBorders>
              <w:top w:val="single" w:sz="10" w:space="0" w:color="000000"/>
              <w:left w:val="nil"/>
              <w:bottom w:val="single" w:sz="6" w:space="0" w:color="000000"/>
              <w:right w:val="nil"/>
            </w:tcBorders>
            <w:vAlign w:val="center"/>
          </w:tcPr>
          <w:p w14:paraId="455947E2" w14:textId="77777777" w:rsidR="004E1393" w:rsidRDefault="00EB4DE5">
            <w:pPr>
              <w:spacing w:before="80" w:line="283" w:lineRule="auto"/>
              <w:ind w:firstLine="0"/>
              <w:jc w:val="center"/>
            </w:pPr>
            <w:r>
              <w:rPr>
                <w:rFonts w:cs="Times New Roman"/>
                <w:b/>
                <w:color w:val="000000"/>
                <w:sz w:val="21"/>
              </w:rPr>
              <w:t>情景</w:t>
            </w:r>
            <w:r>
              <w:rPr>
                <w:rFonts w:cs="Times New Roman"/>
                <w:b/>
                <w:color w:val="000000"/>
                <w:sz w:val="21"/>
              </w:rPr>
              <w:t>1</w:t>
            </w:r>
            <w:r>
              <w:rPr>
                <w:rFonts w:cs="Times New Roman"/>
                <w:b/>
                <w:color w:val="000000"/>
                <w:sz w:val="21"/>
              </w:rPr>
              <w:t>：取消限制</w:t>
            </w:r>
          </w:p>
        </w:tc>
      </w:tr>
      <w:tr w:rsidR="004E1393" w14:paraId="3D16D733" w14:textId="77777777">
        <w:trPr>
          <w:cantSplit/>
          <w:jc w:val="center"/>
        </w:trPr>
        <w:tc>
          <w:tcPr>
            <w:tcW w:w="4000" w:type="dxa"/>
            <w:tcBorders>
              <w:top w:val="nil"/>
              <w:left w:val="nil"/>
              <w:bottom w:val="nil"/>
              <w:right w:val="nil"/>
            </w:tcBorders>
            <w:vAlign w:val="center"/>
          </w:tcPr>
          <w:p w14:paraId="40138682" w14:textId="77777777" w:rsidR="004E1393" w:rsidRDefault="00EB4DE5">
            <w:pPr>
              <w:spacing w:before="80" w:line="283" w:lineRule="auto"/>
              <w:ind w:firstLine="0"/>
            </w:pPr>
            <w:r>
              <w:rPr>
                <w:rFonts w:cs="Times New Roman"/>
                <w:color w:val="000000"/>
                <w:sz w:val="21"/>
              </w:rPr>
              <w:t>外国控制生产</w:t>
            </w:r>
          </w:p>
        </w:tc>
        <w:tc>
          <w:tcPr>
            <w:tcW w:w="2620" w:type="dxa"/>
            <w:tcBorders>
              <w:top w:val="nil"/>
              <w:left w:val="nil"/>
              <w:bottom w:val="nil"/>
              <w:right w:val="nil"/>
            </w:tcBorders>
            <w:vAlign w:val="center"/>
          </w:tcPr>
          <w:p w14:paraId="481BF8CD" w14:textId="77777777" w:rsidR="004E1393" w:rsidRDefault="00EB4DE5">
            <w:pPr>
              <w:spacing w:before="80" w:line="283" w:lineRule="auto"/>
              <w:ind w:firstLine="0"/>
              <w:jc w:val="center"/>
              <w:rPr>
                <w:lang w:eastAsia="zh-CN"/>
              </w:rPr>
            </w:pPr>
            <w:r>
              <w:rPr>
                <w:rFonts w:cs="Times New Roman"/>
                <w:color w:val="000000"/>
                <w:sz w:val="21"/>
                <w:lang w:eastAsia="zh-CN"/>
              </w:rPr>
              <w:t>200</w:t>
            </w:r>
          </w:p>
        </w:tc>
        <w:tc>
          <w:tcPr>
            <w:tcW w:w="2621" w:type="dxa"/>
            <w:tcBorders>
              <w:top w:val="nil"/>
              <w:left w:val="nil"/>
              <w:bottom w:val="nil"/>
              <w:right w:val="nil"/>
            </w:tcBorders>
            <w:vAlign w:val="center"/>
          </w:tcPr>
          <w:p w14:paraId="7424A690" w14:textId="77777777" w:rsidR="004E1393" w:rsidRDefault="00EB4DE5">
            <w:pPr>
              <w:spacing w:before="80" w:line="283" w:lineRule="auto"/>
              <w:ind w:firstLine="0"/>
              <w:jc w:val="center"/>
              <w:rPr>
                <w:lang w:eastAsia="zh-CN"/>
              </w:rPr>
            </w:pPr>
            <w:r>
              <w:rPr>
                <w:rFonts w:cs="Times New Roman"/>
                <w:color w:val="000000"/>
                <w:sz w:val="21"/>
                <w:lang w:eastAsia="zh-CN"/>
              </w:rPr>
              <w:t>300</w:t>
            </w:r>
          </w:p>
        </w:tc>
      </w:tr>
      <w:tr w:rsidR="004E1393" w14:paraId="3EC74FBF" w14:textId="77777777">
        <w:trPr>
          <w:cantSplit/>
          <w:jc w:val="center"/>
        </w:trPr>
        <w:tc>
          <w:tcPr>
            <w:tcW w:w="4000" w:type="dxa"/>
            <w:tcBorders>
              <w:top w:val="nil"/>
              <w:left w:val="nil"/>
              <w:bottom w:val="nil"/>
              <w:right w:val="nil"/>
            </w:tcBorders>
            <w:vAlign w:val="center"/>
          </w:tcPr>
          <w:p w14:paraId="304AA728" w14:textId="77777777" w:rsidR="004E1393" w:rsidRDefault="00EB4DE5">
            <w:pPr>
              <w:spacing w:before="80" w:line="283" w:lineRule="auto"/>
              <w:ind w:firstLine="0"/>
            </w:pPr>
            <w:r>
              <w:rPr>
                <w:rFonts w:cs="Times New Roman"/>
                <w:color w:val="000000"/>
                <w:sz w:val="21"/>
              </w:rPr>
              <w:t>国内控制生产</w:t>
            </w:r>
          </w:p>
        </w:tc>
        <w:tc>
          <w:tcPr>
            <w:tcW w:w="2620" w:type="dxa"/>
            <w:tcBorders>
              <w:top w:val="nil"/>
              <w:left w:val="nil"/>
              <w:bottom w:val="nil"/>
              <w:right w:val="nil"/>
            </w:tcBorders>
            <w:vAlign w:val="center"/>
          </w:tcPr>
          <w:p w14:paraId="3AFB6506" w14:textId="77777777" w:rsidR="004E1393" w:rsidRDefault="00EB4DE5">
            <w:pPr>
              <w:spacing w:before="80" w:line="283" w:lineRule="auto"/>
              <w:ind w:firstLine="0"/>
              <w:jc w:val="center"/>
              <w:rPr>
                <w:lang w:eastAsia="zh-CN"/>
              </w:rPr>
            </w:pPr>
            <w:r>
              <w:rPr>
                <w:rFonts w:cs="Times New Roman"/>
                <w:color w:val="000000"/>
                <w:sz w:val="21"/>
                <w:lang w:eastAsia="zh-CN"/>
              </w:rPr>
              <w:t>800</w:t>
            </w:r>
          </w:p>
        </w:tc>
        <w:tc>
          <w:tcPr>
            <w:tcW w:w="2621" w:type="dxa"/>
            <w:tcBorders>
              <w:top w:val="nil"/>
              <w:left w:val="nil"/>
              <w:bottom w:val="nil"/>
              <w:right w:val="nil"/>
            </w:tcBorders>
            <w:vAlign w:val="center"/>
          </w:tcPr>
          <w:p w14:paraId="595F798F" w14:textId="77777777" w:rsidR="004E1393" w:rsidRDefault="00EB4DE5">
            <w:pPr>
              <w:spacing w:before="80" w:line="283" w:lineRule="auto"/>
              <w:ind w:firstLine="0"/>
              <w:jc w:val="center"/>
              <w:rPr>
                <w:lang w:eastAsia="zh-CN"/>
              </w:rPr>
            </w:pPr>
            <w:r>
              <w:rPr>
                <w:rFonts w:cs="Times New Roman"/>
                <w:color w:val="000000"/>
                <w:sz w:val="21"/>
                <w:lang w:eastAsia="zh-CN"/>
              </w:rPr>
              <w:t>900</w:t>
            </w:r>
          </w:p>
        </w:tc>
      </w:tr>
      <w:tr w:rsidR="004E1393" w14:paraId="05ACCDB7" w14:textId="77777777">
        <w:trPr>
          <w:cantSplit/>
          <w:jc w:val="center"/>
        </w:trPr>
        <w:tc>
          <w:tcPr>
            <w:tcW w:w="4000" w:type="dxa"/>
            <w:tcBorders>
              <w:top w:val="nil"/>
              <w:left w:val="nil"/>
              <w:bottom w:val="nil"/>
              <w:right w:val="nil"/>
            </w:tcBorders>
            <w:vAlign w:val="center"/>
          </w:tcPr>
          <w:p w14:paraId="7F4B2255" w14:textId="77777777" w:rsidR="004E1393" w:rsidRDefault="00EB4DE5">
            <w:pPr>
              <w:spacing w:before="80" w:line="283" w:lineRule="auto"/>
              <w:ind w:firstLine="0"/>
            </w:pPr>
            <w:r>
              <w:rPr>
                <w:rFonts w:cs="Times New Roman"/>
                <w:color w:val="000000"/>
                <w:sz w:val="21"/>
              </w:rPr>
              <w:t>总生产</w:t>
            </w:r>
          </w:p>
        </w:tc>
        <w:tc>
          <w:tcPr>
            <w:tcW w:w="2620" w:type="dxa"/>
            <w:tcBorders>
              <w:top w:val="nil"/>
              <w:left w:val="nil"/>
              <w:bottom w:val="nil"/>
              <w:right w:val="nil"/>
            </w:tcBorders>
            <w:vAlign w:val="center"/>
          </w:tcPr>
          <w:p w14:paraId="00710FD1" w14:textId="77777777" w:rsidR="004E1393" w:rsidRDefault="00EB4DE5">
            <w:pPr>
              <w:spacing w:before="80" w:line="283" w:lineRule="auto"/>
              <w:ind w:firstLine="0"/>
              <w:jc w:val="center"/>
              <w:rPr>
                <w:lang w:eastAsia="zh-CN"/>
              </w:rPr>
            </w:pPr>
            <w:r>
              <w:rPr>
                <w:rFonts w:cs="Times New Roman"/>
                <w:color w:val="000000"/>
                <w:sz w:val="21"/>
                <w:lang w:eastAsia="zh-CN"/>
              </w:rPr>
              <w:t>1,000</w:t>
            </w:r>
          </w:p>
        </w:tc>
        <w:tc>
          <w:tcPr>
            <w:tcW w:w="2621" w:type="dxa"/>
            <w:tcBorders>
              <w:top w:val="nil"/>
              <w:left w:val="nil"/>
              <w:bottom w:val="nil"/>
              <w:right w:val="nil"/>
            </w:tcBorders>
            <w:vAlign w:val="center"/>
          </w:tcPr>
          <w:p w14:paraId="0C787F00" w14:textId="77777777" w:rsidR="004E1393" w:rsidRDefault="00EB4DE5">
            <w:pPr>
              <w:spacing w:before="80" w:line="283" w:lineRule="auto"/>
              <w:ind w:firstLine="0"/>
              <w:jc w:val="center"/>
              <w:rPr>
                <w:lang w:eastAsia="zh-CN"/>
              </w:rPr>
            </w:pPr>
            <w:r>
              <w:rPr>
                <w:rFonts w:cs="Times New Roman"/>
                <w:color w:val="000000"/>
                <w:sz w:val="21"/>
                <w:lang w:eastAsia="zh-CN"/>
              </w:rPr>
              <w:t>1,200</w:t>
            </w:r>
          </w:p>
        </w:tc>
      </w:tr>
      <w:tr w:rsidR="004E1393" w14:paraId="7BB8B750" w14:textId="77777777">
        <w:trPr>
          <w:cantSplit/>
          <w:jc w:val="center"/>
        </w:trPr>
        <w:tc>
          <w:tcPr>
            <w:tcW w:w="4000" w:type="dxa"/>
            <w:tcBorders>
              <w:top w:val="nil"/>
              <w:left w:val="nil"/>
              <w:bottom w:val="single" w:sz="10" w:space="0" w:color="000000"/>
              <w:right w:val="nil"/>
            </w:tcBorders>
            <w:vAlign w:val="center"/>
          </w:tcPr>
          <w:p w14:paraId="515C92A0" w14:textId="77777777" w:rsidR="004E1393" w:rsidRDefault="00EB4DE5">
            <w:pPr>
              <w:spacing w:before="80" w:line="283" w:lineRule="auto"/>
              <w:ind w:firstLine="0"/>
              <w:rPr>
                <w:lang w:eastAsia="zh-CN"/>
              </w:rPr>
            </w:pPr>
            <w:r>
              <w:rPr>
                <w:rFonts w:cs="Times New Roman"/>
                <w:color w:val="000000"/>
                <w:sz w:val="21"/>
                <w:lang w:eastAsia="zh-CN"/>
              </w:rPr>
              <w:t>外国控制生产份额</w:t>
            </w:r>
          </w:p>
        </w:tc>
        <w:tc>
          <w:tcPr>
            <w:tcW w:w="2620" w:type="dxa"/>
            <w:tcBorders>
              <w:top w:val="nil"/>
              <w:left w:val="nil"/>
              <w:bottom w:val="single" w:sz="10" w:space="0" w:color="000000"/>
              <w:right w:val="nil"/>
            </w:tcBorders>
            <w:vAlign w:val="center"/>
          </w:tcPr>
          <w:p w14:paraId="6771DB9A" w14:textId="77777777" w:rsidR="004E1393" w:rsidRDefault="00EB4DE5">
            <w:pPr>
              <w:spacing w:before="80" w:line="283" w:lineRule="auto"/>
              <w:ind w:firstLine="0"/>
              <w:jc w:val="center"/>
              <w:rPr>
                <w:lang w:eastAsia="zh-CN"/>
              </w:rPr>
            </w:pPr>
            <w:r>
              <w:rPr>
                <w:rFonts w:cs="Times New Roman"/>
                <w:color w:val="000000"/>
                <w:sz w:val="21"/>
                <w:lang w:eastAsia="zh-CN"/>
              </w:rPr>
              <w:t>20%</w:t>
            </w:r>
          </w:p>
        </w:tc>
        <w:tc>
          <w:tcPr>
            <w:tcW w:w="2621" w:type="dxa"/>
            <w:tcBorders>
              <w:top w:val="nil"/>
              <w:left w:val="nil"/>
              <w:bottom w:val="single" w:sz="10" w:space="0" w:color="000000"/>
              <w:right w:val="nil"/>
            </w:tcBorders>
            <w:vAlign w:val="center"/>
          </w:tcPr>
          <w:p w14:paraId="16029271" w14:textId="77777777" w:rsidR="004E1393" w:rsidRDefault="004902CB">
            <w:pPr>
              <w:spacing w:before="80" w:line="283" w:lineRule="auto"/>
              <w:ind w:firstLine="0"/>
              <w:jc w:val="center"/>
              <w:rPr>
                <w:lang w:eastAsia="zh-CN"/>
              </w:rPr>
            </w:pPr>
            <w:r>
              <w:rPr>
                <w:rFonts w:cs="Times New Roman"/>
                <w:color w:val="000000"/>
                <w:sz w:val="21"/>
                <w:lang w:eastAsia="zh-CN"/>
              </w:rPr>
              <w:t>25%</w:t>
            </w:r>
          </w:p>
        </w:tc>
      </w:tr>
    </w:tbl>
    <w:p w14:paraId="34883E47" w14:textId="6BDAE1BC" w:rsidR="00565FD5" w:rsidRPr="00896E01" w:rsidRDefault="00EB4DE5" w:rsidP="00896E01">
      <w:pPr>
        <w:rPr>
          <w:rFonts w:cs="Times New Roman"/>
          <w:color w:val="000000"/>
          <w:lang w:eastAsia="zh-CN"/>
        </w:rPr>
      </w:pPr>
      <w:r>
        <w:rPr>
          <w:rFonts w:cs="Times New Roman"/>
          <w:color w:val="000000"/>
          <w:lang w:eastAsia="zh-CN"/>
        </w:rPr>
        <w:t>上述目标反映税调样本内的份额变化。限制强度未知或无法预测的记录保持缺失，两种情景采用相同的有效样本范围。企业资料、</w:t>
      </w:r>
      <w:r>
        <w:rPr>
          <w:rFonts w:cs="Times New Roman"/>
          <w:color w:val="000000"/>
          <w:lang w:eastAsia="zh-CN"/>
        </w:rPr>
        <w:t>AMNE</w:t>
      </w:r>
      <w:r>
        <w:rPr>
          <w:rFonts w:cs="Times New Roman"/>
          <w:color w:val="000000"/>
          <w:lang w:eastAsia="zh-CN"/>
        </w:rPr>
        <w:t>与结构模型之间统一部门划分、生产者价值和控制口径；将样本目标用于模型部门时，假定税调样本能够反映该部门对清单限制变化的生产反应。</w:t>
      </w:r>
      <w:r w:rsidR="00565FD5">
        <w:rPr>
          <w:lang w:eastAsia="zh-CN"/>
        </w:rPr>
        <w:t>上述预测保持企业行业归属及其他回归条件不变，价格、工资等市场反馈将在下一节的一般均衡分析中考察。</w:t>
      </w:r>
    </w:p>
    <w:p w14:paraId="69C9EF40" w14:textId="77777777" w:rsidR="004E1393" w:rsidRDefault="00EB4DE5">
      <w:pPr>
        <w:pStyle w:val="1"/>
        <w:spacing w:before="0"/>
        <w:rPr>
          <w:lang w:eastAsia="zh-CN"/>
        </w:rPr>
      </w:pPr>
      <w:r>
        <w:rPr>
          <w:rFonts w:ascii="Times New Roman" w:eastAsia="宋体" w:hAnsi="Times New Roman" w:cs="Times New Roman"/>
          <w:lang w:eastAsia="zh-CN"/>
        </w:rPr>
        <w:t xml:space="preserve">A.7 </w:t>
      </w:r>
      <w:r>
        <w:rPr>
          <w:rFonts w:ascii="Times New Roman" w:eastAsia="宋体" w:hAnsi="Times New Roman" w:cs="Times New Roman"/>
          <w:lang w:eastAsia="zh-CN"/>
        </w:rPr>
        <w:t>从部门生产目标到</w:t>
      </w:r>
      <w:r>
        <w:rPr>
          <w:rFonts w:ascii="Times New Roman" w:eastAsia="宋体" w:hAnsi="Times New Roman" w:cs="Times New Roman"/>
          <w:lang w:eastAsia="zh-CN"/>
        </w:rPr>
        <w:t>MP</w:t>
      </w:r>
      <w:r>
        <w:rPr>
          <w:rFonts w:ascii="Times New Roman" w:eastAsia="宋体" w:hAnsi="Times New Roman" w:cs="Times New Roman"/>
          <w:lang w:eastAsia="zh-CN"/>
        </w:rPr>
        <w:t>成本与一般均衡反事实</w:t>
      </w:r>
    </w:p>
    <w:p w14:paraId="27C38482" w14:textId="77777777" w:rsidR="00546EDF" w:rsidRPr="00546EDF" w:rsidRDefault="00546EDF" w:rsidP="00546EDF">
      <w:pPr>
        <w:rPr>
          <w:rFonts w:cs="Times New Roman"/>
          <w:color w:val="000000"/>
          <w:lang w:eastAsia="zh-CN"/>
        </w:rPr>
      </w:pPr>
      <w:r w:rsidRPr="00546EDF">
        <w:rPr>
          <w:rFonts w:cs="Times New Roman"/>
          <w:color w:val="000000"/>
          <w:lang w:eastAsia="zh-CN"/>
        </w:rPr>
        <w:lastRenderedPageBreak/>
        <w:t>在</w:t>
      </w:r>
      <w:r w:rsidRPr="00546EDF">
        <w:rPr>
          <w:rFonts w:cs="Times New Roman"/>
          <w:color w:val="000000"/>
          <w:lang w:eastAsia="zh-CN"/>
        </w:rPr>
        <w:t>A.6</w:t>
      </w:r>
      <w:r w:rsidRPr="00546EDF">
        <w:rPr>
          <w:rFonts w:cs="Times New Roman"/>
          <w:color w:val="000000"/>
          <w:lang w:eastAsia="zh-CN"/>
        </w:rPr>
        <w:t>构造的部门生产目标基础上，本文利用现有的跨国生产、贸易和投入产出模型，将取消清单限制所对应的外国控制生产份额变化转化为等效</w:t>
      </w:r>
      <w:r w:rsidRPr="00546EDF">
        <w:rPr>
          <w:rFonts w:cs="Times New Roman"/>
          <w:color w:val="000000"/>
          <w:lang w:eastAsia="zh-CN"/>
        </w:rPr>
        <w:t>MP</w:t>
      </w:r>
      <w:r w:rsidRPr="00546EDF">
        <w:rPr>
          <w:rFonts w:cs="Times New Roman"/>
          <w:color w:val="000000"/>
          <w:lang w:eastAsia="zh-CN"/>
        </w:rPr>
        <w:t>成本变化。</w:t>
      </w:r>
      <w:r w:rsidRPr="00546EDF">
        <w:rPr>
          <w:rFonts w:cs="Times New Roman"/>
          <w:color w:val="000000"/>
          <w:lang w:eastAsia="zh-CN"/>
        </w:rPr>
        <w:t xml:space="preserve">[10] </w:t>
      </w:r>
      <w:r w:rsidRPr="00546EDF">
        <w:rPr>
          <w:rFonts w:cs="Times New Roman"/>
          <w:color w:val="000000"/>
          <w:lang w:eastAsia="zh-CN"/>
        </w:rPr>
        <w:t>核心思路是寻找能够在模型中产生相应份额变化的成本调整，由此将企业层面的条件预测与结构模型中的成本冲击联系起来。这一成本变化由部门生产目标和模型机制共同确定，反映给定回归设定与结构假设下的情景等效成本。</w:t>
      </w:r>
    </w:p>
    <w:p w14:paraId="12BF2EEB" w14:textId="77777777" w:rsidR="00546EDF" w:rsidRPr="00546EDF" w:rsidRDefault="00546EDF" w:rsidP="00546EDF">
      <w:pPr>
        <w:rPr>
          <w:rFonts w:cs="Times New Roman"/>
          <w:color w:val="000000"/>
          <w:lang w:eastAsia="zh-CN"/>
        </w:rPr>
      </w:pPr>
      <w:r w:rsidRPr="00546EDF">
        <w:rPr>
          <w:rFonts w:cs="Times New Roman"/>
          <w:color w:val="000000"/>
          <w:lang w:eastAsia="zh-CN"/>
        </w:rPr>
        <w:t>在此基础上，本文将相应的</w:t>
      </w:r>
      <w:r w:rsidRPr="00546EDF">
        <w:rPr>
          <w:rFonts w:cs="Times New Roman"/>
          <w:color w:val="000000"/>
          <w:lang w:eastAsia="zh-CN"/>
        </w:rPr>
        <w:t>MP</w:t>
      </w:r>
      <w:r w:rsidRPr="00546EDF">
        <w:rPr>
          <w:rFonts w:cs="Times New Roman"/>
          <w:color w:val="000000"/>
          <w:lang w:eastAsia="zh-CN"/>
        </w:rPr>
        <w:t>成本变化用于一般均衡反事实，考察其通过生产地选择、贸易和中间投入联系引起的经济调整，并比较部门产出、外国与国内控制生产、生产布局以及实际收入和福利。一般均衡分析进一步纳入价格、工资等市场反馈，从而在前述企业预测的基础上，考察清单限制变化对整体经济的影响。</w:t>
      </w:r>
    </w:p>
    <w:p w14:paraId="12BE38DD" w14:textId="77777777" w:rsidR="00E86E51" w:rsidRDefault="004902CB">
      <w:pPr>
        <w:spacing w:after="0" w:line="20" w:lineRule="exact"/>
        <w:ind w:firstLine="0"/>
        <w:rPr>
          <w:lang w:eastAsia="zh-CN"/>
        </w:rPr>
      </w:pPr>
      <w:r>
        <w:rPr>
          <w:sz w:val="2"/>
          <w:lang w:eastAsia="zh-CN"/>
        </w:rPr>
        <w:br w:type="page"/>
      </w:r>
    </w:p>
    <w:p w14:paraId="2698348D" w14:textId="77777777" w:rsidR="004E1393" w:rsidRDefault="00EB4DE5">
      <w:pPr>
        <w:pStyle w:val="1"/>
        <w:spacing w:before="0"/>
        <w:rPr>
          <w:lang w:eastAsia="zh-CN"/>
        </w:rPr>
      </w:pPr>
      <w:r>
        <w:rPr>
          <w:rFonts w:ascii="Times New Roman" w:eastAsia="宋体" w:hAnsi="Times New Roman" w:cs="Times New Roman"/>
          <w:lang w:eastAsia="zh-CN"/>
        </w:rPr>
        <w:lastRenderedPageBreak/>
        <w:t>参考文献与资料</w:t>
      </w:r>
    </w:p>
    <w:p w14:paraId="3824DCE4" w14:textId="77777777" w:rsidR="004E1393" w:rsidRDefault="00EB4DE5">
      <w:pPr>
        <w:spacing w:after="140" w:line="276" w:lineRule="auto"/>
        <w:ind w:left="360" w:hanging="360"/>
        <w:rPr>
          <w:lang w:eastAsia="zh-CN"/>
        </w:rPr>
      </w:pPr>
      <w:r>
        <w:rPr>
          <w:rFonts w:cs="Times New Roman"/>
          <w:color w:val="000000"/>
          <w:sz w:val="21"/>
          <w:lang w:eastAsia="zh-CN"/>
        </w:rPr>
        <w:t xml:space="preserve">[1] </w:t>
      </w:r>
      <w:r>
        <w:rPr>
          <w:rFonts w:cs="Times New Roman"/>
          <w:color w:val="000000"/>
          <w:sz w:val="21"/>
          <w:lang w:eastAsia="zh-CN"/>
        </w:rPr>
        <w:t>国家发展改革委、商务部：《外商投资产业指导目录》（</w:t>
      </w:r>
      <w:r>
        <w:rPr>
          <w:rFonts w:cs="Times New Roman"/>
          <w:color w:val="000000"/>
          <w:sz w:val="21"/>
          <w:lang w:eastAsia="zh-CN"/>
        </w:rPr>
        <w:t>2004</w:t>
      </w:r>
      <w:r>
        <w:rPr>
          <w:rFonts w:cs="Times New Roman"/>
          <w:color w:val="000000"/>
          <w:sz w:val="21"/>
          <w:lang w:eastAsia="zh-CN"/>
        </w:rPr>
        <w:t>、</w:t>
      </w:r>
      <w:r>
        <w:rPr>
          <w:rFonts w:cs="Times New Roman"/>
          <w:color w:val="000000"/>
          <w:sz w:val="21"/>
          <w:lang w:eastAsia="zh-CN"/>
        </w:rPr>
        <w:t>2007</w:t>
      </w:r>
      <w:r>
        <w:rPr>
          <w:rFonts w:cs="Times New Roman"/>
          <w:color w:val="000000"/>
          <w:sz w:val="21"/>
          <w:lang w:eastAsia="zh-CN"/>
        </w:rPr>
        <w:t>、</w:t>
      </w:r>
      <w:r>
        <w:rPr>
          <w:rFonts w:cs="Times New Roman"/>
          <w:color w:val="000000"/>
          <w:sz w:val="21"/>
          <w:lang w:eastAsia="zh-CN"/>
        </w:rPr>
        <w:t>2011</w:t>
      </w:r>
      <w:r>
        <w:rPr>
          <w:rFonts w:cs="Times New Roman"/>
          <w:color w:val="000000"/>
          <w:sz w:val="21"/>
          <w:lang w:eastAsia="zh-CN"/>
        </w:rPr>
        <w:t>、</w:t>
      </w:r>
      <w:r>
        <w:rPr>
          <w:rFonts w:cs="Times New Roman"/>
          <w:color w:val="000000"/>
          <w:sz w:val="21"/>
          <w:lang w:eastAsia="zh-CN"/>
        </w:rPr>
        <w:t>2015</w:t>
      </w:r>
      <w:r>
        <w:rPr>
          <w:rFonts w:cs="Times New Roman"/>
          <w:color w:val="000000"/>
          <w:sz w:val="21"/>
          <w:lang w:eastAsia="zh-CN"/>
        </w:rPr>
        <w:t>、</w:t>
      </w:r>
      <w:r>
        <w:rPr>
          <w:rFonts w:cs="Times New Roman"/>
          <w:color w:val="000000"/>
          <w:sz w:val="21"/>
          <w:lang w:eastAsia="zh-CN"/>
        </w:rPr>
        <w:t>2017</w:t>
      </w:r>
      <w:r>
        <w:rPr>
          <w:rFonts w:cs="Times New Roman"/>
          <w:color w:val="000000"/>
          <w:sz w:val="21"/>
          <w:lang w:eastAsia="zh-CN"/>
        </w:rPr>
        <w:t>年修订）；《外商投资准入特别管理措施（负面清单）》（</w:t>
      </w:r>
      <w:r>
        <w:rPr>
          <w:rFonts w:cs="Times New Roman"/>
          <w:color w:val="000000"/>
          <w:sz w:val="21"/>
          <w:lang w:eastAsia="zh-CN"/>
        </w:rPr>
        <w:t>2018—2020</w:t>
      </w:r>
      <w:r>
        <w:rPr>
          <w:rFonts w:cs="Times New Roman"/>
          <w:color w:val="000000"/>
          <w:sz w:val="21"/>
          <w:lang w:eastAsia="zh-CN"/>
        </w:rPr>
        <w:t>年版）。</w:t>
      </w:r>
      <w:r>
        <w:rPr>
          <w:rFonts w:cs="Times New Roman"/>
          <w:color w:val="000000"/>
          <w:sz w:val="21"/>
          <w:lang w:eastAsia="zh-CN"/>
        </w:rPr>
        <w:t xml:space="preserve"> </w:t>
      </w:r>
      <w:hyperlink r:id="rId8">
        <w:r>
          <w:rPr>
            <w:rFonts w:cs="Times New Roman"/>
            <w:color w:val="234A70"/>
            <w:sz w:val="21"/>
            <w:lang w:eastAsia="zh-CN"/>
          </w:rPr>
          <w:t>商务部原文</w:t>
        </w:r>
      </w:hyperlink>
      <w:r>
        <w:rPr>
          <w:rFonts w:cs="Times New Roman"/>
          <w:color w:val="000000"/>
          <w:sz w:val="21"/>
          <w:lang w:eastAsia="zh-CN"/>
        </w:rPr>
        <w:t>；</w:t>
      </w:r>
      <w:hyperlink r:id="rId9">
        <w:r>
          <w:rPr>
            <w:rFonts w:cs="Times New Roman"/>
            <w:color w:val="234A70"/>
            <w:sz w:val="21"/>
            <w:lang w:eastAsia="zh-CN"/>
          </w:rPr>
          <w:t>令文</w:t>
        </w:r>
      </w:hyperlink>
      <w:r>
        <w:rPr>
          <w:rFonts w:cs="Times New Roman"/>
          <w:color w:val="000000"/>
          <w:sz w:val="21"/>
          <w:lang w:eastAsia="zh-CN"/>
        </w:rPr>
        <w:t>；</w:t>
      </w:r>
      <w:hyperlink r:id="rId10">
        <w:r>
          <w:rPr>
            <w:rFonts w:cs="Times New Roman"/>
            <w:color w:val="234A70"/>
            <w:sz w:val="21"/>
            <w:lang w:eastAsia="zh-CN"/>
          </w:rPr>
          <w:t>正式目录</w:t>
        </w:r>
      </w:hyperlink>
      <w:r>
        <w:rPr>
          <w:rFonts w:cs="Times New Roman"/>
          <w:color w:val="000000"/>
          <w:sz w:val="21"/>
          <w:lang w:eastAsia="zh-CN"/>
        </w:rPr>
        <w:t>；</w:t>
      </w:r>
      <w:hyperlink r:id="rId11">
        <w:r>
          <w:rPr>
            <w:rFonts w:cs="Times New Roman"/>
            <w:color w:val="234A70"/>
            <w:sz w:val="21"/>
            <w:lang w:eastAsia="zh-CN"/>
          </w:rPr>
          <w:t>2004</w:t>
        </w:r>
        <w:r>
          <w:rPr>
            <w:rFonts w:cs="Times New Roman"/>
            <w:color w:val="234A70"/>
            <w:sz w:val="21"/>
            <w:lang w:eastAsia="zh-CN"/>
          </w:rPr>
          <w:t>令文</w:t>
        </w:r>
      </w:hyperlink>
      <w:r>
        <w:rPr>
          <w:rFonts w:cs="Times New Roman"/>
          <w:color w:val="000000"/>
          <w:sz w:val="21"/>
          <w:lang w:eastAsia="zh-CN"/>
        </w:rPr>
        <w:t>；</w:t>
      </w:r>
      <w:hyperlink r:id="rId12">
        <w:r>
          <w:rPr>
            <w:rFonts w:cs="Times New Roman"/>
            <w:color w:val="234A70"/>
            <w:sz w:val="21"/>
            <w:lang w:eastAsia="zh-CN"/>
          </w:rPr>
          <w:t>2015</w:t>
        </w:r>
        <w:r>
          <w:rPr>
            <w:rFonts w:cs="Times New Roman"/>
            <w:color w:val="234A70"/>
            <w:sz w:val="21"/>
            <w:lang w:eastAsia="zh-CN"/>
          </w:rPr>
          <w:t>令文</w:t>
        </w:r>
      </w:hyperlink>
      <w:r>
        <w:rPr>
          <w:rFonts w:cs="Times New Roman"/>
          <w:color w:val="000000"/>
          <w:sz w:val="21"/>
          <w:lang w:eastAsia="zh-CN"/>
        </w:rPr>
        <w:t>；</w:t>
      </w:r>
      <w:hyperlink r:id="rId13">
        <w:r>
          <w:rPr>
            <w:rFonts w:cs="Times New Roman"/>
            <w:color w:val="234A70"/>
            <w:sz w:val="21"/>
            <w:lang w:eastAsia="zh-CN"/>
          </w:rPr>
          <w:t>2017</w:t>
        </w:r>
        <w:r>
          <w:rPr>
            <w:rFonts w:cs="Times New Roman"/>
            <w:color w:val="234A70"/>
            <w:sz w:val="21"/>
            <w:lang w:eastAsia="zh-CN"/>
          </w:rPr>
          <w:t>令文</w:t>
        </w:r>
      </w:hyperlink>
      <w:r>
        <w:rPr>
          <w:rFonts w:cs="Times New Roman"/>
          <w:color w:val="000000"/>
          <w:sz w:val="21"/>
          <w:lang w:eastAsia="zh-CN"/>
        </w:rPr>
        <w:t>；</w:t>
      </w:r>
      <w:hyperlink r:id="rId14">
        <w:r>
          <w:rPr>
            <w:rFonts w:cs="Times New Roman"/>
            <w:color w:val="234A70"/>
            <w:sz w:val="21"/>
            <w:lang w:eastAsia="zh-CN"/>
          </w:rPr>
          <w:t>2018</w:t>
        </w:r>
        <w:r>
          <w:rPr>
            <w:rFonts w:cs="Times New Roman"/>
            <w:color w:val="234A70"/>
            <w:sz w:val="21"/>
            <w:lang w:eastAsia="zh-CN"/>
          </w:rPr>
          <w:t>令文</w:t>
        </w:r>
      </w:hyperlink>
      <w:r>
        <w:rPr>
          <w:rFonts w:cs="Times New Roman"/>
          <w:color w:val="000000"/>
          <w:sz w:val="21"/>
          <w:lang w:eastAsia="zh-CN"/>
        </w:rPr>
        <w:t>；</w:t>
      </w:r>
      <w:hyperlink r:id="rId15">
        <w:r>
          <w:rPr>
            <w:rFonts w:cs="Times New Roman"/>
            <w:color w:val="234A70"/>
            <w:sz w:val="21"/>
            <w:lang w:eastAsia="zh-CN"/>
          </w:rPr>
          <w:t>2019</w:t>
        </w:r>
        <w:r>
          <w:rPr>
            <w:rFonts w:cs="Times New Roman"/>
            <w:color w:val="234A70"/>
            <w:sz w:val="21"/>
            <w:lang w:eastAsia="zh-CN"/>
          </w:rPr>
          <w:t>令文</w:t>
        </w:r>
      </w:hyperlink>
      <w:r>
        <w:rPr>
          <w:rFonts w:cs="Times New Roman"/>
          <w:color w:val="000000"/>
          <w:sz w:val="21"/>
          <w:lang w:eastAsia="zh-CN"/>
        </w:rPr>
        <w:t>；</w:t>
      </w:r>
      <w:hyperlink r:id="rId16">
        <w:r>
          <w:rPr>
            <w:rFonts w:cs="Times New Roman"/>
            <w:color w:val="234A70"/>
            <w:sz w:val="21"/>
            <w:lang w:eastAsia="zh-CN"/>
          </w:rPr>
          <w:t>2020</w:t>
        </w:r>
        <w:r>
          <w:rPr>
            <w:rFonts w:cs="Times New Roman"/>
            <w:color w:val="234A70"/>
            <w:sz w:val="21"/>
            <w:lang w:eastAsia="zh-CN"/>
          </w:rPr>
          <w:t>令文</w:t>
        </w:r>
      </w:hyperlink>
      <w:r>
        <w:rPr>
          <w:rFonts w:cs="Times New Roman"/>
          <w:color w:val="000000"/>
          <w:sz w:val="21"/>
          <w:lang w:eastAsia="zh-CN"/>
        </w:rPr>
        <w:t>。</w:t>
      </w:r>
    </w:p>
    <w:p w14:paraId="793ADE3B" w14:textId="77777777" w:rsidR="004E1393" w:rsidRDefault="00EB4DE5">
      <w:pPr>
        <w:spacing w:after="140" w:line="276" w:lineRule="auto"/>
        <w:ind w:left="360" w:hanging="360"/>
        <w:rPr>
          <w:lang w:eastAsia="zh-CN"/>
        </w:rPr>
      </w:pPr>
      <w:r>
        <w:rPr>
          <w:rFonts w:cs="Times New Roman"/>
          <w:color w:val="000000"/>
          <w:sz w:val="21"/>
          <w:lang w:eastAsia="zh-CN"/>
        </w:rPr>
        <w:t xml:space="preserve">[2] </w:t>
      </w:r>
      <w:r>
        <w:rPr>
          <w:rFonts w:cs="Times New Roman"/>
          <w:color w:val="000000"/>
          <w:sz w:val="21"/>
          <w:lang w:eastAsia="zh-CN"/>
        </w:rPr>
        <w:t>国家发展改革委，</w:t>
      </w:r>
      <w:r>
        <w:rPr>
          <w:rFonts w:cs="Times New Roman"/>
          <w:color w:val="000000"/>
          <w:sz w:val="21"/>
          <w:lang w:eastAsia="zh-CN"/>
        </w:rPr>
        <w:t>2017</w:t>
      </w:r>
      <w:r>
        <w:rPr>
          <w:rFonts w:cs="Times New Roman"/>
          <w:color w:val="000000"/>
          <w:sz w:val="21"/>
          <w:lang w:eastAsia="zh-CN"/>
        </w:rPr>
        <w:t>：《</w:t>
      </w:r>
      <w:r>
        <w:rPr>
          <w:rFonts w:cs="Times New Roman"/>
          <w:color w:val="000000"/>
          <w:sz w:val="21"/>
          <w:lang w:eastAsia="zh-CN"/>
        </w:rPr>
        <w:t>7</w:t>
      </w:r>
      <w:r>
        <w:rPr>
          <w:rFonts w:cs="Times New Roman"/>
          <w:color w:val="000000"/>
          <w:sz w:val="21"/>
          <w:lang w:eastAsia="zh-CN"/>
        </w:rPr>
        <w:t>月</w:t>
      </w:r>
      <w:r>
        <w:rPr>
          <w:rFonts w:cs="Times New Roman"/>
          <w:color w:val="000000"/>
          <w:sz w:val="21"/>
          <w:lang w:eastAsia="zh-CN"/>
        </w:rPr>
        <w:t>28</w:t>
      </w:r>
      <w:r>
        <w:rPr>
          <w:rFonts w:cs="Times New Roman"/>
          <w:color w:val="000000"/>
          <w:sz w:val="21"/>
          <w:lang w:eastAsia="zh-CN"/>
        </w:rPr>
        <w:t>日起在全国范围内实施外商投资准入负面清单</w:t>
      </w:r>
      <w:r>
        <w:rPr>
          <w:rFonts w:cs="Times New Roman"/>
          <w:color w:val="000000"/>
          <w:sz w:val="21"/>
          <w:lang w:eastAsia="zh-CN"/>
        </w:rPr>
        <w:t>——</w:t>
      </w:r>
      <w:r>
        <w:rPr>
          <w:rFonts w:cs="Times New Roman"/>
          <w:color w:val="000000"/>
          <w:sz w:val="21"/>
          <w:lang w:eastAsia="zh-CN"/>
        </w:rPr>
        <w:t>〈外商投资产业指导目录（</w:t>
      </w:r>
      <w:r>
        <w:rPr>
          <w:rFonts w:cs="Times New Roman"/>
          <w:color w:val="000000"/>
          <w:sz w:val="21"/>
          <w:lang w:eastAsia="zh-CN"/>
        </w:rPr>
        <w:t>2017</w:t>
      </w:r>
      <w:r>
        <w:rPr>
          <w:rFonts w:cs="Times New Roman"/>
          <w:color w:val="000000"/>
          <w:sz w:val="21"/>
          <w:lang w:eastAsia="zh-CN"/>
        </w:rPr>
        <w:t>年修订）〉说明》。</w:t>
      </w:r>
      <w:r>
        <w:rPr>
          <w:rFonts w:cs="Times New Roman"/>
          <w:color w:val="000000"/>
          <w:sz w:val="21"/>
          <w:lang w:eastAsia="zh-CN"/>
        </w:rPr>
        <w:t xml:space="preserve"> </w:t>
      </w:r>
      <w:hyperlink r:id="rId17">
        <w:r>
          <w:rPr>
            <w:rFonts w:cs="Times New Roman"/>
            <w:color w:val="234A70"/>
            <w:sz w:val="21"/>
            <w:lang w:eastAsia="zh-CN"/>
          </w:rPr>
          <w:t>官方说明</w:t>
        </w:r>
      </w:hyperlink>
      <w:r>
        <w:rPr>
          <w:rFonts w:cs="Times New Roman"/>
          <w:color w:val="000000"/>
          <w:sz w:val="21"/>
          <w:lang w:eastAsia="zh-CN"/>
        </w:rPr>
        <w:t>。</w:t>
      </w:r>
    </w:p>
    <w:p w14:paraId="626C819B" w14:textId="77777777" w:rsidR="004E1393" w:rsidRDefault="00EB4DE5">
      <w:pPr>
        <w:spacing w:after="140" w:line="276" w:lineRule="auto"/>
        <w:ind w:left="360" w:hanging="360"/>
        <w:rPr>
          <w:lang w:eastAsia="zh-CN"/>
        </w:rPr>
      </w:pPr>
      <w:r>
        <w:rPr>
          <w:rFonts w:cs="Times New Roman"/>
          <w:color w:val="000000"/>
          <w:sz w:val="21"/>
          <w:lang w:eastAsia="zh-CN"/>
        </w:rPr>
        <w:t xml:space="preserve">[3] </w:t>
      </w:r>
      <w:r>
        <w:rPr>
          <w:rFonts w:cs="Times New Roman"/>
          <w:color w:val="000000"/>
          <w:sz w:val="21"/>
          <w:lang w:eastAsia="zh-CN"/>
        </w:rPr>
        <w:t>本地</w:t>
      </w:r>
      <w:r>
        <w:rPr>
          <w:rFonts w:cs="Times New Roman"/>
          <w:color w:val="000000"/>
          <w:sz w:val="21"/>
          <w:lang w:eastAsia="zh-CN"/>
        </w:rPr>
        <w:t>2007—2020</w:t>
      </w:r>
      <w:r>
        <w:rPr>
          <w:rFonts w:cs="Times New Roman"/>
          <w:color w:val="000000"/>
          <w:sz w:val="21"/>
          <w:lang w:eastAsia="zh-CN"/>
        </w:rPr>
        <w:t>年度全国税收调查整理</w:t>
      </w:r>
      <w:r>
        <w:rPr>
          <w:rFonts w:cs="Times New Roman"/>
          <w:color w:val="000000"/>
          <w:sz w:val="21"/>
          <w:lang w:eastAsia="zh-CN"/>
        </w:rPr>
        <w:t>DTA</w:t>
      </w:r>
      <w:r>
        <w:rPr>
          <w:rFonts w:cs="Times New Roman"/>
          <w:color w:val="000000"/>
          <w:sz w:val="21"/>
          <w:lang w:eastAsia="zh-CN"/>
        </w:rPr>
        <w:t>、税调基本信息</w:t>
      </w:r>
      <w:r>
        <w:rPr>
          <w:rFonts w:cs="Times New Roman"/>
          <w:color w:val="000000"/>
          <w:sz w:val="21"/>
          <w:lang w:eastAsia="zh-CN"/>
        </w:rPr>
        <w:t>07_20.dta</w:t>
      </w:r>
      <w:r>
        <w:rPr>
          <w:rFonts w:cs="Times New Roman"/>
          <w:color w:val="000000"/>
          <w:sz w:val="21"/>
          <w:lang w:eastAsia="zh-CN"/>
        </w:rPr>
        <w:t>及</w:t>
      </w:r>
      <w:r>
        <w:rPr>
          <w:rFonts w:cs="Times New Roman"/>
          <w:color w:val="000000"/>
          <w:sz w:val="21"/>
          <w:lang w:eastAsia="zh-CN"/>
        </w:rPr>
        <w:t>“</w:t>
      </w:r>
      <w:r>
        <w:rPr>
          <w:rFonts w:cs="Times New Roman"/>
          <w:color w:val="000000"/>
          <w:sz w:val="21"/>
          <w:lang w:eastAsia="zh-CN"/>
        </w:rPr>
        <w:t>税调变量说明</w:t>
      </w:r>
      <w:r>
        <w:rPr>
          <w:rFonts w:cs="Times New Roman"/>
          <w:color w:val="000000"/>
          <w:sz w:val="21"/>
          <w:lang w:eastAsia="zh-CN"/>
        </w:rPr>
        <w:t>07-16”</w:t>
      </w:r>
      <w:r>
        <w:rPr>
          <w:rFonts w:cs="Times New Roman"/>
          <w:color w:val="000000"/>
          <w:sz w:val="21"/>
          <w:lang w:eastAsia="zh-CN"/>
        </w:rPr>
        <w:t>。</w:t>
      </w:r>
    </w:p>
    <w:p w14:paraId="77B50108" w14:textId="77777777" w:rsidR="004E1393" w:rsidRDefault="00EB4DE5">
      <w:pPr>
        <w:spacing w:after="140" w:line="276" w:lineRule="auto"/>
        <w:ind w:left="360" w:hanging="360"/>
        <w:rPr>
          <w:lang w:eastAsia="zh-CN"/>
        </w:rPr>
      </w:pPr>
      <w:r>
        <w:rPr>
          <w:rFonts w:cs="Times New Roman"/>
          <w:color w:val="000000"/>
          <w:sz w:val="21"/>
          <w:lang w:eastAsia="zh-CN"/>
        </w:rPr>
        <w:t xml:space="preserve">[4] </w:t>
      </w:r>
      <w:r>
        <w:rPr>
          <w:rFonts w:cs="Times New Roman"/>
          <w:color w:val="000000"/>
          <w:sz w:val="21"/>
          <w:lang w:eastAsia="zh-CN"/>
        </w:rPr>
        <w:t>国家统计局：《国民经济行业分类》</w:t>
      </w:r>
      <w:r>
        <w:rPr>
          <w:rFonts w:cs="Times New Roman"/>
          <w:color w:val="000000"/>
          <w:sz w:val="21"/>
          <w:lang w:eastAsia="zh-CN"/>
        </w:rPr>
        <w:t>GB/T 4754—2002</w:t>
      </w:r>
      <w:r>
        <w:rPr>
          <w:rFonts w:cs="Times New Roman"/>
          <w:color w:val="000000"/>
          <w:sz w:val="21"/>
          <w:lang w:eastAsia="zh-CN"/>
        </w:rPr>
        <w:t>、</w:t>
      </w:r>
      <w:r>
        <w:rPr>
          <w:rFonts w:cs="Times New Roman"/>
          <w:color w:val="000000"/>
          <w:sz w:val="21"/>
          <w:lang w:eastAsia="zh-CN"/>
        </w:rPr>
        <w:t>2011</w:t>
      </w:r>
      <w:r>
        <w:rPr>
          <w:rFonts w:cs="Times New Roman"/>
          <w:color w:val="000000"/>
          <w:sz w:val="21"/>
          <w:lang w:eastAsia="zh-CN"/>
        </w:rPr>
        <w:t>、</w:t>
      </w:r>
      <w:r>
        <w:rPr>
          <w:rFonts w:cs="Times New Roman"/>
          <w:color w:val="000000"/>
          <w:sz w:val="21"/>
          <w:lang w:eastAsia="zh-CN"/>
        </w:rPr>
        <w:t>2017</w:t>
      </w:r>
      <w:r>
        <w:rPr>
          <w:rFonts w:cs="Times New Roman"/>
          <w:color w:val="000000"/>
          <w:sz w:val="21"/>
          <w:lang w:eastAsia="zh-CN"/>
        </w:rPr>
        <w:t>及修改单、分类注释与</w:t>
      </w:r>
      <w:r>
        <w:rPr>
          <w:rFonts w:cs="Times New Roman"/>
          <w:color w:val="000000"/>
          <w:sz w:val="21"/>
          <w:lang w:eastAsia="zh-CN"/>
        </w:rPr>
        <w:t>GB2002—GB2011</w:t>
      </w:r>
      <w:r>
        <w:rPr>
          <w:rFonts w:cs="Times New Roman"/>
          <w:color w:val="000000"/>
          <w:sz w:val="21"/>
          <w:lang w:eastAsia="zh-CN"/>
        </w:rPr>
        <w:t>对照表。</w:t>
      </w:r>
      <w:r>
        <w:rPr>
          <w:rFonts w:cs="Times New Roman"/>
          <w:color w:val="000000"/>
          <w:sz w:val="21"/>
          <w:lang w:eastAsia="zh-CN"/>
        </w:rPr>
        <w:t xml:space="preserve"> </w:t>
      </w:r>
      <w:hyperlink r:id="rId18">
        <w:r>
          <w:rPr>
            <w:rFonts w:cs="Times New Roman"/>
            <w:color w:val="234A70"/>
            <w:sz w:val="21"/>
            <w:lang w:eastAsia="zh-CN"/>
          </w:rPr>
          <w:t>标准及修改单</w:t>
        </w:r>
      </w:hyperlink>
      <w:r>
        <w:rPr>
          <w:rFonts w:cs="Times New Roman"/>
          <w:color w:val="000000"/>
          <w:sz w:val="21"/>
          <w:lang w:eastAsia="zh-CN"/>
        </w:rPr>
        <w:t>；</w:t>
      </w:r>
      <w:hyperlink r:id="rId19">
        <w:r>
          <w:rPr>
            <w:rFonts w:cs="Times New Roman"/>
            <w:color w:val="234A70"/>
            <w:sz w:val="21"/>
            <w:lang w:eastAsia="zh-CN"/>
          </w:rPr>
          <w:t>分类注释</w:t>
        </w:r>
      </w:hyperlink>
      <w:r>
        <w:rPr>
          <w:rFonts w:cs="Times New Roman"/>
          <w:color w:val="000000"/>
          <w:sz w:val="21"/>
          <w:lang w:eastAsia="zh-CN"/>
        </w:rPr>
        <w:t>。</w:t>
      </w:r>
    </w:p>
    <w:p w14:paraId="75F5750E" w14:textId="77777777" w:rsidR="004E1393" w:rsidRDefault="00EB4DE5">
      <w:pPr>
        <w:spacing w:after="140" w:line="276" w:lineRule="auto"/>
        <w:ind w:left="360" w:hanging="360"/>
      </w:pPr>
      <w:r>
        <w:rPr>
          <w:rFonts w:cs="Times New Roman"/>
          <w:color w:val="000000"/>
          <w:sz w:val="21"/>
        </w:rPr>
        <w:t xml:space="preserve">[5] United Nations. 2008. International Standard Industrial Classification of All Economic Activities, Revision 4. Statistical Papers, Series M, No. 4/Rev.4. </w:t>
      </w:r>
      <w:hyperlink r:id="rId20">
        <w:r>
          <w:rPr>
            <w:rFonts w:cs="Times New Roman"/>
            <w:color w:val="234A70"/>
            <w:sz w:val="21"/>
          </w:rPr>
          <w:t>联合国原典</w:t>
        </w:r>
      </w:hyperlink>
      <w:r>
        <w:rPr>
          <w:rFonts w:cs="Times New Roman"/>
          <w:color w:val="000000"/>
          <w:sz w:val="21"/>
        </w:rPr>
        <w:t>。</w:t>
      </w:r>
    </w:p>
    <w:p w14:paraId="6498A2AE" w14:textId="77777777" w:rsidR="004E1393" w:rsidRDefault="00EB4DE5">
      <w:pPr>
        <w:spacing w:after="140" w:line="276" w:lineRule="auto"/>
        <w:ind w:left="360" w:hanging="360"/>
        <w:rPr>
          <w:lang w:eastAsia="zh-CN"/>
        </w:rPr>
      </w:pPr>
      <w:r>
        <w:rPr>
          <w:rFonts w:cs="Times New Roman"/>
          <w:color w:val="000000"/>
          <w:sz w:val="21"/>
        </w:rPr>
        <w:t>[6] OECD. Analytical AMNE Database</w:t>
      </w:r>
      <w:r>
        <w:rPr>
          <w:rFonts w:cs="Times New Roman"/>
          <w:color w:val="000000"/>
          <w:sz w:val="21"/>
        </w:rPr>
        <w:t>及随附分类和控制身份说明。</w:t>
      </w:r>
      <w:r>
        <w:rPr>
          <w:rFonts w:cs="Times New Roman"/>
          <w:color w:val="000000"/>
          <w:sz w:val="21"/>
        </w:rPr>
        <w:t xml:space="preserve"> </w:t>
      </w:r>
      <w:hyperlink r:id="rId21">
        <w:r>
          <w:rPr>
            <w:rFonts w:cs="Times New Roman"/>
            <w:color w:val="234A70"/>
            <w:sz w:val="21"/>
            <w:lang w:eastAsia="zh-CN"/>
          </w:rPr>
          <w:t>OECD</w:t>
        </w:r>
        <w:r>
          <w:rPr>
            <w:rFonts w:cs="Times New Roman"/>
            <w:color w:val="234A70"/>
            <w:sz w:val="21"/>
            <w:lang w:eastAsia="zh-CN"/>
          </w:rPr>
          <w:t>数据库说明</w:t>
        </w:r>
      </w:hyperlink>
      <w:r>
        <w:rPr>
          <w:rFonts w:cs="Times New Roman"/>
          <w:color w:val="000000"/>
          <w:sz w:val="21"/>
        </w:rPr>
        <w:t>。</w:t>
      </w:r>
    </w:p>
    <w:p w14:paraId="4EA5CC25" w14:textId="77777777" w:rsidR="004E1393" w:rsidRDefault="00EB4DE5">
      <w:pPr>
        <w:spacing w:after="140" w:line="276" w:lineRule="auto"/>
        <w:ind w:left="360" w:hanging="360"/>
        <w:rPr>
          <w:lang w:eastAsia="zh-CN"/>
        </w:rPr>
      </w:pPr>
      <w:r>
        <w:rPr>
          <w:rFonts w:cs="Times New Roman"/>
          <w:color w:val="000000"/>
          <w:sz w:val="21"/>
          <w:lang w:eastAsia="zh-CN"/>
        </w:rPr>
        <w:t xml:space="preserve">[7] </w:t>
      </w:r>
      <w:r>
        <w:rPr>
          <w:rFonts w:cs="Times New Roman"/>
          <w:color w:val="000000"/>
          <w:sz w:val="21"/>
          <w:lang w:eastAsia="zh-CN"/>
        </w:rPr>
        <w:t>《限制程度量化思路借鉴》，本地方法参考资料。</w:t>
      </w:r>
    </w:p>
    <w:p w14:paraId="4995869A" w14:textId="77777777" w:rsidR="004E1393" w:rsidRDefault="00EB4DE5">
      <w:pPr>
        <w:spacing w:after="140" w:line="276" w:lineRule="auto"/>
        <w:ind w:left="360" w:hanging="360"/>
      </w:pPr>
      <w:r>
        <w:rPr>
          <w:rFonts w:cs="Times New Roman"/>
          <w:color w:val="000000"/>
          <w:sz w:val="21"/>
        </w:rPr>
        <w:t xml:space="preserve">[8] Santos Silva, J. M. C., and S. Tenreyro. 2006. The Log of Gravity. The Review of Economics and Statistics, 88(4): 641–658. </w:t>
      </w:r>
      <w:hyperlink r:id="rId22">
        <w:r>
          <w:rPr>
            <w:rFonts w:cs="Times New Roman"/>
            <w:color w:val="234A70"/>
            <w:sz w:val="21"/>
          </w:rPr>
          <w:t>作者资料页</w:t>
        </w:r>
      </w:hyperlink>
      <w:r>
        <w:rPr>
          <w:rFonts w:cs="Times New Roman"/>
          <w:color w:val="000000"/>
          <w:sz w:val="21"/>
        </w:rPr>
        <w:t>。</w:t>
      </w:r>
    </w:p>
    <w:p w14:paraId="08598FA6" w14:textId="77777777" w:rsidR="004E1393" w:rsidRDefault="00EB4DE5">
      <w:pPr>
        <w:spacing w:after="140" w:line="276" w:lineRule="auto"/>
        <w:ind w:left="360" w:hanging="360"/>
      </w:pPr>
      <w:r>
        <w:rPr>
          <w:rFonts w:cs="Times New Roman"/>
          <w:color w:val="000000"/>
          <w:sz w:val="21"/>
        </w:rPr>
        <w:t xml:space="preserve">[9] Imai, K., and I. S. Kim. 2019. When Should We Use Unit Fixed Effects Regression Models for Causal Inference with Longitudinal Data? American Journal of Political Science, 63(2): 467–490. </w:t>
      </w:r>
      <w:hyperlink r:id="rId23">
        <w:r>
          <w:rPr>
            <w:rFonts w:cs="Times New Roman"/>
            <w:color w:val="234A70"/>
            <w:sz w:val="21"/>
          </w:rPr>
          <w:t>作者原文</w:t>
        </w:r>
      </w:hyperlink>
      <w:r>
        <w:rPr>
          <w:rFonts w:cs="Times New Roman"/>
          <w:color w:val="000000"/>
          <w:sz w:val="21"/>
        </w:rPr>
        <w:t>。</w:t>
      </w:r>
    </w:p>
    <w:p w14:paraId="6EE894A4" w14:textId="77777777" w:rsidR="004E1393" w:rsidRDefault="00EB4DE5">
      <w:pPr>
        <w:spacing w:after="140" w:line="276" w:lineRule="auto"/>
        <w:ind w:left="360" w:hanging="360"/>
      </w:pPr>
      <w:r>
        <w:rPr>
          <w:rFonts w:cs="Times New Roman"/>
          <w:color w:val="000000"/>
          <w:sz w:val="21"/>
        </w:rPr>
        <w:t xml:space="preserve">[10] </w:t>
      </w:r>
      <w:r>
        <w:rPr>
          <w:rFonts w:cs="Times New Roman"/>
          <w:color w:val="000000"/>
          <w:sz w:val="21"/>
        </w:rPr>
        <w:t>《中国高水平制度型开放与全球产业链网络重塑》研究稿及《模型完整推导附录》，本地未刊材料。</w:t>
      </w:r>
    </w:p>
    <w:sectPr w:rsidR="004E1393" w:rsidSect="00034616">
      <w:footerReference w:type="default" r:id="rId24"/>
      <w:pgSz w:w="11906" w:h="16838"/>
      <w:pgMar w:top="1219" w:right="1332"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6031F" w14:textId="77777777" w:rsidR="002738FB" w:rsidRDefault="002738FB">
      <w:pPr>
        <w:spacing w:after="0" w:line="240" w:lineRule="auto"/>
      </w:pPr>
      <w:r>
        <w:separator/>
      </w:r>
    </w:p>
  </w:endnote>
  <w:endnote w:type="continuationSeparator" w:id="0">
    <w:p w14:paraId="1B6C4063" w14:textId="77777777" w:rsidR="002738FB" w:rsidRDefault="00273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E636" w14:textId="77777777" w:rsidR="004E1393" w:rsidRDefault="00EB4DE5">
    <w:pPr>
      <w:pStyle w:val="a7"/>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A237" w14:textId="77777777" w:rsidR="002738FB" w:rsidRDefault="002738FB">
      <w:pPr>
        <w:spacing w:after="0" w:line="240" w:lineRule="auto"/>
      </w:pPr>
      <w:r>
        <w:separator/>
      </w:r>
    </w:p>
  </w:footnote>
  <w:footnote w:type="continuationSeparator" w:id="0">
    <w:p w14:paraId="427C0390" w14:textId="77777777" w:rsidR="002738FB" w:rsidRDefault="00273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8589340">
    <w:abstractNumId w:val="8"/>
  </w:num>
  <w:num w:numId="2" w16cid:durableId="1708489055">
    <w:abstractNumId w:val="6"/>
  </w:num>
  <w:num w:numId="3" w16cid:durableId="294334739">
    <w:abstractNumId w:val="5"/>
  </w:num>
  <w:num w:numId="4" w16cid:durableId="1430007861">
    <w:abstractNumId w:val="4"/>
  </w:num>
  <w:num w:numId="5" w16cid:durableId="623274522">
    <w:abstractNumId w:val="7"/>
  </w:num>
  <w:num w:numId="6" w16cid:durableId="137117858">
    <w:abstractNumId w:val="3"/>
  </w:num>
  <w:num w:numId="7" w16cid:durableId="1004476920">
    <w:abstractNumId w:val="2"/>
  </w:num>
  <w:num w:numId="8" w16cid:durableId="1000504112">
    <w:abstractNumId w:val="1"/>
  </w:num>
  <w:num w:numId="9" w16cid:durableId="17072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9DD"/>
    <w:rsid w:val="0006063C"/>
    <w:rsid w:val="0015074B"/>
    <w:rsid w:val="00181B55"/>
    <w:rsid w:val="00206945"/>
    <w:rsid w:val="00270EDD"/>
    <w:rsid w:val="002738FB"/>
    <w:rsid w:val="002937FF"/>
    <w:rsid w:val="0029639D"/>
    <w:rsid w:val="00326F90"/>
    <w:rsid w:val="003E01AD"/>
    <w:rsid w:val="004902CB"/>
    <w:rsid w:val="004B587E"/>
    <w:rsid w:val="004E1393"/>
    <w:rsid w:val="00546EDF"/>
    <w:rsid w:val="00565FD5"/>
    <w:rsid w:val="008302DE"/>
    <w:rsid w:val="00896E01"/>
    <w:rsid w:val="008D7DBD"/>
    <w:rsid w:val="00901DF0"/>
    <w:rsid w:val="00930D9F"/>
    <w:rsid w:val="00983605"/>
    <w:rsid w:val="009F5001"/>
    <w:rsid w:val="00A1040D"/>
    <w:rsid w:val="00A84A7E"/>
    <w:rsid w:val="00AA1D8D"/>
    <w:rsid w:val="00AC4EFF"/>
    <w:rsid w:val="00B47730"/>
    <w:rsid w:val="00B540D4"/>
    <w:rsid w:val="00B62D4D"/>
    <w:rsid w:val="00B717A3"/>
    <w:rsid w:val="00B81557"/>
    <w:rsid w:val="00BA3143"/>
    <w:rsid w:val="00BA7B68"/>
    <w:rsid w:val="00BE73FB"/>
    <w:rsid w:val="00C8008B"/>
    <w:rsid w:val="00C879D8"/>
    <w:rsid w:val="00CB0664"/>
    <w:rsid w:val="00D108A5"/>
    <w:rsid w:val="00E86E51"/>
    <w:rsid w:val="00EB4DE5"/>
    <w:rsid w:val="00EC5444"/>
    <w:rsid w:val="00F03532"/>
    <w:rsid w:val="00FC693F"/>
    <w:rsid w:val="00FD0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9F83DC"/>
  <w14:defaultImageDpi w14:val="300"/>
  <w15:docId w15:val="{5EBACD1E-5FFD-4107-818E-3C1236E2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spacing w:before="240" w:after="120" w:line="288" w:lineRule="auto"/>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spacing w:before="240" w:after="120" w:line="288" w:lineRule="auto"/>
      <w:ind w:firstLine="0"/>
      <w:outlineLvl w:val="1"/>
    </w:pPr>
    <w:rPr>
      <w:rFonts w:asciiTheme="majorHAnsi" w:eastAsiaTheme="majorEastAsia" w:hAnsiTheme="majorHAnsi" w:cstheme="majorBidi"/>
      <w:b/>
      <w:bCs/>
      <w:color w:val="000000"/>
      <w:sz w:val="25"/>
      <w:szCs w:val="26"/>
    </w:rPr>
  </w:style>
  <w:style w:type="paragraph" w:styleId="31">
    <w:name w:val="heading 3"/>
    <w:basedOn w:val="a1"/>
    <w:next w:val="a1"/>
    <w:link w:val="32"/>
    <w:uiPriority w:val="9"/>
    <w:unhideWhenUsed/>
    <w:qFormat/>
    <w:rsid w:val="00FC693F"/>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88"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line="288" w:lineRule="auto"/>
      <w:ind w:firstLine="480"/>
    </w:pPr>
    <w:rPr>
      <w:rFonts w:asciiTheme="majorHAnsi" w:eastAsiaTheme="majorEastAsia" w:hAnsiTheme="majorHAnsi" w:cstheme="majorBidi"/>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C800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fcom.gov.cn/zcfb/wgtzgl/art/2007/art_c2780ab6fee34931808471ffabfe98c3.html" TargetMode="External"/><Relationship Id="rId13" Type="http://schemas.openxmlformats.org/officeDocument/2006/relationships/hyperlink" Target="https://www.ndrc.gov.cn/xxgk/zcfb/fzggwl/201706/t20170628_960838.html" TargetMode="External"/><Relationship Id="rId18" Type="http://schemas.openxmlformats.org/officeDocument/2006/relationships/hyperlink" Target="https://www.stats.gov.cn/sj/tjbz/gjtjbz/202302/t20230213_1902779.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oecd.org/en/data/datasets/global-value-chain-data-across-trade-multinationals-and-services.html" TargetMode="External"/><Relationship Id="rId7" Type="http://schemas.openxmlformats.org/officeDocument/2006/relationships/endnotes" Target="endnotes.xml"/><Relationship Id="rId12" Type="http://schemas.openxmlformats.org/officeDocument/2006/relationships/hyperlink" Target="https://www.ndrc.gov.cn/xxgk/zcfb/fzggwl/201503/t20150313_960793.html" TargetMode="External"/><Relationship Id="rId17" Type="http://schemas.openxmlformats.org/officeDocument/2006/relationships/hyperlink" Target="https://www.ndrc.gov.cn/xxgk/jd/jd/201706/t20170628_1182814_ext.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drc.gov.cn/xxgk/zcfb/fzggwl/202006/t20200624_1231938.html" TargetMode="External"/><Relationship Id="rId20" Type="http://schemas.openxmlformats.org/officeDocument/2006/relationships/hyperlink" Target="https://unstats.un.org/unsd/publication/seriesm/seriesm_4rev4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rc.gov.cn/xxgk/zcfb/fzggwl/200506/t20050628_960644.html"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drc.gov.cn/xxgk/zcfb/fzggwl/201906/t20190628_960873.html" TargetMode="External"/><Relationship Id="rId23" Type="http://schemas.openxmlformats.org/officeDocument/2006/relationships/hyperlink" Target="https://imai.fas.harvard.edu/research/files/FEmatch.pdf" TargetMode="External"/><Relationship Id="rId10" Type="http://schemas.openxmlformats.org/officeDocument/2006/relationships/hyperlink" Target="https://www.ndrc.gov.cn/xxgk/zcfb/fzggwl/201112/W020190905494803398094.pdf" TargetMode="External"/><Relationship Id="rId19" Type="http://schemas.openxmlformats.org/officeDocument/2006/relationships/hyperlink" Target="https://www.stats.gov.cn/sj/tjbz/gmjjhyfl/202302/t20230213_1902780.html" TargetMode="External"/><Relationship Id="rId4" Type="http://schemas.openxmlformats.org/officeDocument/2006/relationships/settings" Target="settings.xml"/><Relationship Id="rId9" Type="http://schemas.openxmlformats.org/officeDocument/2006/relationships/hyperlink" Target="https://www.ndrc.gov.cn/xxgk/zcfb/fzggwl/201112/t20111229_960737.html" TargetMode="External"/><Relationship Id="rId14" Type="http://schemas.openxmlformats.org/officeDocument/2006/relationships/hyperlink" Target="https://www.ndrc.gov.cn/xxgk/zcfb/fzggwl/201806/t20180628_960861.html" TargetMode="External"/><Relationship Id="rId22" Type="http://schemas.openxmlformats.org/officeDocument/2006/relationships/hyperlink" Target="https://personal.lse.ac.uk/tenreyro/LG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7</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企业所受到的清单限制强度与经营表现及部门成本分析</dc:title>
  <dc:subject>企业微观研究讨论方案 v4.1</dc:subject>
  <dc:creator/>
  <cp:keywords>外资准入; Restrict; 企业面板; PPML; AMNE; 跨国生产</cp:keywords>
  <dc:description>generated by python-docx</dc:description>
  <cp:lastModifiedBy>镇宇 杨</cp:lastModifiedBy>
  <cp:revision>21</cp:revision>
  <dcterms:created xsi:type="dcterms:W3CDTF">2013-12-23T23:15:00Z</dcterms:created>
  <dcterms:modified xsi:type="dcterms:W3CDTF">2026-10-19T14:48:00Z</dcterms:modified>
  <cp:category/>
</cp:coreProperties>
</file>