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40C020" w14:textId="77777777" w:rsidR="002C0540" w:rsidRDefault="00FE1083">
      <w:pPr>
        <w:pStyle w:val="aa"/>
        <w:jc w:val="center"/>
        <w:rPr>
          <w:lang w:eastAsia="zh-CN"/>
        </w:rPr>
      </w:pPr>
      <w:r>
        <w:rPr>
          <w:lang w:eastAsia="zh-CN"/>
        </w:rPr>
        <w:t>外资准入改革的企业效应与跨国生产成本反演研究方案</w:t>
      </w:r>
    </w:p>
    <w:p w14:paraId="2379ADF2" w14:textId="77777777" w:rsidR="002C0540" w:rsidRDefault="00FE1083">
      <w:pPr>
        <w:pStyle w:val="1"/>
        <w:rPr>
          <w:lang w:eastAsia="zh-CN"/>
        </w:rPr>
      </w:pPr>
      <w:r>
        <w:rPr>
          <w:lang w:eastAsia="zh-CN"/>
        </w:rPr>
        <w:t xml:space="preserve">A1 </w:t>
      </w:r>
      <w:r>
        <w:rPr>
          <w:lang w:eastAsia="zh-CN"/>
        </w:rPr>
        <w:t>研究目标与总体框架</w:t>
      </w:r>
    </w:p>
    <w:p w14:paraId="0E12EBE4" w14:textId="77777777" w:rsidR="002C0540" w:rsidRDefault="00FE1083" w:rsidP="003268CE">
      <w:pPr>
        <w:ind w:firstLine="720"/>
        <w:rPr>
          <w:lang w:eastAsia="zh-CN"/>
        </w:rPr>
      </w:pPr>
      <w:r>
        <w:rPr>
          <w:lang w:eastAsia="zh-CN"/>
        </w:rPr>
        <w:t>本研究考察外资准入规则放松如何影响企业是否由外国控制，以及企业进入和生产，并利用跨国生产模型测算相应的等价成本变化。研究先按经济活动整理各年的准入规则，再利用实际改革估计企业行为和生产变化，最后按照与模型一致的统计口径构造成本冲击。基准分析选择改革前已有可观测外资生产的活动，研究有限准入限制放松的影响。</w:t>
      </w:r>
    </w:p>
    <w:p w14:paraId="06F04E8B" w14:textId="77777777" w:rsidR="002C0540" w:rsidRDefault="00FE1083">
      <w:pPr>
        <w:pStyle w:val="21"/>
        <w:rPr>
          <w:lang w:eastAsia="zh-CN"/>
        </w:rPr>
      </w:pPr>
      <w:r>
        <w:rPr>
          <w:lang w:eastAsia="zh-CN"/>
        </w:rPr>
        <w:t>研究问题与贡献</w:t>
      </w:r>
    </w:p>
    <w:p w14:paraId="4C01CD43" w14:textId="77777777" w:rsidR="002C0540" w:rsidRDefault="00FE1083" w:rsidP="003268CE">
      <w:pPr>
        <w:ind w:firstLine="720"/>
        <w:rPr>
          <w:lang w:eastAsia="zh-CN"/>
        </w:rPr>
      </w:pPr>
      <w:r>
        <w:rPr>
          <w:lang w:eastAsia="zh-CN"/>
        </w:rPr>
        <w:t>外资准入规则通常适用于具体产品、技术、服务或经营活动，同一行业内的企业可能面临不同约束。</w:t>
      </w:r>
      <w:r>
        <w:rPr>
          <w:lang w:eastAsia="zh-CN"/>
        </w:rPr>
        <w:t>Eppinger and Ma</w:t>
      </w:r>
      <w:r>
        <w:rPr>
          <w:lang w:eastAsia="zh-CN"/>
        </w:rPr>
        <w:t>（</w:t>
      </w:r>
      <w:r>
        <w:rPr>
          <w:lang w:eastAsia="zh-CN"/>
        </w:rPr>
        <w:t>2023</w:t>
      </w:r>
      <w:r>
        <w:rPr>
          <w:lang w:eastAsia="zh-CN"/>
        </w:rPr>
        <w:t>）通过产品文本匹配识别中国外资股权限制改革，为本研究按具体活动匹配政策提供了方法参照。本研究沿用这一思路，区分禁止、明确股比、中方控制、组织形式、治理和其他限制，考察实际改革组合对控制权、企业进入与生产的影响。本研究将逐项说明法律规则如何对应企业的政策暴露，以及估计出的生产变化如何进入结构模型。</w:t>
      </w:r>
    </w:p>
    <w:p w14:paraId="7C2C67F7" w14:textId="353E2FDE" w:rsidR="002C0540" w:rsidRDefault="00FE1083" w:rsidP="003268CE">
      <w:pPr>
        <w:ind w:firstLine="720"/>
        <w:rPr>
          <w:lang w:eastAsia="zh-CN"/>
        </w:rPr>
      </w:pPr>
      <w:r>
        <w:rPr>
          <w:lang w:eastAsia="zh-CN"/>
        </w:rPr>
        <w:t>《中国高水平制度型开放与全球产业链网络重塑》的修订材料先从制度文本构建政策指标，再估计政策对经济流量的影响，最后将估计结果转换为模型中的成本变化（研究修订材料，制度型开放测度部分）。本研究借鉴这一思路，围绕中国单边外资准入规则重新估计改革效果。这里的等价成本变化是指，模型中的成本需要调整多少，才能产生与实证估计一致的生产变化。</w:t>
      </w:r>
      <w:r w:rsidR="003268CE">
        <w:rPr>
          <w:rFonts w:hint="eastAsia"/>
          <w:lang w:eastAsia="zh-CN"/>
        </w:rPr>
        <w:t>同时</w:t>
      </w:r>
      <w:r>
        <w:rPr>
          <w:lang w:eastAsia="zh-CN"/>
        </w:rPr>
        <w:t>它反映的是某项改革对应的成本调整，</w:t>
      </w:r>
      <w:r w:rsidR="003268CE">
        <w:rPr>
          <w:rFonts w:hint="eastAsia"/>
          <w:lang w:eastAsia="zh-CN"/>
        </w:rPr>
        <w:t>还</w:t>
      </w:r>
      <w:r>
        <w:rPr>
          <w:lang w:eastAsia="zh-CN"/>
        </w:rPr>
        <w:t>不能据此推算</w:t>
      </w:r>
      <w:r w:rsidR="003268CE">
        <w:rPr>
          <w:rFonts w:hint="eastAsia"/>
          <w:lang w:eastAsia="zh-CN"/>
        </w:rPr>
        <w:t>为</w:t>
      </w:r>
      <w:r>
        <w:rPr>
          <w:lang w:eastAsia="zh-CN"/>
        </w:rPr>
        <w:t>改革前全部制度限制造成的成本水平。</w:t>
      </w:r>
    </w:p>
    <w:p w14:paraId="4E9D6CC2" w14:textId="77777777" w:rsidR="002C0540" w:rsidRDefault="00FE1083" w:rsidP="003268CE">
      <w:pPr>
        <w:ind w:firstLine="720"/>
        <w:rPr>
          <w:lang w:eastAsia="zh-CN"/>
        </w:rPr>
      </w:pPr>
      <w:r>
        <w:rPr>
          <w:lang w:eastAsia="zh-CN"/>
        </w:rPr>
        <w:t>研究包含两个相互衔接的层次。微观分析识别实际改革对企业行为和活动生产的影响；结构分析检验调整跨国生产经营成本楔子能否解释这些影响，并评估相应的均衡变化。基准模型按部门设定等价成本冲击。部门内不同活动的差异和外资设立机制将在扩展模型中研究，这些扩展需要相应的模型结构和校准条件。</w:t>
      </w:r>
    </w:p>
    <w:p w14:paraId="08623C66" w14:textId="77777777" w:rsidR="002C0540" w:rsidRDefault="00FE1083">
      <w:pPr>
        <w:pStyle w:val="21"/>
        <w:rPr>
          <w:lang w:eastAsia="zh-CN"/>
        </w:rPr>
      </w:pPr>
      <w:r>
        <w:rPr>
          <w:lang w:eastAsia="zh-CN"/>
        </w:rPr>
        <w:t>研究对象与符号</w:t>
      </w:r>
    </w:p>
    <w:p w14:paraId="3BB3DA70" w14:textId="77777777" w:rsidR="002C0540" w:rsidRDefault="00FE1083" w:rsidP="007B166D">
      <w:pPr>
        <w:ind w:firstLine="720"/>
        <w:rPr>
          <w:lang w:eastAsia="zh-CN"/>
        </w:rPr>
      </w:pPr>
      <w:r>
        <w:rPr>
          <w:lang w:eastAsia="zh-CN"/>
        </w:rPr>
        <w:t>设</w:t>
      </w:r>
      <w:r>
        <w:rPr>
          <w:lang w:eastAsia="zh-CN"/>
        </w:rPr>
        <w:t xml:space="preserve"> </w:t>
      </w:r>
      <m:oMath>
        <m:r>
          <w:rPr>
            <w:rFonts w:ascii="Cambria Math" w:hAnsi="Cambria Math"/>
            <w:lang w:eastAsia="zh-CN"/>
          </w:rPr>
          <m:t>f</m:t>
        </m:r>
      </m:oMath>
      <w:r>
        <w:rPr>
          <w:lang w:eastAsia="zh-CN"/>
        </w:rPr>
        <w:t xml:space="preserve"> </w:t>
      </w:r>
      <w:r>
        <w:rPr>
          <w:lang w:eastAsia="zh-CN"/>
        </w:rPr>
        <w:t>为企业，</w:t>
      </w:r>
      <m:oMath>
        <m:r>
          <w:rPr>
            <w:rFonts w:ascii="Cambria Math" w:hAnsi="Cambria Math"/>
            <w:lang w:eastAsia="zh-CN"/>
          </w:rPr>
          <m:t>u</m:t>
        </m:r>
      </m:oMath>
      <w:r>
        <w:rPr>
          <w:lang w:eastAsia="zh-CN"/>
        </w:rPr>
        <w:t xml:space="preserve"> </w:t>
      </w:r>
      <w:r>
        <w:rPr>
          <w:lang w:eastAsia="zh-CN"/>
        </w:rPr>
        <w:t>为跨版本稳定的经济活动，</w:t>
      </w:r>
      <m:oMath>
        <m:r>
          <w:rPr>
            <w:rFonts w:ascii="Cambria Math" w:hAnsi="Cambria Math"/>
            <w:lang w:eastAsia="zh-CN"/>
          </w:rPr>
          <m:t>r</m:t>
        </m:r>
      </m:oMath>
      <w:r>
        <w:rPr>
          <w:lang w:eastAsia="zh-CN"/>
        </w:rPr>
        <w:t xml:space="preserve"> </w:t>
      </w:r>
      <w:r>
        <w:rPr>
          <w:lang w:eastAsia="zh-CN"/>
        </w:rPr>
        <w:t>为生产地区，</w:t>
      </w:r>
      <m:oMath>
        <m:r>
          <w:rPr>
            <w:rFonts w:ascii="Cambria Math" w:hAnsi="Cambria Math"/>
            <w:lang w:eastAsia="zh-CN"/>
          </w:rPr>
          <m:t>t</m:t>
        </m:r>
      </m:oMath>
      <w:r>
        <w:rPr>
          <w:lang w:eastAsia="zh-CN"/>
        </w:rPr>
        <w:t xml:space="preserve"> </w:t>
      </w:r>
      <w:r>
        <w:rPr>
          <w:lang w:eastAsia="zh-CN"/>
        </w:rPr>
        <w:t>为年份，</w:t>
      </w:r>
      <m:oMath>
        <m:r>
          <w:rPr>
            <w:rFonts w:ascii="Cambria Math" w:hAnsi="Cambria Math"/>
            <w:lang w:eastAsia="zh-CN"/>
          </w:rPr>
          <m:t>e</m:t>
        </m:r>
      </m:oMath>
      <w:r>
        <w:rPr>
          <w:lang w:eastAsia="zh-CN"/>
        </w:rPr>
        <w:t xml:space="preserve"> </w:t>
      </w:r>
      <w:r>
        <w:rPr>
          <w:lang w:eastAsia="zh-CN"/>
        </w:rPr>
        <w:t>为改革事件，</w:t>
      </w:r>
      <m:oMath>
        <m:r>
          <w:rPr>
            <w:rFonts w:ascii="Cambria Math" w:hAnsi="Cambria Math"/>
            <w:lang w:eastAsia="zh-CN"/>
          </w:rPr>
          <m:t>j</m:t>
        </m:r>
      </m:oMath>
      <w:r>
        <w:rPr>
          <w:lang w:eastAsia="zh-CN"/>
        </w:rPr>
        <w:t xml:space="preserve"> </w:t>
      </w:r>
      <w:r>
        <w:rPr>
          <w:lang w:eastAsia="zh-CN"/>
        </w:rPr>
        <w:t>为结构部门，</w:t>
      </w:r>
      <m:oMath>
        <m:r>
          <w:rPr>
            <w:rFonts w:ascii="Cambria Math" w:hAnsi="Cambria Math"/>
            <w:lang w:eastAsia="zh-CN"/>
          </w:rPr>
          <m:t>m</m:t>
        </m:r>
      </m:oMath>
      <w:r>
        <w:rPr>
          <w:lang w:eastAsia="zh-CN"/>
        </w:rPr>
        <w:t xml:space="preserve"> </w:t>
      </w:r>
      <w:r>
        <w:rPr>
          <w:lang w:eastAsia="zh-CN"/>
        </w:rPr>
        <w:t>为企业最终控制母国，</w:t>
      </w:r>
      <m:oMath>
        <m:r>
          <w:rPr>
            <w:rFonts w:ascii="Cambria Math" w:hAnsi="Cambria Math"/>
            <w:lang w:eastAsia="zh-CN"/>
          </w:rPr>
          <m:t>i</m:t>
        </m:r>
      </m:oMath>
      <w:r>
        <w:rPr>
          <w:lang w:eastAsia="zh-CN"/>
        </w:rPr>
        <w:t xml:space="preserve"> </w:t>
      </w:r>
      <w:r>
        <w:rPr>
          <w:lang w:eastAsia="zh-CN"/>
        </w:rPr>
        <w:t>为生产国，</w:t>
      </w:r>
      <m:oMath>
        <m:r>
          <w:rPr>
            <w:rFonts w:ascii="Cambria Math" w:hAnsi="Cambria Math"/>
            <w:lang w:eastAsia="zh-CN"/>
          </w:rPr>
          <m:t>n</m:t>
        </m:r>
      </m:oMath>
      <w:r>
        <w:rPr>
          <w:lang w:eastAsia="zh-CN"/>
        </w:rPr>
        <w:t xml:space="preserve"> </w:t>
      </w:r>
      <w:r>
        <w:rPr>
          <w:lang w:eastAsia="zh-CN"/>
        </w:rPr>
        <w:t>为销售目的国，</w:t>
      </w:r>
      <m:oMath>
        <m:r>
          <w:rPr>
            <w:rFonts w:ascii="Cambria Math" w:hAnsi="Cambria Math"/>
            <w:lang w:eastAsia="zh-CN"/>
          </w:rPr>
          <m:t>C</m:t>
        </m:r>
      </m:oMath>
      <w:r>
        <w:rPr>
          <w:lang w:eastAsia="zh-CN"/>
        </w:rPr>
        <w:t xml:space="preserve"> </w:t>
      </w:r>
      <w:r>
        <w:rPr>
          <w:lang w:eastAsia="zh-CN"/>
        </w:rPr>
        <w:t>为中国。外资指最终控制母国位于中国以外的企业。港澳台企业、间接控制企业和境外中资回流企</w:t>
      </w:r>
      <w:r>
        <w:rPr>
          <w:lang w:eastAsia="zh-CN"/>
        </w:rPr>
        <w:lastRenderedPageBreak/>
        <w:t>业的归类，采用与结构数据一致的经济体划分和最终控制规则，企业的法律登记身份另行记录。</w:t>
      </w:r>
    </w:p>
    <w:p w14:paraId="7DCFDC2A" w14:textId="77777777" w:rsidR="002C0540" w:rsidRDefault="00FE1083" w:rsidP="007B166D">
      <w:pPr>
        <w:ind w:firstLine="720"/>
        <w:rPr>
          <w:lang w:eastAsia="zh-CN"/>
        </w:rPr>
      </w:pPr>
      <w:r>
        <w:rPr>
          <w:lang w:eastAsia="zh-CN"/>
        </w:rPr>
        <w:t>研究假定能够获得完整的企业所有权、活动生产价值、主营业务文本和进入退出信息。多业务企业的生产价值按各项活动的真实记录分拆。统计范围为在中国开展的经营活动，企业在境外的生产不计入中国外资生产份额的分母。估计前确定结构部门、币值、时期与计价方式，并明确区分生产价值和增加值。</w:t>
      </w:r>
    </w:p>
    <w:p w14:paraId="2A3E4386" w14:textId="77777777" w:rsidR="002C0540" w:rsidRDefault="00FE1083" w:rsidP="007B166D">
      <w:pPr>
        <w:ind w:firstLine="720"/>
        <w:rPr>
          <w:lang w:eastAsia="zh-CN"/>
        </w:rPr>
      </w:pPr>
      <w:r>
        <w:rPr>
          <w:lang w:eastAsia="zh-CN"/>
        </w:rPr>
        <w:t>研究依次开展以下工作：核查政策原文和适用范围，按稳定的经济活动建立跨年法律面板；根据企业改革前的业务匹配政策，汇总各活动的当期生产；确定改革事件和对照活动，估计生产与企业行为的变化；根据识别条件，估计单项限制或改革组合的效果；按与模型一致的统计口径反演部门等价成本；求解反事实均衡，检验模型机制并评估结果的不确定性。</w:t>
      </w:r>
    </w:p>
    <w:p w14:paraId="31B146B8" w14:textId="77777777" w:rsidR="002C0540" w:rsidRDefault="00FE1083">
      <w:pPr>
        <w:pStyle w:val="1"/>
        <w:rPr>
          <w:lang w:eastAsia="zh-CN"/>
        </w:rPr>
      </w:pPr>
      <w:r>
        <w:rPr>
          <w:lang w:eastAsia="zh-CN"/>
        </w:rPr>
        <w:t xml:space="preserve">A2 </w:t>
      </w:r>
      <w:r>
        <w:rPr>
          <w:lang w:eastAsia="zh-CN"/>
        </w:rPr>
        <w:t>政策编码与跨年活动匹配</w:t>
      </w:r>
    </w:p>
    <w:p w14:paraId="78F2CEEA" w14:textId="77777777" w:rsidR="002C0540" w:rsidRDefault="00FE1083">
      <w:pPr>
        <w:pStyle w:val="21"/>
        <w:rPr>
          <w:lang w:eastAsia="zh-CN"/>
        </w:rPr>
      </w:pPr>
      <w:r>
        <w:rPr>
          <w:lang w:eastAsia="zh-CN"/>
        </w:rPr>
        <w:t>政策版本与稳定活动台账</w:t>
      </w:r>
    </w:p>
    <w:p w14:paraId="15F8F18E" w14:textId="77777777" w:rsidR="002C0540" w:rsidRDefault="00FE1083" w:rsidP="00B729EE">
      <w:pPr>
        <w:ind w:firstLine="720"/>
        <w:rPr>
          <w:lang w:eastAsia="zh-CN"/>
        </w:rPr>
      </w:pPr>
      <w:r>
        <w:rPr>
          <w:lang w:eastAsia="zh-CN"/>
        </w:rPr>
        <w:t>政策编码以正式生效的全国性外资准入文件为主，负面清单制度实施前的年份采用连续可比的外商投资产业指导目录衔接。逐项记录发布日期、生效日期、年度适用方式、过渡安排和例外。地区试点、特殊经济区域、投资者资格及优惠安排另行编码，以确定各企业实际适用的规则。全国清单仅是这一判断的起点，企业的法律待遇还须结合这些适用条件确定。</w:t>
      </w:r>
    </w:p>
    <w:p w14:paraId="0A578285" w14:textId="77777777" w:rsidR="002C0540" w:rsidRDefault="00FE1083" w:rsidP="00B729EE">
      <w:pPr>
        <w:ind w:firstLine="720"/>
        <w:rPr>
          <w:lang w:eastAsia="zh-CN"/>
        </w:rPr>
      </w:pPr>
      <w:r>
        <w:rPr>
          <w:lang w:eastAsia="zh-CN"/>
        </w:rPr>
        <w:t>本研究将经济活动细分到可以单独判断法律状态的最小单位。条文涉及不同股比、控制要求、例外或地域条件时分别编码；同一活动受到多类约束时，逐项记录其完整限制向量。为每版条款设置唯一的</w:t>
      </w:r>
      <w:r>
        <w:rPr>
          <w:lang w:eastAsia="zh-CN"/>
        </w:rPr>
        <w:t xml:space="preserve"> </w:t>
      </w:r>
      <w:r>
        <w:rPr>
          <w:rFonts w:ascii="Consolas" w:hAnsi="Consolas"/>
          <w:sz w:val="21"/>
          <w:lang w:eastAsia="zh-CN"/>
        </w:rPr>
        <w:t>policy_unit_id</w:t>
      </w:r>
      <w:r>
        <w:rPr>
          <w:lang w:eastAsia="zh-CN"/>
        </w:rPr>
        <w:t>，用于查找原文；另设跨年稳定的</w:t>
      </w:r>
      <w:r>
        <w:rPr>
          <w:lang w:eastAsia="zh-CN"/>
        </w:rPr>
        <w:t xml:space="preserve"> </w:t>
      </w:r>
      <w:r>
        <w:rPr>
          <w:rFonts w:ascii="Consolas" w:hAnsi="Consolas"/>
          <w:sz w:val="21"/>
          <w:lang w:eastAsia="zh-CN"/>
        </w:rPr>
        <w:t>activity_id</w:t>
      </w:r>
      <w:r>
        <w:rPr>
          <w:lang w:eastAsia="zh-CN"/>
        </w:rPr>
        <w:t>，连接条款延续、修改、拆分、合并、删除及重新出现的记录。台账同时覆盖各版活动和经核实未受对应特别限制的活动。条目被删除后，相应活动的记录仍予保留。</w:t>
      </w:r>
    </w:p>
    <w:p w14:paraId="5A36E90E" w14:textId="77777777" w:rsidR="002C0540" w:rsidRDefault="00FE1083">
      <w:pPr>
        <w:pStyle w:val="af7"/>
        <w:rPr>
          <w:lang w:eastAsia="zh-CN"/>
        </w:rPr>
      </w:pPr>
      <w:r>
        <w:rPr>
          <w:lang w:eastAsia="zh-CN"/>
        </w:rPr>
        <w:t>表</w:t>
      </w:r>
      <w:r>
        <w:rPr>
          <w:lang w:eastAsia="zh-CN"/>
        </w:rPr>
        <w:t xml:space="preserve">A1 </w:t>
      </w:r>
      <w:r>
        <w:rPr>
          <w:lang w:eastAsia="zh-CN"/>
        </w:rPr>
        <w:t>政策台账的核心字段</w:t>
      </w:r>
    </w:p>
    <w:tbl>
      <w:tblPr>
        <w:tblW w:w="0" w:type="auto"/>
        <w:jc w:val="center"/>
        <w:tblBorders>
          <w:top w:val="single" w:sz="8" w:space="0" w:color="000000"/>
          <w:left w:val="nil"/>
          <w:bottom w:val="single" w:sz="8" w:space="0" w:color="000000"/>
          <w:right w:val="nil"/>
          <w:insideH w:val="nil"/>
          <w:insideV w:val="nil"/>
        </w:tblBorders>
        <w:tblLayout w:type="fixed"/>
        <w:tblCellMar>
          <w:top w:w="85" w:type="dxa"/>
          <w:left w:w="80" w:type="dxa"/>
          <w:bottom w:w="85" w:type="dxa"/>
          <w:right w:w="80" w:type="dxa"/>
        </w:tblCellMar>
        <w:tblLook w:val="04A0" w:firstRow="1" w:lastRow="0" w:firstColumn="1" w:lastColumn="0" w:noHBand="0" w:noVBand="1"/>
      </w:tblPr>
      <w:tblGrid>
        <w:gridCol w:w="1778"/>
        <w:gridCol w:w="3557"/>
        <w:gridCol w:w="4025"/>
      </w:tblGrid>
      <w:tr w:rsidR="002C0540" w14:paraId="55A154BD" w14:textId="77777777">
        <w:trPr>
          <w:cantSplit/>
          <w:tblHeader/>
          <w:jc w:val="center"/>
        </w:trPr>
        <w:tc>
          <w:tcPr>
            <w:tcW w:w="1778" w:type="dxa"/>
            <w:tcBorders>
              <w:bottom w:val="single" w:sz="5" w:space="0" w:color="000000"/>
            </w:tcBorders>
            <w:vAlign w:val="center"/>
          </w:tcPr>
          <w:p w14:paraId="07979588" w14:textId="77777777" w:rsidR="002C0540" w:rsidRDefault="00FE1083">
            <w:pPr>
              <w:pStyle w:val="TableText"/>
              <w:keepNext/>
              <w:jc w:val="center"/>
            </w:pPr>
            <w:r>
              <w:rPr>
                <w:b/>
              </w:rPr>
              <w:t>字段组</w:t>
            </w:r>
          </w:p>
        </w:tc>
        <w:tc>
          <w:tcPr>
            <w:tcW w:w="3557" w:type="dxa"/>
            <w:tcBorders>
              <w:bottom w:val="single" w:sz="5" w:space="0" w:color="000000"/>
            </w:tcBorders>
            <w:vAlign w:val="center"/>
          </w:tcPr>
          <w:p w14:paraId="5D5034E8" w14:textId="77777777" w:rsidR="002C0540" w:rsidRDefault="00FE1083">
            <w:pPr>
              <w:pStyle w:val="TableText"/>
              <w:keepNext/>
            </w:pPr>
            <w:r>
              <w:rPr>
                <w:b/>
              </w:rPr>
              <w:t>主要内容</w:t>
            </w:r>
          </w:p>
        </w:tc>
        <w:tc>
          <w:tcPr>
            <w:tcW w:w="4025" w:type="dxa"/>
            <w:tcBorders>
              <w:bottom w:val="single" w:sz="5" w:space="0" w:color="000000"/>
            </w:tcBorders>
            <w:vAlign w:val="center"/>
          </w:tcPr>
          <w:p w14:paraId="690A9274" w14:textId="77777777" w:rsidR="002C0540" w:rsidRDefault="00FE1083">
            <w:pPr>
              <w:pStyle w:val="TableText"/>
              <w:keepNext/>
            </w:pPr>
            <w:r>
              <w:rPr>
                <w:b/>
              </w:rPr>
              <w:t>用途</w:t>
            </w:r>
          </w:p>
        </w:tc>
      </w:tr>
      <w:tr w:rsidR="002C0540" w14:paraId="4ACC294F" w14:textId="77777777">
        <w:trPr>
          <w:cantSplit/>
          <w:jc w:val="center"/>
        </w:trPr>
        <w:tc>
          <w:tcPr>
            <w:tcW w:w="1778" w:type="dxa"/>
            <w:vAlign w:val="center"/>
          </w:tcPr>
          <w:p w14:paraId="293CC661" w14:textId="77777777" w:rsidR="002C0540" w:rsidRDefault="00FE1083">
            <w:pPr>
              <w:pStyle w:val="TableText"/>
            </w:pPr>
            <w:r>
              <w:t>稳定标识</w:t>
            </w:r>
          </w:p>
        </w:tc>
        <w:tc>
          <w:tcPr>
            <w:tcW w:w="3557" w:type="dxa"/>
            <w:vAlign w:val="center"/>
          </w:tcPr>
          <w:p w14:paraId="1B934A69" w14:textId="77777777" w:rsidR="002C0540" w:rsidRDefault="00FE1083">
            <w:pPr>
              <w:pStyle w:val="TableText"/>
            </w:pPr>
            <w:r>
              <w:t>activity_id</w:t>
            </w:r>
            <w:r>
              <w:t>、</w:t>
            </w:r>
            <w:r>
              <w:t>policy_unit_id</w:t>
            </w:r>
            <w:r>
              <w:t>及版本对应关系</w:t>
            </w:r>
          </w:p>
        </w:tc>
        <w:tc>
          <w:tcPr>
            <w:tcW w:w="4025" w:type="dxa"/>
            <w:vAlign w:val="center"/>
          </w:tcPr>
          <w:p w14:paraId="7C9A6972" w14:textId="77777777" w:rsidR="002C0540" w:rsidRDefault="00FE1083">
            <w:pPr>
              <w:pStyle w:val="TableText"/>
              <w:rPr>
                <w:lang w:eastAsia="zh-CN"/>
              </w:rPr>
            </w:pPr>
            <w:r>
              <w:rPr>
                <w:lang w:eastAsia="zh-CN"/>
              </w:rPr>
              <w:t>追踪同一活动在不同政策版本中的变化</w:t>
            </w:r>
          </w:p>
        </w:tc>
      </w:tr>
      <w:tr w:rsidR="002C0540" w14:paraId="54436573" w14:textId="77777777">
        <w:trPr>
          <w:cantSplit/>
          <w:jc w:val="center"/>
        </w:trPr>
        <w:tc>
          <w:tcPr>
            <w:tcW w:w="1778" w:type="dxa"/>
            <w:vAlign w:val="center"/>
          </w:tcPr>
          <w:p w14:paraId="15598EF3" w14:textId="77777777" w:rsidR="002C0540" w:rsidRDefault="00FE1083">
            <w:pPr>
              <w:pStyle w:val="TableText"/>
            </w:pPr>
            <w:r>
              <w:lastRenderedPageBreak/>
              <w:t>原文证据</w:t>
            </w:r>
          </w:p>
        </w:tc>
        <w:tc>
          <w:tcPr>
            <w:tcW w:w="3557" w:type="dxa"/>
            <w:vAlign w:val="center"/>
          </w:tcPr>
          <w:p w14:paraId="27CDAC30" w14:textId="77777777" w:rsidR="002C0540" w:rsidRDefault="00FE1083">
            <w:pPr>
              <w:pStyle w:val="TableText"/>
              <w:rPr>
                <w:lang w:eastAsia="zh-CN"/>
              </w:rPr>
            </w:pPr>
            <w:r>
              <w:rPr>
                <w:lang w:eastAsia="zh-CN"/>
              </w:rPr>
              <w:t>活动描述、限制与例外、原文位置</w:t>
            </w:r>
          </w:p>
        </w:tc>
        <w:tc>
          <w:tcPr>
            <w:tcW w:w="4025" w:type="dxa"/>
            <w:vAlign w:val="center"/>
          </w:tcPr>
          <w:p w14:paraId="185371DA" w14:textId="77777777" w:rsidR="002C0540" w:rsidRDefault="00FE1083">
            <w:pPr>
              <w:pStyle w:val="TableText"/>
              <w:rPr>
                <w:lang w:eastAsia="zh-CN"/>
              </w:rPr>
            </w:pPr>
            <w:r>
              <w:rPr>
                <w:lang w:eastAsia="zh-CN"/>
              </w:rPr>
              <w:t>确认限制内容及其适用活动</w:t>
            </w:r>
          </w:p>
        </w:tc>
      </w:tr>
      <w:tr w:rsidR="002C0540" w14:paraId="510B967E" w14:textId="77777777">
        <w:trPr>
          <w:cantSplit/>
          <w:jc w:val="center"/>
        </w:trPr>
        <w:tc>
          <w:tcPr>
            <w:tcW w:w="1778" w:type="dxa"/>
            <w:vAlign w:val="center"/>
          </w:tcPr>
          <w:p w14:paraId="3897E1E4" w14:textId="77777777" w:rsidR="002C0540" w:rsidRDefault="00FE1083">
            <w:pPr>
              <w:pStyle w:val="TableText"/>
            </w:pPr>
            <w:r>
              <w:t>时间与范围</w:t>
            </w:r>
          </w:p>
        </w:tc>
        <w:tc>
          <w:tcPr>
            <w:tcW w:w="3557" w:type="dxa"/>
            <w:vAlign w:val="center"/>
          </w:tcPr>
          <w:p w14:paraId="35C1BDFF" w14:textId="77777777" w:rsidR="002C0540" w:rsidRDefault="00FE1083">
            <w:pPr>
              <w:pStyle w:val="TableText"/>
              <w:rPr>
                <w:lang w:eastAsia="zh-CN"/>
              </w:rPr>
            </w:pPr>
            <w:r>
              <w:rPr>
                <w:lang w:eastAsia="zh-CN"/>
              </w:rPr>
              <w:t>生效时间、过渡安排、适用地区及投资者资格</w:t>
            </w:r>
          </w:p>
        </w:tc>
        <w:tc>
          <w:tcPr>
            <w:tcW w:w="4025" w:type="dxa"/>
            <w:vAlign w:val="center"/>
          </w:tcPr>
          <w:p w14:paraId="64A2B521" w14:textId="77777777" w:rsidR="002C0540" w:rsidRDefault="00FE1083">
            <w:pPr>
              <w:pStyle w:val="TableText"/>
              <w:rPr>
                <w:lang w:eastAsia="zh-CN"/>
              </w:rPr>
            </w:pPr>
            <w:r>
              <w:rPr>
                <w:lang w:eastAsia="zh-CN"/>
              </w:rPr>
              <w:t>确定企业在各年份适用的准入规则</w:t>
            </w:r>
          </w:p>
        </w:tc>
      </w:tr>
      <w:tr w:rsidR="002C0540" w14:paraId="2BF81A61" w14:textId="77777777">
        <w:trPr>
          <w:cantSplit/>
          <w:jc w:val="center"/>
        </w:trPr>
        <w:tc>
          <w:tcPr>
            <w:tcW w:w="1778" w:type="dxa"/>
            <w:vAlign w:val="center"/>
          </w:tcPr>
          <w:p w14:paraId="44994201" w14:textId="77777777" w:rsidR="002C0540" w:rsidRDefault="00FE1083">
            <w:pPr>
              <w:pStyle w:val="TableText"/>
            </w:pPr>
            <w:r>
              <w:t>匹配信息</w:t>
            </w:r>
          </w:p>
        </w:tc>
        <w:tc>
          <w:tcPr>
            <w:tcW w:w="3557" w:type="dxa"/>
            <w:vAlign w:val="center"/>
          </w:tcPr>
          <w:p w14:paraId="4685FF39" w14:textId="77777777" w:rsidR="002C0540" w:rsidRDefault="00FE1083">
            <w:pPr>
              <w:pStyle w:val="TableText"/>
            </w:pPr>
            <w:r>
              <w:t>分类版本、</w:t>
            </w:r>
            <w:r>
              <w:t>GB4</w:t>
            </w:r>
            <w:r>
              <w:t>、</w:t>
            </w:r>
            <w:r>
              <w:t>ISIC4</w:t>
            </w:r>
            <w:r>
              <w:t>及匹配类型</w:t>
            </w:r>
          </w:p>
        </w:tc>
        <w:tc>
          <w:tcPr>
            <w:tcW w:w="4025" w:type="dxa"/>
            <w:vAlign w:val="center"/>
          </w:tcPr>
          <w:p w14:paraId="1D9D05E6" w14:textId="77777777" w:rsidR="002C0540" w:rsidRDefault="00FE1083">
            <w:pPr>
              <w:pStyle w:val="TableText"/>
              <w:rPr>
                <w:lang w:eastAsia="zh-CN"/>
              </w:rPr>
            </w:pPr>
            <w:r>
              <w:rPr>
                <w:lang w:eastAsia="zh-CN"/>
              </w:rPr>
              <w:t>确定候选行业并记录匹配是否明确</w:t>
            </w:r>
          </w:p>
        </w:tc>
      </w:tr>
      <w:tr w:rsidR="002C0540" w14:paraId="0DA501AD" w14:textId="77777777">
        <w:trPr>
          <w:cantSplit/>
          <w:jc w:val="center"/>
        </w:trPr>
        <w:tc>
          <w:tcPr>
            <w:tcW w:w="1778" w:type="dxa"/>
            <w:vAlign w:val="center"/>
          </w:tcPr>
          <w:p w14:paraId="6818BC33" w14:textId="77777777" w:rsidR="002C0540" w:rsidRDefault="00FE1083">
            <w:pPr>
              <w:pStyle w:val="TableText"/>
            </w:pPr>
            <w:r>
              <w:t>审核状态</w:t>
            </w:r>
          </w:p>
        </w:tc>
        <w:tc>
          <w:tcPr>
            <w:tcW w:w="3557" w:type="dxa"/>
            <w:vAlign w:val="center"/>
          </w:tcPr>
          <w:p w14:paraId="17F8DCE0" w14:textId="77777777" w:rsidR="002C0540" w:rsidRDefault="00FE1083">
            <w:pPr>
              <w:pStyle w:val="TableText"/>
              <w:rPr>
                <w:lang w:eastAsia="zh-CN"/>
              </w:rPr>
            </w:pPr>
            <w:r>
              <w:rPr>
                <w:lang w:eastAsia="zh-CN"/>
              </w:rPr>
              <w:t>LLM</w:t>
            </w:r>
            <w:r>
              <w:rPr>
                <w:lang w:eastAsia="zh-CN"/>
              </w:rPr>
              <w:t>初步结果、人工复核及修改依据</w:t>
            </w:r>
          </w:p>
        </w:tc>
        <w:tc>
          <w:tcPr>
            <w:tcW w:w="4025" w:type="dxa"/>
            <w:vAlign w:val="center"/>
          </w:tcPr>
          <w:p w14:paraId="413E49E1" w14:textId="77777777" w:rsidR="002C0540" w:rsidRDefault="00FE1083">
            <w:pPr>
              <w:pStyle w:val="TableText"/>
              <w:rPr>
                <w:lang w:eastAsia="zh-CN"/>
              </w:rPr>
            </w:pPr>
            <w:r>
              <w:rPr>
                <w:lang w:eastAsia="zh-CN"/>
              </w:rPr>
              <w:t>记录编码、人工复核和修改过程</w:t>
            </w:r>
          </w:p>
        </w:tc>
      </w:tr>
    </w:tbl>
    <w:p w14:paraId="0E3E0186" w14:textId="77777777" w:rsidR="002C0540" w:rsidRDefault="002C0540">
      <w:pPr>
        <w:spacing w:after="40" w:line="84" w:lineRule="auto"/>
        <w:rPr>
          <w:lang w:eastAsia="zh-CN"/>
        </w:rPr>
      </w:pPr>
    </w:p>
    <w:p w14:paraId="7BCD2394" w14:textId="77777777" w:rsidR="002C0540" w:rsidRDefault="00FE1083">
      <w:pPr>
        <w:pStyle w:val="21"/>
        <w:rPr>
          <w:lang w:eastAsia="zh-CN"/>
        </w:rPr>
      </w:pPr>
      <w:r>
        <w:rPr>
          <w:lang w:eastAsia="zh-CN"/>
        </w:rPr>
        <w:t>六类限制及取值方向</w:t>
      </w:r>
    </w:p>
    <w:p w14:paraId="07DAE3EC" w14:textId="77777777" w:rsidR="002C0540" w:rsidRDefault="00FE1083" w:rsidP="006C781C">
      <w:pPr>
        <w:ind w:firstLine="720"/>
        <w:rPr>
          <w:lang w:eastAsia="zh-CN"/>
        </w:rPr>
      </w:pPr>
      <w:r>
        <w:rPr>
          <w:lang w:eastAsia="zh-CN"/>
        </w:rPr>
        <w:t>活动</w:t>
      </w:r>
      <w:r>
        <w:rPr>
          <w:lang w:eastAsia="zh-CN"/>
        </w:rPr>
        <w:t xml:space="preserve"> </w:t>
      </w:r>
      <m:oMath>
        <m:r>
          <w:rPr>
            <w:rFonts w:ascii="Cambria Math" w:hAnsi="Cambria Math"/>
            <w:lang w:eastAsia="zh-CN"/>
          </w:rPr>
          <m:t>u</m:t>
        </m:r>
      </m:oMath>
      <w:r>
        <w:rPr>
          <w:lang w:eastAsia="zh-CN"/>
        </w:rPr>
        <w:t xml:space="preserve"> </w:t>
      </w:r>
      <w:r>
        <w:rPr>
          <w:lang w:eastAsia="zh-CN"/>
        </w:rPr>
        <w:t>在地区</w:t>
      </w:r>
      <w:r>
        <w:rPr>
          <w:lang w:eastAsia="zh-CN"/>
        </w:rPr>
        <w:t xml:space="preserve"> </w:t>
      </w:r>
      <m:oMath>
        <m:r>
          <w:rPr>
            <w:rFonts w:ascii="Cambria Math" w:hAnsi="Cambria Math"/>
            <w:lang w:eastAsia="zh-CN"/>
          </w:rPr>
          <m:t>r</m:t>
        </m:r>
      </m:oMath>
      <w:r>
        <w:rPr>
          <w:lang w:eastAsia="zh-CN"/>
        </w:rPr>
        <w:t>、年份</w:t>
      </w:r>
      <w:r>
        <w:rPr>
          <w:lang w:eastAsia="zh-CN"/>
        </w:rPr>
        <w:t xml:space="preserve"> </w:t>
      </w:r>
      <m:oMath>
        <m:r>
          <w:rPr>
            <w:rFonts w:ascii="Cambria Math" w:hAnsi="Cambria Math"/>
            <w:lang w:eastAsia="zh-CN"/>
          </w:rPr>
          <m:t>t</m:t>
        </m:r>
      </m:oMath>
      <w:r>
        <w:rPr>
          <w:lang w:eastAsia="zh-CN"/>
        </w:rPr>
        <w:t xml:space="preserve"> </w:t>
      </w:r>
      <w:r>
        <w:rPr>
          <w:lang w:eastAsia="zh-CN"/>
        </w:rPr>
        <w:t>所受的限制用以下向量表示：</w:t>
      </w:r>
    </w:p>
    <w:p w14:paraId="736691A6" w14:textId="77777777" w:rsidR="002C0540" w:rsidRDefault="00FE1083">
      <w:pPr>
        <w:pStyle w:val="Equation"/>
      </w:pPr>
      <w:r>
        <w:rPr>
          <w:lang w:eastAsia="zh-CN"/>
        </w:rPr>
        <w:tab/>
      </w:r>
      <m:oMath>
        <m:sSub>
          <m:sSubPr>
            <m:ctrlPr>
              <w:rPr>
                <w:rFonts w:ascii="Cambria Math" w:hAnsi="Cambria Math"/>
              </w:rPr>
            </m:ctrlPr>
          </m:sSubPr>
          <m:e>
            <m:r>
              <w:rPr>
                <w:rFonts w:ascii="Cambria Math" w:hAnsi="Cambria Math"/>
              </w:rPr>
              <m:t>z</m:t>
            </m:r>
          </m:e>
          <m:sub>
            <m:r>
              <w:rPr>
                <w:rFonts w:ascii="Cambria Math" w:hAnsi="Cambria Math"/>
              </w:rPr>
              <m:t>urt</m:t>
            </m:r>
          </m:sub>
        </m:sSub>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urt</m:t>
            </m:r>
          </m:sub>
        </m:sSub>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urt</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urt</m:t>
            </m:r>
          </m:sub>
        </m:sSub>
        <m:r>
          <w:rPr>
            <w:rFonts w:ascii="Cambria Math" w:hAnsi="Cambria Math"/>
          </w:rPr>
          <m:t>,</m:t>
        </m:r>
        <m:sSub>
          <m:sSubPr>
            <m:ctrlPr>
              <w:rPr>
                <w:rFonts w:ascii="Cambria Math" w:hAnsi="Cambria Math"/>
              </w:rPr>
            </m:ctrlPr>
          </m:sSubPr>
          <m:e>
            <m:r>
              <w:rPr>
                <w:rFonts w:ascii="Cambria Math" w:hAnsi="Cambria Math"/>
              </w:rPr>
              <m:t>O</m:t>
            </m:r>
          </m:e>
          <m:sub>
            <m:r>
              <w:rPr>
                <w:rFonts w:ascii="Cambria Math" w:hAnsi="Cambria Math"/>
              </w:rPr>
              <m:t>urt</m:t>
            </m:r>
          </m:sub>
        </m:sSub>
        <m: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urt</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urt</m:t>
            </m:r>
          </m:sub>
        </m:sSub>
        <m:r>
          <w:rPr>
            <w:rFonts w:ascii="Cambria Math" w:hAnsi="Cambria Math"/>
          </w:rPr>
          <m:t>).</m:t>
        </m:r>
      </m:oMath>
      <w:r>
        <w:tab/>
        <w:t>(1)</w:t>
      </w:r>
    </w:p>
    <w:p w14:paraId="40EE80FF" w14:textId="77777777" w:rsidR="002C0540" w:rsidRDefault="00FE1083" w:rsidP="006C781C">
      <w:pPr>
        <w:ind w:firstLine="720"/>
        <w:rPr>
          <w:lang w:eastAsia="zh-CN"/>
        </w:rPr>
      </w:pPr>
      <w:r>
        <w:rPr>
          <w:lang w:eastAsia="zh-CN"/>
        </w:rPr>
        <w:t>六类变量取值越大，表示限制越强。股比数据库保留原始上限</w:t>
      </w:r>
      <w:r>
        <w:rPr>
          <w:lang w:eastAsia="zh-CN"/>
        </w:rPr>
        <w:t xml:space="preserve"> </w:t>
      </w:r>
      <m:oMath>
        <m:sSub>
          <m:sSubPr>
            <m:ctrlPr>
              <w:rPr>
                <w:rFonts w:ascii="Cambria Math" w:hAnsi="Cambria Math"/>
              </w:rPr>
            </m:ctrlPr>
          </m:sSubPr>
          <m:e>
            <m:r>
              <w:rPr>
                <w:rFonts w:ascii="Cambria Math" w:hAnsi="Cambria Math"/>
                <w:lang w:eastAsia="zh-CN"/>
              </w:rPr>
              <m:t>cap</m:t>
            </m:r>
          </m:e>
          <m:sub>
            <m:r>
              <w:rPr>
                <w:rFonts w:ascii="Cambria Math" w:hAnsi="Cambria Math"/>
                <w:lang w:eastAsia="zh-CN"/>
              </w:rPr>
              <m:t>urt</m:t>
            </m:r>
          </m:sub>
        </m:sSub>
      </m:oMath>
      <w:r>
        <w:rPr>
          <w:lang w:eastAsia="zh-CN"/>
        </w:rPr>
        <w:t>，只有条款明确给出比例，或比例可由条款直接换算时才予记录。明确数值股比限制的强度为：</w:t>
      </w:r>
    </w:p>
    <w:p w14:paraId="18D77B80" w14:textId="77777777" w:rsidR="002C0540" w:rsidRDefault="00FE1083">
      <w:pPr>
        <w:pStyle w:val="Equation"/>
        <w:rPr>
          <w:lang w:eastAsia="zh-CN"/>
        </w:rPr>
      </w:pPr>
      <w:r>
        <w:rPr>
          <w:lang w:eastAsia="zh-CN"/>
        </w:rPr>
        <w:tab/>
      </w:r>
      <m:oMath>
        <m:sSub>
          <m:sSubPr>
            <m:ctrlPr>
              <w:rPr>
                <w:rFonts w:ascii="Cambria Math" w:hAnsi="Cambria Math"/>
              </w:rPr>
            </m:ctrlPr>
          </m:sSubPr>
          <m:e>
            <m:r>
              <w:rPr>
                <w:rFonts w:ascii="Cambria Math" w:hAnsi="Cambria Math"/>
                <w:lang w:eastAsia="zh-CN"/>
              </w:rPr>
              <m:t>E</m:t>
            </m:r>
          </m:e>
          <m:sub>
            <m:r>
              <w:rPr>
                <w:rFonts w:ascii="Cambria Math" w:hAnsi="Cambria Math"/>
                <w:lang w:eastAsia="zh-CN"/>
              </w:rPr>
              <m:t>urt</m:t>
            </m:r>
          </m:sub>
        </m:sSub>
        <m:r>
          <w:rPr>
            <w:rFonts w:ascii="Cambria Math" w:hAnsi="Cambria Math"/>
            <w:lang w:eastAsia="zh-CN"/>
          </w:rPr>
          <m:t>=1-</m:t>
        </m:r>
        <m:sSub>
          <m:sSubPr>
            <m:ctrlPr>
              <w:rPr>
                <w:rFonts w:ascii="Cambria Math" w:hAnsi="Cambria Math"/>
              </w:rPr>
            </m:ctrlPr>
          </m:sSubPr>
          <m:e>
            <m:r>
              <w:rPr>
                <w:rFonts w:ascii="Cambria Math" w:hAnsi="Cambria Math"/>
                <w:lang w:eastAsia="zh-CN"/>
              </w:rPr>
              <m:t>cap</m:t>
            </m:r>
          </m:e>
          <m:sub>
            <m:r>
              <w:rPr>
                <w:rFonts w:ascii="Cambria Math" w:hAnsi="Cambria Math"/>
                <w:lang w:eastAsia="zh-CN"/>
              </w:rPr>
              <m:t>urt</m:t>
            </m:r>
          </m:sub>
        </m:sSub>
        <m:r>
          <w:rPr>
            <w:rFonts w:ascii="Cambria Math" w:hAnsi="Cambria Math"/>
            <w:lang w:eastAsia="zh-CN"/>
          </w:rPr>
          <m:t>.</m:t>
        </m:r>
      </m:oMath>
      <w:r>
        <w:rPr>
          <w:lang w:eastAsia="zh-CN"/>
        </w:rPr>
        <w:tab/>
        <w:t>(2)</w:t>
      </w:r>
    </w:p>
    <w:p w14:paraId="1DA98E35" w14:textId="77777777" w:rsidR="002C0540" w:rsidRDefault="00FE1083" w:rsidP="006C781C">
      <w:pPr>
        <w:ind w:firstLine="720"/>
        <w:rPr>
          <w:lang w:eastAsia="zh-CN"/>
        </w:rPr>
      </w:pPr>
      <w:r>
        <w:rPr>
          <w:lang w:eastAsia="zh-CN"/>
        </w:rPr>
        <w:t>经核实不存在明确数值股比约束时，</w:t>
      </w:r>
      <m:oMath>
        <m:sSub>
          <m:sSubPr>
            <m:ctrlPr>
              <w:rPr>
                <w:rFonts w:ascii="Cambria Math" w:hAnsi="Cambria Math"/>
              </w:rPr>
            </m:ctrlPr>
          </m:sSubPr>
          <m:e>
            <m:r>
              <w:rPr>
                <w:rFonts w:ascii="Cambria Math" w:hAnsi="Cambria Math"/>
                <w:lang w:eastAsia="zh-CN"/>
              </w:rPr>
              <m:t>E</m:t>
            </m:r>
          </m:e>
          <m:sub>
            <m:r>
              <w:rPr>
                <w:rFonts w:ascii="Cambria Math" w:hAnsi="Cambria Math"/>
                <w:lang w:eastAsia="zh-CN"/>
              </w:rPr>
              <m:t>urt</m:t>
            </m:r>
          </m:sub>
        </m:sSub>
        <m:r>
          <w:rPr>
            <w:rFonts w:ascii="Cambria Math" w:hAnsi="Cambria Math"/>
            <w:lang w:eastAsia="zh-CN"/>
          </w:rPr>
          <m:t>=0</m:t>
        </m:r>
      </m:oMath>
      <w:r>
        <w:rPr>
          <w:lang w:eastAsia="zh-CN"/>
        </w:rPr>
        <w:t>。条款仅规定中方控制等非数值要求时，不填写原始数值上限，而由其他对应维度记录约束，也不据此推定有效股比上限。法律信息不足时，限制状态保持缺失。禁止准入与允许准入分别分析；禁止状态不折算为强度</w:t>
      </w:r>
      <w:r>
        <w:rPr>
          <w:lang w:eastAsia="zh-CN"/>
        </w:rPr>
        <w:t>1</w:t>
      </w:r>
      <w:r>
        <w:rPr>
          <w:lang w:eastAsia="zh-CN"/>
        </w:rPr>
        <w:t>的股比限制或无限大的经营成本。</w:t>
      </w:r>
    </w:p>
    <w:p w14:paraId="0CC13D48" w14:textId="77777777" w:rsidR="002C0540" w:rsidRDefault="00FE1083">
      <w:pPr>
        <w:pStyle w:val="af7"/>
      </w:pPr>
      <w:r>
        <w:t>表</w:t>
      </w:r>
      <w:r>
        <w:t xml:space="preserve">A2 </w:t>
      </w:r>
      <w:r>
        <w:t>细活动限制向量</w:t>
      </w:r>
    </w:p>
    <w:tbl>
      <w:tblPr>
        <w:tblW w:w="0" w:type="auto"/>
        <w:jc w:val="center"/>
        <w:tblBorders>
          <w:top w:val="single" w:sz="8" w:space="0" w:color="000000"/>
          <w:left w:val="nil"/>
          <w:bottom w:val="single" w:sz="8" w:space="0" w:color="000000"/>
          <w:right w:val="nil"/>
          <w:insideH w:val="nil"/>
          <w:insideV w:val="nil"/>
        </w:tblBorders>
        <w:tblLayout w:type="fixed"/>
        <w:tblCellMar>
          <w:top w:w="85" w:type="dxa"/>
          <w:left w:w="80" w:type="dxa"/>
          <w:bottom w:w="85" w:type="dxa"/>
          <w:right w:w="80" w:type="dxa"/>
        </w:tblCellMar>
        <w:tblLook w:val="04A0" w:firstRow="1" w:lastRow="0" w:firstColumn="1" w:lastColumn="0" w:noHBand="0" w:noVBand="1"/>
      </w:tblPr>
      <w:tblGrid>
        <w:gridCol w:w="1778"/>
        <w:gridCol w:w="3557"/>
        <w:gridCol w:w="4025"/>
      </w:tblGrid>
      <w:tr w:rsidR="002C0540" w14:paraId="66F5F8C8" w14:textId="77777777">
        <w:trPr>
          <w:cantSplit/>
          <w:tblHeader/>
          <w:jc w:val="center"/>
        </w:trPr>
        <w:tc>
          <w:tcPr>
            <w:tcW w:w="1778" w:type="dxa"/>
            <w:tcBorders>
              <w:bottom w:val="single" w:sz="5" w:space="0" w:color="000000"/>
            </w:tcBorders>
            <w:vAlign w:val="center"/>
          </w:tcPr>
          <w:p w14:paraId="6C58A535" w14:textId="77777777" w:rsidR="002C0540" w:rsidRDefault="00FE1083">
            <w:pPr>
              <w:pStyle w:val="TableText"/>
              <w:keepNext/>
              <w:jc w:val="center"/>
            </w:pPr>
            <w:r>
              <w:rPr>
                <w:b/>
              </w:rPr>
              <w:t>变量</w:t>
            </w:r>
          </w:p>
        </w:tc>
        <w:tc>
          <w:tcPr>
            <w:tcW w:w="3557" w:type="dxa"/>
            <w:tcBorders>
              <w:bottom w:val="single" w:sz="5" w:space="0" w:color="000000"/>
            </w:tcBorders>
            <w:vAlign w:val="center"/>
          </w:tcPr>
          <w:p w14:paraId="1FC6C8FC" w14:textId="77777777" w:rsidR="002C0540" w:rsidRDefault="00FE1083">
            <w:pPr>
              <w:pStyle w:val="TableText"/>
              <w:keepNext/>
            </w:pPr>
            <w:r>
              <w:rPr>
                <w:b/>
              </w:rPr>
              <w:t>编码对象</w:t>
            </w:r>
          </w:p>
        </w:tc>
        <w:tc>
          <w:tcPr>
            <w:tcW w:w="4025" w:type="dxa"/>
            <w:tcBorders>
              <w:bottom w:val="single" w:sz="5" w:space="0" w:color="000000"/>
            </w:tcBorders>
            <w:vAlign w:val="center"/>
          </w:tcPr>
          <w:p w14:paraId="28192039" w14:textId="77777777" w:rsidR="002C0540" w:rsidRDefault="00FE1083">
            <w:pPr>
              <w:pStyle w:val="TableText"/>
              <w:keepNext/>
            </w:pPr>
            <w:r>
              <w:rPr>
                <w:b/>
              </w:rPr>
              <w:t>基准规则</w:t>
            </w:r>
          </w:p>
        </w:tc>
      </w:tr>
      <w:tr w:rsidR="002C0540" w14:paraId="11DE4411" w14:textId="77777777">
        <w:trPr>
          <w:cantSplit/>
          <w:jc w:val="center"/>
        </w:trPr>
        <w:tc>
          <w:tcPr>
            <w:tcW w:w="1778" w:type="dxa"/>
            <w:vAlign w:val="center"/>
          </w:tcPr>
          <w:p w14:paraId="0555F4D7" w14:textId="77777777" w:rsidR="002C0540" w:rsidRDefault="00FE1083">
            <w:pPr>
              <w:pStyle w:val="TableText"/>
              <w:jc w:val="center"/>
            </w:pPr>
            <w:r>
              <w:t>P</w:t>
            </w:r>
          </w:p>
        </w:tc>
        <w:tc>
          <w:tcPr>
            <w:tcW w:w="3557" w:type="dxa"/>
            <w:vAlign w:val="center"/>
          </w:tcPr>
          <w:p w14:paraId="4D9E89F6" w14:textId="77777777" w:rsidR="002C0540" w:rsidRDefault="00FE1083">
            <w:pPr>
              <w:pStyle w:val="TableText"/>
            </w:pPr>
            <w:r>
              <w:t>禁止准入</w:t>
            </w:r>
          </w:p>
        </w:tc>
        <w:tc>
          <w:tcPr>
            <w:tcW w:w="4025" w:type="dxa"/>
            <w:vAlign w:val="center"/>
          </w:tcPr>
          <w:p w14:paraId="561F8280" w14:textId="77777777" w:rsidR="002C0540" w:rsidRDefault="00FE1083">
            <w:pPr>
              <w:pStyle w:val="TableText"/>
              <w:rPr>
                <w:lang w:eastAsia="zh-CN"/>
              </w:rPr>
            </w:pPr>
            <w:r>
              <w:rPr>
                <w:lang w:eastAsia="zh-CN"/>
              </w:rPr>
              <w:t>禁止准入记为</w:t>
            </w:r>
            <w:r>
              <w:rPr>
                <w:lang w:eastAsia="zh-CN"/>
              </w:rPr>
              <w:t>1</w:t>
            </w:r>
            <w:r>
              <w:rPr>
                <w:lang w:eastAsia="zh-CN"/>
              </w:rPr>
              <w:t>，允许准入记为</w:t>
            </w:r>
            <w:r>
              <w:rPr>
                <w:lang w:eastAsia="zh-CN"/>
              </w:rPr>
              <w:t>0</w:t>
            </w:r>
          </w:p>
        </w:tc>
      </w:tr>
      <w:tr w:rsidR="002C0540" w14:paraId="5A4CD236" w14:textId="77777777">
        <w:trPr>
          <w:cantSplit/>
          <w:jc w:val="center"/>
        </w:trPr>
        <w:tc>
          <w:tcPr>
            <w:tcW w:w="1778" w:type="dxa"/>
            <w:vAlign w:val="center"/>
          </w:tcPr>
          <w:p w14:paraId="16E5F24E" w14:textId="77777777" w:rsidR="002C0540" w:rsidRDefault="00FE1083">
            <w:pPr>
              <w:pStyle w:val="TableText"/>
              <w:jc w:val="center"/>
            </w:pPr>
            <w:r>
              <w:t>E</w:t>
            </w:r>
          </w:p>
        </w:tc>
        <w:tc>
          <w:tcPr>
            <w:tcW w:w="3557" w:type="dxa"/>
            <w:vAlign w:val="center"/>
          </w:tcPr>
          <w:p w14:paraId="0E8D61AC" w14:textId="77777777" w:rsidR="002C0540" w:rsidRDefault="00FE1083">
            <w:pPr>
              <w:pStyle w:val="TableText"/>
            </w:pPr>
            <w:r>
              <w:t>明确数值股比限制</w:t>
            </w:r>
          </w:p>
        </w:tc>
        <w:tc>
          <w:tcPr>
            <w:tcW w:w="4025" w:type="dxa"/>
            <w:vAlign w:val="center"/>
          </w:tcPr>
          <w:p w14:paraId="60E8B3F6" w14:textId="77777777" w:rsidR="002C0540" w:rsidRDefault="00FE1083">
            <w:pPr>
              <w:pStyle w:val="TableText"/>
              <w:rPr>
                <w:lang w:eastAsia="zh-CN"/>
              </w:rPr>
            </w:pPr>
            <w:r>
              <w:rPr>
                <w:lang w:eastAsia="zh-CN"/>
              </w:rPr>
              <w:t>明确股比上限时记为</w:t>
            </w:r>
            <w:r>
              <w:rPr>
                <w:lang w:eastAsia="zh-CN"/>
              </w:rPr>
              <w:t>1</w:t>
            </w:r>
            <w:r>
              <w:rPr>
                <w:lang w:eastAsia="zh-CN"/>
              </w:rPr>
              <w:t>减上限；确认没有此类要求时记为</w:t>
            </w:r>
            <w:r>
              <w:rPr>
                <w:lang w:eastAsia="zh-CN"/>
              </w:rPr>
              <w:t>0</w:t>
            </w:r>
          </w:p>
        </w:tc>
      </w:tr>
      <w:tr w:rsidR="002C0540" w14:paraId="7C638A7C" w14:textId="77777777">
        <w:trPr>
          <w:cantSplit/>
          <w:jc w:val="center"/>
        </w:trPr>
        <w:tc>
          <w:tcPr>
            <w:tcW w:w="1778" w:type="dxa"/>
            <w:vAlign w:val="center"/>
          </w:tcPr>
          <w:p w14:paraId="50294665" w14:textId="77777777" w:rsidR="002C0540" w:rsidRDefault="00FE1083">
            <w:pPr>
              <w:pStyle w:val="TableText"/>
              <w:jc w:val="center"/>
            </w:pPr>
            <w:r>
              <w:t>C</w:t>
            </w:r>
          </w:p>
        </w:tc>
        <w:tc>
          <w:tcPr>
            <w:tcW w:w="3557" w:type="dxa"/>
            <w:vAlign w:val="center"/>
          </w:tcPr>
          <w:p w14:paraId="5A7E764B" w14:textId="77777777" w:rsidR="002C0540" w:rsidRDefault="00FE1083">
            <w:pPr>
              <w:pStyle w:val="TableText"/>
            </w:pPr>
            <w:r>
              <w:t>中方控制要求</w:t>
            </w:r>
          </w:p>
        </w:tc>
        <w:tc>
          <w:tcPr>
            <w:tcW w:w="4025" w:type="dxa"/>
            <w:vAlign w:val="center"/>
          </w:tcPr>
          <w:p w14:paraId="408D00C6" w14:textId="77777777" w:rsidR="002C0540" w:rsidRDefault="00FE1083">
            <w:pPr>
              <w:pStyle w:val="TableText"/>
              <w:rPr>
                <w:lang w:eastAsia="zh-CN"/>
              </w:rPr>
            </w:pPr>
            <w:r>
              <w:rPr>
                <w:lang w:eastAsia="zh-CN"/>
              </w:rPr>
              <w:t>要求中方控股、相对控股或主导时记为</w:t>
            </w:r>
            <w:r>
              <w:rPr>
                <w:lang w:eastAsia="zh-CN"/>
              </w:rPr>
              <w:t>1</w:t>
            </w:r>
          </w:p>
        </w:tc>
      </w:tr>
      <w:tr w:rsidR="002C0540" w14:paraId="5B6231AA" w14:textId="77777777">
        <w:trPr>
          <w:cantSplit/>
          <w:jc w:val="center"/>
        </w:trPr>
        <w:tc>
          <w:tcPr>
            <w:tcW w:w="1778" w:type="dxa"/>
            <w:vAlign w:val="center"/>
          </w:tcPr>
          <w:p w14:paraId="11C4C018" w14:textId="77777777" w:rsidR="002C0540" w:rsidRDefault="00FE1083">
            <w:pPr>
              <w:pStyle w:val="TableText"/>
              <w:jc w:val="center"/>
            </w:pPr>
            <w:r>
              <w:t>O</w:t>
            </w:r>
          </w:p>
        </w:tc>
        <w:tc>
          <w:tcPr>
            <w:tcW w:w="3557" w:type="dxa"/>
            <w:vAlign w:val="center"/>
          </w:tcPr>
          <w:p w14:paraId="440A14BD" w14:textId="77777777" w:rsidR="002C0540" w:rsidRDefault="00FE1083">
            <w:pPr>
              <w:pStyle w:val="TableText"/>
            </w:pPr>
            <w:r>
              <w:t>组织形式限制</w:t>
            </w:r>
          </w:p>
        </w:tc>
        <w:tc>
          <w:tcPr>
            <w:tcW w:w="4025" w:type="dxa"/>
            <w:vAlign w:val="center"/>
          </w:tcPr>
          <w:p w14:paraId="51CA5D18" w14:textId="77777777" w:rsidR="002C0540" w:rsidRDefault="00FE1083">
            <w:pPr>
              <w:pStyle w:val="TableText"/>
              <w:rPr>
                <w:lang w:eastAsia="zh-CN"/>
              </w:rPr>
            </w:pPr>
            <w:r>
              <w:rPr>
                <w:lang w:eastAsia="zh-CN"/>
              </w:rPr>
              <w:t>要求采取合资、合作等特定形式时记为</w:t>
            </w:r>
            <w:r>
              <w:rPr>
                <w:lang w:eastAsia="zh-CN"/>
              </w:rPr>
              <w:t>1</w:t>
            </w:r>
          </w:p>
        </w:tc>
      </w:tr>
      <w:tr w:rsidR="002C0540" w14:paraId="77EE6ABC" w14:textId="77777777">
        <w:trPr>
          <w:cantSplit/>
          <w:jc w:val="center"/>
        </w:trPr>
        <w:tc>
          <w:tcPr>
            <w:tcW w:w="1778" w:type="dxa"/>
            <w:vAlign w:val="center"/>
          </w:tcPr>
          <w:p w14:paraId="61183FB1" w14:textId="77777777" w:rsidR="002C0540" w:rsidRDefault="00FE1083">
            <w:pPr>
              <w:pStyle w:val="TableText"/>
              <w:jc w:val="center"/>
            </w:pPr>
            <w:r>
              <w:t>G</w:t>
            </w:r>
          </w:p>
        </w:tc>
        <w:tc>
          <w:tcPr>
            <w:tcW w:w="3557" w:type="dxa"/>
            <w:vAlign w:val="center"/>
          </w:tcPr>
          <w:p w14:paraId="7A504995" w14:textId="77777777" w:rsidR="002C0540" w:rsidRDefault="00FE1083">
            <w:pPr>
              <w:pStyle w:val="TableText"/>
            </w:pPr>
            <w:r>
              <w:t>治理限制</w:t>
            </w:r>
          </w:p>
        </w:tc>
        <w:tc>
          <w:tcPr>
            <w:tcW w:w="4025" w:type="dxa"/>
            <w:vAlign w:val="center"/>
          </w:tcPr>
          <w:p w14:paraId="7523C2A0" w14:textId="77777777" w:rsidR="002C0540" w:rsidRDefault="00FE1083">
            <w:pPr>
              <w:pStyle w:val="TableText"/>
              <w:rPr>
                <w:lang w:eastAsia="zh-CN"/>
              </w:rPr>
            </w:pPr>
            <w:r>
              <w:rPr>
                <w:lang w:eastAsia="zh-CN"/>
              </w:rPr>
              <w:t>对董事会、高管、法定代表人等提出中方要求时记为</w:t>
            </w:r>
            <w:r>
              <w:rPr>
                <w:lang w:eastAsia="zh-CN"/>
              </w:rPr>
              <w:t>1</w:t>
            </w:r>
          </w:p>
        </w:tc>
      </w:tr>
      <w:tr w:rsidR="002C0540" w14:paraId="30761E24" w14:textId="77777777">
        <w:trPr>
          <w:cantSplit/>
          <w:jc w:val="center"/>
        </w:trPr>
        <w:tc>
          <w:tcPr>
            <w:tcW w:w="1778" w:type="dxa"/>
            <w:vAlign w:val="center"/>
          </w:tcPr>
          <w:p w14:paraId="10819CD2" w14:textId="77777777" w:rsidR="002C0540" w:rsidRDefault="00FE1083">
            <w:pPr>
              <w:pStyle w:val="TableText"/>
              <w:jc w:val="center"/>
            </w:pPr>
            <w:r>
              <w:lastRenderedPageBreak/>
              <w:t>R</w:t>
            </w:r>
          </w:p>
        </w:tc>
        <w:tc>
          <w:tcPr>
            <w:tcW w:w="3557" w:type="dxa"/>
            <w:vAlign w:val="center"/>
          </w:tcPr>
          <w:p w14:paraId="5769D4C4" w14:textId="77777777" w:rsidR="002C0540" w:rsidRDefault="00FE1083">
            <w:pPr>
              <w:pStyle w:val="TableText"/>
            </w:pPr>
            <w:r>
              <w:t>其他有限准入限制</w:t>
            </w:r>
          </w:p>
        </w:tc>
        <w:tc>
          <w:tcPr>
            <w:tcW w:w="4025" w:type="dxa"/>
            <w:vAlign w:val="center"/>
          </w:tcPr>
          <w:p w14:paraId="1214510D" w14:textId="77777777" w:rsidR="002C0540" w:rsidRDefault="00FE1083">
            <w:pPr>
              <w:pStyle w:val="TableText"/>
              <w:rPr>
                <w:lang w:eastAsia="zh-CN"/>
              </w:rPr>
            </w:pPr>
            <w:r>
              <w:rPr>
                <w:lang w:eastAsia="zh-CN"/>
              </w:rPr>
              <w:t>按数量、业务范围、地域、单一外商股比等分别记录</w:t>
            </w:r>
          </w:p>
        </w:tc>
      </w:tr>
    </w:tbl>
    <w:p w14:paraId="3E6F0A51" w14:textId="77777777" w:rsidR="002C0540" w:rsidRDefault="002C0540">
      <w:pPr>
        <w:spacing w:after="40" w:line="84" w:lineRule="auto"/>
        <w:rPr>
          <w:lang w:eastAsia="zh-CN"/>
        </w:rPr>
      </w:pPr>
    </w:p>
    <w:p w14:paraId="44EBAAF4" w14:textId="77777777" w:rsidR="002C0540" w:rsidRDefault="00FE1083" w:rsidP="006C781C">
      <w:pPr>
        <w:ind w:firstLine="720"/>
        <w:rPr>
          <w:lang w:eastAsia="zh-CN"/>
        </w:rPr>
      </w:pPr>
      <w:r>
        <w:rPr>
          <w:lang w:eastAsia="zh-CN"/>
        </w:rPr>
        <w:t>六个维度的零值仅表示经核实不存在相应限制，活动仍可能受到其他监管。其他限制保留细分类别，避免用同一个二元变量将经济含义不同的要求视为同样强度。禁止准入活动所记录的其他限制，不用于识别有限限制的独立效应。</w:t>
      </w:r>
    </w:p>
    <w:p w14:paraId="200A3134" w14:textId="77777777" w:rsidR="002C0540" w:rsidRDefault="00FE1083">
      <w:pPr>
        <w:pStyle w:val="21"/>
        <w:rPr>
          <w:lang w:eastAsia="zh-CN"/>
        </w:rPr>
      </w:pPr>
      <w:r>
        <w:rPr>
          <w:lang w:eastAsia="zh-CN"/>
        </w:rPr>
        <w:t>删除条目与未匹配记录</w:t>
      </w:r>
    </w:p>
    <w:p w14:paraId="420E5435" w14:textId="77777777" w:rsidR="002C0540" w:rsidRDefault="00FE1083" w:rsidP="006C781C">
      <w:pPr>
        <w:ind w:firstLine="720"/>
        <w:rPr>
          <w:lang w:eastAsia="zh-CN"/>
        </w:rPr>
      </w:pPr>
      <w:r>
        <w:rPr>
          <w:lang w:eastAsia="zh-CN"/>
        </w:rPr>
        <w:t>原条文被删除后，核查相应限制是否真正解除，或只是条款改名、合并、转移，以及是否仍有特殊适用条件。确认解除后，在同一</w:t>
      </w:r>
      <w:r>
        <w:rPr>
          <w:lang w:eastAsia="zh-CN"/>
        </w:rPr>
        <w:t xml:space="preserve"> </w:t>
      </w:r>
      <w:r>
        <w:rPr>
          <w:rFonts w:ascii="Consolas" w:hAnsi="Consolas"/>
          <w:sz w:val="21"/>
          <w:lang w:eastAsia="zh-CN"/>
        </w:rPr>
        <w:t>activity_id</w:t>
      </w:r>
      <w:r>
        <w:rPr>
          <w:lang w:eastAsia="zh-CN"/>
        </w:rPr>
        <w:t xml:space="preserve"> </w:t>
      </w:r>
      <w:r>
        <w:rPr>
          <w:lang w:eastAsia="zh-CN"/>
        </w:rPr>
        <w:t>下将相应维度更新为</w:t>
      </w:r>
      <w:r>
        <w:rPr>
          <w:lang w:eastAsia="zh-CN"/>
        </w:rPr>
        <w:t>0</w:t>
      </w:r>
      <w:r>
        <w:rPr>
          <w:lang w:eastAsia="zh-CN"/>
        </w:rPr>
        <w:t>，并记录解除依据；确认要求仍然存在时，按现行条文编码；尚未查明时，保留缺失。长期未列入清单的活动，经核实法律状态后可记为无对应限制。仅因语义匹配失败而未找到条款的活动，不能据此认定其不受限制。</w:t>
      </w:r>
    </w:p>
    <w:p w14:paraId="3AC1578F" w14:textId="77777777" w:rsidR="002C0540" w:rsidRDefault="00FE1083" w:rsidP="006C781C">
      <w:pPr>
        <w:ind w:firstLine="720"/>
        <w:rPr>
          <w:lang w:eastAsia="zh-CN"/>
        </w:rPr>
      </w:pPr>
      <w:r>
        <w:rPr>
          <w:lang w:eastAsia="zh-CN"/>
        </w:rPr>
        <w:t>政策状态台账分别记录活动已列入受限、已核实无对应特别限制、已取消原限制、适用范围不明及未匹配等状态。计算限制变量时，法律判断和匹配置信度分开记录。未知状态保留为未知，不因扩大回归样本而改记为无约束。</w:t>
      </w:r>
    </w:p>
    <w:p w14:paraId="2648EEC7" w14:textId="77777777" w:rsidR="002C0540" w:rsidRDefault="00FE1083">
      <w:pPr>
        <w:pStyle w:val="21"/>
        <w:rPr>
          <w:lang w:eastAsia="zh-CN"/>
        </w:rPr>
      </w:pPr>
      <w:r>
        <w:rPr>
          <w:lang w:eastAsia="zh-CN"/>
        </w:rPr>
        <w:t>分类转换与文本匹配</w:t>
      </w:r>
    </w:p>
    <w:p w14:paraId="56FD1C5D" w14:textId="77777777" w:rsidR="002C0540" w:rsidRDefault="00FE1083" w:rsidP="006C781C">
      <w:pPr>
        <w:ind w:firstLine="720"/>
        <w:rPr>
          <w:lang w:eastAsia="zh-CN"/>
        </w:rPr>
      </w:pPr>
      <w:r>
        <w:rPr>
          <w:lang w:eastAsia="zh-CN"/>
        </w:rPr>
        <w:t>依据活动原文、例外和行业分类说明，确定</w:t>
      </w:r>
      <w:r>
        <w:rPr>
          <w:lang w:eastAsia="zh-CN"/>
        </w:rPr>
        <w:t>GB/T 4754</w:t>
      </w:r>
      <w:r>
        <w:rPr>
          <w:lang w:eastAsia="zh-CN"/>
        </w:rPr>
        <w:t>四位代码的候选范围。分类版本变化时，保留新旧代码的对应关系。转换为</w:t>
      </w:r>
      <w:r>
        <w:rPr>
          <w:lang w:eastAsia="zh-CN"/>
        </w:rPr>
        <w:t>ISIC Rev.4</w:t>
      </w:r>
      <w:r>
        <w:rPr>
          <w:lang w:eastAsia="zh-CN"/>
        </w:rPr>
        <w:t>是为了统一行业口径并限定候选范围；一对多的对应关系仍予保留。限制仅覆盖某小类的部分活动时，记录为</w:t>
      </w:r>
      <w:r>
        <w:rPr>
          <w:lang w:eastAsia="zh-CN"/>
        </w:rPr>
        <w:t>partial</w:t>
      </w:r>
      <w:r>
        <w:rPr>
          <w:lang w:eastAsia="zh-CN"/>
        </w:rPr>
        <w:t>，再判断企业是否属于受限活动，而不直接将该小类的全部企业归为受限。</w:t>
      </w:r>
    </w:p>
    <w:p w14:paraId="4735EDFB" w14:textId="77777777" w:rsidR="002C0540" w:rsidRDefault="00FE1083" w:rsidP="006C781C">
      <w:pPr>
        <w:ind w:firstLine="720"/>
        <w:rPr>
          <w:lang w:eastAsia="zh-CN"/>
        </w:rPr>
      </w:pPr>
      <w:r>
        <w:rPr>
          <w:lang w:eastAsia="zh-CN"/>
        </w:rPr>
        <w:t>文本匹配根据活动描述、企业产品或业务描述及可核验的行业信息，生成候选条款并计算语义相似度。模型和阈值根据独立的人工核验样本确定，随后保持不变，用于主规格；阈值选择不取决于回归符号或显著性。前两名候选的相似度相近、存在多个合理适用条款或范围不明时，交由人工判断。限制向量综合该活动适用的全部规则确定，而不只采用最相似条款的取值。</w:t>
      </w:r>
    </w:p>
    <w:p w14:paraId="7AF799FC" w14:textId="77777777" w:rsidR="002C0540" w:rsidRDefault="00FE1083" w:rsidP="006C781C">
      <w:pPr>
        <w:ind w:firstLine="720"/>
        <w:rPr>
          <w:lang w:eastAsia="zh-CN"/>
        </w:rPr>
      </w:pPr>
      <w:r>
        <w:rPr>
          <w:lang w:eastAsia="zh-CN"/>
        </w:rPr>
        <w:t>LLM</w:t>
      </w:r>
      <w:r>
        <w:rPr>
          <w:lang w:eastAsia="zh-CN"/>
        </w:rPr>
        <w:t>用于辅助抽取法律要求、候选活动及其原文依据，不直接确定经济成本权重。记录模型版本、提示词、调用参数、原始结果与人工修改。核验样本包括随机抽样和困难</w:t>
      </w:r>
      <w:r>
        <w:rPr>
          <w:lang w:eastAsia="zh-CN"/>
        </w:rPr>
        <w:lastRenderedPageBreak/>
        <w:t>案例，分别报告总体及分层精确率、召回率和</w:t>
      </w:r>
      <w:r>
        <w:rPr>
          <w:lang w:eastAsia="zh-CN"/>
        </w:rPr>
        <w:t>F1</w:t>
      </w:r>
      <w:r>
        <w:rPr>
          <w:lang w:eastAsia="zh-CN"/>
        </w:rPr>
        <w:t>。两种模型结果的一致程度用于衡量编码稳定性，准确性仍须通过与人工标注比较来判断。</w:t>
      </w:r>
    </w:p>
    <w:p w14:paraId="07DB56A8" w14:textId="77777777" w:rsidR="002C0540" w:rsidRDefault="00FE1083">
      <w:pPr>
        <w:pStyle w:val="1"/>
        <w:rPr>
          <w:lang w:eastAsia="zh-CN"/>
        </w:rPr>
      </w:pPr>
      <w:r>
        <w:rPr>
          <w:lang w:eastAsia="zh-CN"/>
        </w:rPr>
        <w:t xml:space="preserve">A3 </w:t>
      </w:r>
      <w:r>
        <w:rPr>
          <w:lang w:eastAsia="zh-CN"/>
        </w:rPr>
        <w:t>企业活动与实际生产指标</w:t>
      </w:r>
    </w:p>
    <w:p w14:paraId="0498131F" w14:textId="77777777" w:rsidR="002C0540" w:rsidRDefault="00FE1083">
      <w:pPr>
        <w:pStyle w:val="21"/>
        <w:rPr>
          <w:lang w:eastAsia="zh-CN"/>
        </w:rPr>
      </w:pPr>
      <w:r>
        <w:rPr>
          <w:lang w:eastAsia="zh-CN"/>
        </w:rPr>
        <w:t>稳定活动单元与生产价值</w:t>
      </w:r>
    </w:p>
    <w:p w14:paraId="5922468E" w14:textId="77777777" w:rsidR="002C0540" w:rsidRDefault="00FE1083" w:rsidP="006C781C">
      <w:pPr>
        <w:ind w:firstLine="720"/>
        <w:rPr>
          <w:lang w:eastAsia="zh-CN"/>
        </w:rPr>
      </w:pPr>
      <w:r>
        <w:rPr>
          <w:lang w:eastAsia="zh-CN"/>
        </w:rPr>
        <w:t>企业记录按跨年稳定的经济活动</w:t>
      </w:r>
      <w:r>
        <w:rPr>
          <w:lang w:eastAsia="zh-CN"/>
        </w:rPr>
        <w:t xml:space="preserve"> </w:t>
      </w:r>
      <m:oMath>
        <m:r>
          <w:rPr>
            <w:rFonts w:ascii="Cambria Math" w:hAnsi="Cambria Math"/>
            <w:lang w:eastAsia="zh-CN"/>
          </w:rPr>
          <m:t>u</m:t>
        </m:r>
      </m:oMath>
      <w:r>
        <w:rPr>
          <w:lang w:eastAsia="zh-CN"/>
        </w:rPr>
        <w:t>、政策适用地区</w:t>
      </w:r>
      <w:r>
        <w:rPr>
          <w:lang w:eastAsia="zh-CN"/>
        </w:rPr>
        <w:t xml:space="preserve"> </w:t>
      </w:r>
      <m:oMath>
        <m:r>
          <w:rPr>
            <w:rFonts w:ascii="Cambria Math" w:hAnsi="Cambria Math"/>
            <w:lang w:eastAsia="zh-CN"/>
          </w:rPr>
          <m:t>r</m:t>
        </m:r>
      </m:oMath>
      <w:r>
        <w:rPr>
          <w:lang w:eastAsia="zh-CN"/>
        </w:rPr>
        <w:t xml:space="preserve"> </w:t>
      </w:r>
      <w:r>
        <w:rPr>
          <w:lang w:eastAsia="zh-CN"/>
        </w:rPr>
        <w:t>和年份</w:t>
      </w:r>
      <w:r>
        <w:rPr>
          <w:lang w:eastAsia="zh-CN"/>
        </w:rPr>
        <w:t xml:space="preserve"> </w:t>
      </w:r>
      <m:oMath>
        <m:r>
          <w:rPr>
            <w:rFonts w:ascii="Cambria Math" w:hAnsi="Cambria Math"/>
            <w:lang w:eastAsia="zh-CN"/>
          </w:rPr>
          <m:t>t</m:t>
        </m:r>
      </m:oMath>
      <w:r>
        <w:rPr>
          <w:lang w:eastAsia="zh-CN"/>
        </w:rPr>
        <w:t xml:space="preserve"> </w:t>
      </w:r>
      <w:r>
        <w:rPr>
          <w:lang w:eastAsia="zh-CN"/>
        </w:rPr>
        <w:t>整理。多业务企业按各活动的真实生产记录分拆，保持活动分类可比，同时允许企业的产品组合变化。外国控制由最终控制主体所在地判定；当期统计包含控制权变化、企业进入退出和产出扩张。基期政策暴露依据改革前的业务确定，同一企业的总产出不得重复计入多个活动。</w:t>
      </w:r>
    </w:p>
    <w:p w14:paraId="12F99B91" w14:textId="77777777" w:rsidR="002C0540" w:rsidRDefault="00FE1083" w:rsidP="006C781C">
      <w:pPr>
        <w:ind w:firstLine="720"/>
        <w:rPr>
          <w:lang w:eastAsia="zh-CN"/>
        </w:rPr>
      </w:pPr>
      <w:r>
        <w:rPr>
          <w:lang w:eastAsia="zh-CN"/>
        </w:rPr>
        <w:t>令</w:t>
      </w:r>
      <w:r>
        <w:rPr>
          <w:lang w:eastAsia="zh-CN"/>
        </w:rPr>
        <w:t xml:space="preserve"> </w:t>
      </w:r>
      <m:oMath>
        <m:sSub>
          <m:sSubPr>
            <m:ctrlPr>
              <w:rPr>
                <w:rFonts w:ascii="Cambria Math" w:hAnsi="Cambria Math"/>
              </w:rPr>
            </m:ctrlPr>
          </m:sSubPr>
          <m:e>
            <m:r>
              <w:rPr>
                <w:rFonts w:ascii="Cambria Math" w:hAnsi="Cambria Math"/>
                <w:lang w:eastAsia="zh-CN"/>
              </w:rPr>
              <m:t>Q</m:t>
            </m:r>
          </m:e>
          <m:sub>
            <m:r>
              <w:rPr>
                <w:rFonts w:ascii="Cambria Math" w:hAnsi="Cambria Math"/>
                <w:lang w:eastAsia="zh-CN"/>
              </w:rPr>
              <m:t>furt</m:t>
            </m:r>
          </m:sub>
        </m:sSub>
      </m:oMath>
      <w:r>
        <w:rPr>
          <w:lang w:eastAsia="zh-CN"/>
        </w:rPr>
        <w:t xml:space="preserve"> </w:t>
      </w:r>
      <w:r>
        <w:rPr>
          <w:lang w:eastAsia="zh-CN"/>
        </w:rPr>
        <w:t>为企业在活动</w:t>
      </w:r>
      <w:r>
        <w:rPr>
          <w:lang w:eastAsia="zh-CN"/>
        </w:rPr>
        <w:t xml:space="preserve"> </w:t>
      </w:r>
      <m:oMath>
        <m:r>
          <w:rPr>
            <w:rFonts w:ascii="Cambria Math" w:hAnsi="Cambria Math"/>
            <w:lang w:eastAsia="zh-CN"/>
          </w:rPr>
          <m:t>u</m:t>
        </m:r>
      </m:oMath>
      <w:r>
        <w:rPr>
          <w:lang w:eastAsia="zh-CN"/>
        </w:rPr>
        <w:t>、生产地区</w:t>
      </w:r>
      <w:r>
        <w:rPr>
          <w:lang w:eastAsia="zh-CN"/>
        </w:rPr>
        <w:t xml:space="preserve"> </w:t>
      </w:r>
      <m:oMath>
        <m:r>
          <w:rPr>
            <w:rFonts w:ascii="Cambria Math" w:hAnsi="Cambria Math"/>
            <w:lang w:eastAsia="zh-CN"/>
          </w:rPr>
          <m:t>r</m:t>
        </m:r>
      </m:oMath>
      <w:r>
        <w:rPr>
          <w:lang w:eastAsia="zh-CN"/>
        </w:rPr>
        <w:t xml:space="preserve"> </w:t>
      </w:r>
      <w:r>
        <w:rPr>
          <w:lang w:eastAsia="zh-CN"/>
        </w:rPr>
        <w:t>的生产价值，其币种、估值价格、总产出口径及销售目的地覆盖均与结构模型一致。使用企业销售额替代生产价值前，须核对库存和转售等差异。产出按企业所在地统计，母国用于判定控制权。</w:t>
      </w:r>
      <m:oMath>
        <m:sSubSup>
          <m:sSubSupPr>
            <m:ctrlPr>
              <w:rPr>
                <w:rFonts w:ascii="Cambria Math" w:hAnsi="Cambria Math"/>
              </w:rPr>
            </m:ctrlPr>
          </m:sSubSupPr>
          <m:e>
            <m:r>
              <w:rPr>
                <w:rFonts w:ascii="Cambria Math" w:hAnsi="Cambria Math"/>
                <w:lang w:eastAsia="zh-CN"/>
              </w:rPr>
              <m:t>D</m:t>
            </m:r>
          </m:e>
          <m:sub>
            <m:r>
              <w:rPr>
                <w:rFonts w:ascii="Cambria Math" w:hAnsi="Cambria Math"/>
                <w:lang w:eastAsia="zh-CN"/>
              </w:rPr>
              <m:t>ft</m:t>
            </m:r>
          </m:sub>
          <m:sup>
            <m:r>
              <w:rPr>
                <w:rFonts w:ascii="Cambria Math" w:hAnsi="Cambria Math"/>
                <w:lang w:eastAsia="zh-CN"/>
              </w:rPr>
              <m:t>F</m:t>
            </m:r>
          </m:sup>
        </m:sSubSup>
      </m:oMath>
      <w:r>
        <w:rPr>
          <w:lang w:eastAsia="zh-CN"/>
        </w:rPr>
        <w:t xml:space="preserve"> </w:t>
      </w:r>
      <w:r>
        <w:rPr>
          <w:lang w:eastAsia="zh-CN"/>
        </w:rPr>
        <w:t>为外国控制指示变量；能够核实最终控制关系且不属于外国控制的企业归为国内控制。最终控制信息缺失的企业单独报告其覆盖情况，不归入国内控制组。外国与国内控制企业的活动产出及部门份额分别定义。活动产出为：</w:t>
      </w:r>
    </w:p>
    <w:p w14:paraId="0CD1C552" w14:textId="77777777" w:rsidR="002C0540" w:rsidRDefault="00FE1083">
      <w:pPr>
        <w:pStyle w:val="Equation"/>
        <w:rPr>
          <w:lang w:eastAsia="zh-CN"/>
        </w:rPr>
      </w:pPr>
      <w:r>
        <w:rPr>
          <w:lang w:eastAsia="zh-CN"/>
        </w:rPr>
        <w:tab/>
      </w:r>
      <m:oMath>
        <m:sSub>
          <m:sSubPr>
            <m:ctrlPr>
              <w:rPr>
                <w:rFonts w:ascii="Cambria Math" w:hAnsi="Cambria Math"/>
              </w:rPr>
            </m:ctrlPr>
          </m:sSubPr>
          <m:e>
            <m:r>
              <w:rPr>
                <w:rFonts w:ascii="Cambria Math" w:hAnsi="Cambria Math"/>
                <w:lang w:eastAsia="zh-CN"/>
              </w:rPr>
              <m:t>F</m:t>
            </m:r>
          </m:e>
          <m:sub>
            <m:r>
              <w:rPr>
                <w:rFonts w:ascii="Cambria Math" w:hAnsi="Cambria Math"/>
                <w:lang w:eastAsia="zh-CN"/>
              </w:rPr>
              <m:t>urt</m:t>
            </m:r>
          </m:sub>
        </m:sSub>
        <m:r>
          <w:rPr>
            <w:rFonts w:ascii="Cambria Math" w:hAnsi="Cambria Math"/>
            <w:lang w:eastAsia="zh-CN"/>
          </w:rPr>
          <m:t>=</m:t>
        </m:r>
        <m:nary>
          <m:naryPr>
            <m:chr m:val="∑"/>
            <m:limLoc m:val="undOvr"/>
            <m:grow m:val="1"/>
            <m:supHide m:val="1"/>
            <m:ctrlPr>
              <w:rPr>
                <w:rFonts w:ascii="Cambria Math" w:hAnsi="Cambria Math"/>
              </w:rPr>
            </m:ctrlPr>
          </m:naryPr>
          <m:sub>
            <m:r>
              <w:rPr>
                <w:rFonts w:ascii="Cambria Math" w:hAnsi="Cambria Math"/>
                <w:lang w:eastAsia="zh-CN"/>
              </w:rPr>
              <m:t>f</m:t>
            </m:r>
          </m:sub>
          <m:sup/>
          <m:e>
            <m:sSubSup>
              <m:sSubSupPr>
                <m:ctrlPr>
                  <w:rPr>
                    <w:rFonts w:ascii="Cambria Math" w:hAnsi="Cambria Math"/>
                  </w:rPr>
                </m:ctrlPr>
              </m:sSubSupPr>
              <m:e>
                <m:r>
                  <w:rPr>
                    <w:rFonts w:ascii="Cambria Math" w:hAnsi="Cambria Math"/>
                    <w:lang w:eastAsia="zh-CN"/>
                  </w:rPr>
                  <m:t>D</m:t>
                </m:r>
              </m:e>
              <m:sub>
                <m:r>
                  <w:rPr>
                    <w:rFonts w:ascii="Cambria Math" w:hAnsi="Cambria Math"/>
                    <w:lang w:eastAsia="zh-CN"/>
                  </w:rPr>
                  <m:t>ft</m:t>
                </m:r>
              </m:sub>
              <m:sup>
                <m:r>
                  <w:rPr>
                    <w:rFonts w:ascii="Cambria Math" w:hAnsi="Cambria Math"/>
                    <w:lang w:eastAsia="zh-CN"/>
                  </w:rPr>
                  <m:t>F</m:t>
                </m:r>
              </m:sup>
            </m:sSubSup>
          </m:e>
        </m:nary>
        <m:sSub>
          <m:sSubPr>
            <m:ctrlPr>
              <w:rPr>
                <w:rFonts w:ascii="Cambria Math" w:hAnsi="Cambria Math"/>
              </w:rPr>
            </m:ctrlPr>
          </m:sSubPr>
          <m:e>
            <m:r>
              <w:rPr>
                <w:rFonts w:ascii="Cambria Math" w:hAnsi="Cambria Math"/>
                <w:lang w:eastAsia="zh-CN"/>
              </w:rPr>
              <m:t>Q</m:t>
            </m:r>
          </m:e>
          <m:sub>
            <m:r>
              <w:rPr>
                <w:rFonts w:ascii="Cambria Math" w:hAnsi="Cambria Math"/>
                <w:lang w:eastAsia="zh-CN"/>
              </w:rPr>
              <m:t>furt</m:t>
            </m:r>
          </m:sub>
        </m:sSub>
        <m:r>
          <w:rPr>
            <w:rFonts w:ascii="Cambria Math" w:hAnsi="Cambria Math"/>
            <w:lang w:eastAsia="zh-CN"/>
          </w:rPr>
          <m:t>,</m:t>
        </m:r>
        <m:sSub>
          <m:sSubPr>
            <m:ctrlPr>
              <w:rPr>
                <w:rFonts w:ascii="Cambria Math" w:hAnsi="Cambria Math"/>
              </w:rPr>
            </m:ctrlPr>
          </m:sSubPr>
          <m:e>
            <m:r>
              <w:rPr>
                <w:rFonts w:ascii="Cambria Math" w:hAnsi="Cambria Math"/>
                <w:lang w:eastAsia="zh-CN"/>
              </w:rPr>
              <m:t>D</m:t>
            </m:r>
          </m:e>
          <m:sub>
            <m:r>
              <w:rPr>
                <w:rFonts w:ascii="Cambria Math" w:hAnsi="Cambria Math"/>
                <w:lang w:eastAsia="zh-CN"/>
              </w:rPr>
              <m:t>urt</m:t>
            </m:r>
          </m:sub>
        </m:sSub>
        <m:r>
          <w:rPr>
            <w:rFonts w:ascii="Cambria Math" w:hAnsi="Cambria Math"/>
            <w:lang w:eastAsia="zh-CN"/>
          </w:rPr>
          <m:t>=</m:t>
        </m:r>
        <m:nary>
          <m:naryPr>
            <m:chr m:val="∑"/>
            <m:limLoc m:val="undOvr"/>
            <m:grow m:val="1"/>
            <m:supHide m:val="1"/>
            <m:ctrlPr>
              <w:rPr>
                <w:rFonts w:ascii="Cambria Math" w:hAnsi="Cambria Math"/>
              </w:rPr>
            </m:ctrlPr>
          </m:naryPr>
          <m:sub>
            <m:r>
              <w:rPr>
                <w:rFonts w:ascii="Cambria Math" w:hAnsi="Cambria Math"/>
                <w:lang w:eastAsia="zh-CN"/>
              </w:rPr>
              <m:t>f</m:t>
            </m:r>
          </m:sub>
          <m:sup/>
          <m:e>
            <m:r>
              <w:rPr>
                <w:rFonts w:ascii="Cambria Math" w:hAnsi="Cambria Math"/>
                <w:lang w:eastAsia="zh-CN"/>
              </w:rPr>
              <m:t>(1-</m:t>
            </m:r>
          </m:e>
        </m:nary>
        <m:sSubSup>
          <m:sSubSupPr>
            <m:ctrlPr>
              <w:rPr>
                <w:rFonts w:ascii="Cambria Math" w:hAnsi="Cambria Math"/>
              </w:rPr>
            </m:ctrlPr>
          </m:sSubSupPr>
          <m:e>
            <m:r>
              <w:rPr>
                <w:rFonts w:ascii="Cambria Math" w:hAnsi="Cambria Math"/>
                <w:lang w:eastAsia="zh-CN"/>
              </w:rPr>
              <m:t>D</m:t>
            </m:r>
          </m:e>
          <m:sub>
            <m:r>
              <w:rPr>
                <w:rFonts w:ascii="Cambria Math" w:hAnsi="Cambria Math"/>
                <w:lang w:eastAsia="zh-CN"/>
              </w:rPr>
              <m:t>ft</m:t>
            </m:r>
          </m:sub>
          <m:sup>
            <m:r>
              <w:rPr>
                <w:rFonts w:ascii="Cambria Math" w:hAnsi="Cambria Math"/>
                <w:lang w:eastAsia="zh-CN"/>
              </w:rPr>
              <m:t>F</m:t>
            </m:r>
          </m:sup>
        </m:sSubSup>
        <m:r>
          <w:rPr>
            <w:rFonts w:ascii="Cambria Math" w:hAnsi="Cambria Math"/>
            <w:lang w:eastAsia="zh-CN"/>
          </w:rPr>
          <m:t>)</m:t>
        </m:r>
        <m:sSub>
          <m:sSubPr>
            <m:ctrlPr>
              <w:rPr>
                <w:rFonts w:ascii="Cambria Math" w:hAnsi="Cambria Math"/>
              </w:rPr>
            </m:ctrlPr>
          </m:sSubPr>
          <m:e>
            <m:r>
              <w:rPr>
                <w:rFonts w:ascii="Cambria Math" w:hAnsi="Cambria Math"/>
                <w:lang w:eastAsia="zh-CN"/>
              </w:rPr>
              <m:t>Q</m:t>
            </m:r>
          </m:e>
          <m:sub>
            <m:r>
              <w:rPr>
                <w:rFonts w:ascii="Cambria Math" w:hAnsi="Cambria Math"/>
                <w:lang w:eastAsia="zh-CN"/>
              </w:rPr>
              <m:t>furt</m:t>
            </m:r>
          </m:sub>
        </m:sSub>
        <m:r>
          <w:rPr>
            <w:rFonts w:ascii="Cambria Math" w:hAnsi="Cambria Math"/>
            <w:lang w:eastAsia="zh-CN"/>
          </w:rPr>
          <m:t>.</m:t>
        </m:r>
      </m:oMath>
      <w:r>
        <w:rPr>
          <w:lang w:eastAsia="zh-CN"/>
        </w:rPr>
        <w:tab/>
        <w:t>(3)</w:t>
      </w:r>
    </w:p>
    <w:p w14:paraId="668BA4BE" w14:textId="77777777" w:rsidR="002C0540" w:rsidRDefault="00FE1083" w:rsidP="006C781C">
      <w:pPr>
        <w:ind w:firstLine="720"/>
        <w:rPr>
          <w:lang w:eastAsia="zh-CN"/>
        </w:rPr>
      </w:pPr>
      <w:r>
        <w:rPr>
          <w:lang w:eastAsia="zh-CN"/>
        </w:rPr>
        <w:t>部门观测份额为：</w:t>
      </w:r>
    </w:p>
    <w:p w14:paraId="163BF195" w14:textId="77777777" w:rsidR="002C0540" w:rsidRDefault="00FE1083">
      <w:pPr>
        <w:pStyle w:val="Equation"/>
        <w:rPr>
          <w:lang w:eastAsia="zh-CN"/>
        </w:rPr>
      </w:pPr>
      <w:r>
        <w:rPr>
          <w:lang w:eastAsia="zh-CN"/>
        </w:rPr>
        <w:tab/>
      </w:r>
      <m:oMath>
        <m:sSubSup>
          <m:sSubSupPr>
            <m:ctrlPr>
              <w:rPr>
                <w:rFonts w:ascii="Cambria Math" w:hAnsi="Cambria Math"/>
              </w:rPr>
            </m:ctrlPr>
          </m:sSubSupPr>
          <m:e>
            <m:r>
              <w:rPr>
                <w:rFonts w:ascii="Cambria Math" w:hAnsi="Cambria Math"/>
                <w:lang w:eastAsia="zh-CN"/>
              </w:rPr>
              <m:t>M</m:t>
            </m:r>
          </m:e>
          <m:sub>
            <m:r>
              <w:rPr>
                <w:rFonts w:ascii="Cambria Math" w:hAnsi="Cambria Math"/>
                <w:lang w:eastAsia="zh-CN"/>
              </w:rPr>
              <m:t>jt</m:t>
            </m:r>
          </m:sub>
          <m:sup>
            <m:r>
              <w:rPr>
                <w:rFonts w:ascii="Cambria Math" w:hAnsi="Cambria Math"/>
                <w:lang w:eastAsia="zh-CN"/>
              </w:rPr>
              <m:t>obs</m:t>
            </m:r>
          </m:sup>
        </m:sSubSup>
        <m:r>
          <w:rPr>
            <w:rFonts w:ascii="Cambria Math" w:hAnsi="Cambria Math"/>
            <w:lang w:eastAsia="zh-CN"/>
          </w:rPr>
          <m:t>=</m:t>
        </m:r>
        <m:f>
          <m:fPr>
            <m:ctrlPr>
              <w:rPr>
                <w:rFonts w:ascii="Cambria Math" w:hAnsi="Cambria Math"/>
              </w:rPr>
            </m:ctrlPr>
          </m:fPr>
          <m:num>
            <m:nary>
              <m:naryPr>
                <m:chr m:val="∑"/>
                <m:limLoc m:val="undOvr"/>
                <m:grow m:val="1"/>
                <m:supHide m:val="1"/>
                <m:ctrlPr>
                  <w:rPr>
                    <w:rFonts w:ascii="Cambria Math" w:hAnsi="Cambria Math"/>
                  </w:rPr>
                </m:ctrlPr>
              </m:naryPr>
              <m:sub>
                <m:r>
                  <w:rPr>
                    <w:rFonts w:ascii="Cambria Math" w:hAnsi="Cambria Math"/>
                    <w:lang w:eastAsia="zh-CN"/>
                  </w:rPr>
                  <m:t>u∈j,r</m:t>
                </m:r>
              </m:sub>
              <m:sup/>
              <m:e>
                <m:sSub>
                  <m:sSubPr>
                    <m:ctrlPr>
                      <w:rPr>
                        <w:rFonts w:ascii="Cambria Math" w:hAnsi="Cambria Math"/>
                      </w:rPr>
                    </m:ctrlPr>
                  </m:sSubPr>
                  <m:e>
                    <m:r>
                      <w:rPr>
                        <w:rFonts w:ascii="Cambria Math" w:hAnsi="Cambria Math"/>
                        <w:lang w:eastAsia="zh-CN"/>
                      </w:rPr>
                      <m:t>F</m:t>
                    </m:r>
                  </m:e>
                  <m:sub>
                    <m:r>
                      <w:rPr>
                        <w:rFonts w:ascii="Cambria Math" w:hAnsi="Cambria Math"/>
                        <w:lang w:eastAsia="zh-CN"/>
                      </w:rPr>
                      <m:t>urt</m:t>
                    </m:r>
                  </m:sub>
                </m:sSub>
              </m:e>
            </m:nary>
          </m:num>
          <m:den>
            <m:nary>
              <m:naryPr>
                <m:chr m:val="∑"/>
                <m:limLoc m:val="undOvr"/>
                <m:grow m:val="1"/>
                <m:supHide m:val="1"/>
                <m:ctrlPr>
                  <w:rPr>
                    <w:rFonts w:ascii="Cambria Math" w:hAnsi="Cambria Math"/>
                  </w:rPr>
                </m:ctrlPr>
              </m:naryPr>
              <m:sub>
                <m:r>
                  <w:rPr>
                    <w:rFonts w:ascii="Cambria Math" w:hAnsi="Cambria Math"/>
                    <w:lang w:eastAsia="zh-CN"/>
                  </w:rPr>
                  <m:t>u∈j,r</m:t>
                </m:r>
              </m:sub>
              <m:sup/>
              <m:e>
                <m:r>
                  <w:rPr>
                    <w:rFonts w:ascii="Cambria Math" w:hAnsi="Cambria Math"/>
                    <w:lang w:eastAsia="zh-CN"/>
                  </w:rPr>
                  <m:t>(</m:t>
                </m:r>
              </m:e>
            </m:nary>
            <m:sSub>
              <m:sSubPr>
                <m:ctrlPr>
                  <w:rPr>
                    <w:rFonts w:ascii="Cambria Math" w:hAnsi="Cambria Math"/>
                  </w:rPr>
                </m:ctrlPr>
              </m:sSubPr>
              <m:e>
                <m:r>
                  <w:rPr>
                    <w:rFonts w:ascii="Cambria Math" w:hAnsi="Cambria Math"/>
                    <w:lang w:eastAsia="zh-CN"/>
                  </w:rPr>
                  <m:t>F</m:t>
                </m:r>
              </m:e>
              <m:sub>
                <m:r>
                  <w:rPr>
                    <w:rFonts w:ascii="Cambria Math" w:hAnsi="Cambria Math"/>
                    <w:lang w:eastAsia="zh-CN"/>
                  </w:rPr>
                  <m:t>urt</m:t>
                </m:r>
              </m:sub>
            </m:sSub>
            <m:r>
              <w:rPr>
                <w:rFonts w:ascii="Cambria Math" w:hAnsi="Cambria Math"/>
                <w:lang w:eastAsia="zh-CN"/>
              </w:rPr>
              <m:t>+</m:t>
            </m:r>
            <m:sSub>
              <m:sSubPr>
                <m:ctrlPr>
                  <w:rPr>
                    <w:rFonts w:ascii="Cambria Math" w:hAnsi="Cambria Math"/>
                  </w:rPr>
                </m:ctrlPr>
              </m:sSubPr>
              <m:e>
                <m:r>
                  <w:rPr>
                    <w:rFonts w:ascii="Cambria Math" w:hAnsi="Cambria Math"/>
                    <w:lang w:eastAsia="zh-CN"/>
                  </w:rPr>
                  <m:t>D</m:t>
                </m:r>
              </m:e>
              <m:sub>
                <m:r>
                  <w:rPr>
                    <w:rFonts w:ascii="Cambria Math" w:hAnsi="Cambria Math"/>
                    <w:lang w:eastAsia="zh-CN"/>
                  </w:rPr>
                  <m:t>urt</m:t>
                </m:r>
              </m:sub>
            </m:sSub>
            <m:r>
              <w:rPr>
                <w:rFonts w:ascii="Cambria Math" w:hAnsi="Cambria Math"/>
                <w:lang w:eastAsia="zh-CN"/>
              </w:rPr>
              <m:t>)</m:t>
            </m:r>
          </m:den>
        </m:f>
        <m:r>
          <w:rPr>
            <w:rFonts w:ascii="Cambria Math" w:hAnsi="Cambria Math"/>
            <w:lang w:eastAsia="zh-CN"/>
          </w:rPr>
          <m:t>.</m:t>
        </m:r>
      </m:oMath>
      <w:r>
        <w:rPr>
          <w:lang w:eastAsia="zh-CN"/>
        </w:rPr>
        <w:tab/>
        <w:t>(4)</w:t>
      </w:r>
    </w:p>
    <w:p w14:paraId="14AF8B77" w14:textId="77777777" w:rsidR="002C0540" w:rsidRDefault="00FE1083" w:rsidP="006C781C">
      <w:pPr>
        <w:ind w:firstLine="720"/>
        <w:rPr>
          <w:lang w:eastAsia="zh-CN"/>
        </w:rPr>
      </w:pPr>
      <w:r>
        <w:rPr>
          <w:lang w:eastAsia="zh-CN"/>
        </w:rPr>
        <w:t>部门份额先加总生产价值，再计算比值；分母为零时，份额未定义。式（</w:t>
      </w:r>
      <w:r>
        <w:rPr>
          <w:lang w:eastAsia="zh-CN"/>
        </w:rPr>
        <w:t>4</w:t>
      </w:r>
      <w:r>
        <w:rPr>
          <w:lang w:eastAsia="zh-CN"/>
        </w:rPr>
        <w:t>）反映当期实际生产构成，其中包含同期发生的所有变化，无法单独归因于改革。按固定基期规模加权的外资控制指标作为所有权变化的辅助结果，不用于结构反演。另行报告新进入、退出、控制权转换和持续经营企业的生产变化，以判断单一生产成本楔子能否解释主要变化。</w:t>
      </w:r>
    </w:p>
    <w:p w14:paraId="2D861FC2" w14:textId="77777777" w:rsidR="002C0540" w:rsidRDefault="00FE1083">
      <w:pPr>
        <w:pStyle w:val="21"/>
        <w:rPr>
          <w:lang w:eastAsia="zh-CN"/>
        </w:rPr>
      </w:pPr>
      <w:r>
        <w:rPr>
          <w:lang w:eastAsia="zh-CN"/>
        </w:rPr>
        <w:t>条件预测与结构目标</w:t>
      </w:r>
    </w:p>
    <w:p w14:paraId="0D7D32EA" w14:textId="77777777" w:rsidR="002C0540" w:rsidRDefault="00FE1083" w:rsidP="006C781C">
      <w:pPr>
        <w:ind w:firstLine="720"/>
        <w:rPr>
          <w:lang w:eastAsia="zh-CN"/>
        </w:rPr>
      </w:pPr>
      <w:r>
        <w:rPr>
          <w:lang w:eastAsia="zh-CN"/>
        </w:rPr>
        <w:t>分别估计外国和国内控制企业的产出，因为国内企业也可能受到改革影响。利用同一事件样本的条件均值模型，保持协变量、固定效应、比较组及其他改革状态不变，仅调</w:t>
      </w:r>
      <w:r>
        <w:rPr>
          <w:lang w:eastAsia="zh-CN"/>
        </w:rPr>
        <w:lastRenderedPageBreak/>
        <w:t>整已识别的政策项，得到有改革</w:t>
      </w:r>
      <w:r>
        <w:rPr>
          <w:lang w:eastAsia="zh-CN"/>
        </w:rPr>
        <w:t xml:space="preserve"> </w:t>
      </w:r>
      <m:oMath>
        <m:r>
          <w:rPr>
            <w:rFonts w:ascii="Cambria Math" w:hAnsi="Cambria Math"/>
            <w:lang w:eastAsia="zh-CN"/>
          </w:rPr>
          <m:t>v=1</m:t>
        </m:r>
      </m:oMath>
      <w:r>
        <w:rPr>
          <w:lang w:eastAsia="zh-CN"/>
        </w:rPr>
        <w:t xml:space="preserve"> </w:t>
      </w:r>
      <w:r>
        <w:rPr>
          <w:lang w:eastAsia="zh-CN"/>
        </w:rPr>
        <w:t>和无该改革</w:t>
      </w:r>
      <w:r>
        <w:rPr>
          <w:lang w:eastAsia="zh-CN"/>
        </w:rPr>
        <w:t xml:space="preserve"> </w:t>
      </w:r>
      <m:oMath>
        <m:r>
          <w:rPr>
            <w:rFonts w:ascii="Cambria Math" w:hAnsi="Cambria Math"/>
            <w:lang w:eastAsia="zh-CN"/>
          </w:rPr>
          <m:t>v=0</m:t>
        </m:r>
      </m:oMath>
      <w:r>
        <w:rPr>
          <w:lang w:eastAsia="zh-CN"/>
        </w:rPr>
        <w:t xml:space="preserve"> </w:t>
      </w:r>
      <w:r>
        <w:rPr>
          <w:lang w:eastAsia="zh-CN"/>
        </w:rPr>
        <w:t>时的预测产出。令</w:t>
      </w:r>
      <w:r>
        <w:rPr>
          <w:lang w:eastAsia="zh-CN"/>
        </w:rPr>
        <w:t xml:space="preserve"> </w:t>
      </w:r>
      <m:oMath>
        <m:sSub>
          <m:sSubPr>
            <m:ctrlPr>
              <w:rPr>
                <w:rFonts w:ascii="Cambria Math" w:hAnsi="Cambria Math"/>
              </w:rPr>
            </m:ctrlPr>
          </m:sSubPr>
          <m:e>
            <m:r>
              <w:rPr>
                <w:rFonts w:ascii="Cambria Math" w:hAnsi="Cambria Math"/>
                <w:lang w:eastAsia="zh-CN"/>
              </w:rPr>
              <m:t>S</m:t>
            </m:r>
          </m:e>
          <m:sub>
            <m:r>
              <w:rPr>
                <w:rFonts w:ascii="Cambria Math" w:hAnsi="Cambria Math"/>
                <w:lang w:eastAsia="zh-CN"/>
              </w:rPr>
              <m:t>je</m:t>
            </m:r>
          </m:sub>
        </m:sSub>
      </m:oMath>
      <w:r>
        <w:rPr>
          <w:lang w:eastAsia="zh-CN"/>
        </w:rPr>
        <w:t xml:space="preserve"> </w:t>
      </w:r>
      <w:r>
        <w:rPr>
          <w:lang w:eastAsia="zh-CN"/>
        </w:rPr>
        <w:t>为部门</w:t>
      </w:r>
      <w:r>
        <w:rPr>
          <w:lang w:eastAsia="zh-CN"/>
        </w:rPr>
        <w:t xml:space="preserve"> </w:t>
      </w:r>
      <m:oMath>
        <m:r>
          <w:rPr>
            <w:rFonts w:ascii="Cambria Math" w:hAnsi="Cambria Math"/>
            <w:lang w:eastAsia="zh-CN"/>
          </w:rPr>
          <m:t>j</m:t>
        </m:r>
      </m:oMath>
      <w:r>
        <w:rPr>
          <w:lang w:eastAsia="zh-CN"/>
        </w:rPr>
        <w:t xml:space="preserve"> </w:t>
      </w:r>
      <w:r>
        <w:rPr>
          <w:lang w:eastAsia="zh-CN"/>
        </w:rPr>
        <w:t>中用于事件</w:t>
      </w:r>
      <w:r>
        <w:rPr>
          <w:lang w:eastAsia="zh-CN"/>
        </w:rPr>
        <w:t xml:space="preserve"> </w:t>
      </w:r>
      <m:oMath>
        <m:r>
          <w:rPr>
            <w:rFonts w:ascii="Cambria Math" w:hAnsi="Cambria Math"/>
            <w:lang w:eastAsia="zh-CN"/>
          </w:rPr>
          <m:t>e</m:t>
        </m:r>
      </m:oMath>
      <w:r>
        <w:rPr>
          <w:lang w:eastAsia="zh-CN"/>
        </w:rPr>
        <w:t xml:space="preserve"> </w:t>
      </w:r>
      <w:r>
        <w:rPr>
          <w:lang w:eastAsia="zh-CN"/>
        </w:rPr>
        <w:t>估计和预测的活动</w:t>
      </w:r>
      <w:r>
        <w:rPr>
          <w:lang w:eastAsia="zh-CN"/>
        </w:rPr>
        <w:t>—</w:t>
      </w:r>
      <w:r>
        <w:rPr>
          <w:lang w:eastAsia="zh-CN"/>
        </w:rPr>
        <w:t>地区集合，预测结果仅在该集合内汇总：</w:t>
      </w:r>
    </w:p>
    <w:p w14:paraId="171701E5" w14:textId="77777777" w:rsidR="002C0540" w:rsidRDefault="00FE1083">
      <w:pPr>
        <w:pStyle w:val="Equation"/>
      </w:pPr>
      <w:r>
        <w:rPr>
          <w:lang w:eastAsia="zh-CN"/>
        </w:rPr>
        <w:tab/>
      </w:r>
      <m:oMath>
        <m:sSubSup>
          <m:sSubSupPr>
            <m:ctrlPr>
              <w:rPr>
                <w:rFonts w:ascii="Cambria Math" w:hAnsi="Cambria Math"/>
              </w:rPr>
            </m:ctrlPr>
          </m:sSubSupPr>
          <m:e>
            <m:acc>
              <m:accPr>
                <m:ctrlPr>
                  <w:rPr>
                    <w:rFonts w:ascii="Cambria Math" w:hAnsi="Cambria Math"/>
                  </w:rPr>
                </m:ctrlPr>
              </m:accPr>
              <m:e>
                <m:r>
                  <w:rPr>
                    <w:rFonts w:ascii="Cambria Math" w:hAnsi="Cambria Math"/>
                  </w:rPr>
                  <m:t>M</m:t>
                </m:r>
              </m:e>
            </m:acc>
          </m:e>
          <m:sub>
            <m:r>
              <w:rPr>
                <w:rFonts w:ascii="Cambria Math" w:hAnsi="Cambria Math"/>
              </w:rPr>
              <m:t>jte</m:t>
            </m:r>
          </m:sub>
          <m:sup>
            <m:r>
              <w:rPr>
                <w:rFonts w:ascii="Cambria Math" w:hAnsi="Cambria Math"/>
              </w:rPr>
              <m:t>v</m:t>
            </m:r>
          </m:sup>
        </m:sSubSup>
        <m:r>
          <w:rPr>
            <w:rFonts w:ascii="Cambria Math" w:hAnsi="Cambria Math"/>
          </w:rPr>
          <m:t>=</m:t>
        </m:r>
        <m:f>
          <m:fPr>
            <m:ctrlPr>
              <w:rPr>
                <w:rFonts w:ascii="Cambria Math" w:hAnsi="Cambria Math"/>
              </w:rPr>
            </m:ctrlPr>
          </m:fPr>
          <m:num>
            <m:nary>
              <m:naryPr>
                <m:chr m:val="∑"/>
                <m:limLoc m:val="undOvr"/>
                <m:grow m:val="1"/>
                <m:supHide m:val="1"/>
                <m:ctrlPr>
                  <w:rPr>
                    <w:rFonts w:ascii="Cambria Math" w:hAnsi="Cambria Math"/>
                  </w:rPr>
                </m:ctrlPr>
              </m:naryPr>
              <m:sub>
                <m:r>
                  <w:rPr>
                    <w:rFonts w:ascii="Cambria Math" w:hAnsi="Cambria Math"/>
                  </w:rPr>
                  <m:t>(u,r)∈</m:t>
                </m:r>
                <m:sSub>
                  <m:sSubPr>
                    <m:ctrlPr>
                      <w:rPr>
                        <w:rFonts w:ascii="Cambria Math" w:hAnsi="Cambria Math"/>
                      </w:rPr>
                    </m:ctrlPr>
                  </m:sSubPr>
                  <m:e>
                    <m:r>
                      <w:rPr>
                        <w:rFonts w:ascii="Cambria Math" w:hAnsi="Cambria Math"/>
                      </w:rPr>
                      <m:t>S</m:t>
                    </m:r>
                  </m:e>
                  <m:sub>
                    <m:r>
                      <w:rPr>
                        <w:rFonts w:ascii="Cambria Math" w:hAnsi="Cambria Math"/>
                      </w:rPr>
                      <m:t>je</m:t>
                    </m:r>
                  </m:sub>
                </m:sSub>
              </m:sub>
              <m:sup/>
              <m:e>
                <m:sSubSup>
                  <m:sSubSupPr>
                    <m:ctrlPr>
                      <w:rPr>
                        <w:rFonts w:ascii="Cambria Math" w:hAnsi="Cambria Math"/>
                      </w:rPr>
                    </m:ctrlPr>
                  </m:sSubSupPr>
                  <m:e>
                    <m:acc>
                      <m:accPr>
                        <m:ctrlPr>
                          <w:rPr>
                            <w:rFonts w:ascii="Cambria Math" w:hAnsi="Cambria Math"/>
                          </w:rPr>
                        </m:ctrlPr>
                      </m:accPr>
                      <m:e>
                        <m:r>
                          <w:rPr>
                            <w:rFonts w:ascii="Cambria Math" w:hAnsi="Cambria Math"/>
                          </w:rPr>
                          <m:t>F</m:t>
                        </m:r>
                      </m:e>
                    </m:acc>
                  </m:e>
                  <m:sub>
                    <m:r>
                      <w:rPr>
                        <w:rFonts w:ascii="Cambria Math" w:hAnsi="Cambria Math"/>
                      </w:rPr>
                      <m:t>urte</m:t>
                    </m:r>
                  </m:sub>
                  <m:sup>
                    <m:r>
                      <w:rPr>
                        <w:rFonts w:ascii="Cambria Math" w:hAnsi="Cambria Math"/>
                      </w:rPr>
                      <m:t>v</m:t>
                    </m:r>
                  </m:sup>
                </m:sSubSup>
              </m:e>
            </m:nary>
          </m:num>
          <m:den>
            <m:nary>
              <m:naryPr>
                <m:chr m:val="∑"/>
                <m:limLoc m:val="undOvr"/>
                <m:grow m:val="1"/>
                <m:supHide m:val="1"/>
                <m:ctrlPr>
                  <w:rPr>
                    <w:rFonts w:ascii="Cambria Math" w:hAnsi="Cambria Math"/>
                  </w:rPr>
                </m:ctrlPr>
              </m:naryPr>
              <m:sub>
                <m:r>
                  <w:rPr>
                    <w:rFonts w:ascii="Cambria Math" w:hAnsi="Cambria Math"/>
                  </w:rPr>
                  <m:t>(u,r)∈</m:t>
                </m:r>
                <m:sSub>
                  <m:sSubPr>
                    <m:ctrlPr>
                      <w:rPr>
                        <w:rFonts w:ascii="Cambria Math" w:hAnsi="Cambria Math"/>
                      </w:rPr>
                    </m:ctrlPr>
                  </m:sSubPr>
                  <m:e>
                    <m:r>
                      <w:rPr>
                        <w:rFonts w:ascii="Cambria Math" w:hAnsi="Cambria Math"/>
                      </w:rPr>
                      <m:t>S</m:t>
                    </m:r>
                  </m:e>
                  <m:sub>
                    <m:r>
                      <w:rPr>
                        <w:rFonts w:ascii="Cambria Math" w:hAnsi="Cambria Math"/>
                      </w:rPr>
                      <m:t>je</m:t>
                    </m:r>
                  </m:sub>
                </m:sSub>
              </m:sub>
              <m:sup/>
              <m:e>
                <m:r>
                  <w:rPr>
                    <w:rFonts w:ascii="Cambria Math" w:hAnsi="Cambria Math"/>
                  </w:rPr>
                  <m:t>(</m:t>
                </m:r>
              </m:e>
            </m:nary>
            <m:sSubSup>
              <m:sSubSupPr>
                <m:ctrlPr>
                  <w:rPr>
                    <w:rFonts w:ascii="Cambria Math" w:hAnsi="Cambria Math"/>
                  </w:rPr>
                </m:ctrlPr>
              </m:sSubSupPr>
              <m:e>
                <m:acc>
                  <m:accPr>
                    <m:ctrlPr>
                      <w:rPr>
                        <w:rFonts w:ascii="Cambria Math" w:hAnsi="Cambria Math"/>
                      </w:rPr>
                    </m:ctrlPr>
                  </m:accPr>
                  <m:e>
                    <m:r>
                      <w:rPr>
                        <w:rFonts w:ascii="Cambria Math" w:hAnsi="Cambria Math"/>
                      </w:rPr>
                      <m:t>F</m:t>
                    </m:r>
                  </m:e>
                </m:acc>
              </m:e>
              <m:sub>
                <m:r>
                  <w:rPr>
                    <w:rFonts w:ascii="Cambria Math" w:hAnsi="Cambria Math"/>
                  </w:rPr>
                  <m:t>urte</m:t>
                </m:r>
              </m:sub>
              <m:sup>
                <m:r>
                  <w:rPr>
                    <w:rFonts w:ascii="Cambria Math" w:hAnsi="Cambria Math"/>
                  </w:rPr>
                  <m:t>v</m:t>
                </m:r>
              </m:sup>
            </m:sSubSup>
            <m:r>
              <w:rPr>
                <w:rFonts w:ascii="Cambria Math" w:hAnsi="Cambria Math"/>
              </w:rPr>
              <m:t>+</m:t>
            </m:r>
            <m:sSubSup>
              <m:sSubSupPr>
                <m:ctrlPr>
                  <w:rPr>
                    <w:rFonts w:ascii="Cambria Math" w:hAnsi="Cambria Math"/>
                  </w:rPr>
                </m:ctrlPr>
              </m:sSubSupPr>
              <m:e>
                <m:acc>
                  <m:accPr>
                    <m:ctrlPr>
                      <w:rPr>
                        <w:rFonts w:ascii="Cambria Math" w:hAnsi="Cambria Math"/>
                      </w:rPr>
                    </m:ctrlPr>
                  </m:accPr>
                  <m:e>
                    <m:r>
                      <w:rPr>
                        <w:rFonts w:ascii="Cambria Math" w:hAnsi="Cambria Math"/>
                      </w:rPr>
                      <m:t>D</m:t>
                    </m:r>
                  </m:e>
                </m:acc>
              </m:e>
              <m:sub>
                <m:r>
                  <w:rPr>
                    <w:rFonts w:ascii="Cambria Math" w:hAnsi="Cambria Math"/>
                  </w:rPr>
                  <m:t>urte</m:t>
                </m:r>
              </m:sub>
              <m:sup>
                <m:r>
                  <w:rPr>
                    <w:rFonts w:ascii="Cambria Math" w:hAnsi="Cambria Math"/>
                  </w:rPr>
                  <m:t>v</m:t>
                </m:r>
              </m:sup>
            </m:sSubSup>
            <m:r>
              <w:rPr>
                <w:rFonts w:ascii="Cambria Math" w:hAnsi="Cambria Math"/>
              </w:rPr>
              <m:t>)</m:t>
            </m:r>
          </m:den>
        </m:f>
        <m:r>
          <w:rPr>
            <w:rFonts w:ascii="Cambria Math" w:hAnsi="Cambria Math"/>
          </w:rPr>
          <m:t>.</m:t>
        </m:r>
      </m:oMath>
      <w:r>
        <w:tab/>
        <w:t>(5)</w:t>
      </w:r>
    </w:p>
    <w:p w14:paraId="68B05B39" w14:textId="77777777" w:rsidR="002C0540" w:rsidRDefault="00FE1083" w:rsidP="006C781C">
      <w:pPr>
        <w:ind w:firstLine="720"/>
        <w:rPr>
          <w:lang w:eastAsia="zh-CN"/>
        </w:rPr>
      </w:pPr>
      <w:r>
        <w:t>令</w:t>
      </w:r>
      <w:r>
        <w:t xml:space="preserve"> </w:t>
      </w:r>
      <m:oMath>
        <m:r>
          <w:rPr>
            <w:rFonts w:ascii="Cambria Math" w:hAnsi="Cambria Math"/>
          </w:rPr>
          <m:t>Δ</m:t>
        </m:r>
        <m:sSub>
          <m:sSubPr>
            <m:ctrlPr>
              <w:rPr>
                <w:rFonts w:ascii="Cambria Math" w:hAnsi="Cambria Math"/>
              </w:rPr>
            </m:ctrlPr>
          </m:sSubPr>
          <m:e>
            <m:acc>
              <m:accPr>
                <m:ctrlPr>
                  <w:rPr>
                    <w:rFonts w:ascii="Cambria Math" w:hAnsi="Cambria Math"/>
                  </w:rPr>
                </m:ctrlPr>
              </m:accPr>
              <m:e>
                <m:r>
                  <w:rPr>
                    <w:rFonts w:ascii="Cambria Math" w:hAnsi="Cambria Math"/>
                  </w:rPr>
                  <m:t>M</m:t>
                </m:r>
              </m:e>
            </m:acc>
          </m:e>
          <m:sub>
            <m:r>
              <w:rPr>
                <w:rFonts w:ascii="Cambria Math" w:hAnsi="Cambria Math"/>
              </w:rPr>
              <m:t>jte</m:t>
            </m:r>
          </m:sub>
        </m:sSub>
        <m:r>
          <w:rPr>
            <w:rFonts w:ascii="Cambria Math" w:hAnsi="Cambria Math"/>
          </w:rPr>
          <m:t>=</m:t>
        </m:r>
        <m:sSubSup>
          <m:sSubSupPr>
            <m:ctrlPr>
              <w:rPr>
                <w:rFonts w:ascii="Cambria Math" w:hAnsi="Cambria Math"/>
              </w:rPr>
            </m:ctrlPr>
          </m:sSubSupPr>
          <m:e>
            <m:acc>
              <m:accPr>
                <m:ctrlPr>
                  <w:rPr>
                    <w:rFonts w:ascii="Cambria Math" w:hAnsi="Cambria Math"/>
                  </w:rPr>
                </m:ctrlPr>
              </m:accPr>
              <m:e>
                <m:r>
                  <w:rPr>
                    <w:rFonts w:ascii="Cambria Math" w:hAnsi="Cambria Math"/>
                  </w:rPr>
                  <m:t>M</m:t>
                </m:r>
              </m:e>
            </m:acc>
          </m:e>
          <m:sub>
            <m:r>
              <w:rPr>
                <w:rFonts w:ascii="Cambria Math" w:hAnsi="Cambria Math"/>
              </w:rPr>
              <m:t>jte</m:t>
            </m:r>
          </m:sub>
          <m:sup>
            <m:r>
              <w:rPr>
                <w:rFonts w:ascii="Cambria Math" w:hAnsi="Cambria Math"/>
              </w:rPr>
              <m:t>1</m:t>
            </m:r>
          </m:sup>
        </m:sSubSup>
        <m:r>
          <w:rPr>
            <w:rFonts w:ascii="Cambria Math" w:hAnsi="Cambria Math"/>
          </w:rPr>
          <m:t>-</m:t>
        </m:r>
        <m:sSubSup>
          <m:sSubSupPr>
            <m:ctrlPr>
              <w:rPr>
                <w:rFonts w:ascii="Cambria Math" w:hAnsi="Cambria Math"/>
              </w:rPr>
            </m:ctrlPr>
          </m:sSubSupPr>
          <m:e>
            <m:acc>
              <m:accPr>
                <m:ctrlPr>
                  <w:rPr>
                    <w:rFonts w:ascii="Cambria Math" w:hAnsi="Cambria Math"/>
                  </w:rPr>
                </m:ctrlPr>
              </m:accPr>
              <m:e>
                <m:r>
                  <w:rPr>
                    <w:rFonts w:ascii="Cambria Math" w:hAnsi="Cambria Math"/>
                  </w:rPr>
                  <m:t>M</m:t>
                </m:r>
              </m:e>
            </m:acc>
          </m:e>
          <m:sub>
            <m:r>
              <w:rPr>
                <w:rFonts w:ascii="Cambria Math" w:hAnsi="Cambria Math"/>
              </w:rPr>
              <m:t>jte</m:t>
            </m:r>
          </m:sub>
          <m:sup>
            <m:r>
              <w:rPr>
                <w:rFonts w:ascii="Cambria Math" w:hAnsi="Cambria Math"/>
              </w:rPr>
              <m:t>0</m:t>
            </m:r>
          </m:sup>
        </m:sSubSup>
      </m:oMath>
      <w:r>
        <w:t>。</w:t>
      </w:r>
      <w:r>
        <w:rPr>
          <w:lang w:eastAsia="zh-CN"/>
        </w:rPr>
        <w:t>这一差值反映在集合</w:t>
      </w:r>
      <w:r>
        <w:rPr>
          <w:lang w:eastAsia="zh-CN"/>
        </w:rPr>
        <w:t xml:space="preserve"> </w:t>
      </w:r>
      <m:oMath>
        <m:sSub>
          <m:sSubPr>
            <m:ctrlPr>
              <w:rPr>
                <w:rFonts w:ascii="Cambria Math" w:hAnsi="Cambria Math"/>
              </w:rPr>
            </m:ctrlPr>
          </m:sSubPr>
          <m:e>
            <m:r>
              <w:rPr>
                <w:rFonts w:ascii="Cambria Math" w:hAnsi="Cambria Math"/>
                <w:lang w:eastAsia="zh-CN"/>
              </w:rPr>
              <m:t>S</m:t>
            </m:r>
          </m:e>
          <m:sub>
            <m:r>
              <w:rPr>
                <w:rFonts w:ascii="Cambria Math" w:hAnsi="Cambria Math"/>
                <w:lang w:eastAsia="zh-CN"/>
              </w:rPr>
              <m:t>je</m:t>
            </m:r>
          </m:sub>
        </m:sSub>
      </m:oMath>
      <w:r>
        <w:rPr>
          <w:lang w:eastAsia="zh-CN"/>
        </w:rPr>
        <w:t>、既定固定效应和识别假设下预测的份额变化，并不代表全国的一般均衡净变化。若要形成全部门目标，需先说明如何处理</w:t>
      </w:r>
      <w:r>
        <w:rPr>
          <w:lang w:eastAsia="zh-CN"/>
        </w:rPr>
        <w:t xml:space="preserve"> </w:t>
      </w:r>
      <m:oMath>
        <m:sSub>
          <m:sSubPr>
            <m:ctrlPr>
              <w:rPr>
                <w:rFonts w:ascii="Cambria Math" w:hAnsi="Cambria Math"/>
              </w:rPr>
            </m:ctrlPr>
          </m:sSubPr>
          <m:e>
            <m:r>
              <w:rPr>
                <w:rFonts w:ascii="Cambria Math" w:hAnsi="Cambria Math"/>
                <w:lang w:eastAsia="zh-CN"/>
              </w:rPr>
              <m:t>S</m:t>
            </m:r>
          </m:e>
          <m:sub>
            <m:r>
              <w:rPr>
                <w:rFonts w:ascii="Cambria Math" w:hAnsi="Cambria Math"/>
                <w:lang w:eastAsia="zh-CN"/>
              </w:rPr>
              <m:t>je</m:t>
            </m:r>
          </m:sub>
        </m:sSub>
      </m:oMath>
      <w:r>
        <w:rPr>
          <w:lang w:eastAsia="zh-CN"/>
        </w:rPr>
        <w:t xml:space="preserve"> </w:t>
      </w:r>
      <w:r>
        <w:rPr>
          <w:lang w:eastAsia="zh-CN"/>
        </w:rPr>
        <w:t>之外的单元。例如，假定这些单元在有改革和无该改革时产出相同，是补足部门范围所需的条件情景假设，其响应并未得到识别。结构目标同时保留外国和国内生产的预测变化，并用份额变化辅助核对，因为同样的份额变化可能分别来自外国产出增加或总产出下降。若组间估计排除了处理组与对照组的共同变化，或受到溢出影响，模型也需计算相同的处理</w:t>
      </w:r>
      <w:r>
        <w:rPr>
          <w:lang w:eastAsia="zh-CN"/>
        </w:rPr>
        <w:t>—</w:t>
      </w:r>
      <w:r>
        <w:rPr>
          <w:lang w:eastAsia="zh-CN"/>
        </w:rPr>
        <w:t>对照统计量。粗部门模型无法做到这一点时，所得结构结果仅说明设定情景下的变化。</w:t>
      </w:r>
    </w:p>
    <w:p w14:paraId="50A879EA" w14:textId="77777777" w:rsidR="002C0540" w:rsidRDefault="00FE1083">
      <w:pPr>
        <w:pStyle w:val="1"/>
        <w:rPr>
          <w:lang w:eastAsia="zh-CN"/>
        </w:rPr>
      </w:pPr>
      <w:r>
        <w:rPr>
          <w:lang w:eastAsia="zh-CN"/>
        </w:rPr>
        <w:t xml:space="preserve">A4 </w:t>
      </w:r>
      <w:r>
        <w:rPr>
          <w:lang w:eastAsia="zh-CN"/>
        </w:rPr>
        <w:t>改革事件与因果识别</w:t>
      </w:r>
    </w:p>
    <w:p w14:paraId="6A59E889" w14:textId="77777777" w:rsidR="002C0540" w:rsidRDefault="00FE1083">
      <w:pPr>
        <w:pStyle w:val="21"/>
        <w:rPr>
          <w:lang w:eastAsia="zh-CN"/>
        </w:rPr>
      </w:pPr>
      <w:r>
        <w:rPr>
          <w:lang w:eastAsia="zh-CN"/>
        </w:rPr>
        <w:t>改革事件与比较窗口</w:t>
      </w:r>
    </w:p>
    <w:p w14:paraId="163ACA81" w14:textId="77777777" w:rsidR="002C0540" w:rsidRDefault="00FE1083" w:rsidP="006C781C">
      <w:pPr>
        <w:ind w:firstLine="720"/>
        <w:rPr>
          <w:lang w:eastAsia="zh-CN"/>
        </w:rPr>
      </w:pPr>
      <w:r>
        <w:rPr>
          <w:lang w:eastAsia="zh-CN"/>
        </w:rPr>
        <w:t>改革事件</w:t>
      </w:r>
      <w:r>
        <w:rPr>
          <w:lang w:eastAsia="zh-CN"/>
        </w:rPr>
        <w:t xml:space="preserve"> </w:t>
      </w:r>
      <m:oMath>
        <m:r>
          <w:rPr>
            <w:rFonts w:ascii="Cambria Math" w:hAnsi="Cambria Math"/>
            <w:lang w:eastAsia="zh-CN"/>
          </w:rPr>
          <m:t>e</m:t>
        </m:r>
      </m:oMath>
      <w:r>
        <w:rPr>
          <w:lang w:eastAsia="zh-CN"/>
        </w:rPr>
        <w:t xml:space="preserve"> </w:t>
      </w:r>
      <w:r>
        <w:rPr>
          <w:lang w:eastAsia="zh-CN"/>
        </w:rPr>
        <w:t>按正式生效日和完整六维限制变化定义，并记录公告与生效的间隔、适用活动、地区和投资者条件。对照活动从同一可比粗行业中选择，要求其改革前制度状态和趋势相近，且在事件窗口内未经历其他相关改革。分别检验公告前的变化趋势和可能的提前反应。年度政策暴露按生效时间确定，过渡年度效应与完整年度效应分别估计。采用年度平均暴露时，须说明生产月份与生效月份如何对应；年内生效的改革不视为全年实施。比较窗口和改革后的报告期限在估计前确定，不随结果显著性调整。</w:t>
      </w:r>
    </w:p>
    <w:p w14:paraId="68777E91" w14:textId="77777777" w:rsidR="002C0540" w:rsidRDefault="00FE1083" w:rsidP="006C781C">
      <w:pPr>
        <w:ind w:firstLine="720"/>
        <w:rPr>
          <w:lang w:eastAsia="zh-CN"/>
        </w:rPr>
      </w:pPr>
      <w:r>
        <w:rPr>
          <w:lang w:eastAsia="zh-CN"/>
        </w:rPr>
        <w:t>分批或重复改革分别设置事件窗口，允许各事件的效果不同，并核查已经改革的活动是否适合作为对照。后续相关改革发生在窗口内时，缩短窗口，或将完整制度状态的转变作为新的改革组合单列。采用堆叠估计时，调整重复对照的权重，避免某些对照仅因多次出现而获得更大权重。估计中保留各次改革的差异，不用简单的双向固定效应将所有改革压缩为一个系数。</w:t>
      </w:r>
    </w:p>
    <w:p w14:paraId="4B3F7A5C" w14:textId="77777777" w:rsidR="002C0540" w:rsidRDefault="00FE1083">
      <w:pPr>
        <w:pStyle w:val="21"/>
      </w:pPr>
      <w:r>
        <w:lastRenderedPageBreak/>
        <w:t>活动产出事件研究</w:t>
      </w:r>
    </w:p>
    <w:p w14:paraId="5D45F4A9" w14:textId="77777777" w:rsidR="002C0540" w:rsidRDefault="00FE1083" w:rsidP="006C781C">
      <w:pPr>
        <w:ind w:firstLine="720"/>
        <w:rPr>
          <w:lang w:eastAsia="zh-CN"/>
        </w:rPr>
      </w:pPr>
      <w:r>
        <w:t>对</w:t>
      </w:r>
      <w:r>
        <w:t xml:space="preserve"> </w:t>
      </w:r>
      <m:oMath>
        <m:r>
          <w:rPr>
            <w:rFonts w:ascii="Cambria Math" w:hAnsi="Cambria Math"/>
          </w:rPr>
          <m:t>q∈{F,D}</m:t>
        </m:r>
      </m:oMath>
      <w:r>
        <w:t xml:space="preserve"> </w:t>
      </w:r>
      <w:r>
        <w:t>的非负产出</w:t>
      </w:r>
      <w:r>
        <w:t xml:space="preserve"> </w:t>
      </w:r>
      <m:oMath>
        <m:sSubSup>
          <m:sSubSupPr>
            <m:ctrlPr>
              <w:rPr>
                <w:rFonts w:ascii="Cambria Math" w:hAnsi="Cambria Math"/>
              </w:rPr>
            </m:ctrlPr>
          </m:sSubSupPr>
          <m:e>
            <m:r>
              <w:rPr>
                <w:rFonts w:ascii="Cambria Math" w:hAnsi="Cambria Math"/>
              </w:rPr>
              <m:t>Y</m:t>
            </m:r>
          </m:e>
          <m:sub>
            <m:r>
              <w:rPr>
                <w:rFonts w:ascii="Cambria Math" w:hAnsi="Cambria Math"/>
              </w:rPr>
              <m:t>urt</m:t>
            </m:r>
          </m:sub>
          <m:sup>
            <m:r>
              <w:rPr>
                <w:rFonts w:ascii="Cambria Math" w:hAnsi="Cambria Math"/>
              </w:rPr>
              <m:t>q</m:t>
            </m:r>
          </m:sup>
        </m:sSubSup>
      </m:oMath>
      <w:r>
        <w:t>，基准采用泊松伪最大似然（</w:t>
      </w:r>
      <w:r>
        <w:t>PPML</w:t>
      </w:r>
      <w:r>
        <w:t>）估计条件均值（</w:t>
      </w:r>
      <w:r>
        <w:t>Santos Silva and Tenreyro</w:t>
      </w:r>
      <w:r>
        <w:t>，</w:t>
      </w:r>
      <w:r>
        <w:t>2006</w:t>
      </w:r>
      <w:r>
        <w:t>）。</w:t>
      </w:r>
      <w:r>
        <w:rPr>
          <w:lang w:eastAsia="zh-CN"/>
        </w:rPr>
        <w:t>该方法允许真实的零产出；缺失或未匹配记录仍保持缺失。事件窗口内的示意规格为：</w:t>
      </w:r>
    </w:p>
    <w:p w14:paraId="5FC7DE0B" w14:textId="77777777" w:rsidR="002C0540" w:rsidRDefault="00FE1083">
      <w:pPr>
        <w:pStyle w:val="Equation"/>
        <w:rPr>
          <w:lang w:eastAsia="zh-CN"/>
        </w:rPr>
      </w:pPr>
      <w:r>
        <w:rPr>
          <w:lang w:eastAsia="zh-CN"/>
        </w:rPr>
        <w:tab/>
      </w:r>
      <m:oMath>
        <m:r>
          <w:rPr>
            <w:rFonts w:ascii="Cambria Math" w:hAnsi="Cambria Math"/>
            <w:lang w:eastAsia="zh-CN"/>
          </w:rPr>
          <m:t>E[</m:t>
        </m:r>
        <m:sSubSup>
          <m:sSubSupPr>
            <m:ctrlPr>
              <w:rPr>
                <w:rFonts w:ascii="Cambria Math" w:hAnsi="Cambria Math"/>
              </w:rPr>
            </m:ctrlPr>
          </m:sSubSupPr>
          <m:e>
            <m:r>
              <w:rPr>
                <w:rFonts w:ascii="Cambria Math" w:hAnsi="Cambria Math"/>
                <w:lang w:eastAsia="zh-CN"/>
              </w:rPr>
              <m:t>Y</m:t>
            </m:r>
          </m:e>
          <m:sub>
            <m:r>
              <w:rPr>
                <w:rFonts w:ascii="Cambria Math" w:hAnsi="Cambria Math"/>
                <w:lang w:eastAsia="zh-CN"/>
              </w:rPr>
              <m:t>urt</m:t>
            </m:r>
          </m:sub>
          <m:sup>
            <m:r>
              <w:rPr>
                <w:rFonts w:ascii="Cambria Math" w:hAnsi="Cambria Math"/>
                <w:lang w:eastAsia="zh-CN"/>
              </w:rPr>
              <m:t>q</m:t>
            </m:r>
          </m:sup>
        </m:sSubSup>
        <m:r>
          <w:rPr>
            <w:rFonts w:ascii="Cambria Math" w:hAnsi="Cambria Math"/>
            <w:lang w:eastAsia="zh-CN"/>
          </w:rPr>
          <m:t>|X,e]=</m:t>
        </m:r>
        <m:r>
          <m:rPr>
            <m:sty m:val="p"/>
          </m:rPr>
          <w:rPr>
            <w:rFonts w:ascii="Cambria Math" w:hAnsi="Cambria Math"/>
            <w:lang w:eastAsia="zh-CN"/>
          </w:rPr>
          <m:t>exp</m:t>
        </m:r>
        <m:r>
          <w:rPr>
            <w:rFonts w:ascii="Cambria Math" w:hAnsi="Cambria Math"/>
            <w:lang w:eastAsia="zh-CN"/>
          </w:rPr>
          <m:t>[</m:t>
        </m:r>
        <m:sSubSup>
          <m:sSubSupPr>
            <m:ctrlPr>
              <w:rPr>
                <w:rFonts w:ascii="Cambria Math" w:hAnsi="Cambria Math"/>
              </w:rPr>
            </m:ctrlPr>
          </m:sSubSupPr>
          <m:e>
            <m:r>
              <w:rPr>
                <w:rFonts w:ascii="Cambria Math" w:hAnsi="Cambria Math"/>
                <w:lang w:eastAsia="zh-CN"/>
              </w:rPr>
              <m:t>α</m:t>
            </m:r>
          </m:e>
          <m:sub>
            <m:r>
              <w:rPr>
                <w:rFonts w:ascii="Cambria Math" w:hAnsi="Cambria Math"/>
                <w:lang w:eastAsia="zh-CN"/>
              </w:rPr>
              <m:t>ur,e</m:t>
            </m:r>
          </m:sub>
          <m:sup>
            <m:r>
              <w:rPr>
                <w:rFonts w:ascii="Cambria Math" w:hAnsi="Cambria Math"/>
                <w:lang w:eastAsia="zh-CN"/>
              </w:rPr>
              <m:t>q</m:t>
            </m:r>
          </m:sup>
        </m:sSubSup>
        <m:r>
          <w:rPr>
            <w:rFonts w:ascii="Cambria Math" w:hAnsi="Cambria Math"/>
            <w:lang w:eastAsia="zh-CN"/>
          </w:rPr>
          <m:t>+</m:t>
        </m:r>
        <m:sSubSup>
          <m:sSubSupPr>
            <m:ctrlPr>
              <w:rPr>
                <w:rFonts w:ascii="Cambria Math" w:hAnsi="Cambria Math"/>
              </w:rPr>
            </m:ctrlPr>
          </m:sSubSupPr>
          <m:e>
            <m:r>
              <w:rPr>
                <w:rFonts w:ascii="Cambria Math" w:hAnsi="Cambria Math"/>
                <w:lang w:eastAsia="zh-CN"/>
              </w:rPr>
              <m:t>λ</m:t>
            </m:r>
          </m:e>
          <m:sub>
            <m:r>
              <w:rPr>
                <w:rFonts w:ascii="Cambria Math" w:hAnsi="Cambria Math"/>
                <w:lang w:eastAsia="zh-CN"/>
              </w:rPr>
              <m:t>j(u)t,e</m:t>
            </m:r>
          </m:sub>
          <m:sup>
            <m:r>
              <w:rPr>
                <w:rFonts w:ascii="Cambria Math" w:hAnsi="Cambria Math"/>
                <w:lang w:eastAsia="zh-CN"/>
              </w:rPr>
              <m:t>q</m:t>
            </m:r>
          </m:sup>
        </m:sSubSup>
        <m:r>
          <w:rPr>
            <w:rFonts w:ascii="Cambria Math" w:hAnsi="Cambria Math"/>
            <w:lang w:eastAsia="zh-CN"/>
          </w:rPr>
          <m:t>+</m:t>
        </m:r>
        <m:sSubSup>
          <m:sSubSupPr>
            <m:ctrlPr>
              <w:rPr>
                <w:rFonts w:ascii="Cambria Math" w:hAnsi="Cambria Math"/>
              </w:rPr>
            </m:ctrlPr>
          </m:sSubSupPr>
          <m:e>
            <m:r>
              <w:rPr>
                <w:rFonts w:ascii="Cambria Math" w:hAnsi="Cambria Math"/>
                <w:lang w:eastAsia="zh-CN"/>
              </w:rPr>
              <m:t>η</m:t>
            </m:r>
          </m:e>
          <m:sub>
            <m:r>
              <w:rPr>
                <w:rFonts w:ascii="Cambria Math" w:hAnsi="Cambria Math"/>
                <w:lang w:eastAsia="zh-CN"/>
              </w:rPr>
              <m:t>rt,e</m:t>
            </m:r>
          </m:sub>
          <m:sup>
            <m:r>
              <w:rPr>
                <w:rFonts w:ascii="Cambria Math" w:hAnsi="Cambria Math"/>
                <w:lang w:eastAsia="zh-CN"/>
              </w:rPr>
              <m:t>q</m:t>
            </m:r>
          </m:sup>
        </m:sSubSup>
        <m:r>
          <w:rPr>
            <w:rFonts w:ascii="Cambria Math" w:hAnsi="Cambria Math"/>
            <w:lang w:eastAsia="zh-CN"/>
          </w:rPr>
          <m:t>+</m:t>
        </m:r>
        <m:sSubSup>
          <m:sSubSupPr>
            <m:ctrlPr>
              <w:rPr>
                <w:rFonts w:ascii="Cambria Math" w:hAnsi="Cambria Math"/>
              </w:rPr>
            </m:ctrlPr>
          </m:sSubSupPr>
          <m:e>
            <m:r>
              <w:rPr>
                <w:rFonts w:ascii="Cambria Math" w:hAnsi="Cambria Math"/>
                <w:lang w:eastAsia="zh-CN"/>
              </w:rPr>
              <m:t>B</m:t>
            </m:r>
          </m:e>
          <m:sub>
            <m:r>
              <w:rPr>
                <w:rFonts w:ascii="Cambria Math" w:hAnsi="Cambria Math"/>
                <w:lang w:eastAsia="zh-CN"/>
              </w:rPr>
              <m:t>ur,e</m:t>
            </m:r>
          </m:sub>
          <m:sup>
            <m:r>
              <w:rPr>
                <w:rFonts w:ascii="Cambria Math" w:hAnsi="Cambria Math"/>
                <w:lang w:eastAsia="zh-CN"/>
              </w:rPr>
              <m:t>'</m:t>
            </m:r>
          </m:sup>
        </m:sSubSup>
        <m:sSubSup>
          <m:sSubSupPr>
            <m:ctrlPr>
              <w:rPr>
                <w:rFonts w:ascii="Cambria Math" w:hAnsi="Cambria Math"/>
              </w:rPr>
            </m:ctrlPr>
          </m:sSubSupPr>
          <m:e>
            <m:r>
              <w:rPr>
                <w:rFonts w:ascii="Cambria Math" w:hAnsi="Cambria Math"/>
                <w:lang w:eastAsia="zh-CN"/>
              </w:rPr>
              <m:t>π</m:t>
            </m:r>
          </m:e>
          <m:sub>
            <m:r>
              <w:rPr>
                <w:rFonts w:ascii="Cambria Math" w:hAnsi="Cambria Math"/>
                <w:lang w:eastAsia="zh-CN"/>
              </w:rPr>
              <m:t>t</m:t>
            </m:r>
          </m:sub>
          <m:sup>
            <m:r>
              <w:rPr>
                <w:rFonts w:ascii="Cambria Math" w:hAnsi="Cambria Math"/>
                <w:lang w:eastAsia="zh-CN"/>
              </w:rPr>
              <m:t>q</m:t>
            </m:r>
          </m:sup>
        </m:sSubSup>
        <m:r>
          <w:rPr>
            <w:rFonts w:ascii="Cambria Math" w:hAnsi="Cambria Math"/>
            <w:lang w:eastAsia="zh-CN"/>
          </w:rPr>
          <m:t>+</m:t>
        </m:r>
        <m:sSubSup>
          <m:sSubSupPr>
            <m:ctrlPr>
              <w:rPr>
                <w:rFonts w:ascii="Cambria Math" w:hAnsi="Cambria Math"/>
              </w:rPr>
            </m:ctrlPr>
          </m:sSubSupPr>
          <m:e>
            <m:r>
              <w:rPr>
                <w:rFonts w:ascii="Cambria Math" w:hAnsi="Cambria Math"/>
                <w:lang w:eastAsia="zh-CN"/>
              </w:rPr>
              <m:t>L</m:t>
            </m:r>
          </m:e>
          <m:sub>
            <m:r>
              <w:rPr>
                <w:rFonts w:ascii="Cambria Math" w:hAnsi="Cambria Math"/>
                <w:lang w:eastAsia="zh-CN"/>
              </w:rPr>
              <m:t>ur,e</m:t>
            </m:r>
          </m:sub>
          <m:sup>
            <m:r>
              <w:rPr>
                <w:rFonts w:ascii="Cambria Math" w:hAnsi="Cambria Math"/>
                <w:lang w:eastAsia="zh-CN"/>
              </w:rPr>
              <m:t>q</m:t>
            </m:r>
          </m:sup>
        </m:sSubSup>
        <m:r>
          <w:rPr>
            <w:rFonts w:ascii="Cambria Math" w:hAnsi="Cambria Math"/>
            <w:lang w:eastAsia="zh-CN"/>
          </w:rPr>
          <m:t>(t)].</m:t>
        </m:r>
      </m:oMath>
      <w:r>
        <w:rPr>
          <w:lang w:eastAsia="zh-CN"/>
        </w:rPr>
        <w:tab/>
        <w:t>(6)</w:t>
      </w:r>
    </w:p>
    <w:p w14:paraId="119E465B" w14:textId="77777777" w:rsidR="002C0540" w:rsidRDefault="00FE1083">
      <w:pPr>
        <w:rPr>
          <w:lang w:eastAsia="zh-CN"/>
        </w:rPr>
      </w:pPr>
      <w:r>
        <w:rPr>
          <w:lang w:eastAsia="zh-CN"/>
        </w:rPr>
        <w:t>其中事件动态项为：</w:t>
      </w:r>
    </w:p>
    <w:p w14:paraId="7FFDDC48" w14:textId="77777777" w:rsidR="002C0540" w:rsidRDefault="00FE1083">
      <w:pPr>
        <w:pStyle w:val="Equation"/>
        <w:rPr>
          <w:lang w:eastAsia="zh-CN"/>
        </w:rPr>
      </w:pPr>
      <w:r>
        <w:rPr>
          <w:lang w:eastAsia="zh-CN"/>
        </w:rPr>
        <w:tab/>
      </w:r>
      <m:oMath>
        <m:sSubSup>
          <m:sSubSupPr>
            <m:ctrlPr>
              <w:rPr>
                <w:rFonts w:ascii="Cambria Math" w:hAnsi="Cambria Math"/>
              </w:rPr>
            </m:ctrlPr>
          </m:sSubSupPr>
          <m:e>
            <m:r>
              <w:rPr>
                <w:rFonts w:ascii="Cambria Math" w:hAnsi="Cambria Math"/>
                <w:lang w:eastAsia="zh-CN"/>
              </w:rPr>
              <m:t>L</m:t>
            </m:r>
          </m:e>
          <m:sub>
            <m:r>
              <w:rPr>
                <w:rFonts w:ascii="Cambria Math" w:hAnsi="Cambria Math"/>
                <w:lang w:eastAsia="zh-CN"/>
              </w:rPr>
              <m:t>ur,e</m:t>
            </m:r>
          </m:sub>
          <m:sup>
            <m:r>
              <w:rPr>
                <w:rFonts w:ascii="Cambria Math" w:hAnsi="Cambria Math"/>
                <w:lang w:eastAsia="zh-CN"/>
              </w:rPr>
              <m:t>q</m:t>
            </m:r>
          </m:sup>
        </m:sSubSup>
        <m:r>
          <w:rPr>
            <w:rFonts w:ascii="Cambria Math" w:hAnsi="Cambria Math"/>
            <w:lang w:eastAsia="zh-CN"/>
          </w:rPr>
          <m:t>(t)=</m:t>
        </m:r>
        <m:nary>
          <m:naryPr>
            <m:chr m:val="∑"/>
            <m:limLoc m:val="undOvr"/>
            <m:grow m:val="1"/>
            <m:supHide m:val="1"/>
            <m:ctrlPr>
              <w:rPr>
                <w:rFonts w:ascii="Cambria Math" w:hAnsi="Cambria Math"/>
              </w:rPr>
            </m:ctrlPr>
          </m:naryPr>
          <m:sub>
            <m:r>
              <w:rPr>
                <w:rFonts w:ascii="Cambria Math" w:hAnsi="Cambria Math"/>
                <w:lang w:eastAsia="zh-CN"/>
              </w:rPr>
              <m:t>h≠-1</m:t>
            </m:r>
          </m:sub>
          <m:sup/>
          <m:e>
            <m:sSubSup>
              <m:sSubSupPr>
                <m:ctrlPr>
                  <w:rPr>
                    <w:rFonts w:ascii="Cambria Math" w:hAnsi="Cambria Math"/>
                  </w:rPr>
                </m:ctrlPr>
              </m:sSubSupPr>
              <m:e>
                <m:r>
                  <w:rPr>
                    <w:rFonts w:ascii="Cambria Math" w:hAnsi="Cambria Math"/>
                    <w:lang w:eastAsia="zh-CN"/>
                  </w:rPr>
                  <m:t>β</m:t>
                </m:r>
              </m:e>
              <m:sub>
                <m:r>
                  <w:rPr>
                    <w:rFonts w:ascii="Cambria Math" w:hAnsi="Cambria Math"/>
                    <w:lang w:eastAsia="zh-CN"/>
                  </w:rPr>
                  <m:t>e,h</m:t>
                </m:r>
              </m:sub>
              <m:sup>
                <m:r>
                  <w:rPr>
                    <w:rFonts w:ascii="Cambria Math" w:hAnsi="Cambria Math"/>
                    <w:lang w:eastAsia="zh-CN"/>
                  </w:rPr>
                  <m:t>q</m:t>
                </m:r>
              </m:sup>
            </m:sSubSup>
          </m:e>
        </m:nary>
        <m:sSub>
          <m:sSubPr>
            <m:ctrlPr>
              <w:rPr>
                <w:rFonts w:ascii="Cambria Math" w:hAnsi="Cambria Math"/>
              </w:rPr>
            </m:ctrlPr>
          </m:sSubPr>
          <m:e>
            <m:r>
              <w:rPr>
                <w:rFonts w:ascii="Cambria Math" w:hAnsi="Cambria Math"/>
                <w:lang w:eastAsia="zh-CN"/>
              </w:rPr>
              <m:t>T</m:t>
            </m:r>
          </m:e>
          <m:sub>
            <m:r>
              <w:rPr>
                <w:rFonts w:ascii="Cambria Math" w:hAnsi="Cambria Math"/>
                <w:lang w:eastAsia="zh-CN"/>
              </w:rPr>
              <m:t>ur,e</m:t>
            </m:r>
          </m:sub>
        </m:sSub>
        <m:r>
          <w:rPr>
            <w:rFonts w:ascii="Cambria Math" w:hAnsi="Cambria Math"/>
            <w:lang w:eastAsia="zh-CN"/>
          </w:rPr>
          <m:t>1(t-</m:t>
        </m:r>
        <m:sSub>
          <m:sSubPr>
            <m:ctrlPr>
              <w:rPr>
                <w:rFonts w:ascii="Cambria Math" w:hAnsi="Cambria Math"/>
              </w:rPr>
            </m:ctrlPr>
          </m:sSubPr>
          <m:e>
            <m:r>
              <w:rPr>
                <w:rFonts w:ascii="Cambria Math" w:hAnsi="Cambria Math"/>
                <w:lang w:eastAsia="zh-CN"/>
              </w:rPr>
              <m:t>t</m:t>
            </m:r>
          </m:e>
          <m:sub>
            <m:r>
              <w:rPr>
                <w:rFonts w:ascii="Cambria Math" w:hAnsi="Cambria Math"/>
                <w:lang w:eastAsia="zh-CN"/>
              </w:rPr>
              <m:t>e</m:t>
            </m:r>
          </m:sub>
        </m:sSub>
        <m:r>
          <w:rPr>
            <w:rFonts w:ascii="Cambria Math" w:hAnsi="Cambria Math"/>
            <w:lang w:eastAsia="zh-CN"/>
          </w:rPr>
          <m:t>=h).</m:t>
        </m:r>
      </m:oMath>
      <w:r>
        <w:rPr>
          <w:lang w:eastAsia="zh-CN"/>
        </w:rPr>
        <w:tab/>
        <w:t>(7)</w:t>
      </w:r>
    </w:p>
    <w:p w14:paraId="48F8C472" w14:textId="77777777" w:rsidR="002C0540" w:rsidRDefault="005D0D22" w:rsidP="006C781C">
      <w:pPr>
        <w:ind w:firstLine="720"/>
        <w:rPr>
          <w:lang w:eastAsia="zh-CN"/>
        </w:rPr>
      </w:pPr>
      <m:oMath>
        <m:sSub>
          <m:sSubPr>
            <m:ctrlPr>
              <w:rPr>
                <w:rFonts w:ascii="Cambria Math" w:hAnsi="Cambria Math"/>
              </w:rPr>
            </m:ctrlPr>
          </m:sSubPr>
          <m:e>
            <m:r>
              <w:rPr>
                <w:rFonts w:ascii="Cambria Math" w:hAnsi="Cambria Math"/>
                <w:lang w:eastAsia="zh-CN"/>
              </w:rPr>
              <m:t>T</m:t>
            </m:r>
          </m:e>
          <m:sub>
            <m:r>
              <w:rPr>
                <w:rFonts w:ascii="Cambria Math" w:hAnsi="Cambria Math"/>
                <w:lang w:eastAsia="zh-CN"/>
              </w:rPr>
              <m:t>ur,e</m:t>
            </m:r>
          </m:sub>
        </m:sSub>
      </m:oMath>
      <w:r w:rsidR="00FE1083">
        <w:rPr>
          <w:lang w:eastAsia="zh-CN"/>
        </w:rPr>
        <w:t xml:space="preserve"> </w:t>
      </w:r>
      <w:r w:rsidR="00FE1083">
        <w:rPr>
          <w:lang w:eastAsia="zh-CN"/>
        </w:rPr>
        <w:t>表示该活动</w:t>
      </w:r>
      <w:r w:rsidR="00FE1083">
        <w:rPr>
          <w:lang w:eastAsia="zh-CN"/>
        </w:rPr>
        <w:t>—</w:t>
      </w:r>
      <w:r w:rsidR="00FE1083">
        <w:rPr>
          <w:lang w:eastAsia="zh-CN"/>
        </w:rPr>
        <w:t>地区单元适用该次改革。投资者资格或特殊待遇不同时，按预先定义的法律待遇组分别设置事件和比较单元。式（</w:t>
      </w:r>
      <w:r w:rsidR="00FE1083">
        <w:rPr>
          <w:lang w:eastAsia="zh-CN"/>
        </w:rPr>
        <w:t>6</w:t>
      </w:r>
      <w:r w:rsidR="00FE1083">
        <w:rPr>
          <w:lang w:eastAsia="zh-CN"/>
        </w:rPr>
        <w:t>）</w:t>
      </w:r>
      <w:r w:rsidR="00FE1083">
        <w:rPr>
          <w:lang w:eastAsia="zh-CN"/>
        </w:rPr>
        <w:t>—</w:t>
      </w:r>
      <w:r w:rsidR="00FE1083">
        <w:rPr>
          <w:lang w:eastAsia="zh-CN"/>
        </w:rPr>
        <w:t>（</w:t>
      </w:r>
      <w:r w:rsidR="00FE1083">
        <w:rPr>
          <w:lang w:eastAsia="zh-CN"/>
        </w:rPr>
        <w:t>7</w:t>
      </w:r>
      <w:r w:rsidR="00FE1083">
        <w:rPr>
          <w:lang w:eastAsia="zh-CN"/>
        </w:rPr>
        <w:t>）用于一个固定待遇组，因此省略组下标。</w:t>
      </w:r>
      <m:oMath>
        <m:r>
          <w:rPr>
            <w:rFonts w:ascii="Cambria Math" w:hAnsi="Cambria Math"/>
            <w:lang w:eastAsia="zh-CN"/>
          </w:rPr>
          <m:t>h=-1</m:t>
        </m:r>
      </m:oMath>
      <w:r w:rsidR="00FE1083">
        <w:rPr>
          <w:lang w:eastAsia="zh-CN"/>
        </w:rPr>
        <w:t xml:space="preserve"> </w:t>
      </w:r>
      <w:r w:rsidR="00FE1083">
        <w:rPr>
          <w:lang w:eastAsia="zh-CN"/>
        </w:rPr>
        <w:t>为参照期；</w:t>
      </w:r>
      <m:oMath>
        <m:sSub>
          <m:sSubPr>
            <m:ctrlPr>
              <w:rPr>
                <w:rFonts w:ascii="Cambria Math" w:hAnsi="Cambria Math"/>
              </w:rPr>
            </m:ctrlPr>
          </m:sSubPr>
          <m:e>
            <m:r>
              <w:rPr>
                <w:rFonts w:ascii="Cambria Math" w:hAnsi="Cambria Math"/>
                <w:lang w:eastAsia="zh-CN"/>
              </w:rPr>
              <m:t>B</m:t>
            </m:r>
          </m:e>
          <m:sub>
            <m:r>
              <w:rPr>
                <w:rFonts w:ascii="Cambria Math" w:hAnsi="Cambria Math"/>
                <w:lang w:eastAsia="zh-CN"/>
              </w:rPr>
              <m:t>ur,e</m:t>
            </m:r>
          </m:sub>
        </m:sSub>
      </m:oMath>
      <w:r w:rsidR="00FE1083">
        <w:rPr>
          <w:lang w:eastAsia="zh-CN"/>
        </w:rPr>
        <w:t xml:space="preserve"> </w:t>
      </w:r>
      <w:r w:rsidR="00FE1083">
        <w:rPr>
          <w:lang w:eastAsia="zh-CN"/>
        </w:rPr>
        <w:t>仅包含改革前确定的特征。固定效应控制活动</w:t>
      </w:r>
      <w:r w:rsidR="00FE1083">
        <w:rPr>
          <w:lang w:eastAsia="zh-CN"/>
        </w:rPr>
        <w:t>—</w:t>
      </w:r>
      <w:r w:rsidR="00FE1083">
        <w:rPr>
          <w:lang w:eastAsia="zh-CN"/>
        </w:rPr>
        <w:t>地区的稳定差异、粗行业年度冲击和地区年度冲击。行业层级的选择须使组内仍有政策差异；如果政策只在该行业层级变化，行业</w:t>
      </w:r>
      <w:r w:rsidR="00FE1083">
        <w:rPr>
          <w:lang w:eastAsia="zh-CN"/>
        </w:rPr>
        <w:t>×</w:t>
      </w:r>
      <w:r w:rsidR="00FE1083">
        <w:rPr>
          <w:lang w:eastAsia="zh-CN"/>
        </w:rPr>
        <w:t>年份固定效应就会吸收全部政策暴露，该规格无法识别政策效果。</w:t>
      </w:r>
    </w:p>
    <w:p w14:paraId="0A9520DC" w14:textId="77777777" w:rsidR="002C0540" w:rsidRDefault="00FE1083" w:rsidP="006C781C">
      <w:pPr>
        <w:ind w:firstLine="720"/>
        <w:rPr>
          <w:lang w:eastAsia="zh-CN"/>
        </w:rPr>
      </w:pPr>
      <w:r>
        <w:rPr>
          <w:lang w:eastAsia="zh-CN"/>
        </w:rPr>
        <w:t>在没有提前反应、满足相应的乘法平行趋势、比较状态可比且活动间相互影响符合既定识别假设的条件下，</w:t>
      </w:r>
      <m:oMath>
        <m:r>
          <m:rPr>
            <m:sty m:val="p"/>
          </m:rPr>
          <w:rPr>
            <w:rFonts w:ascii="Cambria Math" w:hAnsi="Cambria Math"/>
            <w:lang w:eastAsia="zh-CN"/>
          </w:rPr>
          <m:t>exp</m:t>
        </m:r>
        <m:r>
          <w:rPr>
            <w:rFonts w:ascii="Cambria Math" w:hAnsi="Cambria Math"/>
            <w:lang w:eastAsia="zh-CN"/>
          </w:rPr>
          <m:t>(</m:t>
        </m:r>
        <m:sSubSup>
          <m:sSubSupPr>
            <m:ctrlPr>
              <w:rPr>
                <w:rFonts w:ascii="Cambria Math" w:hAnsi="Cambria Math"/>
              </w:rPr>
            </m:ctrlPr>
          </m:sSubSupPr>
          <m:e>
            <m:r>
              <w:rPr>
                <w:rFonts w:ascii="Cambria Math" w:hAnsi="Cambria Math"/>
                <w:lang w:eastAsia="zh-CN"/>
              </w:rPr>
              <m:t>β</m:t>
            </m:r>
          </m:e>
          <m:sub>
            <m:r>
              <w:rPr>
                <w:rFonts w:ascii="Cambria Math" w:hAnsi="Cambria Math"/>
                <w:lang w:eastAsia="zh-CN"/>
              </w:rPr>
              <m:t>e,h</m:t>
            </m:r>
          </m:sub>
          <m:sup>
            <m:r>
              <w:rPr>
                <w:rFonts w:ascii="Cambria Math" w:hAnsi="Cambria Math"/>
                <w:lang w:eastAsia="zh-CN"/>
              </w:rPr>
              <m:t>q</m:t>
            </m:r>
          </m:sup>
        </m:sSubSup>
        <m:r>
          <w:rPr>
            <w:rFonts w:ascii="Cambria Math" w:hAnsi="Cambria Math"/>
            <w:lang w:eastAsia="zh-CN"/>
          </w:rPr>
          <m:t>)-1</m:t>
        </m:r>
      </m:oMath>
      <w:r>
        <w:rPr>
          <w:lang w:eastAsia="zh-CN"/>
        </w:rPr>
        <w:t xml:space="preserve"> </w:t>
      </w:r>
      <w:r>
        <w:rPr>
          <w:lang w:eastAsia="zh-CN"/>
        </w:rPr>
        <w:t>表示该事件中处理组相对对照组的条件均值变化。采用</w:t>
      </w:r>
      <w:r>
        <w:rPr>
          <w:lang w:eastAsia="zh-CN"/>
        </w:rPr>
        <w:t>PPML</w:t>
      </w:r>
      <w:r>
        <w:rPr>
          <w:lang w:eastAsia="zh-CN"/>
        </w:rPr>
        <w:t>本身并不能保证这些假设成立。对照活动可能受到竞争或供应链溢出，因此须记录活动间联系，并通过替换对照、排除关联活动或显式分析溢出进行检验。若仍无法排除溢出，结果只能说明受改革活动相对对照活动的变化。改革后的规模、融资和产品组合等可能是政策作用渠道，基准回归不将其作为控制变量。</w:t>
      </w:r>
    </w:p>
    <w:p w14:paraId="161A4A6D" w14:textId="77777777" w:rsidR="002C0540" w:rsidRDefault="00FE1083">
      <w:pPr>
        <w:pStyle w:val="21"/>
        <w:rPr>
          <w:lang w:eastAsia="zh-CN"/>
        </w:rPr>
      </w:pPr>
      <w:r>
        <w:rPr>
          <w:lang w:eastAsia="zh-CN"/>
        </w:rPr>
        <w:t>存量企业的基期暴露</w:t>
      </w:r>
    </w:p>
    <w:p w14:paraId="09A5FB69" w14:textId="77777777" w:rsidR="002C0540" w:rsidRDefault="00FE1083" w:rsidP="006C781C">
      <w:pPr>
        <w:ind w:firstLine="720"/>
        <w:rPr>
          <w:lang w:eastAsia="zh-CN"/>
        </w:rPr>
      </w:pPr>
      <w:r>
        <w:rPr>
          <w:lang w:eastAsia="zh-CN"/>
        </w:rPr>
        <w:t>研究原有企业的调整时，在每次改革前固定企业的活动组合及适用身份。令</w:t>
      </w:r>
      <w:r>
        <w:rPr>
          <w:lang w:eastAsia="zh-CN"/>
        </w:rPr>
        <w:t xml:space="preserve"> </w:t>
      </w:r>
      <m:oMath>
        <m:sSub>
          <m:sSubPr>
            <m:ctrlPr>
              <w:rPr>
                <w:rFonts w:ascii="Cambria Math" w:hAnsi="Cambria Math"/>
              </w:rPr>
            </m:ctrlPr>
          </m:sSubPr>
          <m:e>
            <m:r>
              <w:rPr>
                <w:rFonts w:ascii="Cambria Math" w:hAnsi="Cambria Math"/>
                <w:lang w:eastAsia="zh-CN"/>
              </w:rPr>
              <m:t>a</m:t>
            </m:r>
          </m:e>
          <m:sub>
            <m:r>
              <w:rPr>
                <w:rFonts w:ascii="Cambria Math" w:hAnsi="Cambria Math"/>
                <w:lang w:eastAsia="zh-CN"/>
              </w:rPr>
              <m:t>fur,e0</m:t>
            </m:r>
          </m:sub>
        </m:sSub>
      </m:oMath>
      <w:r>
        <w:rPr>
          <w:lang w:eastAsia="zh-CN"/>
        </w:rPr>
        <w:t xml:space="preserve"> </w:t>
      </w:r>
      <w:r>
        <w:rPr>
          <w:lang w:eastAsia="zh-CN"/>
        </w:rPr>
        <w:t>为企业改革前在各活动和生产地区组合中的生产比重，则第</w:t>
      </w:r>
      <w:r>
        <w:rPr>
          <w:lang w:eastAsia="zh-CN"/>
        </w:rPr>
        <w:t xml:space="preserve"> </w:t>
      </w:r>
      <m:oMath>
        <m:r>
          <w:rPr>
            <w:rFonts w:ascii="Cambria Math" w:hAnsi="Cambria Math"/>
            <w:lang w:eastAsia="zh-CN"/>
          </w:rPr>
          <m:t>k</m:t>
        </m:r>
      </m:oMath>
      <w:r>
        <w:rPr>
          <w:lang w:eastAsia="zh-CN"/>
        </w:rPr>
        <w:t xml:space="preserve"> </w:t>
      </w:r>
      <w:r>
        <w:rPr>
          <w:lang w:eastAsia="zh-CN"/>
        </w:rPr>
        <w:t>类政策暴露为：</w:t>
      </w:r>
    </w:p>
    <w:p w14:paraId="3FAAAD62" w14:textId="77777777" w:rsidR="002C0540" w:rsidRDefault="00FE1083">
      <w:pPr>
        <w:pStyle w:val="Equation"/>
      </w:pPr>
      <w:r>
        <w:rPr>
          <w:lang w:eastAsia="zh-CN"/>
        </w:rPr>
        <w:tab/>
      </w:r>
      <m:oMath>
        <m:sSubSup>
          <m:sSubSupPr>
            <m:ctrlPr>
              <w:rPr>
                <w:rFonts w:ascii="Cambria Math" w:hAnsi="Cambria Math"/>
              </w:rPr>
            </m:ctrlPr>
          </m:sSubSupPr>
          <m:e>
            <m:r>
              <w:rPr>
                <w:rFonts w:ascii="Cambria Math" w:hAnsi="Cambria Math"/>
              </w:rPr>
              <m:t>Z</m:t>
            </m:r>
          </m:e>
          <m:sub>
            <m:r>
              <w:rPr>
                <w:rFonts w:ascii="Cambria Math" w:hAnsi="Cambria Math"/>
              </w:rPr>
              <m:t>ft,e</m:t>
            </m:r>
          </m:sub>
          <m:sup>
            <m:r>
              <w:rPr>
                <w:rFonts w:ascii="Cambria Math" w:hAnsi="Cambria Math"/>
              </w:rPr>
              <m:t>k</m:t>
            </m:r>
          </m:sup>
        </m:sSubSup>
        <m:r>
          <w:rPr>
            <w:rFonts w:ascii="Cambria Math" w:hAnsi="Cambria Math"/>
          </w:rPr>
          <m:t>=</m:t>
        </m:r>
        <m:nary>
          <m:naryPr>
            <m:chr m:val="∑"/>
            <m:limLoc m:val="undOvr"/>
            <m:grow m:val="1"/>
            <m:supHide m:val="1"/>
            <m:ctrlPr>
              <w:rPr>
                <w:rFonts w:ascii="Cambria Math" w:hAnsi="Cambria Math"/>
              </w:rPr>
            </m:ctrlPr>
          </m:naryPr>
          <m:sub>
            <m:r>
              <w:rPr>
                <w:rFonts w:ascii="Cambria Math" w:hAnsi="Cambria Math"/>
              </w:rPr>
              <m:t>u,r</m:t>
            </m:r>
          </m:sub>
          <m:sup/>
          <m:e>
            <m:sSub>
              <m:sSubPr>
                <m:ctrlPr>
                  <w:rPr>
                    <w:rFonts w:ascii="Cambria Math" w:hAnsi="Cambria Math"/>
                  </w:rPr>
                </m:ctrlPr>
              </m:sSubPr>
              <m:e>
                <m:r>
                  <w:rPr>
                    <w:rFonts w:ascii="Cambria Math" w:hAnsi="Cambria Math"/>
                  </w:rPr>
                  <m:t>a</m:t>
                </m:r>
              </m:e>
              <m:sub>
                <m:r>
                  <w:rPr>
                    <w:rFonts w:ascii="Cambria Math" w:hAnsi="Cambria Math"/>
                  </w:rPr>
                  <m:t>fur,e0</m:t>
                </m:r>
              </m:sub>
            </m:sSub>
          </m:e>
        </m:nary>
        <m:sSubSup>
          <m:sSubSupPr>
            <m:ctrlPr>
              <w:rPr>
                <w:rFonts w:ascii="Cambria Math" w:hAnsi="Cambria Math"/>
              </w:rPr>
            </m:ctrlPr>
          </m:sSubSupPr>
          <m:e>
            <m:r>
              <w:rPr>
                <w:rFonts w:ascii="Cambria Math" w:hAnsi="Cambria Math"/>
              </w:rPr>
              <m:t>z</m:t>
            </m:r>
          </m:e>
          <m:sub>
            <m:r>
              <w:rPr>
                <w:rFonts w:ascii="Cambria Math" w:hAnsi="Cambria Math"/>
              </w:rPr>
              <m:t>urt</m:t>
            </m:r>
          </m:sub>
          <m:sup>
            <m:r>
              <w:rPr>
                <w:rFonts w:ascii="Cambria Math" w:hAnsi="Cambria Math"/>
              </w:rPr>
              <m:t>k</m:t>
            </m:r>
          </m:sup>
        </m:sSubSup>
        <m:r>
          <w:rPr>
            <w:rFonts w:ascii="Cambria Math" w:hAnsi="Cambria Math"/>
          </w:rPr>
          <m:t>,</m:t>
        </m:r>
        <m:nary>
          <m:naryPr>
            <m:chr m:val="∑"/>
            <m:limLoc m:val="undOvr"/>
            <m:grow m:val="1"/>
            <m:supHide m:val="1"/>
            <m:ctrlPr>
              <w:rPr>
                <w:rFonts w:ascii="Cambria Math" w:hAnsi="Cambria Math"/>
              </w:rPr>
            </m:ctrlPr>
          </m:naryPr>
          <m:sub>
            <m:r>
              <w:rPr>
                <w:rFonts w:ascii="Cambria Math" w:hAnsi="Cambria Math"/>
              </w:rPr>
              <m:t>u,r</m:t>
            </m:r>
          </m:sub>
          <m:sup/>
          <m:e>
            <m:sSub>
              <m:sSubPr>
                <m:ctrlPr>
                  <w:rPr>
                    <w:rFonts w:ascii="Cambria Math" w:hAnsi="Cambria Math"/>
                  </w:rPr>
                </m:ctrlPr>
              </m:sSubPr>
              <m:e>
                <m:r>
                  <w:rPr>
                    <w:rFonts w:ascii="Cambria Math" w:hAnsi="Cambria Math"/>
                  </w:rPr>
                  <m:t>a</m:t>
                </m:r>
              </m:e>
              <m:sub>
                <m:r>
                  <w:rPr>
                    <w:rFonts w:ascii="Cambria Math" w:hAnsi="Cambria Math"/>
                  </w:rPr>
                  <m:t>fur,e0</m:t>
                </m:r>
              </m:sub>
            </m:sSub>
          </m:e>
        </m:nary>
        <m:r>
          <w:rPr>
            <w:rFonts w:ascii="Cambria Math" w:hAnsi="Cambria Math"/>
          </w:rPr>
          <m:t>=1.</m:t>
        </m:r>
      </m:oMath>
      <w:r>
        <w:tab/>
        <w:t>(8)</w:t>
      </w:r>
    </w:p>
    <w:p w14:paraId="11CA51F6" w14:textId="77777777" w:rsidR="002C0540" w:rsidRDefault="00FE1083" w:rsidP="006C781C">
      <w:pPr>
        <w:ind w:firstLine="720"/>
        <w:rPr>
          <w:lang w:eastAsia="zh-CN"/>
        </w:rPr>
      </w:pPr>
      <w:r>
        <w:rPr>
          <w:lang w:eastAsia="zh-CN"/>
        </w:rPr>
        <w:t>式（</w:t>
      </w:r>
      <w:r>
        <w:rPr>
          <w:lang w:eastAsia="zh-CN"/>
        </w:rPr>
        <w:t>8</w:t>
      </w:r>
      <w:r>
        <w:rPr>
          <w:lang w:eastAsia="zh-CN"/>
        </w:rPr>
        <w:t>）中的政策状态按固定的改革前法律待遇组取值；企业在多个地区生产时，仍使用活动与地区的联合基期权重。由这一暴露定义意向处理（</w:t>
      </w:r>
      <w:r>
        <w:rPr>
          <w:lang w:eastAsia="zh-CN"/>
        </w:rPr>
        <w:t>ITT</w:t>
      </w:r>
      <w:r>
        <w:rPr>
          <w:lang w:eastAsia="zh-CN"/>
        </w:rPr>
        <w:t>），跟踪企业控制权、存续、进入其他业务和产出的变化，企业改革后更换业务不改变其处理分组。该分析可采用企业固定效应，以及基期行业和地区的年度效应，并另行处理企业退出后结果不可观测</w:t>
      </w:r>
      <w:r>
        <w:rPr>
          <w:lang w:eastAsia="zh-CN"/>
        </w:rPr>
        <w:lastRenderedPageBreak/>
        <w:t>的问题。这一分析说明原有企业如何调整；新企业和活动间的生产重配置由式（</w:t>
      </w:r>
      <w:r>
        <w:rPr>
          <w:lang w:eastAsia="zh-CN"/>
        </w:rPr>
        <w:t>3</w:t>
      </w:r>
      <w:r>
        <w:rPr>
          <w:lang w:eastAsia="zh-CN"/>
        </w:rPr>
        <w:t>）</w:t>
      </w:r>
      <w:r>
        <w:rPr>
          <w:lang w:eastAsia="zh-CN"/>
        </w:rPr>
        <w:t>—</w:t>
      </w:r>
      <w:r>
        <w:rPr>
          <w:lang w:eastAsia="zh-CN"/>
        </w:rPr>
        <w:t>（</w:t>
      </w:r>
      <w:r>
        <w:rPr>
          <w:lang w:eastAsia="zh-CN"/>
        </w:rPr>
        <w:t>4</w:t>
      </w:r>
      <w:r>
        <w:rPr>
          <w:lang w:eastAsia="zh-CN"/>
        </w:rPr>
        <w:t>）统计，两类估计量不能直接相加。</w:t>
      </w:r>
    </w:p>
    <w:p w14:paraId="19B6F72D" w14:textId="77777777" w:rsidR="002C0540" w:rsidRDefault="00FE1083">
      <w:pPr>
        <w:pStyle w:val="21"/>
        <w:rPr>
          <w:lang w:eastAsia="zh-CN"/>
        </w:rPr>
      </w:pPr>
      <w:r>
        <w:rPr>
          <w:lang w:eastAsia="zh-CN"/>
        </w:rPr>
        <w:t>推断与可识别支持</w:t>
      </w:r>
    </w:p>
    <w:p w14:paraId="1B3544A7" w14:textId="77777777" w:rsidR="002C0540" w:rsidRDefault="00FE1083" w:rsidP="006C781C">
      <w:pPr>
        <w:ind w:firstLine="720"/>
        <w:rPr>
          <w:lang w:eastAsia="zh-CN"/>
        </w:rPr>
      </w:pPr>
      <w:r>
        <w:rPr>
          <w:lang w:eastAsia="zh-CN"/>
        </w:rPr>
        <w:t>报告独立活动数、政策共变组数、改革次数，以及各事件可用于比较的处理和对照活动。聚类按稳定的政策赋值单元和共同改革冲击设置，并考虑重复事件之间的相关性。独立政策变化是否充足应根据这些信息判断，企业数量不能替代独立冲击数量。有效簇较少时，采用适用的小簇推断方法，并相应降低结论的确定性；自助法无法弥补独立政策变化不足。改革前趋势、安慰剂和敏感性分析用于诊断识别问题，但不能据此认定全部混杂因素已经排除。</w:t>
      </w:r>
    </w:p>
    <w:p w14:paraId="65978332" w14:textId="77777777" w:rsidR="002C0540" w:rsidRDefault="00FE1083">
      <w:pPr>
        <w:pStyle w:val="1"/>
        <w:rPr>
          <w:lang w:eastAsia="zh-CN"/>
        </w:rPr>
      </w:pPr>
      <w:r>
        <w:rPr>
          <w:lang w:eastAsia="zh-CN"/>
        </w:rPr>
        <w:t xml:space="preserve">A5 </w:t>
      </w:r>
      <w:r>
        <w:rPr>
          <w:lang w:eastAsia="zh-CN"/>
        </w:rPr>
        <w:t>六类限制的净效应与改革组合</w:t>
      </w:r>
    </w:p>
    <w:p w14:paraId="00910EC7" w14:textId="77777777" w:rsidR="002C0540" w:rsidRDefault="00FE1083" w:rsidP="006C781C">
      <w:pPr>
        <w:ind w:firstLine="720"/>
      </w:pPr>
      <w:r>
        <w:rPr>
          <w:lang w:eastAsia="zh-CN"/>
        </w:rPr>
        <w:t>构造</w:t>
      </w:r>
      <w:r>
        <w:rPr>
          <w:lang w:eastAsia="zh-CN"/>
        </w:rPr>
        <w:t>“</w:t>
      </w:r>
      <w:r>
        <w:rPr>
          <w:lang w:eastAsia="zh-CN"/>
        </w:rPr>
        <w:t>事件</w:t>
      </w:r>
      <w:r>
        <w:rPr>
          <w:lang w:eastAsia="zh-CN"/>
        </w:rPr>
        <w:t>×</w:t>
      </w:r>
      <w:r>
        <w:rPr>
          <w:lang w:eastAsia="zh-CN"/>
        </w:rPr>
        <w:t>限制变化</w:t>
      </w:r>
      <w:r>
        <w:rPr>
          <w:lang w:eastAsia="zh-CN"/>
        </w:rPr>
        <w:t>”</w:t>
      </w:r>
      <w:r>
        <w:rPr>
          <w:lang w:eastAsia="zh-CN"/>
        </w:rPr>
        <w:t>矩阵</w:t>
      </w:r>
      <w:r>
        <w:rPr>
          <w:lang w:eastAsia="zh-CN"/>
        </w:rPr>
        <w:t xml:space="preserve"> </w:t>
      </w:r>
      <m:oMath>
        <m:r>
          <w:rPr>
            <w:rFonts w:ascii="Cambria Math" w:hAnsi="Cambria Math"/>
            <w:lang w:eastAsia="zh-CN"/>
          </w:rPr>
          <m:t>Δ</m:t>
        </m:r>
        <m:sSubSup>
          <m:sSubSupPr>
            <m:ctrlPr>
              <w:rPr>
                <w:rFonts w:ascii="Cambria Math" w:hAnsi="Cambria Math"/>
              </w:rPr>
            </m:ctrlPr>
          </m:sSubSupPr>
          <m:e>
            <m:r>
              <w:rPr>
                <w:rFonts w:ascii="Cambria Math" w:hAnsi="Cambria Math"/>
                <w:lang w:eastAsia="zh-CN"/>
              </w:rPr>
              <m:t>z</m:t>
            </m:r>
          </m:e>
          <m:sub>
            <m:r>
              <w:rPr>
                <w:rFonts w:ascii="Cambria Math" w:hAnsi="Cambria Math"/>
                <w:lang w:eastAsia="zh-CN"/>
              </w:rPr>
              <m:t>ue</m:t>
            </m:r>
          </m:sub>
          <m:sup>
            <m:r>
              <w:rPr>
                <w:rFonts w:ascii="Cambria Math" w:hAnsi="Cambria Math"/>
                <w:lang w:eastAsia="zh-CN"/>
              </w:rPr>
              <m:t>k</m:t>
            </m:r>
          </m:sup>
        </m:sSubSup>
      </m:oMath>
      <w:r>
        <w:rPr>
          <w:lang w:eastAsia="zh-CN"/>
        </w:rPr>
        <w:t>，检查哪些限制共同变化、各类限制独立变化的次数、改革前制度状态的覆盖情况，以及数据是否足以估计联合规格。股比、控制、组织形式等限制在同一次改革中变化时，主结果反映该制度组合的效果；六个单变量回归系数不能分别代表六类限制的净效应。设计矩阵满列秩只是必要条件，还需要有可比的制度状态和对照来构造反事实。</w:t>
      </w:r>
      <w:r>
        <w:t>多处理效应的异质性也可能使联合固定效应系数混入其他处理的效果（</w:t>
      </w:r>
      <w:r>
        <w:t>de Chaisemartin and D’Haultfœuille</w:t>
      </w:r>
      <w:r>
        <w:t>，</w:t>
      </w:r>
      <w:r>
        <w:t>2023</w:t>
      </w:r>
      <w:r>
        <w:t>）。</w:t>
      </w:r>
    </w:p>
    <w:p w14:paraId="57F09433" w14:textId="77777777" w:rsidR="002C0540" w:rsidRDefault="00FE1083">
      <w:pPr>
        <w:pStyle w:val="af7"/>
      </w:pPr>
      <w:r>
        <w:t>表</w:t>
      </w:r>
      <w:r>
        <w:t xml:space="preserve">A3 </w:t>
      </w:r>
      <w:r>
        <w:t>限制类型与可识别对象</w:t>
      </w:r>
    </w:p>
    <w:tbl>
      <w:tblPr>
        <w:tblW w:w="0" w:type="auto"/>
        <w:jc w:val="center"/>
        <w:tblBorders>
          <w:top w:val="single" w:sz="8" w:space="0" w:color="000000"/>
          <w:left w:val="nil"/>
          <w:bottom w:val="single" w:sz="8" w:space="0" w:color="000000"/>
          <w:right w:val="nil"/>
          <w:insideH w:val="nil"/>
          <w:insideV w:val="nil"/>
        </w:tblBorders>
        <w:tblLayout w:type="fixed"/>
        <w:tblCellMar>
          <w:top w:w="85" w:type="dxa"/>
          <w:left w:w="80" w:type="dxa"/>
          <w:bottom w:w="85" w:type="dxa"/>
          <w:right w:w="80" w:type="dxa"/>
        </w:tblCellMar>
        <w:tblLook w:val="04A0" w:firstRow="1" w:lastRow="0" w:firstColumn="1" w:lastColumn="0" w:noHBand="0" w:noVBand="1"/>
      </w:tblPr>
      <w:tblGrid>
        <w:gridCol w:w="3744"/>
        <w:gridCol w:w="5616"/>
      </w:tblGrid>
      <w:tr w:rsidR="002C0540" w14:paraId="5B8D562E" w14:textId="77777777">
        <w:trPr>
          <w:cantSplit/>
          <w:tblHeader/>
          <w:jc w:val="center"/>
        </w:trPr>
        <w:tc>
          <w:tcPr>
            <w:tcW w:w="3744" w:type="dxa"/>
            <w:tcBorders>
              <w:bottom w:val="single" w:sz="5" w:space="0" w:color="000000"/>
            </w:tcBorders>
            <w:vAlign w:val="center"/>
          </w:tcPr>
          <w:p w14:paraId="4372534D" w14:textId="77777777" w:rsidR="002C0540" w:rsidRDefault="00FE1083">
            <w:pPr>
              <w:pStyle w:val="TableText"/>
              <w:keepNext/>
            </w:pPr>
            <w:r>
              <w:rPr>
                <w:b/>
              </w:rPr>
              <w:t>政策变异</w:t>
            </w:r>
          </w:p>
        </w:tc>
        <w:tc>
          <w:tcPr>
            <w:tcW w:w="5616" w:type="dxa"/>
            <w:tcBorders>
              <w:bottom w:val="single" w:sz="5" w:space="0" w:color="000000"/>
            </w:tcBorders>
            <w:vAlign w:val="center"/>
          </w:tcPr>
          <w:p w14:paraId="13F2900F" w14:textId="77777777" w:rsidR="002C0540" w:rsidRDefault="00FE1083">
            <w:pPr>
              <w:pStyle w:val="TableText"/>
              <w:keepNext/>
            </w:pPr>
            <w:r>
              <w:rPr>
                <w:b/>
              </w:rPr>
              <w:t>主估计对象</w:t>
            </w:r>
          </w:p>
        </w:tc>
      </w:tr>
      <w:tr w:rsidR="002C0540" w14:paraId="112C3658" w14:textId="77777777">
        <w:trPr>
          <w:cantSplit/>
          <w:jc w:val="center"/>
        </w:trPr>
        <w:tc>
          <w:tcPr>
            <w:tcW w:w="3744" w:type="dxa"/>
            <w:vAlign w:val="center"/>
          </w:tcPr>
          <w:p w14:paraId="58300E88" w14:textId="77777777" w:rsidR="002C0540" w:rsidRDefault="00FE1083">
            <w:pPr>
              <w:pStyle w:val="TableText"/>
              <w:keepNext/>
              <w:rPr>
                <w:lang w:eastAsia="zh-CN"/>
              </w:rPr>
            </w:pPr>
            <w:r>
              <w:rPr>
                <w:lang w:eastAsia="zh-CN"/>
              </w:rPr>
              <w:t>一类限制变化，其他限制保持不变</w:t>
            </w:r>
          </w:p>
        </w:tc>
        <w:tc>
          <w:tcPr>
            <w:tcW w:w="5616" w:type="dxa"/>
            <w:vAlign w:val="center"/>
          </w:tcPr>
          <w:p w14:paraId="46AA5FDB" w14:textId="77777777" w:rsidR="002C0540" w:rsidRDefault="00FE1083">
            <w:pPr>
              <w:pStyle w:val="TableText"/>
              <w:keepNext/>
              <w:rPr>
                <w:lang w:eastAsia="zh-CN"/>
              </w:rPr>
            </w:pPr>
            <w:r>
              <w:rPr>
                <w:lang w:eastAsia="zh-CN"/>
              </w:rPr>
              <w:t>估计相应改革前状态下的单类改革效果</w:t>
            </w:r>
          </w:p>
        </w:tc>
      </w:tr>
      <w:tr w:rsidR="002C0540" w14:paraId="13F50917" w14:textId="77777777">
        <w:trPr>
          <w:cantSplit/>
          <w:jc w:val="center"/>
        </w:trPr>
        <w:tc>
          <w:tcPr>
            <w:tcW w:w="3744" w:type="dxa"/>
            <w:vAlign w:val="center"/>
          </w:tcPr>
          <w:p w14:paraId="682D8304" w14:textId="77777777" w:rsidR="002C0540" w:rsidRDefault="00FE1083">
            <w:pPr>
              <w:pStyle w:val="TableText"/>
              <w:keepNext/>
              <w:rPr>
                <w:lang w:eastAsia="zh-CN"/>
              </w:rPr>
            </w:pPr>
            <w:r>
              <w:rPr>
                <w:lang w:eastAsia="zh-CN"/>
              </w:rPr>
              <w:t>多类限制同时变化，但也存在可比较的独立变化</w:t>
            </w:r>
          </w:p>
        </w:tc>
        <w:tc>
          <w:tcPr>
            <w:tcW w:w="5616" w:type="dxa"/>
            <w:vAlign w:val="center"/>
          </w:tcPr>
          <w:p w14:paraId="3508215F" w14:textId="77777777" w:rsidR="002C0540" w:rsidRDefault="00FE1083">
            <w:pPr>
              <w:pStyle w:val="TableText"/>
              <w:keepNext/>
              <w:rPr>
                <w:lang w:eastAsia="zh-CN"/>
              </w:rPr>
            </w:pPr>
            <w:r>
              <w:rPr>
                <w:lang w:eastAsia="zh-CN"/>
              </w:rPr>
              <w:t>按改革前状态比较各类限制及能够识别的组合效果</w:t>
            </w:r>
          </w:p>
        </w:tc>
      </w:tr>
      <w:tr w:rsidR="002C0540" w14:paraId="186C0095" w14:textId="77777777">
        <w:trPr>
          <w:cantSplit/>
          <w:jc w:val="center"/>
        </w:trPr>
        <w:tc>
          <w:tcPr>
            <w:tcW w:w="3744" w:type="dxa"/>
            <w:vAlign w:val="center"/>
          </w:tcPr>
          <w:p w14:paraId="3A6A6716" w14:textId="77777777" w:rsidR="002C0540" w:rsidRDefault="00FE1083">
            <w:pPr>
              <w:pStyle w:val="TableText"/>
              <w:rPr>
                <w:lang w:eastAsia="zh-CN"/>
              </w:rPr>
            </w:pPr>
            <w:r>
              <w:rPr>
                <w:lang w:eastAsia="zh-CN"/>
              </w:rPr>
              <w:t>多类限制始终同时变化</w:t>
            </w:r>
          </w:p>
        </w:tc>
        <w:tc>
          <w:tcPr>
            <w:tcW w:w="5616" w:type="dxa"/>
            <w:vAlign w:val="center"/>
          </w:tcPr>
          <w:p w14:paraId="1F018585" w14:textId="77777777" w:rsidR="002C0540" w:rsidRDefault="00FE1083">
            <w:pPr>
              <w:pStyle w:val="TableText"/>
              <w:rPr>
                <w:lang w:eastAsia="zh-CN"/>
              </w:rPr>
            </w:pPr>
            <w:r>
              <w:rPr>
                <w:lang w:eastAsia="zh-CN"/>
              </w:rPr>
              <w:t>估计改革组合的效果，不分别比较各类限制的净贡献</w:t>
            </w:r>
          </w:p>
        </w:tc>
      </w:tr>
    </w:tbl>
    <w:p w14:paraId="025F0FA0" w14:textId="77777777" w:rsidR="002C0540" w:rsidRDefault="002C0540">
      <w:pPr>
        <w:spacing w:after="40" w:line="84" w:lineRule="auto"/>
        <w:rPr>
          <w:lang w:eastAsia="zh-CN"/>
        </w:rPr>
      </w:pPr>
    </w:p>
    <w:p w14:paraId="13E72925" w14:textId="77777777" w:rsidR="002C0540" w:rsidRDefault="00FE1083" w:rsidP="006C781C">
      <w:pPr>
        <w:ind w:firstLine="720"/>
        <w:rPr>
          <w:lang w:eastAsia="zh-CN"/>
        </w:rPr>
      </w:pPr>
      <w:r>
        <w:rPr>
          <w:lang w:eastAsia="zh-CN"/>
        </w:rPr>
        <w:t>在各类限制有足够独立变化时，联合六变量规格可作为补充，并根据经济依据和数据条件允许不同制度状态的效果存在差异。完全共同变化的限制仍作为组合研究。比较不同类型的政策松绑前，先统一限制强度的方向。数值股比上限提高表示股比限制减弱，其编码和变化幅度应与二元限制的取消分别处理。交互效应及限制强度与结果之间的非线性关系，只在实际改革覆盖的范围内解释。贡献比较仅针对可识别的类型或组合，并使用同</w:t>
      </w:r>
      <w:r>
        <w:rPr>
          <w:lang w:eastAsia="zh-CN"/>
        </w:rPr>
        <w:lastRenderedPageBreak/>
        <w:t>一基准、样本和期限；存在交互时，说明采用的政策路径或分摊规则。分摊结果表示按该规则计算的贡献，不代表各类限制已得到独立的因果识别。禁止准入的解除作为单独事件研究，有限限制回归的结果不能直接用于描述从禁止生产到允许生产的结构变化。</w:t>
      </w:r>
    </w:p>
    <w:p w14:paraId="262236E1" w14:textId="77777777" w:rsidR="002C0540" w:rsidRDefault="00FE1083">
      <w:pPr>
        <w:pStyle w:val="1"/>
        <w:rPr>
          <w:lang w:eastAsia="zh-CN"/>
        </w:rPr>
      </w:pPr>
      <w:r>
        <w:rPr>
          <w:lang w:eastAsia="zh-CN"/>
        </w:rPr>
        <w:t xml:space="preserve">A6 </w:t>
      </w:r>
      <w:r>
        <w:rPr>
          <w:lang w:eastAsia="zh-CN"/>
        </w:rPr>
        <w:t>从政策生产响应到结构等价经营成本</w:t>
      </w:r>
    </w:p>
    <w:p w14:paraId="09A01655" w14:textId="77777777" w:rsidR="002C0540" w:rsidRDefault="00FE1083">
      <w:pPr>
        <w:pStyle w:val="21"/>
        <w:rPr>
          <w:lang w:eastAsia="zh-CN"/>
        </w:rPr>
      </w:pPr>
      <w:r>
        <w:rPr>
          <w:lang w:eastAsia="zh-CN"/>
        </w:rPr>
        <w:t>反演对象与计价口径</w:t>
      </w:r>
    </w:p>
    <w:p w14:paraId="5D855E05" w14:textId="77777777" w:rsidR="002C0540" w:rsidRDefault="00FE1083" w:rsidP="006C781C">
      <w:pPr>
        <w:ind w:firstLine="720"/>
        <w:rPr>
          <w:lang w:eastAsia="zh-CN"/>
        </w:rPr>
      </w:pPr>
      <w:r>
        <w:rPr>
          <w:lang w:eastAsia="zh-CN"/>
        </w:rPr>
        <w:t>结构分析计算特定负面清单改革对应的等价经营成本变化，即在模型中，为产生实证估计得到的生产变化，经营成本需要调整多少。研究修订材料采用</w:t>
      </w:r>
      <w:r>
        <w:rPr>
          <w:lang w:eastAsia="zh-CN"/>
        </w:rPr>
        <w:t>“</w:t>
      </w:r>
      <w:r>
        <w:rPr>
          <w:lang w:eastAsia="zh-CN"/>
        </w:rPr>
        <w:t>制度文本</w:t>
      </w:r>
      <w:r>
        <w:rPr>
          <w:lang w:eastAsia="zh-CN"/>
        </w:rPr>
        <w:t>—</w:t>
      </w:r>
      <w:r>
        <w:rPr>
          <w:lang w:eastAsia="zh-CN"/>
        </w:rPr>
        <w:t>流量响应</w:t>
      </w:r>
      <w:r>
        <w:rPr>
          <w:lang w:eastAsia="zh-CN"/>
        </w:rPr>
        <w:t>—</w:t>
      </w:r>
      <w:r>
        <w:rPr>
          <w:lang w:eastAsia="zh-CN"/>
        </w:rPr>
        <w:t>等价成本</w:t>
      </w:r>
      <w:r>
        <w:rPr>
          <w:lang w:eastAsia="zh-CN"/>
        </w:rPr>
        <w:t>”</w:t>
      </w:r>
      <w:r>
        <w:rPr>
          <w:lang w:eastAsia="zh-CN"/>
        </w:rPr>
        <w:t>的方法，本方案借鉴这一思路，重新估计中国单边准入改革的生产响应；深度贸易协定（</w:t>
      </w:r>
      <w:r>
        <w:rPr>
          <w:lang w:eastAsia="zh-CN"/>
        </w:rPr>
        <w:t>DTA</w:t>
      </w:r>
      <w:r>
        <w:rPr>
          <w:lang w:eastAsia="zh-CN"/>
        </w:rPr>
        <w:t>）的系数、指数尺度和成本数值不直接用于本研究。基准总摩擦仍可用于模型校准，距离无法解释的残差则不再作为制度成本。此次反演得到的是改革前后的成本相对变化，改革前制度因素造成的成本总量仍无法由此确定。</w:t>
      </w:r>
    </w:p>
    <w:p w14:paraId="6074C6EC" w14:textId="77777777" w:rsidR="002C0540" w:rsidRDefault="00FE1083" w:rsidP="006C781C">
      <w:pPr>
        <w:ind w:firstLine="720"/>
        <w:rPr>
          <w:lang w:eastAsia="zh-CN"/>
        </w:rPr>
      </w:pPr>
      <w:r>
        <w:rPr>
          <w:lang w:eastAsia="zh-CN"/>
        </w:rPr>
        <w:t>模型中，母国</w:t>
      </w:r>
      <w:r>
        <w:rPr>
          <w:lang w:eastAsia="zh-CN"/>
        </w:rPr>
        <w:t xml:space="preserve"> </w:t>
      </w:r>
      <m:oMath>
        <m:r>
          <w:rPr>
            <w:rFonts w:ascii="Cambria Math" w:hAnsi="Cambria Math"/>
            <w:lang w:eastAsia="zh-CN"/>
          </w:rPr>
          <m:t>m</m:t>
        </m:r>
      </m:oMath>
      <w:r>
        <w:rPr>
          <w:lang w:eastAsia="zh-CN"/>
        </w:rPr>
        <w:t xml:space="preserve"> </w:t>
      </w:r>
      <w:r>
        <w:rPr>
          <w:lang w:eastAsia="zh-CN"/>
        </w:rPr>
        <w:t>的企业在生产国</w:t>
      </w:r>
      <w:r>
        <w:rPr>
          <w:lang w:eastAsia="zh-CN"/>
        </w:rPr>
        <w:t xml:space="preserve"> </w:t>
      </w:r>
      <m:oMath>
        <m:r>
          <w:rPr>
            <w:rFonts w:ascii="Cambria Math" w:hAnsi="Cambria Math"/>
            <w:lang w:eastAsia="zh-CN"/>
          </w:rPr>
          <m:t>i</m:t>
        </m:r>
      </m:oMath>
      <w:r>
        <w:rPr>
          <w:lang w:eastAsia="zh-CN"/>
        </w:rPr>
        <w:t>、部门</w:t>
      </w:r>
      <w:r>
        <w:rPr>
          <w:lang w:eastAsia="zh-CN"/>
        </w:rPr>
        <w:t xml:space="preserve"> </w:t>
      </w:r>
      <m:oMath>
        <m:r>
          <w:rPr>
            <w:rFonts w:ascii="Cambria Math" w:hAnsi="Cambria Math"/>
            <w:lang w:eastAsia="zh-CN"/>
          </w:rPr>
          <m:t>j</m:t>
        </m:r>
      </m:oMath>
      <w:r>
        <w:rPr>
          <w:lang w:eastAsia="zh-CN"/>
        </w:rPr>
        <w:t xml:space="preserve"> </w:t>
      </w:r>
      <w:r>
        <w:rPr>
          <w:lang w:eastAsia="zh-CN"/>
        </w:rPr>
        <w:t>的效率项</w:t>
      </w:r>
      <w:r>
        <w:rPr>
          <w:lang w:eastAsia="zh-CN"/>
        </w:rPr>
        <w:t xml:space="preserve"> </w:t>
      </w:r>
      <m:oMath>
        <m:sSub>
          <m:sSubPr>
            <m:ctrlPr>
              <w:rPr>
                <w:rFonts w:ascii="Cambria Math" w:hAnsi="Cambria Math"/>
              </w:rPr>
            </m:ctrlPr>
          </m:sSubPr>
          <m:e>
            <m:r>
              <w:rPr>
                <w:rFonts w:ascii="Cambria Math" w:hAnsi="Cambria Math"/>
                <w:lang w:eastAsia="zh-CN"/>
              </w:rPr>
              <m:t>ξ</m:t>
            </m:r>
          </m:e>
          <m:sub>
            <m:r>
              <w:rPr>
                <w:rFonts w:ascii="Cambria Math" w:hAnsi="Cambria Math"/>
                <w:lang w:eastAsia="zh-CN"/>
              </w:rPr>
              <m:t>imj</m:t>
            </m:r>
          </m:sub>
        </m:sSub>
      </m:oMath>
      <w:r>
        <w:rPr>
          <w:lang w:eastAsia="zh-CN"/>
        </w:rPr>
        <w:t xml:space="preserve"> </w:t>
      </w:r>
      <w:r>
        <w:rPr>
          <w:lang w:eastAsia="zh-CN"/>
        </w:rPr>
        <w:t>以倒数进入单位成本。定义成本楔子及其相对冲击：</w:t>
      </w:r>
    </w:p>
    <w:p w14:paraId="7B003528" w14:textId="77777777" w:rsidR="002C0540" w:rsidRDefault="00FE1083">
      <w:pPr>
        <w:pStyle w:val="Equation"/>
      </w:pPr>
      <w:r>
        <w:rPr>
          <w:lang w:eastAsia="zh-CN"/>
        </w:rPr>
        <w:tab/>
      </w:r>
      <m:oMath>
        <m:sSubSup>
          <m:sSubSupPr>
            <m:ctrlPr>
              <w:rPr>
                <w:rFonts w:ascii="Cambria Math" w:hAnsi="Cambria Math"/>
              </w:rPr>
            </m:ctrlPr>
          </m:sSubSupPr>
          <m:e>
            <m:r>
              <w:rPr>
                <w:rFonts w:ascii="Cambria Math" w:hAnsi="Cambria Math"/>
              </w:rPr>
              <m:t>d</m:t>
            </m:r>
          </m:e>
          <m:sub>
            <m:r>
              <w:rPr>
                <w:rFonts w:ascii="Cambria Math" w:hAnsi="Cambria Math"/>
              </w:rPr>
              <m:t>imj</m:t>
            </m:r>
          </m:sub>
          <m:sup>
            <m:r>
              <w:rPr>
                <w:rFonts w:ascii="Cambria Math" w:hAnsi="Cambria Math"/>
              </w:rPr>
              <m:t>MP</m:t>
            </m:r>
          </m:sup>
        </m:sSubSup>
        <m:r>
          <w:rPr>
            <w:rFonts w:ascii="Cambria Math" w:hAnsi="Cambria Math"/>
          </w:rPr>
          <m:t>≡</m:t>
        </m:r>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ξ</m:t>
                </m:r>
              </m:e>
              <m:sub>
                <m:r>
                  <w:rPr>
                    <w:rFonts w:ascii="Cambria Math" w:hAnsi="Cambria Math"/>
                  </w:rPr>
                  <m:t>imj</m:t>
                </m:r>
              </m:sub>
            </m:sSub>
          </m:den>
        </m:f>
        <m: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mj</m:t>
            </m:r>
          </m:sub>
        </m:sSub>
        <m:r>
          <w:rPr>
            <w:rFonts w:ascii="Cambria Math" w:hAnsi="Cambria Math"/>
          </w:rPr>
          <m:t>≡</m:t>
        </m:r>
        <m:r>
          <m:rPr>
            <m:sty m:val="p"/>
          </m:rPr>
          <w:rPr>
            <w:rFonts w:ascii="Cambria Math" w:hAnsi="Cambria Math"/>
          </w:rPr>
          <m:t>ln</m:t>
        </m:r>
        <m:f>
          <m:fPr>
            <m:ctrlPr>
              <w:rPr>
                <w:rFonts w:ascii="Cambria Math" w:hAnsi="Cambria Math"/>
              </w:rPr>
            </m:ctrlPr>
          </m:fPr>
          <m:num>
            <m:sSubSup>
              <m:sSubSupPr>
                <m:ctrlPr>
                  <w:rPr>
                    <w:rFonts w:ascii="Cambria Math" w:hAnsi="Cambria Math"/>
                  </w:rPr>
                </m:ctrlPr>
              </m:sSubSupPr>
              <m:e>
                <m:r>
                  <w:rPr>
                    <w:rFonts w:ascii="Cambria Math" w:hAnsi="Cambria Math"/>
                  </w:rPr>
                  <m:t>d</m:t>
                </m:r>
              </m:e>
              <m:sub>
                <m:r>
                  <w:rPr>
                    <w:rFonts w:ascii="Cambria Math" w:hAnsi="Cambria Math"/>
                  </w:rPr>
                  <m:t>Cmj</m:t>
                </m:r>
              </m:sub>
              <m:sup>
                <m:r>
                  <w:rPr>
                    <w:rFonts w:ascii="Cambria Math" w:hAnsi="Cambria Math"/>
                  </w:rPr>
                  <m:t>MP,cf</m:t>
                </m:r>
              </m:sup>
            </m:sSubSup>
          </m:num>
          <m:den>
            <m:sSubSup>
              <m:sSubSupPr>
                <m:ctrlPr>
                  <w:rPr>
                    <w:rFonts w:ascii="Cambria Math" w:hAnsi="Cambria Math"/>
                  </w:rPr>
                </m:ctrlPr>
              </m:sSubSupPr>
              <m:e>
                <m:r>
                  <w:rPr>
                    <w:rFonts w:ascii="Cambria Math" w:hAnsi="Cambria Math"/>
                  </w:rPr>
                  <m:t>d</m:t>
                </m:r>
              </m:e>
              <m:sub>
                <m:r>
                  <w:rPr>
                    <w:rFonts w:ascii="Cambria Math" w:hAnsi="Cambria Math"/>
                  </w:rPr>
                  <m:t>Cmj</m:t>
                </m:r>
              </m:sub>
              <m:sup>
                <m:r>
                  <w:rPr>
                    <w:rFonts w:ascii="Cambria Math" w:hAnsi="Cambria Math"/>
                  </w:rPr>
                  <m:t>MP,0</m:t>
                </m:r>
              </m:sup>
            </m:sSubSup>
          </m:den>
        </m:f>
        <m: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ξ</m:t>
                </m:r>
              </m:e>
            </m:acc>
          </m:e>
          <m:sub>
            <m:r>
              <w:rPr>
                <w:rFonts w:ascii="Cambria Math" w:hAnsi="Cambria Math"/>
              </w:rPr>
              <m:t>Cmj</m:t>
            </m:r>
          </m:sub>
        </m:sSub>
        <m:r>
          <w:rPr>
            <w:rFonts w:ascii="Cambria Math" w:hAnsi="Cambria Math"/>
          </w:rPr>
          <m:t>=</m:t>
        </m:r>
        <m:r>
          <m:rPr>
            <m:sty m:val="p"/>
          </m:rPr>
          <w:rPr>
            <w:rFonts w:ascii="Cambria Math" w:hAnsi="Cambria Math"/>
          </w:rPr>
          <m:t>exp</m:t>
        </m:r>
        <m: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mj</m:t>
            </m:r>
          </m:sub>
        </m:sSub>
        <m:r>
          <w:rPr>
            <w:rFonts w:ascii="Cambria Math" w:hAnsi="Cambria Math"/>
          </w:rPr>
          <m:t>).</m:t>
        </m:r>
      </m:oMath>
      <w:r>
        <w:tab/>
        <w:t>(9)</w:t>
      </w:r>
    </w:p>
    <w:p w14:paraId="52042F2C" w14:textId="77777777" w:rsidR="002C0540" w:rsidRDefault="00FE1083" w:rsidP="006C781C">
      <w:pPr>
        <w:ind w:firstLine="720"/>
        <w:rPr>
          <w:lang w:eastAsia="zh-CN"/>
        </w:rPr>
      </w:pPr>
      <m:oMath>
        <m:r>
          <w:rPr>
            <w:rFonts w:ascii="Cambria Math" w:hAnsi="Cambria Math"/>
            <w:lang w:eastAsia="zh-CN"/>
          </w:rPr>
          <m:t>C</m:t>
        </m:r>
      </m:oMath>
      <w:r>
        <w:rPr>
          <w:lang w:eastAsia="zh-CN"/>
        </w:rPr>
        <w:t xml:space="preserve"> </w:t>
      </w:r>
      <w:r>
        <w:rPr>
          <w:lang w:eastAsia="zh-CN"/>
        </w:rPr>
        <w:t>表示中国，</w:t>
      </w:r>
      <m:oMath>
        <m:r>
          <w:rPr>
            <w:rFonts w:ascii="Cambria Math" w:hAnsi="Cambria Math"/>
            <w:lang w:eastAsia="zh-CN"/>
          </w:rPr>
          <m:t>0</m:t>
        </m:r>
      </m:oMath>
      <w:r>
        <w:rPr>
          <w:lang w:eastAsia="zh-CN"/>
        </w:rPr>
        <w:t xml:space="preserve"> </w:t>
      </w:r>
      <w:r>
        <w:rPr>
          <w:lang w:eastAsia="zh-CN"/>
        </w:rPr>
        <w:t>与</w:t>
      </w:r>
      <w:r>
        <w:rPr>
          <w:lang w:eastAsia="zh-CN"/>
        </w:rPr>
        <w:t xml:space="preserve"> </w:t>
      </w:r>
      <m:oMath>
        <m:r>
          <w:rPr>
            <w:rFonts w:ascii="Cambria Math" w:hAnsi="Cambria Math"/>
            <w:lang w:eastAsia="zh-CN"/>
          </w:rPr>
          <m:t>cf</m:t>
        </m:r>
      </m:oMath>
      <w:r>
        <w:rPr>
          <w:lang w:eastAsia="zh-CN"/>
        </w:rPr>
        <w:t xml:space="preserve"> </w:t>
      </w:r>
      <w:r>
        <w:rPr>
          <w:lang w:eastAsia="zh-CN"/>
        </w:rPr>
        <w:t>分别表示基准和反事实。成本下降对应</w:t>
      </w:r>
      <w:r>
        <w:rPr>
          <w:lang w:eastAsia="zh-CN"/>
        </w:rPr>
        <w:t xml:space="preserve"> </w:t>
      </w:r>
      <m:oMath>
        <m:sSub>
          <m:sSubPr>
            <m:ctrlPr>
              <w:rPr>
                <w:rFonts w:ascii="Cambria Math" w:hAnsi="Cambria Math"/>
              </w:rPr>
            </m:ctrlPr>
          </m:sSubPr>
          <m:e>
            <m:r>
              <w:rPr>
                <w:rFonts w:ascii="Cambria Math" w:hAnsi="Cambria Math"/>
                <w:lang w:eastAsia="zh-CN"/>
              </w:rPr>
              <m:t>δ</m:t>
            </m:r>
          </m:e>
          <m:sub>
            <m:r>
              <w:rPr>
                <w:rFonts w:ascii="Cambria Math" w:hAnsi="Cambria Math"/>
                <w:lang w:eastAsia="zh-CN"/>
              </w:rPr>
              <m:t>mj</m:t>
            </m:r>
          </m:sub>
        </m:sSub>
        <m:r>
          <w:rPr>
            <w:rFonts w:ascii="Cambria Math" w:hAnsi="Cambria Math"/>
            <w:lang w:eastAsia="zh-CN"/>
          </w:rPr>
          <m:t>&lt;0</m:t>
        </m:r>
      </m:oMath>
      <w:r>
        <w:rPr>
          <w:lang w:eastAsia="zh-CN"/>
        </w:rPr>
        <w:t>。本研究直接用</w:t>
      </w:r>
      <w:r>
        <w:rPr>
          <w:lang w:eastAsia="zh-CN"/>
        </w:rPr>
        <w:t xml:space="preserve"> </w:t>
      </w:r>
      <m:oMath>
        <m:sSub>
          <m:sSubPr>
            <m:ctrlPr>
              <w:rPr>
                <w:rFonts w:ascii="Cambria Math" w:hAnsi="Cambria Math"/>
              </w:rPr>
            </m:ctrlPr>
          </m:sSubPr>
          <m:e>
            <m:r>
              <w:rPr>
                <w:rFonts w:ascii="Cambria Math" w:hAnsi="Cambria Math"/>
                <w:lang w:eastAsia="zh-CN"/>
              </w:rPr>
              <m:t>δ</m:t>
            </m:r>
          </m:e>
          <m:sub>
            <m:r>
              <w:rPr>
                <w:rFonts w:ascii="Cambria Math" w:hAnsi="Cambria Math"/>
                <w:lang w:eastAsia="zh-CN"/>
              </w:rPr>
              <m:t>mj</m:t>
            </m:r>
          </m:sub>
        </m:sSub>
      </m:oMath>
      <w:r>
        <w:rPr>
          <w:lang w:eastAsia="zh-CN"/>
        </w:rPr>
        <w:t xml:space="preserve"> </w:t>
      </w:r>
      <w:r>
        <w:rPr>
          <w:lang w:eastAsia="zh-CN"/>
        </w:rPr>
        <w:t>表示模型中政策引起的成本相对变化，因此无需另设参数，将经验成本转换为结构成本。</w:t>
      </w:r>
    </w:p>
    <w:p w14:paraId="05929DB4" w14:textId="77777777" w:rsidR="002C0540" w:rsidRDefault="00FE1083" w:rsidP="006C781C">
      <w:pPr>
        <w:ind w:firstLine="720"/>
        <w:rPr>
          <w:lang w:eastAsia="zh-CN"/>
        </w:rPr>
      </w:pPr>
      <w:r>
        <w:rPr>
          <w:lang w:eastAsia="zh-CN"/>
        </w:rPr>
        <w:t>企业产出与三边流量应先采用一致的计价方式。模型附录式（</w:t>
      </w:r>
      <w:r>
        <w:rPr>
          <w:lang w:eastAsia="zh-CN"/>
        </w:rPr>
        <w:t>18</w:t>
      </w:r>
      <w:r>
        <w:rPr>
          <w:lang w:eastAsia="zh-CN"/>
        </w:rPr>
        <w:t>）中的</w:t>
      </w:r>
      <w:r>
        <w:rPr>
          <w:lang w:eastAsia="zh-CN"/>
        </w:rPr>
        <w:t xml:space="preserve"> </w:t>
      </w:r>
      <m:oMath>
        <m:f>
          <m:fPr>
            <m:type m:val="lin"/>
            <m:ctrlPr>
              <w:rPr>
                <w:rFonts w:ascii="Cambria Math" w:hAnsi="Cambria Math"/>
              </w:rPr>
            </m:ctrlPr>
          </m:fPr>
          <m:num>
            <m:sSub>
              <m:sSubPr>
                <m:ctrlPr>
                  <w:rPr>
                    <w:rFonts w:ascii="Cambria Math" w:hAnsi="Cambria Math"/>
                  </w:rPr>
                </m:ctrlPr>
              </m:sSubPr>
              <m:e>
                <m:r>
                  <w:rPr>
                    <w:rFonts w:ascii="Cambria Math" w:hAnsi="Cambria Math"/>
                    <w:lang w:eastAsia="zh-CN"/>
                  </w:rPr>
                  <m:t>X</m:t>
                </m:r>
              </m:e>
              <m:sub>
                <m:r>
                  <w:rPr>
                    <w:rFonts w:ascii="Cambria Math" w:hAnsi="Cambria Math"/>
                    <w:lang w:eastAsia="zh-CN"/>
                  </w:rPr>
                  <m:t>nCmj</m:t>
                </m:r>
              </m:sub>
            </m:sSub>
          </m:num>
          <m:den>
            <m:sSub>
              <m:sSubPr>
                <m:ctrlPr>
                  <w:rPr>
                    <w:rFonts w:ascii="Cambria Math" w:hAnsi="Cambria Math"/>
                  </w:rPr>
                </m:ctrlPr>
              </m:sSubPr>
              <m:e>
                <m:r>
                  <w:rPr>
                    <w:rFonts w:ascii="Cambria Math" w:hAnsi="Cambria Math"/>
                    <w:lang w:eastAsia="zh-CN"/>
                  </w:rPr>
                  <m:t>τ</m:t>
                </m:r>
              </m:e>
              <m:sub>
                <m:r>
                  <w:rPr>
                    <w:rFonts w:ascii="Cambria Math" w:hAnsi="Cambria Math"/>
                    <w:lang w:eastAsia="zh-CN"/>
                  </w:rPr>
                  <m:t>nCj</m:t>
                </m:r>
              </m:sub>
            </m:sSub>
          </m:den>
        </m:f>
      </m:oMath>
      <w:r>
        <w:rPr>
          <w:lang w:eastAsia="zh-CN"/>
        </w:rPr>
        <w:t xml:space="preserve"> </w:t>
      </w:r>
      <w:r>
        <w:rPr>
          <w:lang w:eastAsia="zh-CN"/>
        </w:rPr>
        <w:t>表示生产者端收入，式（</w:t>
      </w:r>
      <w:r>
        <w:rPr>
          <w:lang w:eastAsia="zh-CN"/>
        </w:rPr>
        <w:t>19</w:t>
      </w:r>
      <w:r>
        <w:rPr>
          <w:lang w:eastAsia="zh-CN"/>
        </w:rPr>
        <w:t>）中的</w:t>
      </w:r>
      <w:r>
        <w:rPr>
          <w:lang w:eastAsia="zh-CN"/>
        </w:rPr>
        <w:t xml:space="preserve"> </w:t>
      </w:r>
      <m:oMath>
        <m:sSub>
          <m:sSubPr>
            <m:ctrlPr>
              <w:rPr>
                <w:rFonts w:ascii="Cambria Math" w:hAnsi="Cambria Math"/>
              </w:rPr>
            </m:ctrlPr>
          </m:sSubPr>
          <m:e>
            <m:r>
              <w:rPr>
                <w:rFonts w:ascii="Cambria Math" w:hAnsi="Cambria Math"/>
                <w:lang w:eastAsia="zh-CN"/>
              </w:rPr>
              <m:t>X</m:t>
            </m:r>
          </m:e>
          <m:sub>
            <m:r>
              <w:rPr>
                <w:rFonts w:ascii="Cambria Math" w:hAnsi="Cambria Math"/>
                <w:lang w:eastAsia="zh-CN"/>
              </w:rPr>
              <m:t>nCmj</m:t>
            </m:r>
          </m:sub>
        </m:sSub>
      </m:oMath>
      <w:r>
        <w:rPr>
          <w:lang w:eastAsia="zh-CN"/>
        </w:rPr>
        <w:t xml:space="preserve"> </w:t>
      </w:r>
      <w:r>
        <w:rPr>
          <w:lang w:eastAsia="zh-CN"/>
        </w:rPr>
        <w:t>表示目的市场流量，两者的计价口径不同。为使模型流量与企业数据可比，定义观测算子</w:t>
      </w:r>
      <w:r>
        <w:rPr>
          <w:lang w:eastAsia="zh-CN"/>
        </w:rPr>
        <w:t xml:space="preserve"> </w:t>
      </w:r>
      <m:oMath>
        <m:sSub>
          <m:sSubPr>
            <m:ctrlPr>
              <w:rPr>
                <w:rFonts w:ascii="Cambria Math" w:hAnsi="Cambria Math"/>
              </w:rPr>
            </m:ctrlPr>
          </m:sSubPr>
          <m:e>
            <m:r>
              <w:rPr>
                <w:rFonts w:ascii="Cambria Math" w:hAnsi="Cambria Math"/>
                <w:lang w:eastAsia="zh-CN"/>
              </w:rPr>
              <m:t>V</m:t>
            </m:r>
          </m:e>
          <m:sub>
            <m:r>
              <w:rPr>
                <w:rFonts w:ascii="Cambria Math" w:hAnsi="Cambria Math"/>
                <w:lang w:eastAsia="zh-CN"/>
              </w:rPr>
              <m:t>j</m:t>
            </m:r>
          </m:sub>
        </m:sSub>
      </m:oMath>
      <w:r>
        <w:rPr>
          <w:lang w:eastAsia="zh-CN"/>
        </w:rPr>
        <w:t>，按企业数据所用的生产者或购买者价格、价格年份和货币口径转换三边流量：</w:t>
      </w:r>
    </w:p>
    <w:p w14:paraId="64B8B963" w14:textId="77777777" w:rsidR="002C0540" w:rsidRDefault="00FE1083">
      <w:pPr>
        <w:pStyle w:val="Equation"/>
      </w:pPr>
      <w:r>
        <w:rPr>
          <w:lang w:eastAsia="zh-CN"/>
        </w:rPr>
        <w:tab/>
      </w:r>
      <m:oMath>
        <m:sSub>
          <m:sSubPr>
            <m:ctrlPr>
              <w:rPr>
                <w:rFonts w:ascii="Cambria Math" w:hAnsi="Cambria Math"/>
              </w:rPr>
            </m:ctrlPr>
          </m:sSubPr>
          <m:e>
            <m:r>
              <w:rPr>
                <w:rFonts w:ascii="Cambria Math" w:hAnsi="Cambria Math"/>
              </w:rPr>
              <m:t>Q</m:t>
            </m:r>
          </m:e>
          <m:sub>
            <m:r>
              <w:rPr>
                <w:rFonts w:ascii="Cambria Math" w:hAnsi="Cambria Math"/>
              </w:rPr>
              <m:t>Cmj</m:t>
            </m:r>
          </m:sub>
        </m:sSub>
        <m:r>
          <w:rPr>
            <w:rFonts w:ascii="Cambria Math" w:hAnsi="Cambria Math"/>
          </w:rPr>
          <m:t>=</m:t>
        </m:r>
        <m:nary>
          <m:naryPr>
            <m:chr m:val="∑"/>
            <m:limLoc m:val="undOvr"/>
            <m:grow m:val="1"/>
            <m:supHide m:val="1"/>
            <m:ctrlPr>
              <w:rPr>
                <w:rFonts w:ascii="Cambria Math" w:hAnsi="Cambria Math"/>
              </w:rPr>
            </m:ctrlPr>
          </m:naryPr>
          <m:sub>
            <m:r>
              <w:rPr>
                <w:rFonts w:ascii="Cambria Math" w:hAnsi="Cambria Math"/>
              </w:rPr>
              <m:t>n</m:t>
            </m:r>
          </m:sub>
          <m:sup/>
          <m:e>
            <m:sSub>
              <m:sSubPr>
                <m:ctrlPr>
                  <w:rPr>
                    <w:rFonts w:ascii="Cambria Math" w:hAnsi="Cambria Math"/>
                  </w:rPr>
                </m:ctrlPr>
              </m:sSubPr>
              <m:e>
                <m:r>
                  <w:rPr>
                    <w:rFonts w:ascii="Cambria Math" w:hAnsi="Cambria Math"/>
                  </w:rPr>
                  <m:t>V</m:t>
                </m:r>
              </m:e>
              <m:sub>
                <m:r>
                  <w:rPr>
                    <w:rFonts w:ascii="Cambria Math" w:hAnsi="Cambria Math"/>
                  </w:rPr>
                  <m:t>j</m:t>
                </m:r>
              </m:sub>
            </m:sSub>
          </m:e>
        </m:nary>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nCmj</m:t>
            </m:r>
          </m:sub>
        </m:sSub>
        <m: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nCj</m:t>
            </m:r>
          </m:sub>
        </m:sSub>
        <m:r>
          <w:rPr>
            <w:rFonts w:ascii="Cambria Math" w:hAnsi="Cambria Math"/>
          </w:rPr>
          <m:t>,P),</m:t>
        </m:r>
        <m:sSub>
          <m:sSubPr>
            <m:ctrlPr>
              <w:rPr>
                <w:rFonts w:ascii="Cambria Math" w:hAnsi="Cambria Math"/>
              </w:rPr>
            </m:ctrlPr>
          </m:sSubPr>
          <m:e>
            <m:r>
              <w:rPr>
                <w:rFonts w:ascii="Cambria Math" w:hAnsi="Cambria Math"/>
              </w:rPr>
              <m:t>M</m:t>
            </m:r>
          </m:e>
          <m:sub>
            <m:r>
              <w:rPr>
                <w:rFonts w:ascii="Cambria Math" w:hAnsi="Cambria Math"/>
              </w:rPr>
              <m:t>Cj</m:t>
            </m:r>
          </m:sub>
        </m:sSub>
        <m:r>
          <w:rPr>
            <w:rFonts w:ascii="Cambria Math" w:hAnsi="Cambria Math"/>
          </w:rPr>
          <m:t>=</m:t>
        </m:r>
        <m:f>
          <m:fPr>
            <m:ctrlPr>
              <w:rPr>
                <w:rFonts w:ascii="Cambria Math" w:hAnsi="Cambria Math"/>
              </w:rPr>
            </m:ctrlPr>
          </m:fPr>
          <m:num>
            <m:nary>
              <m:naryPr>
                <m:chr m:val="∑"/>
                <m:limLoc m:val="undOvr"/>
                <m:grow m:val="1"/>
                <m:supHide m:val="1"/>
                <m:ctrlPr>
                  <w:rPr>
                    <w:rFonts w:ascii="Cambria Math" w:hAnsi="Cambria Math"/>
                  </w:rPr>
                </m:ctrlPr>
              </m:naryPr>
              <m:sub>
                <m:r>
                  <w:rPr>
                    <w:rFonts w:ascii="Cambria Math" w:hAnsi="Cambria Math"/>
                  </w:rPr>
                  <m:t>m≠C</m:t>
                </m:r>
              </m:sub>
              <m:sup/>
              <m:e>
                <m:sSub>
                  <m:sSubPr>
                    <m:ctrlPr>
                      <w:rPr>
                        <w:rFonts w:ascii="Cambria Math" w:hAnsi="Cambria Math"/>
                      </w:rPr>
                    </m:ctrlPr>
                  </m:sSubPr>
                  <m:e>
                    <m:r>
                      <w:rPr>
                        <w:rFonts w:ascii="Cambria Math" w:hAnsi="Cambria Math"/>
                      </w:rPr>
                      <m:t>Q</m:t>
                    </m:r>
                  </m:e>
                  <m:sub>
                    <m:r>
                      <w:rPr>
                        <w:rFonts w:ascii="Cambria Math" w:hAnsi="Cambria Math"/>
                      </w:rPr>
                      <m:t>Cmj</m:t>
                    </m:r>
                  </m:sub>
                </m:sSub>
              </m:e>
            </m:nary>
          </m:num>
          <m:den>
            <m:nary>
              <m:naryPr>
                <m:chr m:val="∑"/>
                <m:limLoc m:val="undOvr"/>
                <m:grow m:val="1"/>
                <m:supHide m:val="1"/>
                <m:ctrlPr>
                  <w:rPr>
                    <w:rFonts w:ascii="Cambria Math" w:hAnsi="Cambria Math"/>
                  </w:rPr>
                </m:ctrlPr>
              </m:naryPr>
              <m:sub>
                <m:r>
                  <w:rPr>
                    <w:rFonts w:ascii="Cambria Math" w:hAnsi="Cambria Math"/>
                  </w:rPr>
                  <m:t>m</m:t>
                </m:r>
              </m:sub>
              <m:sup/>
              <m:e>
                <m:sSub>
                  <m:sSubPr>
                    <m:ctrlPr>
                      <w:rPr>
                        <w:rFonts w:ascii="Cambria Math" w:hAnsi="Cambria Math"/>
                      </w:rPr>
                    </m:ctrlPr>
                  </m:sSubPr>
                  <m:e>
                    <m:r>
                      <w:rPr>
                        <w:rFonts w:ascii="Cambria Math" w:hAnsi="Cambria Math"/>
                      </w:rPr>
                      <m:t>Q</m:t>
                    </m:r>
                  </m:e>
                  <m:sub>
                    <m:r>
                      <w:rPr>
                        <w:rFonts w:ascii="Cambria Math" w:hAnsi="Cambria Math"/>
                      </w:rPr>
                      <m:t>Cmj</m:t>
                    </m:r>
                  </m:sub>
                </m:sSub>
              </m:e>
            </m:nary>
          </m:den>
        </m:f>
        <m:r>
          <w:rPr>
            <w:rFonts w:ascii="Cambria Math" w:hAnsi="Cambria Math"/>
          </w:rPr>
          <m:t>.</m:t>
        </m:r>
      </m:oMath>
      <w:r>
        <w:tab/>
        <w:t>(10)</w:t>
      </w:r>
    </w:p>
    <w:p w14:paraId="1DACF13F" w14:textId="77777777" w:rsidR="002C0540" w:rsidRDefault="00FE1083" w:rsidP="006C781C">
      <w:pPr>
        <w:ind w:firstLine="720"/>
        <w:rPr>
          <w:lang w:eastAsia="zh-CN"/>
        </w:rPr>
      </w:pPr>
      <m:oMath>
        <m:r>
          <w:rPr>
            <w:rFonts w:ascii="Cambria Math" w:hAnsi="Cambria Math"/>
            <w:lang w:eastAsia="zh-CN"/>
          </w:rPr>
          <m:t>P</m:t>
        </m:r>
      </m:oMath>
      <w:r>
        <w:rPr>
          <w:lang w:eastAsia="zh-CN"/>
        </w:rPr>
        <w:t xml:space="preserve"> </w:t>
      </w:r>
      <w:r>
        <w:rPr>
          <w:lang w:eastAsia="zh-CN"/>
        </w:rPr>
        <w:t>表示相应的价格或平减指标。采用生产者端收入时，</w:t>
      </w:r>
      <m:oMath>
        <m:sSub>
          <m:sSubPr>
            <m:ctrlPr>
              <w:rPr>
                <w:rFonts w:ascii="Cambria Math" w:hAnsi="Cambria Math"/>
              </w:rPr>
            </m:ctrlPr>
          </m:sSubPr>
          <m:e>
            <m:r>
              <w:rPr>
                <w:rFonts w:ascii="Cambria Math" w:hAnsi="Cambria Math"/>
                <w:lang w:eastAsia="zh-CN"/>
              </w:rPr>
              <m:t>V</m:t>
            </m:r>
          </m:e>
          <m:sub>
            <m:r>
              <w:rPr>
                <w:rFonts w:ascii="Cambria Math" w:hAnsi="Cambria Math"/>
                <w:lang w:eastAsia="zh-CN"/>
              </w:rPr>
              <m:t>j</m:t>
            </m:r>
          </m:sub>
        </m:sSub>
      </m:oMath>
      <w:r>
        <w:rPr>
          <w:lang w:eastAsia="zh-CN"/>
        </w:rPr>
        <w:t xml:space="preserve"> </w:t>
      </w:r>
      <w:r>
        <w:rPr>
          <w:lang w:eastAsia="zh-CN"/>
        </w:rPr>
        <w:t>应按这一口径处理贸易成本；若实证对生产价值作了价格调整，模型结果也采用相同调整。反演始终使用预先确定的目标口径。</w:t>
      </w:r>
    </w:p>
    <w:p w14:paraId="0EAFAF0B" w14:textId="77777777" w:rsidR="002C0540" w:rsidRDefault="00FE1083">
      <w:pPr>
        <w:pStyle w:val="21"/>
        <w:rPr>
          <w:lang w:eastAsia="zh-CN"/>
        </w:rPr>
      </w:pPr>
      <w:r>
        <w:rPr>
          <w:lang w:eastAsia="zh-CN"/>
        </w:rPr>
        <w:lastRenderedPageBreak/>
        <w:t>数值反演与识别算子</w:t>
      </w:r>
    </w:p>
    <w:p w14:paraId="04DAF278" w14:textId="77777777" w:rsidR="002C0540" w:rsidRDefault="00FE1083" w:rsidP="006C781C">
      <w:pPr>
        <w:ind w:firstLine="720"/>
        <w:rPr>
          <w:lang w:eastAsia="zh-CN"/>
        </w:rPr>
      </w:pPr>
      <w:r>
        <w:rPr>
          <w:lang w:eastAsia="zh-CN"/>
        </w:rPr>
        <w:t>本研究主要采用数值反演。令</w:t>
      </w:r>
      <w:r>
        <w:rPr>
          <w:lang w:eastAsia="zh-CN"/>
        </w:rPr>
        <w:t xml:space="preserve"> </w:t>
      </w:r>
      <m:oMath>
        <m:sSup>
          <m:sSupPr>
            <m:ctrlPr>
              <w:rPr>
                <w:rFonts w:ascii="Cambria Math" w:hAnsi="Cambria Math"/>
              </w:rPr>
            </m:ctrlPr>
          </m:sSupPr>
          <m:e>
            <m:r>
              <w:rPr>
                <w:rFonts w:ascii="Cambria Math" w:hAnsi="Cambria Math"/>
                <w:lang w:eastAsia="zh-CN"/>
              </w:rPr>
              <m:t>G</m:t>
            </m:r>
          </m:e>
          <m:sup>
            <m:r>
              <w:rPr>
                <w:rFonts w:ascii="Cambria Math" w:hAnsi="Cambria Math"/>
                <w:lang w:eastAsia="zh-CN"/>
              </w:rPr>
              <m:t>c</m:t>
            </m:r>
          </m:sup>
        </m:sSup>
        <m:r>
          <w:rPr>
            <w:rFonts w:ascii="Cambria Math" w:hAnsi="Cambria Math"/>
            <w:lang w:eastAsia="zh-CN"/>
          </w:rPr>
          <m:t>(δ)</m:t>
        </m:r>
      </m:oMath>
      <w:r>
        <w:rPr>
          <w:lang w:eastAsia="zh-CN"/>
        </w:rPr>
        <w:t xml:space="preserve"> </w:t>
      </w:r>
      <w:r>
        <w:rPr>
          <w:lang w:eastAsia="zh-CN"/>
        </w:rPr>
        <w:t>表示给定成本冲击后的模型解，</w:t>
      </w:r>
      <m:oMath>
        <m:r>
          <w:rPr>
            <w:rFonts w:ascii="Cambria Math" w:hAnsi="Cambria Math"/>
            <w:lang w:eastAsia="zh-CN"/>
          </w:rPr>
          <m:t>c∈{PE,GE}</m:t>
        </m:r>
      </m:oMath>
      <w:r>
        <w:rPr>
          <w:lang w:eastAsia="zh-CN"/>
        </w:rPr>
        <w:t xml:space="preserve"> </w:t>
      </w:r>
      <w:r>
        <w:rPr>
          <w:lang w:eastAsia="zh-CN"/>
        </w:rPr>
        <w:t>分别对应局部均衡和一般均衡的闭合条件；令</w:t>
      </w:r>
      <w:r>
        <w:rPr>
          <w:lang w:eastAsia="zh-CN"/>
        </w:rPr>
        <w:t xml:space="preserve"> </w:t>
      </w:r>
      <m:oMath>
        <m:r>
          <w:rPr>
            <w:rFonts w:ascii="Cambria Math" w:hAnsi="Cambria Math"/>
            <w:lang w:eastAsia="zh-CN"/>
          </w:rPr>
          <m:t>O</m:t>
        </m:r>
      </m:oMath>
      <w:r>
        <w:rPr>
          <w:lang w:eastAsia="zh-CN"/>
        </w:rPr>
        <w:t xml:space="preserve"> </w:t>
      </w:r>
      <w:r>
        <w:rPr>
          <w:lang w:eastAsia="zh-CN"/>
        </w:rPr>
        <w:t>表示经验观测与比较算子，即按实证所用的结果变换、部门汇总方式、事件窗口、处理与对照组及其权重计算模型结果。数值反演以实证识别的生产响应向量</w:t>
      </w:r>
      <w:r>
        <w:rPr>
          <w:lang w:eastAsia="zh-CN"/>
        </w:rPr>
        <w:t xml:space="preserve"> </w:t>
      </w:r>
      <m:oMath>
        <m:acc>
          <m:accPr>
            <m:ctrlPr>
              <w:rPr>
                <w:rFonts w:ascii="Cambria Math" w:hAnsi="Cambria Math"/>
              </w:rPr>
            </m:ctrlPr>
          </m:accPr>
          <m:e>
            <m:r>
              <w:rPr>
                <w:rFonts w:ascii="Cambria Math" w:hAnsi="Cambria Math"/>
                <w:lang w:eastAsia="zh-CN"/>
              </w:rPr>
              <m:t>μ</m:t>
            </m:r>
          </m:e>
        </m:acc>
      </m:oMath>
      <w:r>
        <w:rPr>
          <w:lang w:eastAsia="zh-CN"/>
        </w:rPr>
        <w:t xml:space="preserve"> </w:t>
      </w:r>
      <w:r>
        <w:rPr>
          <w:lang w:eastAsia="zh-CN"/>
        </w:rPr>
        <w:t>为拟合目标：</w:t>
      </w:r>
    </w:p>
    <w:p w14:paraId="5E94A548" w14:textId="77777777" w:rsidR="002C0540" w:rsidRDefault="00FE1083">
      <w:pPr>
        <w:pStyle w:val="Equation"/>
        <w:rPr>
          <w:lang w:eastAsia="zh-CN"/>
        </w:rPr>
      </w:pPr>
      <w:r>
        <w:rPr>
          <w:lang w:eastAsia="zh-CN"/>
        </w:rPr>
        <w:tab/>
      </w:r>
      <m:oMath>
        <m:r>
          <w:rPr>
            <w:rFonts w:ascii="Cambria Math" w:hAnsi="Cambria Math"/>
            <w:lang w:eastAsia="zh-CN"/>
          </w:rPr>
          <m:t>v(δ)=ΔO(</m:t>
        </m:r>
        <m:sSup>
          <m:sSupPr>
            <m:ctrlPr>
              <w:rPr>
                <w:rFonts w:ascii="Cambria Math" w:hAnsi="Cambria Math"/>
              </w:rPr>
            </m:ctrlPr>
          </m:sSupPr>
          <m:e>
            <m:r>
              <w:rPr>
                <w:rFonts w:ascii="Cambria Math" w:hAnsi="Cambria Math"/>
                <w:lang w:eastAsia="zh-CN"/>
              </w:rPr>
              <m:t>G</m:t>
            </m:r>
          </m:e>
          <m:sup>
            <m:r>
              <w:rPr>
                <w:rFonts w:ascii="Cambria Math" w:hAnsi="Cambria Math"/>
                <w:lang w:eastAsia="zh-CN"/>
              </w:rPr>
              <m:t>c</m:t>
            </m:r>
          </m:sup>
        </m:sSup>
        <m:r>
          <w:rPr>
            <w:rFonts w:ascii="Cambria Math" w:hAnsi="Cambria Math"/>
            <w:lang w:eastAsia="zh-CN"/>
          </w:rPr>
          <m:t>(δ))-</m:t>
        </m:r>
        <m:acc>
          <m:accPr>
            <m:ctrlPr>
              <w:rPr>
                <w:rFonts w:ascii="Cambria Math" w:hAnsi="Cambria Math"/>
              </w:rPr>
            </m:ctrlPr>
          </m:accPr>
          <m:e>
            <m:r>
              <w:rPr>
                <w:rFonts w:ascii="Cambria Math" w:hAnsi="Cambria Math"/>
                <w:lang w:eastAsia="zh-CN"/>
              </w:rPr>
              <m:t>μ</m:t>
            </m:r>
          </m:e>
        </m:acc>
        <m:r>
          <w:rPr>
            <w:rFonts w:ascii="Cambria Math" w:hAnsi="Cambria Math"/>
            <w:lang w:eastAsia="zh-CN"/>
          </w:rPr>
          <m:t>.</m:t>
        </m:r>
      </m:oMath>
      <w:r>
        <w:rPr>
          <w:lang w:eastAsia="zh-CN"/>
        </w:rPr>
        <w:tab/>
        <w:t>(11)</w:t>
      </w:r>
    </w:p>
    <w:p w14:paraId="0795A422" w14:textId="77777777" w:rsidR="002C0540" w:rsidRDefault="00FE1083">
      <w:pPr>
        <w:pStyle w:val="Equation"/>
      </w:pPr>
      <w:r>
        <w:rPr>
          <w:lang w:eastAsia="zh-CN"/>
        </w:rPr>
        <w:tab/>
      </w:r>
      <m:oMath>
        <m:acc>
          <m:accPr>
            <m:ctrlPr>
              <w:rPr>
                <w:rFonts w:ascii="Cambria Math" w:hAnsi="Cambria Math"/>
              </w:rPr>
            </m:ctrlPr>
          </m:accPr>
          <m:e>
            <m:r>
              <w:rPr>
                <w:rFonts w:ascii="Cambria Math" w:hAnsi="Cambria Math"/>
              </w:rPr>
              <m:t>δ</m:t>
            </m:r>
          </m:e>
        </m:acc>
        <m:r>
          <w:rPr>
            <w:rFonts w:ascii="Cambria Math" w:hAnsi="Cambria Math"/>
          </w:rPr>
          <m:t>=</m:t>
        </m:r>
        <m:limLow>
          <m:limLowPr>
            <m:ctrlPr>
              <w:rPr>
                <w:rFonts w:ascii="Cambria Math" w:hAnsi="Cambria Math"/>
              </w:rPr>
            </m:ctrlPr>
          </m:limLowPr>
          <m:e>
            <m:r>
              <m:rPr>
                <m:sty m:val="p"/>
              </m:rPr>
              <w:rPr>
                <w:rFonts w:ascii="Cambria Math" w:hAnsi="Cambria Math"/>
              </w:rPr>
              <m:t>argmin</m:t>
            </m:r>
          </m:e>
          <m:lim>
            <m:r>
              <w:rPr>
                <w:rFonts w:ascii="Cambria Math" w:hAnsi="Cambria Math"/>
              </w:rPr>
              <m:t>δ∈D</m:t>
            </m:r>
          </m:lim>
        </m:limLow>
        <m:r>
          <w:rPr>
            <w:rFonts w:ascii="Cambria Math" w:hAnsi="Cambria Math"/>
          </w:rPr>
          <m:t>v(δ</m:t>
        </m:r>
        <m:sSup>
          <m:sSupPr>
            <m:ctrlPr>
              <w:rPr>
                <w:rFonts w:ascii="Cambria Math" w:hAnsi="Cambria Math"/>
              </w:rPr>
            </m:ctrlPr>
          </m:sSupPr>
          <m:e>
            <m:r>
              <w:rPr>
                <w:rFonts w:ascii="Cambria Math" w:hAnsi="Cambria Math"/>
              </w:rPr>
              <m:t>)</m:t>
            </m:r>
          </m:e>
          <m:sup>
            <m:r>
              <w:rPr>
                <w:rFonts w:ascii="Cambria Math" w:hAnsi="Cambria Math"/>
              </w:rPr>
              <m:t>'</m:t>
            </m:r>
          </m:sup>
        </m:sSup>
        <m:r>
          <w:rPr>
            <w:rFonts w:ascii="Cambria Math" w:hAnsi="Cambria Math"/>
          </w:rPr>
          <m:t>Wv(δ).</m:t>
        </m:r>
      </m:oMath>
      <w:r>
        <w:tab/>
        <w:t>(12)</w:t>
      </w:r>
    </w:p>
    <w:p w14:paraId="12C67230" w14:textId="77777777" w:rsidR="002C0540" w:rsidRDefault="00FE1083" w:rsidP="006C781C">
      <w:pPr>
        <w:ind w:firstLine="720"/>
        <w:rPr>
          <w:lang w:eastAsia="zh-CN"/>
        </w:rPr>
      </w:pPr>
      <m:oMath>
        <m:r>
          <w:rPr>
            <w:rFonts w:ascii="Cambria Math" w:hAnsi="Cambria Math"/>
            <w:lang w:eastAsia="zh-CN"/>
          </w:rPr>
          <m:t>ΔO</m:t>
        </m:r>
      </m:oMath>
      <w:r>
        <w:rPr>
          <w:lang w:eastAsia="zh-CN"/>
        </w:rPr>
        <w:t xml:space="preserve"> </w:t>
      </w:r>
      <w:r>
        <w:rPr>
          <w:lang w:eastAsia="zh-CN"/>
        </w:rPr>
        <w:t>表示按相同口径计算的有改革与无改革状态之差，</w:t>
      </w:r>
      <m:oMath>
        <m:r>
          <w:rPr>
            <w:rFonts w:ascii="Cambria Math" w:hAnsi="Cambria Math"/>
            <w:lang w:eastAsia="zh-CN"/>
          </w:rPr>
          <m:t>W</m:t>
        </m:r>
      </m:oMath>
      <w:r>
        <w:rPr>
          <w:lang w:eastAsia="zh-CN"/>
        </w:rPr>
        <w:t xml:space="preserve"> </w:t>
      </w:r>
      <w:r>
        <w:rPr>
          <w:lang w:eastAsia="zh-CN"/>
        </w:rPr>
        <w:t>为预先确定的权重矩阵，</w:t>
      </w:r>
      <m:oMath>
        <m:r>
          <w:rPr>
            <w:rFonts w:ascii="Cambria Math" w:hAnsi="Cambria Math"/>
            <w:lang w:eastAsia="zh-CN"/>
          </w:rPr>
          <m:t>D</m:t>
        </m:r>
      </m:oMath>
      <w:r>
        <w:rPr>
          <w:lang w:eastAsia="zh-CN"/>
        </w:rPr>
        <w:t xml:space="preserve"> </w:t>
      </w:r>
      <w:r>
        <w:rPr>
          <w:lang w:eastAsia="zh-CN"/>
        </w:rPr>
        <w:t>为符合模型设定和实际政策变化的参数取值范围。权重根据各目标指标的协方差或统一后的量纲确定，不随福利结果调整。基准用外资生产份额反演成本，再用外资生产价值、国内生产价值和总生产价值检验同一成本楔子能否解释这些结果；也可事先确定哪些统计指标用于联合拟合，哪些用于检验。外资与内资份额互为补数，外资产出与内资产出之和等于总产出，这些恒等关系不增加独立的识别信息。经验目标只有在能够区分各参数的作用时，才用于多参数反演。</w:t>
      </w:r>
    </w:p>
    <w:p w14:paraId="62175A00" w14:textId="77777777" w:rsidR="002C0540" w:rsidRDefault="00FE1083" w:rsidP="006C781C">
      <w:pPr>
        <w:ind w:firstLine="720"/>
        <w:rPr>
          <w:lang w:eastAsia="zh-CN"/>
        </w:rPr>
      </w:pPr>
      <w:r>
        <w:rPr>
          <w:lang w:eastAsia="zh-CN"/>
        </w:rPr>
        <w:t>现有粗部门模型只区分部门，不能直接区分细活动中的处理组和对照组。基准规格先将可识别的活动生产响应汇总到部门，并假定汇总结果能够代表在给定条件下该部门的生产响应，据此计算部门平均等价成本，并在上述假设下求解一般均衡。结果依赖这一额外假设，尚不能完整复现实证的细活动比较，因而不能作为全国政策福利的因果估计。增强规格在部门内设置受改革与未改革暴露组，并在相同集合</w:t>
      </w:r>
      <w:r>
        <w:rPr>
          <w:lang w:eastAsia="zh-CN"/>
        </w:rPr>
        <w:t xml:space="preserve"> </w:t>
      </w:r>
      <m:oMath>
        <m:sSub>
          <m:sSubPr>
            <m:ctrlPr>
              <w:rPr>
                <w:rFonts w:ascii="Cambria Math" w:hAnsi="Cambria Math"/>
              </w:rPr>
            </m:ctrlPr>
          </m:sSubPr>
          <m:e>
            <m:r>
              <w:rPr>
                <w:rFonts w:ascii="Cambria Math" w:hAnsi="Cambria Math"/>
                <w:lang w:eastAsia="zh-CN"/>
              </w:rPr>
              <m:t>S</m:t>
            </m:r>
          </m:e>
          <m:sub>
            <m:r>
              <w:rPr>
                <w:rFonts w:ascii="Cambria Math" w:hAnsi="Cambria Math"/>
                <w:lang w:eastAsia="zh-CN"/>
              </w:rPr>
              <m:t>je</m:t>
            </m:r>
          </m:sub>
        </m:sSub>
      </m:oMath>
      <w:r>
        <w:rPr>
          <w:lang w:eastAsia="zh-CN"/>
        </w:rPr>
        <w:t xml:space="preserve"> </w:t>
      </w:r>
      <w:r>
        <w:rPr>
          <w:lang w:eastAsia="zh-CN"/>
        </w:rPr>
        <w:t>上使用与实证相同的比较算子计算模型结果，检验模型能否同时解释两组的直接响应和均衡溢出。</w:t>
      </w:r>
    </w:p>
    <w:p w14:paraId="34E4A58A" w14:textId="77777777" w:rsidR="002C0540" w:rsidRDefault="00FE1083" w:rsidP="006C781C">
      <w:pPr>
        <w:ind w:firstLine="720"/>
        <w:rPr>
          <w:lang w:eastAsia="zh-CN"/>
        </w:rPr>
      </w:pPr>
      <w:r>
        <w:rPr>
          <w:lang w:eastAsia="zh-CN"/>
        </w:rPr>
        <w:t>采用</w:t>
      </w:r>
      <w:r>
        <w:rPr>
          <w:lang w:eastAsia="zh-CN"/>
        </w:rPr>
        <w:t xml:space="preserve"> PE </w:t>
      </w:r>
      <w:r>
        <w:rPr>
          <w:lang w:eastAsia="zh-CN"/>
        </w:rPr>
        <w:t>反演时，固定工资、投入价格、需求和其他约定状态，并说明实证目标为什么可以表示在这些因素不变时的生产响应。固定效应设定本身不足以说明这些因素的均衡反馈已被排除。若目标包含均衡调整，且模型能够复现实证中的比较对象，则采用</w:t>
      </w:r>
      <w:r>
        <w:rPr>
          <w:lang w:eastAsia="zh-CN"/>
        </w:rPr>
        <w:t xml:space="preserve"> GE </w:t>
      </w:r>
      <w:r>
        <w:rPr>
          <w:lang w:eastAsia="zh-CN"/>
        </w:rPr>
        <w:t>反演。将</w:t>
      </w:r>
      <w:r>
        <w:rPr>
          <w:lang w:eastAsia="zh-CN"/>
        </w:rPr>
        <w:t xml:space="preserve"> PE </w:t>
      </w:r>
      <w:r>
        <w:rPr>
          <w:lang w:eastAsia="zh-CN"/>
        </w:rPr>
        <w:t>反演得到的成本变化用于</w:t>
      </w:r>
      <w:r>
        <w:rPr>
          <w:lang w:eastAsia="zh-CN"/>
        </w:rPr>
        <w:t xml:space="preserve"> GE </w:t>
      </w:r>
      <w:r>
        <w:rPr>
          <w:lang w:eastAsia="zh-CN"/>
        </w:rPr>
        <w:t>求解时，所得结果作为模型预测，并报告一般均衡下的生产变化与经验目标的差距。改革事件中处理组相对对照组的效果，与全国生产的净变化仍需区分。</w:t>
      </w:r>
    </w:p>
    <w:p w14:paraId="42AF7C6B" w14:textId="77777777" w:rsidR="002C0540" w:rsidRDefault="00FE1083" w:rsidP="006C781C">
      <w:pPr>
        <w:ind w:firstLine="720"/>
        <w:rPr>
          <w:lang w:eastAsia="zh-CN"/>
        </w:rPr>
      </w:pPr>
      <w:r>
        <w:rPr>
          <w:lang w:eastAsia="zh-CN"/>
        </w:rPr>
        <w:t>粗部门基准在补全经验目标时，采用式（</w:t>
      </w:r>
      <w:r>
        <w:rPr>
          <w:lang w:eastAsia="zh-CN"/>
        </w:rPr>
        <w:t>5</w:t>
      </w:r>
      <w:r>
        <w:rPr>
          <w:lang w:eastAsia="zh-CN"/>
        </w:rPr>
        <w:t>）规定的样本范围和补全条件。部门汇总目标只有在进一步假定各外国母国面临相同成本变化时，才能识别共同的</w:t>
      </w:r>
      <w:r>
        <w:rPr>
          <w:lang w:eastAsia="zh-CN"/>
        </w:rPr>
        <w:t xml:space="preserve"> </w:t>
      </w:r>
      <m:oMath>
        <m:sSub>
          <m:sSubPr>
            <m:ctrlPr>
              <w:rPr>
                <w:rFonts w:ascii="Cambria Math" w:hAnsi="Cambria Math"/>
              </w:rPr>
            </m:ctrlPr>
          </m:sSubPr>
          <m:e>
            <m:r>
              <w:rPr>
                <w:rFonts w:ascii="Cambria Math" w:hAnsi="Cambria Math"/>
                <w:lang w:eastAsia="zh-CN"/>
              </w:rPr>
              <m:t>δ</m:t>
            </m:r>
          </m:e>
          <m:sub>
            <m:r>
              <w:rPr>
                <w:rFonts w:ascii="Cambria Math" w:hAnsi="Cambria Math"/>
                <w:lang w:eastAsia="zh-CN"/>
              </w:rPr>
              <m:t>j</m:t>
            </m:r>
          </m:sub>
        </m:sSub>
      </m:oMath>
      <w:r>
        <w:rPr>
          <w:lang w:eastAsia="zh-CN"/>
        </w:rPr>
        <w:t>，而不足</w:t>
      </w:r>
      <w:r>
        <w:rPr>
          <w:lang w:eastAsia="zh-CN"/>
        </w:rPr>
        <w:lastRenderedPageBreak/>
        <w:t>以分别识别每个</w:t>
      </w:r>
      <w:r>
        <w:rPr>
          <w:lang w:eastAsia="zh-CN"/>
        </w:rPr>
        <w:t xml:space="preserve"> </w:t>
      </w:r>
      <m:oMath>
        <m:sSub>
          <m:sSubPr>
            <m:ctrlPr>
              <w:rPr>
                <w:rFonts w:ascii="Cambria Math" w:hAnsi="Cambria Math"/>
              </w:rPr>
            </m:ctrlPr>
          </m:sSubPr>
          <m:e>
            <m:r>
              <w:rPr>
                <w:rFonts w:ascii="Cambria Math" w:hAnsi="Cambria Math"/>
                <w:lang w:eastAsia="zh-CN"/>
              </w:rPr>
              <m:t>δ</m:t>
            </m:r>
          </m:e>
          <m:sub>
            <m:r>
              <w:rPr>
                <w:rFonts w:ascii="Cambria Math" w:hAnsi="Cambria Math"/>
                <w:lang w:eastAsia="zh-CN"/>
              </w:rPr>
              <m:t>mj</m:t>
            </m:r>
          </m:sub>
        </m:sSub>
      </m:oMath>
      <w:r>
        <w:rPr>
          <w:lang w:eastAsia="zh-CN"/>
        </w:rPr>
        <w:t>。只有母国分组目标提供了独立信息、且模型能够描述母国间差异时，才估计各母国不同的成本冲击。局部近似</w:t>
      </w:r>
      <w:r>
        <w:rPr>
          <w:lang w:eastAsia="zh-CN"/>
        </w:rPr>
        <w:t xml:space="preserve"> </w:t>
      </w:r>
      <m:oMath>
        <m:sSub>
          <m:sSubPr>
            <m:ctrlPr>
              <w:rPr>
                <w:rFonts w:ascii="Cambria Math" w:hAnsi="Cambria Math"/>
              </w:rPr>
            </m:ctrlPr>
          </m:sSubPr>
          <m:e>
            <m:r>
              <w:rPr>
                <w:rFonts w:ascii="Cambria Math" w:hAnsi="Cambria Math"/>
                <w:lang w:eastAsia="zh-CN"/>
              </w:rPr>
              <m:t>δ</m:t>
            </m:r>
          </m:e>
          <m:sub>
            <m:r>
              <w:rPr>
                <w:rFonts w:ascii="Cambria Math" w:hAnsi="Cambria Math"/>
                <w:lang w:eastAsia="zh-CN"/>
              </w:rPr>
              <m:t>j</m:t>
            </m:r>
          </m:sub>
        </m:sSub>
        <m:r>
          <w:rPr>
            <w:rFonts w:ascii="Cambria Math" w:hAnsi="Cambria Math"/>
            <w:lang w:eastAsia="zh-CN"/>
          </w:rPr>
          <m:t>≈-</m:t>
        </m:r>
        <m:sSub>
          <m:sSubPr>
            <m:ctrlPr>
              <w:rPr>
                <w:rFonts w:ascii="Cambria Math" w:hAnsi="Cambria Math"/>
              </w:rPr>
            </m:ctrlPr>
          </m:sSubPr>
          <m:e>
            <m:r>
              <w:rPr>
                <w:rFonts w:ascii="Cambria Math" w:hAnsi="Cambria Math"/>
                <w:lang w:eastAsia="zh-CN"/>
              </w:rPr>
              <m:t>g</m:t>
            </m:r>
          </m:e>
          <m:sub>
            <m:r>
              <w:rPr>
                <w:rFonts w:ascii="Cambria Math" w:hAnsi="Cambria Math"/>
                <w:lang w:eastAsia="zh-CN"/>
              </w:rPr>
              <m:t>j</m:t>
            </m:r>
          </m:sub>
        </m:sSub>
        <m:r>
          <w:rPr>
            <w:rFonts w:ascii="Cambria Math" w:hAnsi="Cambria Math"/>
            <w:lang w:eastAsia="zh-CN"/>
          </w:rPr>
          <m:t>/</m:t>
        </m:r>
        <m:sSub>
          <m:sSubPr>
            <m:ctrlPr>
              <w:rPr>
                <w:rFonts w:ascii="Cambria Math" w:hAnsi="Cambria Math"/>
              </w:rPr>
            </m:ctrlPr>
          </m:sSubPr>
          <m:e>
            <m:r>
              <w:rPr>
                <w:rFonts w:ascii="Cambria Math" w:hAnsi="Cambria Math"/>
                <w:lang w:eastAsia="zh-CN"/>
              </w:rPr>
              <m:t>κ</m:t>
            </m:r>
          </m:e>
          <m:sub>
            <m:r>
              <w:rPr>
                <w:rFonts w:ascii="Cambria Math" w:hAnsi="Cambria Math"/>
                <w:lang w:eastAsia="zh-CN"/>
              </w:rPr>
              <m:t>j</m:t>
            </m:r>
          </m:sub>
        </m:sSub>
      </m:oMath>
      <w:r>
        <w:rPr>
          <w:lang w:eastAsia="zh-CN"/>
        </w:rPr>
        <w:t xml:space="preserve"> </w:t>
      </w:r>
      <w:r>
        <w:rPr>
          <w:lang w:eastAsia="zh-CN"/>
        </w:rPr>
        <w:t>作为对照，其中</w:t>
      </w:r>
      <w:r>
        <w:rPr>
          <w:lang w:eastAsia="zh-CN"/>
        </w:rPr>
        <w:t xml:space="preserve"> </w:t>
      </w:r>
      <m:oMath>
        <m:sSubSup>
          <m:sSubSupPr>
            <m:ctrlPr>
              <w:rPr>
                <w:rFonts w:ascii="Cambria Math" w:hAnsi="Cambria Math"/>
              </w:rPr>
            </m:ctrlPr>
          </m:sSubSupPr>
          <m:e>
            <m:r>
              <w:rPr>
                <w:rFonts w:ascii="Cambria Math" w:hAnsi="Cambria Math"/>
                <w:lang w:eastAsia="zh-CN"/>
              </w:rPr>
              <m:t>Q</m:t>
            </m:r>
          </m:e>
          <m:sub>
            <m:r>
              <w:rPr>
                <w:rFonts w:ascii="Cambria Math" w:hAnsi="Cambria Math"/>
                <w:lang w:eastAsia="zh-CN"/>
              </w:rPr>
              <m:t>Cj</m:t>
            </m:r>
          </m:sub>
          <m:sup>
            <m:r>
              <w:rPr>
                <w:rFonts w:ascii="Cambria Math" w:hAnsi="Cambria Math"/>
                <w:lang w:eastAsia="zh-CN"/>
              </w:rPr>
              <m:t>F</m:t>
            </m:r>
          </m:sup>
        </m:sSubSup>
      </m:oMath>
      <w:r>
        <w:rPr>
          <w:lang w:eastAsia="zh-CN"/>
        </w:rPr>
        <w:t xml:space="preserve"> </w:t>
      </w:r>
      <w:r>
        <w:rPr>
          <w:lang w:eastAsia="zh-CN"/>
        </w:rPr>
        <w:t>为各外国母国在该部门的在华生产价值之和，</w:t>
      </w:r>
      <m:oMath>
        <m:sSub>
          <m:sSubPr>
            <m:ctrlPr>
              <w:rPr>
                <w:rFonts w:ascii="Cambria Math" w:hAnsi="Cambria Math"/>
              </w:rPr>
            </m:ctrlPr>
          </m:sSubPr>
          <m:e>
            <m:r>
              <w:rPr>
                <w:rFonts w:ascii="Cambria Math" w:hAnsi="Cambria Math"/>
                <w:lang w:eastAsia="zh-CN"/>
              </w:rPr>
              <m:t>g</m:t>
            </m:r>
          </m:e>
          <m:sub>
            <m:r>
              <w:rPr>
                <w:rFonts w:ascii="Cambria Math" w:hAnsi="Cambria Math"/>
                <w:lang w:eastAsia="zh-CN"/>
              </w:rPr>
              <m:t>j</m:t>
            </m:r>
          </m:sub>
        </m:sSub>
      </m:oMath>
      <w:r>
        <w:rPr>
          <w:lang w:eastAsia="zh-CN"/>
        </w:rPr>
        <w:t xml:space="preserve"> </w:t>
      </w:r>
      <w:r>
        <w:rPr>
          <w:lang w:eastAsia="zh-CN"/>
        </w:rPr>
        <w:t>为拟合流量的对数响应，</w:t>
      </w:r>
      <m:oMath>
        <m:sSub>
          <m:sSubPr>
            <m:ctrlPr>
              <w:rPr>
                <w:rFonts w:ascii="Cambria Math" w:hAnsi="Cambria Math"/>
              </w:rPr>
            </m:ctrlPr>
          </m:sSubPr>
          <m:e>
            <m:r>
              <w:rPr>
                <w:rFonts w:ascii="Cambria Math" w:hAnsi="Cambria Math"/>
                <w:lang w:eastAsia="zh-CN"/>
              </w:rPr>
              <m:t>κ</m:t>
            </m:r>
          </m:e>
          <m:sub>
            <m:r>
              <w:rPr>
                <w:rFonts w:ascii="Cambria Math" w:hAnsi="Cambria Math"/>
                <w:lang w:eastAsia="zh-CN"/>
              </w:rPr>
              <m:t>j</m:t>
            </m:r>
          </m:sub>
        </m:sSub>
      </m:oMath>
      <w:r>
        <w:rPr>
          <w:lang w:eastAsia="zh-CN"/>
        </w:rPr>
        <w:t xml:space="preserve"> </w:t>
      </w:r>
      <w:r>
        <w:rPr>
          <w:lang w:eastAsia="zh-CN"/>
        </w:rPr>
        <w:t>则通过同一模型、计价口径和闭合条件下的导数核实：</w:t>
      </w:r>
    </w:p>
    <w:p w14:paraId="6144F42E" w14:textId="77777777" w:rsidR="002C0540" w:rsidRDefault="00FE1083">
      <w:pPr>
        <w:pStyle w:val="Equation"/>
      </w:pPr>
      <w:r>
        <w:rPr>
          <w:lang w:eastAsia="zh-CN"/>
        </w:rPr>
        <w:tab/>
      </w:r>
      <m:oMath>
        <m:sSub>
          <m:sSubPr>
            <m:ctrlPr>
              <w:rPr>
                <w:rFonts w:ascii="Cambria Math" w:hAnsi="Cambria Math"/>
              </w:rPr>
            </m:ctrlPr>
          </m:sSubPr>
          <m:e>
            <m:r>
              <w:rPr>
                <w:rFonts w:ascii="Cambria Math" w:hAnsi="Cambria Math"/>
              </w:rPr>
              <m:t>κ</m:t>
            </m:r>
          </m:e>
          <m:sub>
            <m:r>
              <w:rPr>
                <w:rFonts w:ascii="Cambria Math" w:hAnsi="Cambria Math"/>
              </w:rPr>
              <m:t>j</m:t>
            </m:r>
          </m:sub>
        </m:sSub>
        <m:r>
          <w:rPr>
            <w:rFonts w:ascii="Cambria Math" w:hAnsi="Cambria Math"/>
          </w:rPr>
          <m:t>=-</m:t>
        </m:r>
        <m:f>
          <m:fPr>
            <m:ctrlPr>
              <w:rPr>
                <w:rFonts w:ascii="Cambria Math" w:hAnsi="Cambria Math"/>
              </w:rPr>
            </m:ctrlPr>
          </m:fPr>
          <m:num>
            <m:r>
              <w:rPr>
                <w:rFonts w:ascii="Cambria Math" w:hAnsi="Cambria Math"/>
              </w:rPr>
              <m:t>∂</m:t>
            </m:r>
            <m:r>
              <m:rPr>
                <m:sty m:val="p"/>
              </m:rPr>
              <w:rPr>
                <w:rFonts w:ascii="Cambria Math" w:hAnsi="Cambria Math"/>
              </w:rPr>
              <m:t>ln</m:t>
            </m:r>
            <m:sSubSup>
              <m:sSubSupPr>
                <m:ctrlPr>
                  <w:rPr>
                    <w:rFonts w:ascii="Cambria Math" w:hAnsi="Cambria Math"/>
                  </w:rPr>
                </m:ctrlPr>
              </m:sSubSupPr>
              <m:e>
                <m:r>
                  <w:rPr>
                    <w:rFonts w:ascii="Cambria Math" w:hAnsi="Cambria Math"/>
                  </w:rPr>
                  <m:t>Q</m:t>
                </m:r>
              </m:e>
              <m:sub>
                <m:r>
                  <w:rPr>
                    <w:rFonts w:ascii="Cambria Math" w:hAnsi="Cambria Math"/>
                  </w:rPr>
                  <m:t>Cj</m:t>
                </m:r>
              </m:sub>
              <m:sup>
                <m:r>
                  <w:rPr>
                    <w:rFonts w:ascii="Cambria Math" w:hAnsi="Cambria Math"/>
                  </w:rPr>
                  <m:t>F</m:t>
                </m:r>
              </m:sup>
            </m:sSubSup>
          </m:num>
          <m:den>
            <m: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j</m:t>
                </m:r>
              </m:sub>
            </m:sSub>
          </m:den>
        </m:f>
        <m:sSub>
          <m:sSubPr>
            <m:ctrlPr>
              <w:rPr>
                <w:rFonts w:ascii="Cambria Math" w:hAnsi="Cambria Math"/>
              </w:rPr>
            </m:ctrlPr>
          </m:sSubPr>
          <m:e>
            <m:r>
              <w:rPr>
                <w:rFonts w:ascii="Cambria Math" w:hAnsi="Cambria Math"/>
              </w:rPr>
              <m:t>|</m:t>
            </m:r>
          </m:e>
          <m:sub>
            <m:r>
              <w:rPr>
                <w:rFonts w:ascii="Cambria Math" w:hAnsi="Cambria Math"/>
              </w:rPr>
              <m:t>δ=0</m:t>
            </m:r>
          </m:sub>
        </m:sSub>
        <m:r>
          <w:rPr>
            <w:rFonts w:ascii="Cambria Math" w:hAnsi="Cambria Math"/>
          </w:rPr>
          <m:t>.</m:t>
        </m:r>
      </m:oMath>
      <w:r>
        <w:tab/>
        <w:t>(13)</w:t>
      </w:r>
    </w:p>
    <w:p w14:paraId="2D58645A" w14:textId="77777777" w:rsidR="002C0540" w:rsidRDefault="00FE1083" w:rsidP="006C781C">
      <w:pPr>
        <w:ind w:firstLine="720"/>
        <w:rPr>
          <w:lang w:eastAsia="zh-CN"/>
        </w:rPr>
      </w:pPr>
      <w:r>
        <w:rPr>
          <w:lang w:eastAsia="zh-CN"/>
        </w:rPr>
        <w:t>生产地选择公式中的</w:t>
      </w:r>
      <w:r>
        <w:rPr>
          <w:lang w:eastAsia="zh-CN"/>
        </w:rPr>
        <w:t xml:space="preserve"> </w:t>
      </w:r>
      <m:oMath>
        <m:sSub>
          <m:sSubPr>
            <m:ctrlPr>
              <w:rPr>
                <w:rFonts w:ascii="Cambria Math" w:hAnsi="Cambria Math"/>
              </w:rPr>
            </m:ctrlPr>
          </m:sSubPr>
          <m:e>
            <m:r>
              <w:rPr>
                <w:rFonts w:ascii="Cambria Math" w:hAnsi="Cambria Math"/>
                <w:lang w:eastAsia="zh-CN"/>
              </w:rPr>
              <m:t>θ</m:t>
            </m:r>
          </m:e>
          <m:sub>
            <m:r>
              <w:rPr>
                <w:rFonts w:ascii="Cambria Math" w:hAnsi="Cambria Math"/>
                <w:lang w:eastAsia="zh-CN"/>
              </w:rPr>
              <m:t>j</m:t>
            </m:r>
          </m:sub>
        </m:sSub>
        <m:r>
          <w:rPr>
            <w:rFonts w:ascii="Cambria Math" w:hAnsi="Cambria Math"/>
            <w:lang w:eastAsia="zh-CN"/>
          </w:rPr>
          <m:t>/(1-</m:t>
        </m:r>
        <m:sSub>
          <m:sSubPr>
            <m:ctrlPr>
              <w:rPr>
                <w:rFonts w:ascii="Cambria Math" w:hAnsi="Cambria Math"/>
              </w:rPr>
            </m:ctrlPr>
          </m:sSubPr>
          <m:e>
            <m:r>
              <w:rPr>
                <w:rFonts w:ascii="Cambria Math" w:hAnsi="Cambria Math"/>
                <w:lang w:eastAsia="zh-CN"/>
              </w:rPr>
              <m:t>ρ</m:t>
            </m:r>
          </m:e>
          <m:sub>
            <m:r>
              <w:rPr>
                <w:rFonts w:ascii="Cambria Math" w:hAnsi="Cambria Math"/>
                <w:lang w:eastAsia="zh-CN"/>
              </w:rPr>
              <m:t>j</m:t>
            </m:r>
          </m:sub>
        </m:sSub>
        <m:r>
          <w:rPr>
            <w:rFonts w:ascii="Cambria Math" w:hAnsi="Cambria Math"/>
            <w:lang w:eastAsia="zh-CN"/>
          </w:rPr>
          <m:t>)</m:t>
        </m:r>
      </m:oMath>
      <w:r>
        <w:rPr>
          <w:lang w:eastAsia="zh-CN"/>
        </w:rPr>
        <w:t xml:space="preserve"> </w:t>
      </w:r>
      <w:r>
        <w:rPr>
          <w:lang w:eastAsia="zh-CN"/>
        </w:rPr>
        <w:t>不能直接作为上述聚合流量对成本的弹性。成本变化还可能影响外国母国的市场份额和总需求，因此反演应同时检验这些响应，而不能只调整生产地条件份额。</w:t>
      </w:r>
    </w:p>
    <w:p w14:paraId="330E89CB" w14:textId="77777777" w:rsidR="002C0540" w:rsidRDefault="00FE1083">
      <w:pPr>
        <w:pStyle w:val="21"/>
        <w:rPr>
          <w:lang w:eastAsia="zh-CN"/>
        </w:rPr>
      </w:pPr>
      <w:r>
        <w:rPr>
          <w:lang w:eastAsia="zh-CN"/>
        </w:rPr>
        <w:t>单成本机制的适用范围</w:t>
      </w:r>
    </w:p>
    <w:p w14:paraId="4FC8F3F5" w14:textId="77777777" w:rsidR="002C0540" w:rsidRDefault="00FE1083" w:rsidP="006C781C">
      <w:pPr>
        <w:ind w:firstLine="720"/>
        <w:rPr>
          <w:lang w:eastAsia="zh-CN"/>
        </w:rPr>
      </w:pPr>
      <w:r>
        <w:rPr>
          <w:lang w:eastAsia="zh-CN"/>
        </w:rPr>
        <w:t>结构基准研究改革前已有外资生产的有限限制放松事件。外资控制身份变化可能主要来自收购或所有权重新分类，未必伴随技术效率提高。若单一经营成本楔子不能同时解释外资产出与总产出，应报告模型与经验结果的偏差，并说明这一成本机制能够解释哪些结果。控制概率的回归系数也不能直接视为效率变化。</w:t>
      </w:r>
    </w:p>
    <w:p w14:paraId="6B43D538" w14:textId="77777777" w:rsidR="002C0540" w:rsidRDefault="00FE1083" w:rsidP="006C781C">
      <w:pPr>
        <w:ind w:firstLine="720"/>
        <w:rPr>
          <w:lang w:eastAsia="zh-CN"/>
        </w:rPr>
      </w:pPr>
      <w:r>
        <w:rPr>
          <w:lang w:eastAsia="zh-CN"/>
        </w:rPr>
        <w:t>原模型中的</w:t>
      </w:r>
      <w:r>
        <w:rPr>
          <w:lang w:eastAsia="zh-CN"/>
        </w:rPr>
        <w:t xml:space="preserve"> </w:t>
      </w:r>
      <m:oMath>
        <m:sSub>
          <m:sSubPr>
            <m:ctrlPr>
              <w:rPr>
                <w:rFonts w:ascii="Cambria Math" w:hAnsi="Cambria Math"/>
              </w:rPr>
            </m:ctrlPr>
          </m:sSubPr>
          <m:e>
            <m:r>
              <w:rPr>
                <w:rFonts w:ascii="Cambria Math" w:hAnsi="Cambria Math"/>
                <w:lang w:eastAsia="zh-CN"/>
              </w:rPr>
              <m:t>F</m:t>
            </m:r>
          </m:e>
          <m:sub>
            <m:r>
              <w:rPr>
                <w:rFonts w:ascii="Cambria Math" w:hAnsi="Cambria Math"/>
                <w:lang w:eastAsia="zh-CN"/>
              </w:rPr>
              <m:t>nj</m:t>
            </m:r>
          </m:sub>
        </m:sSub>
      </m:oMath>
      <w:r>
        <w:rPr>
          <w:lang w:eastAsia="zh-CN"/>
        </w:rPr>
        <w:t xml:space="preserve"> </w:t>
      </w:r>
      <w:r>
        <w:rPr>
          <w:lang w:eastAsia="zh-CN"/>
        </w:rPr>
        <w:t>表示进入消费市场</w:t>
      </w:r>
      <w:r>
        <w:rPr>
          <w:lang w:eastAsia="zh-CN"/>
        </w:rPr>
        <w:t xml:space="preserve"> </w:t>
      </w:r>
      <m:oMath>
        <m:r>
          <w:rPr>
            <w:rFonts w:ascii="Cambria Math" w:hAnsi="Cambria Math"/>
            <w:lang w:eastAsia="zh-CN"/>
          </w:rPr>
          <m:t>n</m:t>
        </m:r>
      </m:oMath>
      <w:r>
        <w:rPr>
          <w:lang w:eastAsia="zh-CN"/>
        </w:rPr>
        <w:t xml:space="preserve"> </w:t>
      </w:r>
      <w:r>
        <w:rPr>
          <w:lang w:eastAsia="zh-CN"/>
        </w:rPr>
        <w:t>的固定营销成本，外国企业在中国设立企业的固定成本则需要另行建模。要区分设立、经营和控制权机制，须增加外国企业的设立成本及相应决策，并利用进入数量、条件规模和控制权等独立结果检验这些机制能否分别识别。对于从禁止转为允许、或原来不可行的生产线路，在精确帽子代数中，若基期份额满足</w:t>
      </w:r>
      <w:r>
        <w:rPr>
          <w:lang w:eastAsia="zh-CN"/>
        </w:rPr>
        <w:t xml:space="preserve"> </w:t>
      </w:r>
      <m:oMath>
        <m:sSub>
          <m:sSubPr>
            <m:ctrlPr>
              <w:rPr>
                <w:rFonts w:ascii="Cambria Math" w:hAnsi="Cambria Math"/>
              </w:rPr>
            </m:ctrlPr>
          </m:sSubPr>
          <m:e>
            <m:r>
              <w:rPr>
                <w:rFonts w:ascii="Cambria Math" w:hAnsi="Cambria Math"/>
                <w:lang w:eastAsia="zh-CN"/>
              </w:rPr>
              <m:t>ψ</m:t>
            </m:r>
          </m:e>
          <m:sub>
            <m:r>
              <w:rPr>
                <w:rFonts w:ascii="Cambria Math" w:hAnsi="Cambria Math"/>
                <w:lang w:eastAsia="zh-CN"/>
              </w:rPr>
              <m:t>0</m:t>
            </m:r>
          </m:sub>
        </m:sSub>
        <m:r>
          <w:rPr>
            <w:rFonts w:ascii="Cambria Math" w:hAnsi="Cambria Math"/>
            <w:lang w:eastAsia="zh-CN"/>
          </w:rPr>
          <m:t>=0</m:t>
        </m:r>
      </m:oMath>
      <w:r>
        <w:rPr>
          <w:lang w:eastAsia="zh-CN"/>
        </w:rPr>
        <w:t>，乘以任何有限乘数后仍为零。因此，原模型无法用这一方式产生新的正流量，也不能用人为设定的极小值替代零份额。扩展进入机制前，这类改革只报告微观结果。</w:t>
      </w:r>
    </w:p>
    <w:p w14:paraId="2457AFAB" w14:textId="77777777" w:rsidR="002C0540" w:rsidRDefault="00FE1083">
      <w:pPr>
        <w:pStyle w:val="1"/>
        <w:rPr>
          <w:lang w:eastAsia="zh-CN"/>
        </w:rPr>
      </w:pPr>
      <w:r>
        <w:rPr>
          <w:lang w:eastAsia="zh-CN"/>
        </w:rPr>
        <w:t xml:space="preserve">A7 </w:t>
      </w:r>
      <w:r>
        <w:rPr>
          <w:lang w:eastAsia="zh-CN"/>
        </w:rPr>
        <w:t>反事实设计与结构扩展</w:t>
      </w:r>
    </w:p>
    <w:p w14:paraId="52FB035E" w14:textId="77777777" w:rsidR="002C0540" w:rsidRDefault="00FE1083" w:rsidP="006C781C">
      <w:pPr>
        <w:ind w:firstLine="720"/>
        <w:rPr>
          <w:lang w:eastAsia="zh-CN"/>
        </w:rPr>
      </w:pPr>
      <w:r>
        <w:rPr>
          <w:lang w:eastAsia="zh-CN"/>
        </w:rPr>
        <w:t>根据反演结果，基准模型调整受改革部门中外国企业在华生产的平均成本楔子。扩展到部门内活动组后，政策楔子只在实际受改革组中调整。未受改革部门和中国企业境外生产的政策楔子保持不变，工资、价格、投入产出需求、利润和创新则由模型内生调整。基准冲击为：</w:t>
      </w:r>
    </w:p>
    <w:p w14:paraId="02BD1B99" w14:textId="77777777" w:rsidR="002C0540" w:rsidRDefault="00FE1083">
      <w:pPr>
        <w:pStyle w:val="Equation"/>
        <w:rPr>
          <w:lang w:eastAsia="zh-CN"/>
        </w:rPr>
      </w:pPr>
      <w:r>
        <w:rPr>
          <w:lang w:eastAsia="zh-CN"/>
        </w:rPr>
        <w:tab/>
      </w:r>
      <m:oMath>
        <m:sSub>
          <m:sSubPr>
            <m:ctrlPr>
              <w:rPr>
                <w:rFonts w:ascii="Cambria Math" w:hAnsi="Cambria Math"/>
              </w:rPr>
            </m:ctrlPr>
          </m:sSubPr>
          <m:e>
            <m:acc>
              <m:accPr>
                <m:ctrlPr>
                  <w:rPr>
                    <w:rFonts w:ascii="Cambria Math" w:hAnsi="Cambria Math"/>
                  </w:rPr>
                </m:ctrlPr>
              </m:accPr>
              <m:e>
                <m:r>
                  <w:rPr>
                    <w:rFonts w:ascii="Cambria Math" w:hAnsi="Cambria Math"/>
                    <w:lang w:eastAsia="zh-CN"/>
                  </w:rPr>
                  <m:t>ξ</m:t>
                </m:r>
              </m:e>
            </m:acc>
          </m:e>
          <m:sub>
            <m:r>
              <w:rPr>
                <w:rFonts w:ascii="Cambria Math" w:hAnsi="Cambria Math"/>
                <w:lang w:eastAsia="zh-CN"/>
              </w:rPr>
              <m:t>imj</m:t>
            </m:r>
          </m:sub>
        </m:sSub>
        <m:r>
          <w:rPr>
            <w:rFonts w:ascii="Cambria Math" w:hAnsi="Cambria Math"/>
            <w:lang w:eastAsia="zh-CN"/>
          </w:rPr>
          <m:t>=</m:t>
        </m:r>
        <m:d>
          <m:dPr>
            <m:begChr m:val="{"/>
            <m:endChr m:val=""/>
            <m:ctrlPr>
              <w:rPr>
                <w:rFonts w:ascii="Cambria Math" w:hAnsi="Cambria Math"/>
              </w:rPr>
            </m:ctrlPr>
          </m:dPr>
          <m:e>
            <m:m>
              <m:mPr>
                <m:plcHide m:val="1"/>
                <m:mcs>
                  <m:mc>
                    <m:mcPr>
                      <m:count m:val="2"/>
                      <m:mcJc m:val="center"/>
                    </m:mcPr>
                  </m:mc>
                </m:mcs>
                <m:ctrlPr>
                  <w:rPr>
                    <w:rFonts w:ascii="Cambria Math" w:hAnsi="Cambria Math"/>
                  </w:rPr>
                </m:ctrlPr>
              </m:mPr>
              <m:mr>
                <m:e>
                  <m:r>
                    <m:rPr>
                      <m:sty m:val="p"/>
                    </m:rPr>
                    <w:rPr>
                      <w:rFonts w:ascii="Cambria Math" w:hAnsi="Cambria Math"/>
                      <w:lang w:eastAsia="zh-CN"/>
                    </w:rPr>
                    <m:t>exp</m:t>
                  </m:r>
                  <m:r>
                    <w:rPr>
                      <w:rFonts w:ascii="Cambria Math" w:hAnsi="Cambria Math"/>
                      <w:lang w:eastAsia="zh-CN"/>
                    </w:rPr>
                    <m:t>(-</m:t>
                  </m:r>
                  <m:sSub>
                    <m:sSubPr>
                      <m:ctrlPr>
                        <w:rPr>
                          <w:rFonts w:ascii="Cambria Math" w:hAnsi="Cambria Math"/>
                        </w:rPr>
                      </m:ctrlPr>
                    </m:sSubPr>
                    <m:e>
                      <m:acc>
                        <m:accPr>
                          <m:ctrlPr>
                            <w:rPr>
                              <w:rFonts w:ascii="Cambria Math" w:hAnsi="Cambria Math"/>
                            </w:rPr>
                          </m:ctrlPr>
                        </m:accPr>
                        <m:e>
                          <m:r>
                            <w:rPr>
                              <w:rFonts w:ascii="Cambria Math" w:hAnsi="Cambria Math"/>
                              <w:lang w:eastAsia="zh-CN"/>
                            </w:rPr>
                            <m:t>δ</m:t>
                          </m:r>
                        </m:e>
                      </m:acc>
                    </m:e>
                    <m:sub>
                      <m:r>
                        <w:rPr>
                          <w:rFonts w:ascii="Cambria Math" w:hAnsi="Cambria Math"/>
                          <w:lang w:eastAsia="zh-CN"/>
                        </w:rPr>
                        <m:t>mj</m:t>
                      </m:r>
                    </m:sub>
                  </m:sSub>
                  <m:r>
                    <w:rPr>
                      <w:rFonts w:ascii="Cambria Math" w:hAnsi="Cambria Math"/>
                      <w:lang w:eastAsia="zh-CN"/>
                    </w:rPr>
                    <m:t>),</m:t>
                  </m:r>
                </m:e>
                <m:e>
                  <m:r>
                    <w:rPr>
                      <w:rFonts w:ascii="Cambria Math" w:hAnsi="Cambria Math"/>
                      <w:lang w:eastAsia="zh-CN"/>
                    </w:rPr>
                    <m:t>i=C,m≠C,j∈</m:t>
                  </m:r>
                  <m:sSub>
                    <m:sSubPr>
                      <m:ctrlPr>
                        <w:rPr>
                          <w:rFonts w:ascii="Cambria Math" w:hAnsi="Cambria Math"/>
                        </w:rPr>
                      </m:ctrlPr>
                    </m:sSubPr>
                    <m:e>
                      <m:r>
                        <w:rPr>
                          <w:rFonts w:ascii="Cambria Math" w:hAnsi="Cambria Math"/>
                          <w:lang w:eastAsia="zh-CN"/>
                        </w:rPr>
                        <m:t>J</m:t>
                      </m:r>
                    </m:e>
                    <m:sub>
                      <m:r>
                        <w:rPr>
                          <w:rFonts w:ascii="Cambria Math" w:hAnsi="Cambria Math"/>
                          <w:lang w:eastAsia="zh-CN"/>
                        </w:rPr>
                        <m:t>R</m:t>
                      </m:r>
                    </m:sub>
                  </m:sSub>
                  <m:r>
                    <w:rPr>
                      <w:rFonts w:ascii="Cambria Math" w:hAnsi="Cambria Math"/>
                      <w:lang w:eastAsia="zh-CN"/>
                    </w:rPr>
                    <m:t>,</m:t>
                  </m:r>
                </m:e>
              </m:mr>
              <m:mr>
                <m:e>
                  <m:r>
                    <w:rPr>
                      <w:rFonts w:ascii="Cambria Math" w:hAnsi="Cambria Math"/>
                      <w:lang w:eastAsia="zh-CN"/>
                    </w:rPr>
                    <m:t>1,</m:t>
                  </m:r>
                </m:e>
                <m:e>
                  <m:r>
                    <m:rPr>
                      <m:nor/>
                    </m:rPr>
                    <w:rPr>
                      <w:rFonts w:ascii="Cambria Math" w:hAnsi="Cambria Math"/>
                      <w:lang w:eastAsia="zh-CN"/>
                    </w:rPr>
                    <m:t>其他关系</m:t>
                  </m:r>
                  <m:r>
                    <w:rPr>
                      <w:rFonts w:ascii="Cambria Math" w:hAnsi="Cambria Math"/>
                      <w:lang w:eastAsia="zh-CN"/>
                    </w:rPr>
                    <m:t>,</m:t>
                  </m:r>
                </m:e>
              </m:mr>
            </m:m>
          </m:e>
        </m:d>
      </m:oMath>
      <w:r>
        <w:rPr>
          <w:lang w:eastAsia="zh-CN"/>
        </w:rPr>
        <w:tab/>
        <w:t>(14)</w:t>
      </w:r>
    </w:p>
    <w:p w14:paraId="2BD86605" w14:textId="77777777" w:rsidR="002C0540" w:rsidRDefault="005D0D22" w:rsidP="006C781C">
      <w:pPr>
        <w:ind w:firstLine="720"/>
        <w:rPr>
          <w:lang w:eastAsia="zh-CN"/>
        </w:rPr>
      </w:pPr>
      <m:oMath>
        <m:sSub>
          <m:sSubPr>
            <m:ctrlPr>
              <w:rPr>
                <w:rFonts w:ascii="Cambria Math" w:hAnsi="Cambria Math"/>
              </w:rPr>
            </m:ctrlPr>
          </m:sSubPr>
          <m:e>
            <m:r>
              <w:rPr>
                <w:rFonts w:ascii="Cambria Math" w:hAnsi="Cambria Math"/>
                <w:lang w:eastAsia="zh-CN"/>
              </w:rPr>
              <m:t>J</m:t>
            </m:r>
          </m:e>
          <m:sub>
            <m:r>
              <w:rPr>
                <w:rFonts w:ascii="Cambria Math" w:hAnsi="Cambria Math"/>
                <w:lang w:eastAsia="zh-CN"/>
              </w:rPr>
              <m:t>R</m:t>
            </m:r>
          </m:sub>
        </m:sSub>
      </m:oMath>
      <w:r w:rsidR="00FE1083">
        <w:rPr>
          <w:lang w:eastAsia="zh-CN"/>
        </w:rPr>
        <w:t xml:space="preserve"> </w:t>
      </w:r>
      <w:r w:rsidR="00FE1083">
        <w:rPr>
          <w:lang w:eastAsia="zh-CN"/>
        </w:rPr>
        <w:t>表示包含受改革活动、且能够反演成本变化的部门集合。另设全国同幅冲击作为对照，比较不同冲击分布假设下的结果。粗部门平均楔子概括该部门的等价成本变化，不能据此认为部门内每项活动都受到了改革。</w:t>
      </w:r>
    </w:p>
    <w:p w14:paraId="27CE9274" w14:textId="77777777" w:rsidR="002C0540" w:rsidRDefault="00FE1083">
      <w:pPr>
        <w:pStyle w:val="af7"/>
        <w:rPr>
          <w:lang w:eastAsia="zh-CN"/>
        </w:rPr>
      </w:pPr>
      <w:r>
        <w:rPr>
          <w:lang w:eastAsia="zh-CN"/>
        </w:rPr>
        <w:t>表</w:t>
      </w:r>
      <w:r>
        <w:rPr>
          <w:lang w:eastAsia="zh-CN"/>
        </w:rPr>
        <w:t xml:space="preserve">A4 </w:t>
      </w:r>
      <w:r>
        <w:rPr>
          <w:lang w:eastAsia="zh-CN"/>
        </w:rPr>
        <w:t>反事实情景与实施边界</w:t>
      </w:r>
    </w:p>
    <w:tbl>
      <w:tblPr>
        <w:tblW w:w="0" w:type="auto"/>
        <w:jc w:val="center"/>
        <w:tblBorders>
          <w:top w:val="single" w:sz="8" w:space="0" w:color="000000"/>
          <w:left w:val="nil"/>
          <w:bottom w:val="single" w:sz="8" w:space="0" w:color="000000"/>
          <w:right w:val="nil"/>
          <w:insideH w:val="nil"/>
          <w:insideV w:val="nil"/>
        </w:tblBorders>
        <w:tblLayout w:type="fixed"/>
        <w:tblCellMar>
          <w:top w:w="85" w:type="dxa"/>
          <w:left w:w="80" w:type="dxa"/>
          <w:bottom w:w="85" w:type="dxa"/>
          <w:right w:w="80" w:type="dxa"/>
        </w:tblCellMar>
        <w:tblLook w:val="04A0" w:firstRow="1" w:lastRow="0" w:firstColumn="1" w:lastColumn="0" w:noHBand="0" w:noVBand="1"/>
      </w:tblPr>
      <w:tblGrid>
        <w:gridCol w:w="1778"/>
        <w:gridCol w:w="3557"/>
        <w:gridCol w:w="4025"/>
      </w:tblGrid>
      <w:tr w:rsidR="002C0540" w14:paraId="6F35DFAD" w14:textId="77777777">
        <w:trPr>
          <w:cantSplit/>
          <w:tblHeader/>
          <w:jc w:val="center"/>
        </w:trPr>
        <w:tc>
          <w:tcPr>
            <w:tcW w:w="1778" w:type="dxa"/>
            <w:tcBorders>
              <w:bottom w:val="single" w:sz="5" w:space="0" w:color="000000"/>
            </w:tcBorders>
            <w:vAlign w:val="center"/>
          </w:tcPr>
          <w:p w14:paraId="3AD5454E" w14:textId="77777777" w:rsidR="002C0540" w:rsidRDefault="00FE1083">
            <w:pPr>
              <w:pStyle w:val="TableText"/>
              <w:keepNext/>
              <w:jc w:val="center"/>
            </w:pPr>
            <w:r>
              <w:rPr>
                <w:b/>
              </w:rPr>
              <w:t>情景</w:t>
            </w:r>
          </w:p>
        </w:tc>
        <w:tc>
          <w:tcPr>
            <w:tcW w:w="3557" w:type="dxa"/>
            <w:tcBorders>
              <w:bottom w:val="single" w:sz="5" w:space="0" w:color="000000"/>
            </w:tcBorders>
            <w:vAlign w:val="center"/>
          </w:tcPr>
          <w:p w14:paraId="22D0A105" w14:textId="77777777" w:rsidR="002C0540" w:rsidRDefault="00FE1083">
            <w:pPr>
              <w:pStyle w:val="TableText"/>
              <w:keepNext/>
            </w:pPr>
            <w:r>
              <w:rPr>
                <w:b/>
              </w:rPr>
              <w:t>政策设定</w:t>
            </w:r>
          </w:p>
        </w:tc>
        <w:tc>
          <w:tcPr>
            <w:tcW w:w="4025" w:type="dxa"/>
            <w:tcBorders>
              <w:bottom w:val="single" w:sz="5" w:space="0" w:color="000000"/>
            </w:tcBorders>
            <w:vAlign w:val="center"/>
          </w:tcPr>
          <w:p w14:paraId="38BE14EF" w14:textId="77777777" w:rsidR="002C0540" w:rsidRDefault="00FE1083">
            <w:pPr>
              <w:pStyle w:val="TableText"/>
              <w:keepNext/>
            </w:pPr>
            <w:r>
              <w:rPr>
                <w:b/>
              </w:rPr>
              <w:t>报告边界</w:t>
            </w:r>
          </w:p>
        </w:tc>
      </w:tr>
      <w:tr w:rsidR="002C0540" w14:paraId="67872AF8" w14:textId="77777777">
        <w:trPr>
          <w:cantSplit/>
          <w:jc w:val="center"/>
        </w:trPr>
        <w:tc>
          <w:tcPr>
            <w:tcW w:w="1778" w:type="dxa"/>
            <w:vAlign w:val="center"/>
          </w:tcPr>
          <w:p w14:paraId="00D2DB4D" w14:textId="77777777" w:rsidR="002C0540" w:rsidRDefault="00FE1083">
            <w:pPr>
              <w:pStyle w:val="TableText"/>
            </w:pPr>
            <w:r>
              <w:t xml:space="preserve">CF1 </w:t>
            </w:r>
            <w:r>
              <w:t>逐次真实改革</w:t>
            </w:r>
          </w:p>
        </w:tc>
        <w:tc>
          <w:tcPr>
            <w:tcW w:w="3557" w:type="dxa"/>
            <w:vAlign w:val="center"/>
          </w:tcPr>
          <w:p w14:paraId="3433B85E" w14:textId="77777777" w:rsidR="002C0540" w:rsidRDefault="00FE1083">
            <w:pPr>
              <w:pStyle w:val="TableText"/>
              <w:rPr>
                <w:lang w:eastAsia="zh-CN"/>
              </w:rPr>
            </w:pPr>
            <w:r>
              <w:rPr>
                <w:lang w:eastAsia="zh-CN"/>
              </w:rPr>
              <w:t>比较相邻政策状态中能够识别效果的改革</w:t>
            </w:r>
          </w:p>
        </w:tc>
        <w:tc>
          <w:tcPr>
            <w:tcW w:w="4025" w:type="dxa"/>
            <w:vAlign w:val="center"/>
          </w:tcPr>
          <w:p w14:paraId="3F34CC1C" w14:textId="77777777" w:rsidR="002C0540" w:rsidRDefault="00FE1083">
            <w:pPr>
              <w:pStyle w:val="TableText"/>
              <w:rPr>
                <w:lang w:eastAsia="zh-CN"/>
              </w:rPr>
            </w:pPr>
            <w:r>
              <w:rPr>
                <w:lang w:eastAsia="zh-CN"/>
              </w:rPr>
              <w:t>报告每次有限限制改革的生产变化及既定模型条件下的结果</w:t>
            </w:r>
          </w:p>
        </w:tc>
      </w:tr>
      <w:tr w:rsidR="002C0540" w14:paraId="181C9154" w14:textId="77777777">
        <w:trPr>
          <w:cantSplit/>
          <w:jc w:val="center"/>
        </w:trPr>
        <w:tc>
          <w:tcPr>
            <w:tcW w:w="1778" w:type="dxa"/>
            <w:vAlign w:val="center"/>
          </w:tcPr>
          <w:p w14:paraId="478857B1" w14:textId="77777777" w:rsidR="002C0540" w:rsidRDefault="00FE1083">
            <w:pPr>
              <w:pStyle w:val="TableText"/>
            </w:pPr>
            <w:r>
              <w:t xml:space="preserve">CF2 </w:t>
            </w:r>
            <w:r>
              <w:t>累计改革</w:t>
            </w:r>
          </w:p>
        </w:tc>
        <w:tc>
          <w:tcPr>
            <w:tcW w:w="3557" w:type="dxa"/>
            <w:vAlign w:val="center"/>
          </w:tcPr>
          <w:p w14:paraId="5498F4D8" w14:textId="77777777" w:rsidR="002C0540" w:rsidRDefault="00FE1083">
            <w:pPr>
              <w:pStyle w:val="TableText"/>
              <w:rPr>
                <w:lang w:eastAsia="zh-CN"/>
              </w:rPr>
            </w:pPr>
            <w:r>
              <w:rPr>
                <w:lang w:eastAsia="zh-CN"/>
              </w:rPr>
              <w:t>比较预先选定的起止版本</w:t>
            </w:r>
          </w:p>
        </w:tc>
        <w:tc>
          <w:tcPr>
            <w:tcW w:w="4025" w:type="dxa"/>
            <w:vAlign w:val="center"/>
          </w:tcPr>
          <w:p w14:paraId="0AF5F09E" w14:textId="77777777" w:rsidR="002C0540" w:rsidRDefault="00FE1083">
            <w:pPr>
              <w:pStyle w:val="TableText"/>
              <w:rPr>
                <w:lang w:eastAsia="zh-CN"/>
              </w:rPr>
            </w:pPr>
            <w:r>
              <w:rPr>
                <w:lang w:eastAsia="zh-CN"/>
              </w:rPr>
              <w:t>核查累计改革是否有识别依据，不直接相加不同改革的估计系数</w:t>
            </w:r>
          </w:p>
        </w:tc>
      </w:tr>
      <w:tr w:rsidR="002C0540" w14:paraId="01B5C1CA" w14:textId="77777777">
        <w:trPr>
          <w:cantSplit/>
          <w:jc w:val="center"/>
        </w:trPr>
        <w:tc>
          <w:tcPr>
            <w:tcW w:w="1778" w:type="dxa"/>
            <w:vAlign w:val="center"/>
          </w:tcPr>
          <w:p w14:paraId="1AFFF246" w14:textId="77777777" w:rsidR="002C0540" w:rsidRDefault="00FE1083">
            <w:pPr>
              <w:pStyle w:val="TableText"/>
            </w:pPr>
            <w:r>
              <w:t xml:space="preserve">CF3 </w:t>
            </w:r>
            <w:r>
              <w:t>无后续改革</w:t>
            </w:r>
          </w:p>
        </w:tc>
        <w:tc>
          <w:tcPr>
            <w:tcW w:w="3557" w:type="dxa"/>
            <w:vAlign w:val="center"/>
          </w:tcPr>
          <w:p w14:paraId="67FE2817" w14:textId="77777777" w:rsidR="002C0540" w:rsidRDefault="00FE1083">
            <w:pPr>
              <w:pStyle w:val="TableText"/>
              <w:rPr>
                <w:lang w:eastAsia="zh-CN"/>
              </w:rPr>
            </w:pPr>
            <w:r>
              <w:rPr>
                <w:lang w:eastAsia="zh-CN"/>
              </w:rPr>
              <w:t>在同一经济基准下保留早期规则</w:t>
            </w:r>
          </w:p>
        </w:tc>
        <w:tc>
          <w:tcPr>
            <w:tcW w:w="4025" w:type="dxa"/>
            <w:vAlign w:val="center"/>
          </w:tcPr>
          <w:p w14:paraId="1C54F132" w14:textId="77777777" w:rsidR="002C0540" w:rsidRDefault="00FE1083">
            <w:pPr>
              <w:pStyle w:val="TableText"/>
              <w:rPr>
                <w:lang w:eastAsia="zh-CN"/>
              </w:rPr>
            </w:pPr>
            <w:r>
              <w:rPr>
                <w:lang w:eastAsia="zh-CN"/>
              </w:rPr>
              <w:t>说明保留的政策版本，以及关于改革可逆性和历史路径的假设</w:t>
            </w:r>
          </w:p>
        </w:tc>
      </w:tr>
      <w:tr w:rsidR="002C0540" w14:paraId="45BEBC62" w14:textId="77777777">
        <w:trPr>
          <w:cantSplit/>
          <w:jc w:val="center"/>
        </w:trPr>
        <w:tc>
          <w:tcPr>
            <w:tcW w:w="1778" w:type="dxa"/>
            <w:vAlign w:val="center"/>
          </w:tcPr>
          <w:p w14:paraId="34D825D2" w14:textId="77777777" w:rsidR="002C0540" w:rsidRDefault="00FE1083">
            <w:pPr>
              <w:pStyle w:val="TableText"/>
            </w:pPr>
            <w:r>
              <w:t xml:space="preserve">CF4 </w:t>
            </w:r>
            <w:r>
              <w:t>类型或组合分解</w:t>
            </w:r>
          </w:p>
        </w:tc>
        <w:tc>
          <w:tcPr>
            <w:tcW w:w="3557" w:type="dxa"/>
            <w:vAlign w:val="center"/>
          </w:tcPr>
          <w:p w14:paraId="632FAF0C" w14:textId="77777777" w:rsidR="002C0540" w:rsidRDefault="00FE1083">
            <w:pPr>
              <w:pStyle w:val="TableText"/>
              <w:rPr>
                <w:lang w:eastAsia="zh-CN"/>
              </w:rPr>
            </w:pPr>
            <w:r>
              <w:rPr>
                <w:lang w:eastAsia="zh-CN"/>
              </w:rPr>
              <w:t>分别调整能够独立识别的限制或改革组合</w:t>
            </w:r>
          </w:p>
        </w:tc>
        <w:tc>
          <w:tcPr>
            <w:tcW w:w="4025" w:type="dxa"/>
            <w:vAlign w:val="center"/>
          </w:tcPr>
          <w:p w14:paraId="375B5453" w14:textId="77777777" w:rsidR="002C0540" w:rsidRDefault="00FE1083">
            <w:pPr>
              <w:pStyle w:val="TableText"/>
              <w:rPr>
                <w:lang w:eastAsia="zh-CN"/>
              </w:rPr>
            </w:pPr>
            <w:r>
              <w:rPr>
                <w:lang w:eastAsia="zh-CN"/>
              </w:rPr>
              <w:t>限制共同变化时报告组合效果；单类净效应需要独立政策变化</w:t>
            </w:r>
          </w:p>
        </w:tc>
      </w:tr>
      <w:tr w:rsidR="002C0540" w14:paraId="4F15F95A" w14:textId="77777777">
        <w:trPr>
          <w:cantSplit/>
          <w:jc w:val="center"/>
        </w:trPr>
        <w:tc>
          <w:tcPr>
            <w:tcW w:w="1778" w:type="dxa"/>
            <w:vAlign w:val="center"/>
          </w:tcPr>
          <w:p w14:paraId="414DD956" w14:textId="77777777" w:rsidR="002C0540" w:rsidRDefault="00FE1083">
            <w:pPr>
              <w:pStyle w:val="TableText"/>
            </w:pPr>
            <w:r>
              <w:t xml:space="preserve">CF5 </w:t>
            </w:r>
            <w:r>
              <w:t>进一步开放</w:t>
            </w:r>
          </w:p>
        </w:tc>
        <w:tc>
          <w:tcPr>
            <w:tcW w:w="3557" w:type="dxa"/>
            <w:vAlign w:val="center"/>
          </w:tcPr>
          <w:p w14:paraId="62979AFF" w14:textId="77777777" w:rsidR="002C0540" w:rsidRDefault="00FE1083">
            <w:pPr>
              <w:pStyle w:val="TableText"/>
            </w:pPr>
            <w:r>
              <w:t>放松仍存的有限限制</w:t>
            </w:r>
          </w:p>
        </w:tc>
        <w:tc>
          <w:tcPr>
            <w:tcW w:w="4025" w:type="dxa"/>
            <w:vAlign w:val="center"/>
          </w:tcPr>
          <w:p w14:paraId="6D2211E9" w14:textId="77777777" w:rsidR="002C0540" w:rsidRDefault="00FE1083">
            <w:pPr>
              <w:pStyle w:val="TableText"/>
              <w:rPr>
                <w:lang w:eastAsia="zh-CN"/>
              </w:rPr>
            </w:pPr>
            <w:r>
              <w:rPr>
                <w:lang w:eastAsia="zh-CN"/>
              </w:rPr>
              <w:t>区分有样本依据的预测和样本范围之外的推演，不将结果视为福利上限</w:t>
            </w:r>
          </w:p>
        </w:tc>
      </w:tr>
    </w:tbl>
    <w:p w14:paraId="190BC624" w14:textId="77777777" w:rsidR="002C0540" w:rsidRDefault="002C0540">
      <w:pPr>
        <w:spacing w:after="40" w:line="84" w:lineRule="auto"/>
        <w:rPr>
          <w:lang w:eastAsia="zh-CN"/>
        </w:rPr>
      </w:pPr>
    </w:p>
    <w:p w14:paraId="73BD21C0" w14:textId="77777777" w:rsidR="002C0540" w:rsidRDefault="00FE1083" w:rsidP="006C781C">
      <w:pPr>
        <w:ind w:firstLine="720"/>
        <w:rPr>
          <w:lang w:eastAsia="zh-CN"/>
        </w:rPr>
      </w:pPr>
      <w:r>
        <w:rPr>
          <w:lang w:eastAsia="zh-CN"/>
        </w:rPr>
        <w:t>各情景使用同一经济基准，并说明采用的政策版本及涉及的活动、部门和母国范围。结果包括在华外资生产、部门总产出、三边流量和实际收入的变化。福利分解按照模型恒等式计算；各分解项的正负本身不足以证明相应机制在现实中成立。</w:t>
      </w:r>
    </w:p>
    <w:p w14:paraId="39C4B850" w14:textId="77777777" w:rsidR="002C0540" w:rsidRDefault="00FE1083" w:rsidP="006C781C">
      <w:pPr>
        <w:ind w:firstLine="720"/>
        <w:rPr>
          <w:lang w:eastAsia="zh-CN"/>
        </w:rPr>
      </w:pPr>
      <w:r>
        <w:rPr>
          <w:lang w:eastAsia="zh-CN"/>
        </w:rPr>
        <w:t>增强规格需要明确受改革组与未改革组之间的产品替代关系、投入来源和母国竞争方式。若在部门内设置两组</w:t>
      </w:r>
      <w:r>
        <w:rPr>
          <w:lang w:eastAsia="zh-CN"/>
        </w:rPr>
        <w:t xml:space="preserve"> CES </w:t>
      </w:r>
      <w:r>
        <w:rPr>
          <w:lang w:eastAsia="zh-CN"/>
        </w:rPr>
        <w:t>聚合，应单独定义并校准组间替代弹性，部门间的替代参数不能直接代用。若增加外资设立成本，或允许原来被禁止的生产线路进入模型，则需重新定义可行选择集，并校准基准水平；仅调整现有精确帽子代数中的相对冲击无法完成这些扩展。</w:t>
      </w:r>
    </w:p>
    <w:p w14:paraId="4ADFAEC0" w14:textId="77777777" w:rsidR="002C0540" w:rsidRDefault="00FE1083">
      <w:pPr>
        <w:pStyle w:val="1"/>
        <w:rPr>
          <w:lang w:eastAsia="zh-CN"/>
        </w:rPr>
      </w:pPr>
      <w:r>
        <w:rPr>
          <w:lang w:eastAsia="zh-CN"/>
        </w:rPr>
        <w:t xml:space="preserve">A8 </w:t>
      </w:r>
      <w:r>
        <w:rPr>
          <w:lang w:eastAsia="zh-CN"/>
        </w:rPr>
        <w:t>验证与不确定性</w:t>
      </w:r>
    </w:p>
    <w:p w14:paraId="023FE5DA" w14:textId="77777777" w:rsidR="002C0540" w:rsidRDefault="00FE1083" w:rsidP="006C781C">
      <w:pPr>
        <w:ind w:firstLine="720"/>
        <w:rPr>
          <w:lang w:eastAsia="zh-CN"/>
        </w:rPr>
      </w:pPr>
      <w:r>
        <w:rPr>
          <w:lang w:eastAsia="zh-CN"/>
        </w:rPr>
        <w:t>验证贯穿法律编码、因果识别和结构映射。政策编码核查条文版本、生效时间、适用范围和限制解除的依据，并抽查条目删除后仍保留的活动记录。政策匹配报告</w:t>
      </w:r>
      <w:r>
        <w:rPr>
          <w:lang w:eastAsia="zh-CN"/>
        </w:rPr>
        <w:t xml:space="preserve"> exact</w:t>
      </w:r>
      <w:r>
        <w:rPr>
          <w:lang w:eastAsia="zh-CN"/>
        </w:rPr>
        <w:t>、</w:t>
      </w:r>
      <w:r>
        <w:rPr>
          <w:lang w:eastAsia="zh-CN"/>
        </w:rPr>
        <w:t>narrow</w:t>
      </w:r>
      <w:r>
        <w:rPr>
          <w:lang w:eastAsia="zh-CN"/>
        </w:rPr>
        <w:t>、</w:t>
      </w:r>
      <w:r>
        <w:rPr>
          <w:lang w:eastAsia="zh-CN"/>
        </w:rPr>
        <w:t>partial</w:t>
      </w:r>
      <w:r>
        <w:rPr>
          <w:lang w:eastAsia="zh-CN"/>
        </w:rPr>
        <w:t>、不确定和未匹配记录各占多少，并通过固定匹配阈值、人工复核和替换</w:t>
      </w:r>
      <w:r>
        <w:rPr>
          <w:lang w:eastAsia="zh-CN"/>
        </w:rPr>
        <w:lastRenderedPageBreak/>
        <w:t>行业分类版本评估误差。企业活动生产价值汇总到结构部门前，先核对多业务拆分、最终控制国、重复企业记录和地区范围。</w:t>
      </w:r>
    </w:p>
    <w:p w14:paraId="68619776" w14:textId="77777777" w:rsidR="002C0540" w:rsidRDefault="00FE1083" w:rsidP="006C781C">
      <w:pPr>
        <w:ind w:firstLine="720"/>
        <w:rPr>
          <w:lang w:eastAsia="zh-CN"/>
        </w:rPr>
      </w:pPr>
      <w:r>
        <w:rPr>
          <w:lang w:eastAsia="zh-CN"/>
        </w:rPr>
        <w:t>因果识别报告每项改革中各类限制的完整变化、处理与对照活动、有效政策簇，以及样本覆盖的改革前后时期；同时检查改革前动态、提前反应、同期政策、选择进入和跨活动迁移。剔除业务变化企业的结果用于检验估计对样本选择是否敏感，主规格仍按基期业务分组。分别估计控制、产出、进入和退出的效果，判断生产份额变化主要来自所有权调整、既有企业规模变化还是新企业进入。</w:t>
      </w:r>
    </w:p>
    <w:p w14:paraId="02FC7DB6" w14:textId="77777777" w:rsidR="002C0540" w:rsidRDefault="00FE1083" w:rsidP="006C781C">
      <w:pPr>
        <w:ind w:firstLine="720"/>
        <w:rPr>
          <w:lang w:eastAsia="zh-CN"/>
        </w:rPr>
      </w:pPr>
      <w:r>
        <w:rPr>
          <w:lang w:eastAsia="zh-CN"/>
        </w:rPr>
        <w:t>结构反演先检查目标对参数的雅可比矩阵的秩，以及实际政策变化是否提供了区分参数所需的信息。保存基期份额、观察算子、参数版本、成本冲击的取值范围，以及优化和均衡求解日志；同时报告经验目标、模型拟合值、残差、搜索范围、边界解、目标是否能够达到和均衡是否收敛。检验单一成本机制能否同时解释外资生产与总生产；若拟合不符，说明模型机制或部门划分的不足。成本能否识别应由这些检验判断，而不只是看优化程序是否返回数值。分别比较粗部门模型与部门内暴露组模型，以及符合各自条件的</w:t>
      </w:r>
      <w:r>
        <w:rPr>
          <w:lang w:eastAsia="zh-CN"/>
        </w:rPr>
        <w:t xml:space="preserve"> PE </w:t>
      </w:r>
      <w:r>
        <w:rPr>
          <w:lang w:eastAsia="zh-CN"/>
        </w:rPr>
        <w:t>与</w:t>
      </w:r>
      <w:r>
        <w:rPr>
          <w:lang w:eastAsia="zh-CN"/>
        </w:rPr>
        <w:t xml:space="preserve"> GE </w:t>
      </w:r>
      <w:r>
        <w:rPr>
          <w:lang w:eastAsia="zh-CN"/>
        </w:rPr>
        <w:t>规格，并考察结构参数、经验目标和闭合条件变化对结果的影响。</w:t>
      </w:r>
    </w:p>
    <w:p w14:paraId="2B6F728E" w14:textId="77777777" w:rsidR="002C0540" w:rsidRDefault="00FE1083" w:rsidP="006C781C">
      <w:pPr>
        <w:ind w:firstLine="720"/>
        <w:rPr>
          <w:lang w:eastAsia="zh-CN"/>
        </w:rPr>
      </w:pPr>
      <w:r>
        <w:rPr>
          <w:lang w:eastAsia="zh-CN"/>
        </w:rPr>
        <w:t>为评估整条估计流程的不确定性，按实际政策赋值簇重抽样，并在每次重复中重新估计经济响应、构造部门目标、反演成本和求解均衡。政策匹配与基期生产权重的不确定性通过独立重编码或替代构造评估；结构参数则采用有来源的区间或外部校准情景。有效簇较少时采用适当的小样本推断方法，但缺乏独立政策变化仍会限制识别。无法反演或均衡不收敛的重复单独记录，计算区间时说明这些失败的处理方式，避免仅保留成功重复而低估不确定性。结果分别报告微观估计的不确定性，以及不同结构假设下的情景范围。</w:t>
      </w:r>
    </w:p>
    <w:p w14:paraId="6D8A7758" w14:textId="77777777" w:rsidR="002C0540" w:rsidRDefault="00FE1083">
      <w:pPr>
        <w:pStyle w:val="1"/>
        <w:rPr>
          <w:lang w:eastAsia="zh-CN"/>
        </w:rPr>
      </w:pPr>
      <w:r>
        <w:rPr>
          <w:lang w:eastAsia="zh-CN"/>
        </w:rPr>
        <w:t xml:space="preserve">A9 </w:t>
      </w:r>
      <w:r>
        <w:rPr>
          <w:lang w:eastAsia="zh-CN"/>
        </w:rPr>
        <w:t>实施顺序与阶段产物</w:t>
      </w:r>
    </w:p>
    <w:p w14:paraId="74115FEE" w14:textId="77777777" w:rsidR="002C0540" w:rsidRDefault="00FE1083" w:rsidP="006C781C">
      <w:pPr>
        <w:ind w:firstLine="720"/>
        <w:rPr>
          <w:lang w:eastAsia="zh-CN"/>
        </w:rPr>
      </w:pPr>
      <w:r>
        <w:rPr>
          <w:lang w:eastAsia="zh-CN"/>
        </w:rPr>
        <w:t>先选择一次法律状态明确、改革前已有外资生产、且处理与对照活动能够核实的有限限制改革，完成从政策编码、经济估计、成本反演到均衡求解的全流程试点。核实跨年法律记录、因果识别条件以及实证与模型的统计口径后，再扩展到历次改革。事件选择以实际政策变化和统计口径是否可比为依据，不根据估计结果是否显著筛选。</w:t>
      </w:r>
    </w:p>
    <w:p w14:paraId="599A1C21" w14:textId="77777777" w:rsidR="002C0540" w:rsidRDefault="00FE1083">
      <w:pPr>
        <w:pStyle w:val="af7"/>
        <w:rPr>
          <w:lang w:eastAsia="zh-CN"/>
        </w:rPr>
      </w:pPr>
      <w:r>
        <w:rPr>
          <w:lang w:eastAsia="zh-CN"/>
        </w:rPr>
        <w:lastRenderedPageBreak/>
        <w:t>表</w:t>
      </w:r>
      <w:r>
        <w:rPr>
          <w:lang w:eastAsia="zh-CN"/>
        </w:rPr>
        <w:t xml:space="preserve">A5 </w:t>
      </w:r>
      <w:r>
        <w:rPr>
          <w:lang w:eastAsia="zh-CN"/>
        </w:rPr>
        <w:t>实施阶段与验收条件</w:t>
      </w:r>
    </w:p>
    <w:tbl>
      <w:tblPr>
        <w:tblW w:w="0" w:type="auto"/>
        <w:jc w:val="center"/>
        <w:tblBorders>
          <w:top w:val="single" w:sz="8" w:space="0" w:color="000000"/>
          <w:left w:val="nil"/>
          <w:bottom w:val="single" w:sz="8" w:space="0" w:color="000000"/>
          <w:right w:val="nil"/>
          <w:insideH w:val="nil"/>
          <w:insideV w:val="nil"/>
        </w:tblBorders>
        <w:tblLayout w:type="fixed"/>
        <w:tblCellMar>
          <w:top w:w="85" w:type="dxa"/>
          <w:left w:w="80" w:type="dxa"/>
          <w:bottom w:w="85" w:type="dxa"/>
          <w:right w:w="80" w:type="dxa"/>
        </w:tblCellMar>
        <w:tblLook w:val="04A0" w:firstRow="1" w:lastRow="0" w:firstColumn="1" w:lastColumn="0" w:noHBand="0" w:noVBand="1"/>
      </w:tblPr>
      <w:tblGrid>
        <w:gridCol w:w="1778"/>
        <w:gridCol w:w="3557"/>
        <w:gridCol w:w="4025"/>
      </w:tblGrid>
      <w:tr w:rsidR="002C0540" w14:paraId="3E1A7058" w14:textId="77777777">
        <w:trPr>
          <w:cantSplit/>
          <w:tblHeader/>
          <w:jc w:val="center"/>
        </w:trPr>
        <w:tc>
          <w:tcPr>
            <w:tcW w:w="1778" w:type="dxa"/>
            <w:tcBorders>
              <w:bottom w:val="single" w:sz="5" w:space="0" w:color="000000"/>
            </w:tcBorders>
            <w:vAlign w:val="center"/>
          </w:tcPr>
          <w:p w14:paraId="083602C5" w14:textId="77777777" w:rsidR="002C0540" w:rsidRDefault="00FE1083">
            <w:pPr>
              <w:pStyle w:val="TableText"/>
              <w:keepNext/>
              <w:jc w:val="center"/>
            </w:pPr>
            <w:r>
              <w:rPr>
                <w:b/>
              </w:rPr>
              <w:t>阶段</w:t>
            </w:r>
          </w:p>
        </w:tc>
        <w:tc>
          <w:tcPr>
            <w:tcW w:w="3557" w:type="dxa"/>
            <w:tcBorders>
              <w:bottom w:val="single" w:sz="5" w:space="0" w:color="000000"/>
            </w:tcBorders>
            <w:vAlign w:val="center"/>
          </w:tcPr>
          <w:p w14:paraId="1B14FECF" w14:textId="77777777" w:rsidR="002C0540" w:rsidRDefault="00FE1083">
            <w:pPr>
              <w:pStyle w:val="TableText"/>
              <w:keepNext/>
            </w:pPr>
            <w:r>
              <w:rPr>
                <w:b/>
              </w:rPr>
              <w:t>主要产物</w:t>
            </w:r>
          </w:p>
        </w:tc>
        <w:tc>
          <w:tcPr>
            <w:tcW w:w="4025" w:type="dxa"/>
            <w:tcBorders>
              <w:bottom w:val="single" w:sz="5" w:space="0" w:color="000000"/>
            </w:tcBorders>
            <w:vAlign w:val="center"/>
          </w:tcPr>
          <w:p w14:paraId="0F800A5E" w14:textId="77777777" w:rsidR="002C0540" w:rsidRDefault="00FE1083">
            <w:pPr>
              <w:pStyle w:val="TableText"/>
              <w:keepNext/>
            </w:pPr>
            <w:r>
              <w:rPr>
                <w:b/>
              </w:rPr>
              <w:t>进入下一阶段的条件</w:t>
            </w:r>
          </w:p>
        </w:tc>
      </w:tr>
      <w:tr w:rsidR="002C0540" w14:paraId="5AC88C91" w14:textId="77777777">
        <w:trPr>
          <w:cantSplit/>
          <w:jc w:val="center"/>
        </w:trPr>
        <w:tc>
          <w:tcPr>
            <w:tcW w:w="1778" w:type="dxa"/>
            <w:vAlign w:val="center"/>
          </w:tcPr>
          <w:p w14:paraId="1754C2A7" w14:textId="77777777" w:rsidR="002C0540" w:rsidRDefault="00FE1083">
            <w:pPr>
              <w:pStyle w:val="TableText"/>
            </w:pPr>
            <w:r>
              <w:t>法律面板</w:t>
            </w:r>
          </w:p>
        </w:tc>
        <w:tc>
          <w:tcPr>
            <w:tcW w:w="3557" w:type="dxa"/>
            <w:vAlign w:val="center"/>
          </w:tcPr>
          <w:p w14:paraId="29BC3C9D" w14:textId="77777777" w:rsidR="002C0540" w:rsidRDefault="00FE1083">
            <w:pPr>
              <w:pStyle w:val="TableText"/>
              <w:rPr>
                <w:lang w:eastAsia="zh-CN"/>
              </w:rPr>
            </w:pPr>
            <w:r>
              <w:rPr>
                <w:lang w:eastAsia="zh-CN"/>
              </w:rPr>
              <w:t>跨年活动台账、六类限制、适用范围及版本对应关系</w:t>
            </w:r>
          </w:p>
        </w:tc>
        <w:tc>
          <w:tcPr>
            <w:tcW w:w="4025" w:type="dxa"/>
            <w:vAlign w:val="center"/>
          </w:tcPr>
          <w:p w14:paraId="356E1280" w14:textId="77777777" w:rsidR="002C0540" w:rsidRDefault="00FE1083">
            <w:pPr>
              <w:pStyle w:val="TableText"/>
              <w:rPr>
                <w:lang w:eastAsia="zh-CN"/>
              </w:rPr>
            </w:pPr>
            <w:r>
              <w:rPr>
                <w:lang w:eastAsia="zh-CN"/>
              </w:rPr>
              <w:t>能够区分限制保留、已取消和未查明，并核实生效时间</w:t>
            </w:r>
          </w:p>
        </w:tc>
      </w:tr>
      <w:tr w:rsidR="002C0540" w14:paraId="10F40151" w14:textId="77777777">
        <w:trPr>
          <w:cantSplit/>
          <w:jc w:val="center"/>
        </w:trPr>
        <w:tc>
          <w:tcPr>
            <w:tcW w:w="1778" w:type="dxa"/>
            <w:vAlign w:val="center"/>
          </w:tcPr>
          <w:p w14:paraId="5AC58F3C" w14:textId="77777777" w:rsidR="002C0540" w:rsidRDefault="00FE1083">
            <w:pPr>
              <w:pStyle w:val="TableText"/>
            </w:pPr>
            <w:r>
              <w:t>企业匹配</w:t>
            </w:r>
          </w:p>
        </w:tc>
        <w:tc>
          <w:tcPr>
            <w:tcW w:w="3557" w:type="dxa"/>
            <w:vAlign w:val="center"/>
          </w:tcPr>
          <w:p w14:paraId="6814D499" w14:textId="77777777" w:rsidR="002C0540" w:rsidRDefault="00FE1083">
            <w:pPr>
              <w:pStyle w:val="TableText"/>
              <w:rPr>
                <w:lang w:eastAsia="zh-CN"/>
              </w:rPr>
            </w:pPr>
            <w:r>
              <w:rPr>
                <w:lang w:eastAsia="zh-CN"/>
              </w:rPr>
              <w:t>改革前业务的政策暴露、活动产出及最终控制国</w:t>
            </w:r>
          </w:p>
        </w:tc>
        <w:tc>
          <w:tcPr>
            <w:tcW w:w="4025" w:type="dxa"/>
            <w:vAlign w:val="center"/>
          </w:tcPr>
          <w:p w14:paraId="022CEFB1" w14:textId="77777777" w:rsidR="002C0540" w:rsidRDefault="00FE1083">
            <w:pPr>
              <w:pStyle w:val="TableText"/>
              <w:rPr>
                <w:lang w:eastAsia="zh-CN"/>
              </w:rPr>
            </w:pPr>
            <w:r>
              <w:rPr>
                <w:lang w:eastAsia="zh-CN"/>
              </w:rPr>
              <w:t>企业及活动连接键唯一，产出汇总口径和覆盖范围一致</w:t>
            </w:r>
          </w:p>
        </w:tc>
      </w:tr>
      <w:tr w:rsidR="002C0540" w14:paraId="1569F303" w14:textId="77777777">
        <w:trPr>
          <w:cantSplit/>
          <w:jc w:val="center"/>
        </w:trPr>
        <w:tc>
          <w:tcPr>
            <w:tcW w:w="1778" w:type="dxa"/>
            <w:vAlign w:val="center"/>
          </w:tcPr>
          <w:p w14:paraId="7BE333C0" w14:textId="77777777" w:rsidR="002C0540" w:rsidRDefault="00FE1083">
            <w:pPr>
              <w:pStyle w:val="TableText"/>
            </w:pPr>
            <w:r>
              <w:t>改革识别</w:t>
            </w:r>
          </w:p>
        </w:tc>
        <w:tc>
          <w:tcPr>
            <w:tcW w:w="3557" w:type="dxa"/>
            <w:vAlign w:val="center"/>
          </w:tcPr>
          <w:p w14:paraId="56454DDA" w14:textId="77777777" w:rsidR="002C0540" w:rsidRDefault="00FE1083">
            <w:pPr>
              <w:pStyle w:val="TableText"/>
              <w:rPr>
                <w:lang w:eastAsia="zh-CN"/>
              </w:rPr>
            </w:pPr>
            <w:r>
              <w:rPr>
                <w:lang w:eastAsia="zh-CN"/>
              </w:rPr>
              <w:t>改革事件、处理与对照、动态效果及限制变化矩阵</w:t>
            </w:r>
          </w:p>
        </w:tc>
        <w:tc>
          <w:tcPr>
            <w:tcW w:w="4025" w:type="dxa"/>
            <w:vAlign w:val="center"/>
          </w:tcPr>
          <w:p w14:paraId="3BC87CD6" w14:textId="77777777" w:rsidR="002C0540" w:rsidRDefault="00FE1083">
            <w:pPr>
              <w:pStyle w:val="TableText"/>
              <w:rPr>
                <w:lang w:eastAsia="zh-CN"/>
              </w:rPr>
            </w:pPr>
            <w:r>
              <w:rPr>
                <w:lang w:eastAsia="zh-CN"/>
              </w:rPr>
              <w:t>处理与对照可比，政策变化足以识别效果；无法估计的改革另行说明</w:t>
            </w:r>
          </w:p>
        </w:tc>
      </w:tr>
      <w:tr w:rsidR="002C0540" w14:paraId="5F4110D5" w14:textId="77777777">
        <w:trPr>
          <w:cantSplit/>
          <w:jc w:val="center"/>
        </w:trPr>
        <w:tc>
          <w:tcPr>
            <w:tcW w:w="1778" w:type="dxa"/>
            <w:vAlign w:val="center"/>
          </w:tcPr>
          <w:p w14:paraId="1C9C88B1" w14:textId="77777777" w:rsidR="002C0540" w:rsidRDefault="00FE1083">
            <w:pPr>
              <w:pStyle w:val="TableText"/>
            </w:pPr>
            <w:r>
              <w:t>成本映射</w:t>
            </w:r>
          </w:p>
        </w:tc>
        <w:tc>
          <w:tcPr>
            <w:tcW w:w="3557" w:type="dxa"/>
            <w:vAlign w:val="center"/>
          </w:tcPr>
          <w:p w14:paraId="3C34B688" w14:textId="77777777" w:rsidR="002C0540" w:rsidRDefault="00FE1083">
            <w:pPr>
              <w:pStyle w:val="TableText"/>
              <w:rPr>
                <w:lang w:eastAsia="zh-CN"/>
              </w:rPr>
            </w:pPr>
            <w:r>
              <w:rPr>
                <w:lang w:eastAsia="zh-CN"/>
              </w:rPr>
              <w:t>模型与企业数据的对应关系、部门生产指标及成本相对变化</w:t>
            </w:r>
          </w:p>
        </w:tc>
        <w:tc>
          <w:tcPr>
            <w:tcW w:w="4025" w:type="dxa"/>
            <w:vAlign w:val="center"/>
          </w:tcPr>
          <w:p w14:paraId="4D4B5D24" w14:textId="77777777" w:rsidR="002C0540" w:rsidRDefault="00FE1083">
            <w:pPr>
              <w:pStyle w:val="TableText"/>
              <w:rPr>
                <w:lang w:eastAsia="zh-CN"/>
              </w:rPr>
            </w:pPr>
            <w:r>
              <w:rPr>
                <w:lang w:eastAsia="zh-CN"/>
              </w:rPr>
              <w:t>实证结果与</w:t>
            </w:r>
            <w:r>
              <w:rPr>
                <w:lang w:eastAsia="zh-CN"/>
              </w:rPr>
              <w:t>PE</w:t>
            </w:r>
            <w:r>
              <w:rPr>
                <w:lang w:eastAsia="zh-CN"/>
              </w:rPr>
              <w:t>或</w:t>
            </w:r>
            <w:r>
              <w:rPr>
                <w:lang w:eastAsia="zh-CN"/>
              </w:rPr>
              <w:t>GE</w:t>
            </w:r>
            <w:r>
              <w:rPr>
                <w:lang w:eastAsia="zh-CN"/>
              </w:rPr>
              <w:t>假设一致，拟合结果和多项指标检验能够复核</w:t>
            </w:r>
          </w:p>
        </w:tc>
      </w:tr>
      <w:tr w:rsidR="002C0540" w14:paraId="1E3F6F77" w14:textId="77777777">
        <w:trPr>
          <w:cantSplit/>
          <w:jc w:val="center"/>
        </w:trPr>
        <w:tc>
          <w:tcPr>
            <w:tcW w:w="1778" w:type="dxa"/>
            <w:vAlign w:val="center"/>
          </w:tcPr>
          <w:p w14:paraId="5E2FA4A7" w14:textId="77777777" w:rsidR="002C0540" w:rsidRDefault="00FE1083">
            <w:pPr>
              <w:pStyle w:val="TableText"/>
              <w:jc w:val="center"/>
            </w:pPr>
            <w:r>
              <w:t>反事实</w:t>
            </w:r>
          </w:p>
        </w:tc>
        <w:tc>
          <w:tcPr>
            <w:tcW w:w="3557" w:type="dxa"/>
            <w:vAlign w:val="center"/>
          </w:tcPr>
          <w:p w14:paraId="64CC7C5F" w14:textId="77777777" w:rsidR="002C0540" w:rsidRDefault="00FE1083">
            <w:pPr>
              <w:pStyle w:val="TableText"/>
              <w:rPr>
                <w:lang w:eastAsia="zh-CN"/>
              </w:rPr>
            </w:pPr>
            <w:r>
              <w:rPr>
                <w:lang w:eastAsia="zh-CN"/>
              </w:rPr>
              <w:t>有识别依据的改革模拟及模型扩展结果</w:t>
            </w:r>
          </w:p>
        </w:tc>
        <w:tc>
          <w:tcPr>
            <w:tcW w:w="4025" w:type="dxa"/>
            <w:vAlign w:val="center"/>
          </w:tcPr>
          <w:p w14:paraId="13CC4352" w14:textId="77777777" w:rsidR="002C0540" w:rsidRDefault="00FE1083">
            <w:pPr>
              <w:pStyle w:val="TableText"/>
              <w:rPr>
                <w:lang w:eastAsia="zh-CN"/>
              </w:rPr>
            </w:pPr>
            <w:r>
              <w:rPr>
                <w:lang w:eastAsia="zh-CN"/>
              </w:rPr>
              <w:t>改革范围与成本调整一致，均衡求解收敛，并说明不确定性和外推范围</w:t>
            </w:r>
          </w:p>
        </w:tc>
      </w:tr>
    </w:tbl>
    <w:p w14:paraId="02A3F76F" w14:textId="77777777" w:rsidR="002C0540" w:rsidRDefault="002C0540">
      <w:pPr>
        <w:spacing w:after="40" w:line="84" w:lineRule="auto"/>
        <w:rPr>
          <w:lang w:eastAsia="zh-CN"/>
        </w:rPr>
      </w:pPr>
    </w:p>
    <w:p w14:paraId="67581093" w14:textId="77777777" w:rsidR="002C0540" w:rsidRDefault="00FE1083" w:rsidP="006C781C">
      <w:pPr>
        <w:ind w:firstLine="720"/>
        <w:rPr>
          <w:lang w:eastAsia="zh-CN"/>
        </w:rPr>
      </w:pPr>
      <w:r>
        <w:rPr>
          <w:lang w:eastAsia="zh-CN"/>
        </w:rPr>
        <w:t>最终交付包括政策及匹配数据库、事件和样本登记表、可复现估计代码、结构冲击文件和均衡结果。结果表分别列示企业行为效果、实际观测的生产统计、给定条件下的预测响应、模型等价成本和均衡情景。对于无法单独识别的限制类型，以及模型尚不能描述的从禁止转为允许或部门内生产重新配置，说明具体原因；反演失败或均衡求解失败的情况也保留在结果登记中。不同规格的成功与失败情况一并列示，以便比较。</w:t>
      </w:r>
    </w:p>
    <w:p w14:paraId="3880BA89" w14:textId="77777777" w:rsidR="002C0540" w:rsidRDefault="00FE1083">
      <w:pPr>
        <w:pStyle w:val="1"/>
      </w:pPr>
      <w:r>
        <w:t>参考资料</w:t>
      </w:r>
    </w:p>
    <w:p w14:paraId="3D80F02A" w14:textId="77777777" w:rsidR="002C0540" w:rsidRDefault="00FE1083">
      <w:pPr>
        <w:pStyle w:val="Reference"/>
      </w:pPr>
      <w:r>
        <w:t>Eppinger, P., and H. Ma. 2023. Optimal Ownership and Firm Performance: An Analysis of China’s FDI Liberalization. CESifo Working Paper No. 10551.</w:t>
      </w:r>
    </w:p>
    <w:p w14:paraId="168A3F4C" w14:textId="77777777" w:rsidR="002C0540" w:rsidRDefault="00FE1083">
      <w:pPr>
        <w:pStyle w:val="Reference"/>
      </w:pPr>
      <w:r>
        <w:t>de Chaisemartin, C., and X. D’Haultfœuille. 2023. Two-way Fixed Effects and Differences-in-Differences Estimators with Several Treatments. Journal of Econometrics.</w:t>
      </w:r>
    </w:p>
    <w:p w14:paraId="50AAF763" w14:textId="77777777" w:rsidR="002C0540" w:rsidRDefault="00FE1083">
      <w:pPr>
        <w:pStyle w:val="Reference"/>
      </w:pPr>
      <w:r>
        <w:t>Santos Silva, J. M. C., and S. Tenreyro. 2006. The Log of Gravity. Review of Economics and Statistics, 88(4), 641–658.</w:t>
      </w:r>
    </w:p>
    <w:p w14:paraId="49E17452" w14:textId="77777777" w:rsidR="002C0540" w:rsidRDefault="00FE1083">
      <w:pPr>
        <w:pStyle w:val="Reference"/>
        <w:rPr>
          <w:lang w:eastAsia="zh-CN"/>
        </w:rPr>
      </w:pPr>
      <w:r>
        <w:rPr>
          <w:lang w:eastAsia="zh-CN"/>
        </w:rPr>
        <w:t>国家发展改革委、商务部。历年外商投资产业指导目录及外商投资准入特别管理措施负面清单。各改革按实际适用版本及生效时间引用。</w:t>
      </w:r>
    </w:p>
    <w:p w14:paraId="69384215" w14:textId="77777777" w:rsidR="002C0540" w:rsidRDefault="00FE1083">
      <w:pPr>
        <w:pStyle w:val="Reference"/>
        <w:rPr>
          <w:lang w:eastAsia="zh-CN"/>
        </w:rPr>
      </w:pPr>
      <w:r>
        <w:rPr>
          <w:lang w:eastAsia="zh-CN"/>
        </w:rPr>
        <w:t>中国高水平制度型开放与全球产业链网络重塑。研究稿及模型完整推导附录。</w:t>
      </w:r>
    </w:p>
    <w:p w14:paraId="2E4C06BB" w14:textId="77777777" w:rsidR="002C0540" w:rsidRDefault="00FE1083">
      <w:pPr>
        <w:pStyle w:val="Reference"/>
        <w:rPr>
          <w:lang w:eastAsia="zh-CN"/>
        </w:rPr>
      </w:pPr>
      <w:r>
        <w:rPr>
          <w:lang w:eastAsia="zh-CN"/>
        </w:rPr>
        <w:t>审稿人回复。教师研究修订材料，制度型开放测度及流量与成本映射部分。</w:t>
      </w:r>
    </w:p>
    <w:p w14:paraId="35AB0B60" w14:textId="77777777" w:rsidR="002C0540" w:rsidRDefault="00FE1083">
      <w:pPr>
        <w:pStyle w:val="Reference"/>
        <w:rPr>
          <w:lang w:eastAsia="zh-CN"/>
        </w:rPr>
      </w:pPr>
      <w:r>
        <w:rPr>
          <w:lang w:eastAsia="zh-CN"/>
        </w:rPr>
        <w:t>报告</w:t>
      </w:r>
      <w:r>
        <w:rPr>
          <w:lang w:eastAsia="zh-CN"/>
        </w:rPr>
        <w:t>_</w:t>
      </w:r>
      <w:r>
        <w:rPr>
          <w:lang w:eastAsia="zh-CN"/>
        </w:rPr>
        <w:t>重点标红版。教师研究方法报告，第</w:t>
      </w:r>
      <w:r>
        <w:rPr>
          <w:lang w:eastAsia="zh-CN"/>
        </w:rPr>
        <w:t>5</w:t>
      </w:r>
      <w:r>
        <w:rPr>
          <w:lang w:eastAsia="zh-CN"/>
        </w:rPr>
        <w:t>页成本映射与第</w:t>
      </w:r>
      <w:r>
        <w:rPr>
          <w:lang w:eastAsia="zh-CN"/>
        </w:rPr>
        <w:t>8</w:t>
      </w:r>
      <w:r>
        <w:rPr>
          <w:lang w:eastAsia="zh-CN"/>
        </w:rPr>
        <w:t>页参数衔接说明。本方案参考该报告的研究思路，未采用其中尚待核实的数值。</w:t>
      </w:r>
    </w:p>
    <w:sectPr w:rsidR="002C0540" w:rsidSect="00034616">
      <w:footerReference w:type="default" r:id="rId8"/>
      <w:pgSz w:w="12240" w:h="15840"/>
      <w:pgMar w:top="1440" w:right="1440" w:bottom="1440" w:left="1440" w:header="720" w:footer="64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C9F3C3" w14:textId="77777777" w:rsidR="005D0D22" w:rsidRDefault="005D0D22">
      <w:pPr>
        <w:spacing w:after="0" w:line="240" w:lineRule="auto"/>
      </w:pPr>
      <w:r>
        <w:separator/>
      </w:r>
    </w:p>
  </w:endnote>
  <w:endnote w:type="continuationSeparator" w:id="0">
    <w:p w14:paraId="2E1FEB33" w14:textId="77777777" w:rsidR="005D0D22" w:rsidRDefault="005D0D2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59D9AB" w14:textId="77777777" w:rsidR="002C0540" w:rsidRDefault="00FE1083">
    <w:pPr>
      <w:pStyle w:val="a7"/>
      <w:jc w:val="center"/>
    </w:pPr>
    <w:r>
      <w:fldChar w:fldCharType="begin"/>
    </w:r>
    <w:r>
      <w:instrText>PAGE</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AF4FC6" w14:textId="77777777" w:rsidR="005D0D22" w:rsidRDefault="005D0D22">
      <w:pPr>
        <w:spacing w:after="0" w:line="240" w:lineRule="auto"/>
      </w:pPr>
      <w:r>
        <w:separator/>
      </w:r>
    </w:p>
  </w:footnote>
  <w:footnote w:type="continuationSeparator" w:id="0">
    <w:p w14:paraId="278E079D" w14:textId="77777777" w:rsidR="005D0D22" w:rsidRDefault="005D0D2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587836803">
    <w:abstractNumId w:val="8"/>
  </w:num>
  <w:num w:numId="2" w16cid:durableId="521016866">
    <w:abstractNumId w:val="6"/>
  </w:num>
  <w:num w:numId="3" w16cid:durableId="633095668">
    <w:abstractNumId w:val="5"/>
  </w:num>
  <w:num w:numId="4" w16cid:durableId="403798814">
    <w:abstractNumId w:val="4"/>
  </w:num>
  <w:num w:numId="5" w16cid:durableId="530538523">
    <w:abstractNumId w:val="7"/>
  </w:num>
  <w:num w:numId="6" w16cid:durableId="527375847">
    <w:abstractNumId w:val="3"/>
  </w:num>
  <w:num w:numId="7" w16cid:durableId="470945582">
    <w:abstractNumId w:val="2"/>
  </w:num>
  <w:num w:numId="8" w16cid:durableId="1295403094">
    <w:abstractNumId w:val="1"/>
  </w:num>
  <w:num w:numId="9" w16cid:durableId="6667101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C0540"/>
    <w:rsid w:val="003268CE"/>
    <w:rsid w:val="00326F90"/>
    <w:rsid w:val="004B1FF2"/>
    <w:rsid w:val="004F26D2"/>
    <w:rsid w:val="005D0D22"/>
    <w:rsid w:val="006C781C"/>
    <w:rsid w:val="007B166D"/>
    <w:rsid w:val="00954789"/>
    <w:rsid w:val="00AA1D8D"/>
    <w:rsid w:val="00B47730"/>
    <w:rsid w:val="00B729EE"/>
    <w:rsid w:val="00CB0664"/>
    <w:rsid w:val="00FC693F"/>
    <w:rsid w:val="00FE108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A19D429"/>
  <w14:defaultImageDpi w14:val="300"/>
  <w15:docId w15:val="{7ACFBFEA-6D3A-409A-8A60-E45C1D4050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100" w:line="336" w:lineRule="auto"/>
    </w:pPr>
    <w:rPr>
      <w:rFonts w:ascii="Times New Roman" w:eastAsia="宋体" w:hAnsi="Times New Roman"/>
      <w:color w:val="000000"/>
      <w:sz w:val="24"/>
    </w:rPr>
  </w:style>
  <w:style w:type="paragraph" w:styleId="1">
    <w:name w:val="heading 1"/>
    <w:basedOn w:val="a1"/>
    <w:next w:val="a1"/>
    <w:link w:val="10"/>
    <w:uiPriority w:val="9"/>
    <w:qFormat/>
    <w:rsid w:val="00FC693F"/>
    <w:pPr>
      <w:keepNext/>
      <w:keepLines/>
      <w:spacing w:before="220"/>
      <w:outlineLvl w:val="0"/>
    </w:pPr>
    <w:rPr>
      <w:rFonts w:eastAsia="黑体"/>
      <w:bCs/>
      <w:sz w:val="28"/>
      <w:szCs w:val="28"/>
    </w:rPr>
  </w:style>
  <w:style w:type="paragraph" w:styleId="21">
    <w:name w:val="heading 2"/>
    <w:basedOn w:val="a1"/>
    <w:next w:val="a1"/>
    <w:link w:val="22"/>
    <w:uiPriority w:val="9"/>
    <w:unhideWhenUsed/>
    <w:qFormat/>
    <w:rsid w:val="00FC693F"/>
    <w:pPr>
      <w:keepNext/>
      <w:keepLines/>
      <w:spacing w:before="140"/>
      <w:outlineLvl w:val="1"/>
    </w:pPr>
    <w:rPr>
      <w:rFonts w:eastAsia="黑体"/>
      <w:bCs/>
      <w:sz w:val="25"/>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keepNext/>
      <w:spacing w:after="180" w:line="240" w:lineRule="auto"/>
      <w:contextualSpacing/>
    </w:pPr>
    <w:rPr>
      <w:rFonts w:eastAsia="黑体"/>
      <w:spacing w:val="5"/>
      <w:kern w:val="28"/>
      <w:sz w:val="36"/>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keepNext/>
      <w:spacing w:before="120" w:after="80" w:line="240" w:lineRule="auto"/>
    </w:pPr>
    <w:rPr>
      <w:bCs/>
      <w:sz w:val="21"/>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ableText">
    <w:name w:val="Table Text"/>
    <w:pPr>
      <w:spacing w:after="20"/>
    </w:pPr>
    <w:rPr>
      <w:rFonts w:ascii="Times New Roman" w:eastAsia="宋体" w:hAnsi="Times New Roman"/>
      <w:color w:val="000000"/>
      <w:sz w:val="21"/>
    </w:rPr>
  </w:style>
  <w:style w:type="paragraph" w:customStyle="1" w:styleId="Equation">
    <w:name w:val="Equation"/>
    <w:pPr>
      <w:keepLines/>
      <w:tabs>
        <w:tab w:val="center" w:pos="4464"/>
        <w:tab w:val="right" w:pos="9360"/>
      </w:tabs>
      <w:spacing w:before="80" w:after="140" w:line="264" w:lineRule="auto"/>
    </w:pPr>
    <w:rPr>
      <w:rFonts w:ascii="Times New Roman" w:eastAsia="宋体" w:hAnsi="Times New Roman"/>
      <w:color w:val="000000"/>
      <w:sz w:val="23"/>
    </w:rPr>
  </w:style>
  <w:style w:type="paragraph" w:customStyle="1" w:styleId="Reference">
    <w:name w:val="Reference"/>
    <w:pPr>
      <w:spacing w:after="100" w:line="288" w:lineRule="auto"/>
    </w:pPr>
    <w:rPr>
      <w:rFonts w:ascii="Times New Roman" w:eastAsia="宋体" w:hAnsi="Times New Roman"/>
      <w:color w:val="000000"/>
      <w:sz w:val="21"/>
    </w:rPr>
  </w:style>
  <w:style w:type="paragraph" w:customStyle="1" w:styleId="DateLine">
    <w:name w:val="Date Line"/>
    <w:rPr>
      <w:rFonts w:ascii="Times New Roman" w:eastAsia="宋体" w:hAnsi="Times New Roman"/>
      <w:color w:val="000000"/>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168</TotalTime>
  <Pages>14</Pages>
  <Words>1947</Words>
  <Characters>11104</Characters>
  <Application>Microsoft Office Word</Application>
  <DocSecurity>0</DocSecurity>
  <Lines>92</Lines>
  <Paragraphs>26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13025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外资准入改革的企业效应与跨国生产成本反演研究方案</dc:title>
  <dc:subject/>
  <dc:creator/>
  <cp:keywords/>
  <dc:description/>
  <cp:lastModifiedBy>镇宇 杨</cp:lastModifiedBy>
  <cp:revision>6</cp:revision>
  <dcterms:created xsi:type="dcterms:W3CDTF">2013-12-23T23:15:00Z</dcterms:created>
  <dcterms:modified xsi:type="dcterms:W3CDTF">2026-10-07T07:48:00Z</dcterms:modified>
  <cp:category/>
</cp:coreProperties>
</file>