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a"/>
        <w:jc w:val="center"/>
      </w:pPr>
      <w:r>
        <w:t>附录A 外资准入负面清单的政策测度、跨国投资成本识别与一般均衡反事实</w:t>
      </w:r>
    </w:p>
    <w:p>
      <w:pPr/>
      <w:r>
        <w:t xml:space="preserve">本附录利用历年外资准入政策与企业数据，研究准入限制放松对企业所有权、进入和在华生产的影响，并据此测算跨国生产成本变化。首先判断企业适用哪些政策，再估计改革引起的生产变化，最后将能够与结构模型对应的部门生产结果用于成本反演和一般均衡分析。</w:t>
      </w:r>
    </w:p>
    <w:p>
      <w:pPr/>
      <w:r>
        <w:t xml:space="preserve">政策测度采用GB/T 4754—2017四位小类统一行业口径，并根据企业改革前业务，逐版判断适用规则。企业层面的基准分析考察改革前已有企业的生产、控制权和存续变化。为研究部门总体生产，另用覆盖当期全部经营企业的行业资料，考察包括新设企业在内的生产变化。再根据两类分析的样本范围和识别条件，确定用于成本反演的部门生产目标。</w:t>
      </w:r>
    </w:p>
    <w:p>
      <w:pPr>
        <w:keepNext/>
      </w:pPr>
      <w:r>
        <w:t>设</w:t>
      </w:r>
      <m:oMath>
        <m:box>
          <m:boxPr>
            <m:noBreak m:val="1"/>
          </m:boxPr>
          <m:e>
            <m:r>
              <w:rPr>
                <w:rFonts w:ascii="Cambria Math" w:hAnsi="Cambria Math" w:eastAsia="宋体"/>
                <w:sz w:val="24"/>
              </w:rPr>
              <m:t>f</m:t>
            </m:r>
          </m:e>
        </m:box>
      </m:oMath>
      <w:r>
        <w:t>为企业，</w:t>
      </w:r>
      <m:oMath>
        <m:box>
          <m:boxPr>
            <m:noBreak m:val="1"/>
          </m:boxPr>
          <m:e>
            <m:r>
              <w:rPr>
                <w:rFonts w:ascii="Cambria Math" w:hAnsi="Cambria Math" w:eastAsia="宋体"/>
                <w:sz w:val="24"/>
              </w:rPr>
              <m:t>c</m:t>
            </m:r>
          </m:e>
        </m:box>
      </m:oMath>
      <w:r>
        <w:t>为GB四位小类，</w:t>
      </w:r>
      <m:oMath>
        <m:box>
          <m:boxPr>
            <m:noBreak m:val="1"/>
          </m:boxPr>
          <m:e>
            <m:r>
              <w:rPr>
                <w:rFonts w:ascii="Cambria Math" w:hAnsi="Cambria Math" w:eastAsia="宋体"/>
                <w:sz w:val="24"/>
              </w:rPr>
              <m:t>r</m:t>
            </m:r>
          </m:e>
        </m:box>
      </m:oMath>
      <w:r>
        <w:t>为生产地区，</w:t>
      </w:r>
      <m:oMath>
        <m:box>
          <m:boxPr>
            <m:noBreak m:val="1"/>
          </m:boxPr>
          <m:e>
            <m:r>
              <w:rPr>
                <w:rFonts w:ascii="Cambria Math" w:hAnsi="Cambria Math" w:eastAsia="宋体"/>
                <w:sz w:val="24"/>
              </w:rPr>
              <m:t>t</m:t>
            </m:r>
          </m:e>
        </m:box>
      </m:oMath>
      <w:r>
        <w:t>为年份，</w:t>
      </w:r>
      <m:oMath>
        <m:box>
          <m:boxPr>
            <m:noBreak m:val="1"/>
          </m:boxPr>
          <m:e>
            <m:r>
              <w:rPr>
                <w:rFonts w:ascii="Cambria Math" w:hAnsi="Cambria Math" w:eastAsia="宋体"/>
                <w:sz w:val="24"/>
              </w:rPr>
              <m:t>e</m:t>
            </m:r>
          </m:e>
        </m:box>
      </m:oMath>
      <w:r>
        <w:t>为改革事件；结构模型中</w:t>
      </w:r>
      <m:oMath>
        <m:box>
          <m:boxPr>
            <m:noBreak m:val="1"/>
          </m:boxPr>
          <m:e>
            <m:r>
              <w:rPr>
                <w:rFonts w:ascii="Cambria Math" w:hAnsi="Cambria Math" w:eastAsia="宋体"/>
                <w:sz w:val="24"/>
              </w:rPr>
              <m:t>m</m:t>
            </m:r>
          </m:e>
        </m:box>
      </m:oMath>
      <w:r>
        <w:t>为企业最终控制母国，</w:t>
      </w:r>
      <m:oMath>
        <m:box>
          <m:boxPr>
            <m:noBreak m:val="1"/>
          </m:boxPr>
          <m:e>
            <m:r>
              <w:rPr>
                <w:rFonts w:ascii="Cambria Math" w:hAnsi="Cambria Math" w:eastAsia="宋体"/>
                <w:sz w:val="24"/>
              </w:rPr>
              <m:t>i</m:t>
            </m:r>
          </m:e>
        </m:box>
      </m:oMath>
      <w:r>
        <w:t>为生产国，</w:t>
      </w:r>
      <m:oMath>
        <m:box>
          <m:boxPr>
            <m:noBreak m:val="1"/>
          </m:boxPr>
          <m:e>
            <m:r>
              <w:rPr>
                <w:rFonts w:ascii="Cambria Math" w:hAnsi="Cambria Math" w:eastAsia="宋体"/>
                <w:sz w:val="24"/>
              </w:rPr>
              <m:t>n</m:t>
            </m:r>
          </m:e>
        </m:box>
      </m:oMath>
      <w:r>
        <w:t>为销售目的国，</w:t>
      </w:r>
      <m:oMath>
        <m:box>
          <m:boxPr>
            <m:noBreak m:val="1"/>
          </m:boxPr>
          <m:e>
            <m:r>
              <w:rPr>
                <w:rFonts w:ascii="Cambria Math" w:hAnsi="Cambria Math" w:eastAsia="宋体"/>
                <w:sz w:val="24"/>
              </w:rPr>
              <m:t>j</m:t>
            </m:r>
          </m:e>
        </m:box>
      </m:oMath>
      <w:r>
        <w:t>为部门，</w:t>
      </w:r>
      <m:oMath>
        <m:box>
          <m:boxPr>
            <m:noBreak m:val="1"/>
          </m:boxPr>
          <m:e>
            <m:r>
              <w:rPr>
                <w:rFonts w:ascii="Cambria Math" w:hAnsi="Cambria Math" w:eastAsia="宋体"/>
                <w:sz w:val="24"/>
              </w:rPr>
              <m:t>C</m:t>
            </m:r>
          </m:e>
        </m:box>
      </m:oMath>
      <w:r>
        <w:t>表示中国。政策暴露、生产响应与成本变化之间的关系为：</w:t>
      </w:r>
    </w:p>
    <w:p>
      <w:pPr>
        <w:pStyle w:val="Equation"/>
        <w:keepNext/>
      </w:pPr>
      <w:r>
        <w:tab/>
      </w:r>
      <m:oMath>
        <m:sSub>
          <m:e>
            <m:r>
              <w:rPr>
                <w:rFonts w:ascii="Cambria Math" w:hAnsi="Cambria Math" w:eastAsia="宋体"/>
                <w:sz w:val="23"/>
              </w:rPr>
              <m:rPr>
                <m:sty m:val="bi"/>
              </m:rPr>
              <m:t>Z</m:t>
            </m:r>
          </m:e>
          <m:sub>
            <m:r>
              <w:rPr>
                <w:rFonts w:ascii="Cambria Math" w:hAnsi="Cambria Math" w:eastAsia="宋体"/>
                <w:sz w:val="23"/>
              </w:rPr>
              <m:t>fte</m:t>
            </m:r>
          </m:sub>
        </m:sSub>
        <m:r>
          <w:rPr>
            <w:rFonts w:ascii="Cambria Math" w:hAnsi="Cambria Math" w:eastAsia="宋体"/>
            <w:sz w:val="23"/>
          </w:rPr>
          <m:t>→</m:t>
        </m:r>
        <m:acc>
          <m:accPr>
            <m:chr m:val="̂"/>
          </m:accPr>
          <m:e>
            <m:r>
              <w:rPr>
                <w:rFonts w:ascii="Cambria Math" w:hAnsi="Cambria Math" w:eastAsia="宋体"/>
                <w:sz w:val="23"/>
              </w:rPr>
              <m:rPr>
                <m:sty m:val="bi"/>
              </m:rPr>
              <m:t>μ</m:t>
            </m:r>
          </m:e>
        </m:acc>
        <m:r>
          <w:rPr>
            <w:rFonts w:ascii="Cambria Math" w:hAnsi="Cambria Math" w:eastAsia="宋体"/>
            <w:sz w:val="23"/>
          </w:rPr>
          <m:t>→</m:t>
        </m:r>
        <m:acc>
          <m:accPr>
            <m:chr m:val="̂"/>
          </m:accPr>
          <m:e>
            <m:r>
              <w:rPr>
                <w:rFonts w:ascii="Cambria Math" w:hAnsi="Cambria Math" w:eastAsia="宋体"/>
                <w:sz w:val="23"/>
              </w:rPr>
              <m:rPr>
                <m:sty m:val="bi"/>
              </m:rPr>
              <m:t>δ</m:t>
            </m:r>
          </m:e>
        </m:acc>
        <m:r>
          <w:rPr>
            <w:rFonts w:ascii="Cambria Math" w:hAnsi="Cambria Math" w:eastAsia="宋体"/>
            <w:sz w:val="23"/>
          </w:rPr>
          <m:t>→</m:t>
        </m:r>
        <m:sSub>
          <m:e>
            <m:acc>
              <m:accPr>
                <m:chr m:val="̂"/>
              </m:accPr>
              <m:e>
                <m:r>
                  <w:rPr>
                    <w:rFonts w:ascii="Cambria Math" w:hAnsi="Cambria Math" w:eastAsia="宋体"/>
                    <w:sz w:val="23"/>
                  </w:rPr>
                  <m:t>ξ</m:t>
                </m:r>
              </m:e>
            </m:acc>
          </m:e>
          <m:sub>
            <m:r>
              <w:rPr>
                <w:rFonts w:ascii="Cambria Math" w:hAnsi="Cambria Math" w:eastAsia="宋体"/>
                <w:sz w:val="23"/>
              </w:rPr>
              <m:t>Cmj</m:t>
            </m:r>
          </m:sub>
        </m:sSub>
        <m:r>
          <w:rPr>
            <w:rFonts w:ascii="Cambria Math" w:hAnsi="Cambria Math" w:eastAsia="宋体"/>
            <w:sz w:val="23"/>
          </w:rPr>
          <m:t>→</m:t>
        </m:r>
        <m:r>
          <w:rPr>
            <w:rFonts w:ascii="Cambria Math" w:hAnsi="Cambria Math" w:eastAsia="宋体"/>
            <w:sz w:val="23"/>
          </w:rPr>
          <m:t>{X,P,w,N,W}.</m:t>
        </m:r>
      </m:oMath>
      <w:r>
        <w:tab/>
        <w:t>(A1)</w:t>
      </w:r>
    </w:p>
    <w:p>
      <w:pPr/>
      <w:r>
        <w:t xml:space="preserve">其中，</w:t>
      </w:r>
      <m:oMath>
        <m:box>
          <m:boxPr>
            <m:noBreak m:val="1"/>
          </m:boxPr>
          <m:e>
            <m:sSub>
              <m:e>
                <m:r>
                  <w:rPr>
                    <w:rFonts w:ascii="Cambria Math" w:hAnsi="Cambria Math" w:eastAsia="宋体"/>
                    <w:sz w:val="24"/>
                  </w:rPr>
                  <m:rPr>
                    <m:sty m:val="bi"/>
                  </m:rPr>
                  <m:t>Z</m:t>
                </m:r>
              </m:e>
              <m:sub>
                <m:r>
                  <w:rPr>
                    <w:rFonts w:ascii="Cambria Math" w:hAnsi="Cambria Math" w:eastAsia="宋体"/>
                    <w:sz w:val="24"/>
                  </w:rPr>
                  <m:t>fte</m:t>
                </m:r>
              </m:sub>
            </m:sSub>
          </m:e>
        </m:box>
      </m:oMath>
      <w:r>
        <w:t xml:space="preserve">为企业适用的六类政策限制，</w:t>
      </w:r>
      <m:oMath>
        <m:box>
          <m:boxPr>
            <m:noBreak m:val="1"/>
          </m:boxPr>
          <m:e>
            <m:acc>
              <m:accPr>
                <m:chr m:val="̂"/>
              </m:accPr>
              <m:e>
                <m:r>
                  <w:rPr>
                    <w:rFonts w:ascii="Cambria Math" w:hAnsi="Cambria Math" w:eastAsia="宋体"/>
                    <w:sz w:val="24"/>
                  </w:rPr>
                  <m:rPr>
                    <m:sty m:val="bi"/>
                  </m:rPr>
                  <m:t>μ</m:t>
                </m:r>
              </m:e>
            </m:acc>
          </m:e>
        </m:box>
      </m:oMath>
      <w:r>
        <w:t xml:space="preserve">为估计得到的生产变化，</w:t>
      </w:r>
      <m:oMath>
        <m:box>
          <m:boxPr>
            <m:noBreak m:val="1"/>
          </m:boxPr>
          <m:e>
            <m:acc>
              <m:accPr>
                <m:chr m:val="̂"/>
              </m:accPr>
              <m:e>
                <m:r>
                  <w:rPr>
                    <w:rFonts w:ascii="Cambria Math" w:hAnsi="Cambria Math" w:eastAsia="宋体"/>
                    <w:sz w:val="24"/>
                  </w:rPr>
                  <m:rPr>
                    <m:sty m:val="bi"/>
                  </m:rPr>
                  <m:t>δ</m:t>
                </m:r>
              </m:e>
            </m:acc>
          </m:e>
        </m:box>
      </m:oMath>
      <w:r>
        <w:t xml:space="preserve">为成本对数变化的估计值，</w:t>
      </w:r>
      <m:oMath>
        <m:box>
          <m:boxPr>
            <m:noBreak m:val="1"/>
          </m:boxPr>
          <m:e>
            <m:sSub>
              <m:e>
                <m:acc>
                  <m:accPr>
                    <m:chr m:val="̂"/>
                  </m:accPr>
                  <m:e>
                    <m:r>
                      <w:rPr>
                        <w:rFonts w:ascii="Cambria Math" w:hAnsi="Cambria Math" w:eastAsia="宋体"/>
                        <w:sz w:val="24"/>
                      </w:rPr>
                      <m:t>ξ</m:t>
                    </m:r>
                  </m:e>
                </m:acc>
              </m:e>
              <m:sub>
                <m:r>
                  <w:rPr>
                    <w:rFonts w:ascii="Cambria Math" w:hAnsi="Cambria Math" w:eastAsia="宋体"/>
                    <w:sz w:val="24"/>
                  </w:rPr>
                  <m:t>Cmj</m:t>
                </m:r>
              </m:sub>
            </m:sSub>
          </m:e>
        </m:box>
      </m:oMath>
      <w:r>
        <w:t xml:space="preserve">为跨国生产效率的变化倍数。</w:t>
      </w:r>
      <m:oMath>
        <m:box>
          <m:boxPr>
            <m:noBreak m:val="1"/>
          </m:boxPr>
          <m:e>
            <m:r>
              <w:rPr>
                <w:rFonts w:ascii="Cambria Math" w:hAnsi="Cambria Math" w:eastAsia="宋体"/>
                <w:sz w:val="24"/>
              </w:rPr>
              <m:t>X</m:t>
            </m:r>
          </m:e>
        </m:box>
      </m:oMath>
      <w:r>
        <w:t xml:space="preserve">、</w:t>
      </w:r>
      <m:oMath>
        <m:box>
          <m:boxPr>
            <m:noBreak m:val="1"/>
          </m:boxPr>
          <m:e>
            <m:r>
              <w:rPr>
                <w:rFonts w:ascii="Cambria Math" w:hAnsi="Cambria Math" w:eastAsia="宋体"/>
                <w:sz w:val="24"/>
              </w:rPr>
              <m:t>P</m:t>
            </m:r>
          </m:e>
        </m:box>
      </m:oMath>
      <w:r>
        <w:t xml:space="preserve">、</w:t>
      </w:r>
      <m:oMath>
        <m:box>
          <m:boxPr>
            <m:noBreak m:val="1"/>
          </m:boxPr>
          <m:e>
            <m:r>
              <w:rPr>
                <w:rFonts w:ascii="Cambria Math" w:hAnsi="Cambria Math" w:eastAsia="宋体"/>
                <w:sz w:val="24"/>
              </w:rPr>
              <m:t>w</m:t>
            </m:r>
          </m:e>
        </m:box>
      </m:oMath>
      <w:r>
        <w:t xml:space="preserve">、</w:t>
      </w:r>
      <m:oMath>
        <m:box>
          <m:boxPr>
            <m:noBreak m:val="1"/>
          </m:boxPr>
          <m:e>
            <m:r>
              <w:rPr>
                <w:rFonts w:ascii="Cambria Math" w:hAnsi="Cambria Math" w:eastAsia="宋体"/>
                <w:sz w:val="24"/>
              </w:rPr>
              <m:t>N</m:t>
            </m:r>
          </m:e>
        </m:box>
      </m:oMath>
      <w:r>
        <w:t xml:space="preserve">和</w:t>
      </w:r>
      <m:oMath>
        <m:box>
          <m:boxPr>
            <m:noBreak m:val="1"/>
          </m:boxPr>
          <m:e>
            <m:r>
              <w:rPr>
                <w:rFonts w:ascii="Cambria Math" w:hAnsi="Cambria Math" w:eastAsia="宋体"/>
                <w:sz w:val="24"/>
              </w:rPr>
              <m:t>W</m:t>
            </m:r>
          </m:e>
        </m:box>
      </m:oMath>
      <w:r>
        <w:t xml:space="preserve">依次表示三边生产流量、价格、工资、产品种类和福利。文本匹配参考Eppinger and Ma（2023），结构分析沿用《中国高水平制度型开放与全球产业链网络重塑》及其修订稿的模型。基准分析考察改革前已有外资生产的业务，研究其股比、控制权等有限准入限制放松后的变化。禁止转为允许的情形另见A.4。</w:t>
      </w:r>
    </w:p>
    <w:p>
      <w:pPr>
        <w:pStyle w:val="1"/>
      </w:pPr>
      <w:r>
        <w:t>A.1 政策文本的测量对象</w:t>
      </w:r>
    </w:p>
    <w:p>
      <w:pPr>
        <w:pStyle w:val="21"/>
      </w:pPr>
      <w:r>
        <w:t>A.1.1 政策版本与政策编码单元</w:t>
      </w:r>
    </w:p>
    <w:p>
      <w:pPr/>
      <w:r>
        <w:t xml:space="preserve">本文拟整理1995—2024年《外商投资产业指导目录》和全国外资准入负面清单，并结合其他有效规定，判断各时期的外资准入条件。各版本分别记录发布日期、生效日期和过渡安排；地区试点、特殊区域及不同投资者资格下的适用规则另行核实。企业适用的政策按实际生效时间确定。只有年度产出数据时，将年内发生政策转换的年份作为过渡年度单列，并检验排除该年度后的结果。下文</w:t>
      </w:r>
      <m:oMath>
        <m:box>
          <m:boxPr>
            <m:noBreak m:val="1"/>
          </m:boxPr>
          <m:e>
            <m:r>
              <w:rPr>
                <w:rFonts w:ascii="Cambria Math" w:hAnsi="Cambria Math" w:eastAsia="宋体"/>
                <w:sz w:val="24"/>
              </w:rPr>
              <m:t>v(t)</m:t>
            </m:r>
          </m:e>
        </m:box>
      </m:oMath>
      <w:r>
        <w:t xml:space="preserve">表示完整政策期内适用的版本。</w:t>
      </w:r>
    </w:p>
    <w:p>
      <w:pPr/>
      <w:r>
        <w:t>政策编码单元是版本内能够独立判断准入条件的经济活动。同一条款涉及不同业务或适用条件时，按其法律含义拆分；同一业务受到多项限制时，完整保留各项要求。每个单元设置版本内编号 policy_unit_id，与原文及官方序号对应。不同版本分别编码，不建立政策单元之间的延续、拆分或合并关系。跨期比较以统一的行业分类和企业改革前业务为依据，具体方法见A.2。</w:t>
      </w:r>
    </w:p>
    <w:p>
      <w:pPr/>
      <w:r>
        <w:t xml:space="preserve">政策状态依据实际法律效果确定。鼓励类业务仍可能受到股比或控制权约束；指导目录改为独立负面清单，也不必然改变企业准入条件。原条款在后续版本中未出现时，须结合当期有效规定，判断限制是否已经取消、是否转由其他规定实施，或仍无法确认。数据库据此区分仍有限制、已核实取消、已核实无相应限制及状态未知，并保留判断依据。⁠</w:t>
      </w:r>
      <w:r>
        <w:rPr>
          <w:rStyle w:val="FootnoteReference"/>
        </w:rPr>
        <w:footnoteReference w:id="1"/>
      </w:r>
    </w:p>
    <w:p>
      <w:pPr>
        <w:pStyle w:val="af7"/>
        <w:keepNext/>
      </w:pPr>
      <w:r>
        <w:t>表A1 政策编码单元的基本记录</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0" w:type="dxa"/>
          <w:bottom w:w="50" w:type="dxa"/>
          <w:left w:w="80" w:type="dxa"/>
          <w:right w:w="80" w:type="dxa"/>
        </w:tblCellMar>
      </w:tblPr>
      <w:tblGrid>
        <w:gridCol w:w="2434"/>
        <w:gridCol w:w="6926"/>
      </w:tblGrid>
      <w:tr>
        <w:trPr>
          <w:cantSplit/>
          <w:tblHeader/>
        </w:trPr>
        <w:tc>
          <w:tcPr>
            <w:tcW w:type="dxa" w:w="2434"/>
            <w:vAlign w:val="center"/>
            <w:tcBorders>
              <w:bottom w:val="single" w:sz="5" w:color="000000"/>
            </w:tcBorders>
          </w:tcPr>
          <w:p>
            <w:pPr>
              <w:pStyle w:val="TableText"/>
              <w:keepNext/>
            </w:pPr>
            <w:r>
              <w:rPr>
                <w:b/>
              </w:rPr>
              <w:t>记录内容</w:t>
            </w:r>
          </w:p>
        </w:tc>
        <w:tc>
          <w:tcPr>
            <w:tcW w:type="dxa" w:w="6926"/>
            <w:vAlign w:val="center"/>
            <w:tcBorders>
              <w:bottom w:val="single" w:sz="5" w:color="000000"/>
            </w:tcBorders>
          </w:tcPr>
          <w:p>
            <w:pPr>
              <w:pStyle w:val="TableText"/>
              <w:keepNext/>
            </w:pPr>
            <w:r>
              <w:rPr>
                <w:b/>
              </w:rPr>
              <w:t>具体要求</w:t>
            </w:r>
          </w:p>
        </w:tc>
      </w:tr>
      <w:tr>
        <w:trPr>
          <w:cantSplit/>
        </w:trPr>
        <w:tc>
          <w:tcPr>
            <w:tcW w:type="dxa" w:w="2434"/>
            <w:vAlign w:val="center"/>
          </w:tcPr>
          <w:p>
            <w:pPr>
              <w:pStyle w:val="TableText"/>
            </w:pPr>
            <w:r>
              <w:t>版本及原文</w:t>
            </w:r>
          </w:p>
        </w:tc>
        <w:tc>
          <w:tcPr>
            <w:tcW w:type="dxa" w:w="6926"/>
            <w:vAlign w:val="center"/>
          </w:tcPr>
          <w:p>
            <w:pPr>
              <w:pStyle w:val="TableText"/>
            </w:pPr>
            <w:r>
              <w:t>政策名称、版本内编号、官方序号和原文位置</w:t>
            </w:r>
          </w:p>
        </w:tc>
      </w:tr>
      <w:tr>
        <w:trPr>
          <w:cantSplit/>
        </w:trPr>
        <w:tc>
          <w:tcPr>
            <w:tcW w:type="dxa" w:w="2434"/>
            <w:vAlign w:val="center"/>
          </w:tcPr>
          <w:p>
            <w:pPr>
              <w:pStyle w:val="TableText"/>
            </w:pPr>
            <w:r>
              <w:t>活动及限制</w:t>
            </w:r>
          </w:p>
        </w:tc>
        <w:tc>
          <w:tcPr>
            <w:tcW w:type="dxa" w:w="6926"/>
            <w:vAlign w:val="center"/>
          </w:tcPr>
          <w:p>
            <w:pPr>
              <w:pStyle w:val="TableText"/>
            </w:pPr>
            <w:r>
              <w:t>经济活动、六类限制及例外原文</w:t>
            </w:r>
          </w:p>
        </w:tc>
      </w:tr>
      <w:tr>
        <w:trPr>
          <w:cantSplit/>
        </w:trPr>
        <w:tc>
          <w:tcPr>
            <w:tcW w:type="dxa" w:w="2434"/>
            <w:vAlign w:val="center"/>
          </w:tcPr>
          <w:p>
            <w:pPr>
              <w:pStyle w:val="TableText"/>
            </w:pPr>
            <w:r>
              <w:t>适用条件</w:t>
            </w:r>
          </w:p>
        </w:tc>
        <w:tc>
          <w:tcPr>
            <w:tcW w:type="dxa" w:w="6926"/>
            <w:vAlign w:val="center"/>
          </w:tcPr>
          <w:p>
            <w:pPr>
              <w:pStyle w:val="TableText"/>
            </w:pPr>
            <w:r>
              <w:t>地区、投资者资格、业务或项目范围</w:t>
            </w:r>
          </w:p>
        </w:tc>
      </w:tr>
      <w:tr>
        <w:trPr>
          <w:cantSplit/>
        </w:trPr>
        <w:tc>
          <w:tcPr>
            <w:tcW w:type="dxa" w:w="2434"/>
            <w:vAlign w:val="center"/>
          </w:tcPr>
          <w:p>
            <w:pPr>
              <w:pStyle w:val="TableText"/>
            </w:pPr>
            <w:r>
              <w:t>适用时间</w:t>
            </w:r>
          </w:p>
        </w:tc>
        <w:tc>
          <w:tcPr>
            <w:tcW w:type="dxa" w:w="6926"/>
            <w:vAlign w:val="center"/>
          </w:tcPr>
          <w:p>
            <w:pPr>
              <w:pStyle w:val="TableText"/>
            </w:pPr>
            <w:r>
              <w:t>发布、生效日期及过渡安排</w:t>
            </w:r>
          </w:p>
        </w:tc>
      </w:tr>
      <w:tr>
        <w:trPr>
          <w:cantSplit/>
        </w:trPr>
        <w:tc>
          <w:tcPr>
            <w:tcW w:type="dxa" w:w="2434"/>
            <w:vAlign w:val="center"/>
          </w:tcPr>
          <w:p>
            <w:pPr>
              <w:pStyle w:val="TableText"/>
            </w:pPr>
            <w:r>
              <w:t>判断依据</w:t>
            </w:r>
          </w:p>
        </w:tc>
        <w:tc>
          <w:tcPr>
            <w:tcW w:type="dxa" w:w="6926"/>
            <w:vAlign w:val="center"/>
          </w:tcPr>
          <w:p>
            <w:pPr>
              <w:pStyle w:val="TableText"/>
            </w:pPr>
            <w:r>
              <w:t>法律状态、行业映射及人工核验记录</w:t>
            </w:r>
          </w:p>
        </w:tc>
      </w:tr>
    </w:tbl>
    <w:p>
      <w:pPr>
        <w:spacing w:after="40" w:before="0" w:line="84" w:lineRule="auto"/>
      </w:pPr>
    </w:p>
    <w:p>
      <w:pPr>
        <w:pStyle w:val="21"/>
      </w:pPr>
      <w:r>
        <w:t>A.1.2 限制变量的定义</w:t>
      </w:r>
    </w:p>
    <w:p>
      <w:pPr>
        <w:keepNext/>
      </w:pPr>
      <w:r>
        <w:t>设</w:t>
      </w:r>
      <m:oMath>
        <m:box>
          <m:boxPr>
            <m:noBreak m:val="1"/>
          </m:boxPr>
          <m:e>
            <m:r>
              <w:rPr>
                <w:rFonts w:ascii="Cambria Math" w:hAnsi="Cambria Math" w:eastAsia="宋体"/>
                <w:sz w:val="24"/>
              </w:rPr>
              <m:t>v</m:t>
            </m:r>
          </m:e>
        </m:box>
      </m:oMath>
      <w:r>
        <w:t>为政策版本，</w:t>
      </w:r>
      <m:oMath>
        <m:box>
          <m:boxPr>
            <m:noBreak m:val="1"/>
          </m:boxPr>
          <m:e>
            <m:r>
              <w:rPr>
                <w:rFonts w:ascii="Cambria Math" w:hAnsi="Cambria Math" w:eastAsia="宋体"/>
                <w:sz w:val="24"/>
              </w:rPr>
              <m:t>p</m:t>
            </m:r>
          </m:e>
        </m:box>
      </m:oMath>
      <w:r>
        <w:t>为版本内政策编码单元，其限制向量为：</w:t>
      </w:r>
    </w:p>
    <w:p>
      <w:pPr>
        <w:pStyle w:val="Equation"/>
        <w:keepNext/>
      </w:pPr>
      <w:r>
        <w:tab/>
      </w:r>
      <m:oMath>
        <m:sSub>
          <m:e>
            <m:r>
              <w:rPr>
                <w:rFonts w:ascii="Cambria Math" w:hAnsi="Cambria Math" w:eastAsia="宋体"/>
                <w:sz w:val="23"/>
              </w:rPr>
              <m:rPr>
                <m:sty m:val="bi"/>
              </m:rPr>
              <m:t>z</m:t>
            </m:r>
          </m:e>
          <m:sub>
            <m:r>
              <w:rPr>
                <w:rFonts w:ascii="Cambria Math" w:hAnsi="Cambria Math" w:eastAsia="宋体"/>
                <w:sz w:val="23"/>
              </w:rPr>
              <m:t>pv</m:t>
            </m:r>
          </m:sub>
        </m:sSub>
        <m:r>
          <w:rPr>
            <w:rFonts w:ascii="Cambria Math" w:hAnsi="Cambria Math" w:eastAsia="宋体"/>
            <w:sz w:val="23"/>
          </w:rPr>
          <m:t>=(</m:t>
        </m:r>
        <m:sSub>
          <m:e>
            <m:r>
              <w:rPr>
                <w:rFonts w:ascii="Cambria Math" w:hAnsi="Cambria Math" w:eastAsia="宋体"/>
                <w:sz w:val="23"/>
              </w:rPr>
              <m:t>P</m:t>
            </m:r>
          </m:e>
          <m:sub>
            <m:r>
              <w:rPr>
                <w:rFonts w:ascii="Cambria Math" w:hAnsi="Cambria Math" w:eastAsia="宋体"/>
                <w:sz w:val="23"/>
              </w:rPr>
              <m:t>pv</m:t>
            </m:r>
          </m:sub>
        </m:sSub>
        <m:r>
          <w:rPr>
            <w:rFonts w:ascii="Cambria Math" w:hAnsi="Cambria Math" w:eastAsia="宋体"/>
            <w:sz w:val="23"/>
          </w:rPr>
          <m:t>,</m:t>
        </m:r>
        <m:sSub>
          <m:e>
            <m:r>
              <w:rPr>
                <w:rFonts w:ascii="Cambria Math" w:hAnsi="Cambria Math" w:eastAsia="宋体"/>
                <w:sz w:val="23"/>
              </w:rPr>
              <m:t>E</m:t>
            </m:r>
          </m:e>
          <m:sub>
            <m:r>
              <w:rPr>
                <w:rFonts w:ascii="Cambria Math" w:hAnsi="Cambria Math" w:eastAsia="宋体"/>
                <w:sz w:val="23"/>
              </w:rPr>
              <m:t>pv</m:t>
            </m:r>
          </m:sub>
        </m:sSub>
        <m:r>
          <w:rPr>
            <w:rFonts w:ascii="Cambria Math" w:hAnsi="Cambria Math" w:eastAsia="宋体"/>
            <w:sz w:val="23"/>
          </w:rPr>
          <m:t>,</m:t>
        </m:r>
        <m:sSub>
          <m:e>
            <m:r>
              <w:rPr>
                <w:rFonts w:ascii="Cambria Math" w:hAnsi="Cambria Math" w:eastAsia="宋体"/>
                <w:sz w:val="23"/>
              </w:rPr>
              <m:t>C</m:t>
            </m:r>
          </m:e>
          <m:sub>
            <m:r>
              <w:rPr>
                <w:rFonts w:ascii="Cambria Math" w:hAnsi="Cambria Math" w:eastAsia="宋体"/>
                <w:sz w:val="23"/>
              </w:rPr>
              <m:t>pv</m:t>
            </m:r>
          </m:sub>
        </m:sSub>
        <m:r>
          <w:rPr>
            <w:rFonts w:ascii="Cambria Math" w:hAnsi="Cambria Math" w:eastAsia="宋体"/>
            <w:sz w:val="23"/>
          </w:rPr>
          <m:t>,</m:t>
        </m:r>
        <m:sSub>
          <m:e>
            <m:r>
              <w:rPr>
                <w:rFonts w:ascii="Cambria Math" w:hAnsi="Cambria Math" w:eastAsia="宋体"/>
                <w:sz w:val="23"/>
              </w:rPr>
              <m:t>O</m:t>
            </m:r>
          </m:e>
          <m:sub>
            <m:r>
              <w:rPr>
                <w:rFonts w:ascii="Cambria Math" w:hAnsi="Cambria Math" w:eastAsia="宋体"/>
                <w:sz w:val="23"/>
              </w:rPr>
              <m:t>pv</m:t>
            </m:r>
          </m:sub>
        </m:sSub>
        <m:r>
          <w:rPr>
            <w:rFonts w:ascii="Cambria Math" w:hAnsi="Cambria Math" w:eastAsia="宋体"/>
            <w:sz w:val="23"/>
          </w:rPr>
          <m:t>,</m:t>
        </m:r>
        <m:sSub>
          <m:e>
            <m:r>
              <w:rPr>
                <w:rFonts w:ascii="Cambria Math" w:hAnsi="Cambria Math" w:eastAsia="宋体"/>
                <w:sz w:val="23"/>
              </w:rPr>
              <m:t>G</m:t>
            </m:r>
          </m:e>
          <m:sub>
            <m:r>
              <w:rPr>
                <w:rFonts w:ascii="Cambria Math" w:hAnsi="Cambria Math" w:eastAsia="宋体"/>
                <w:sz w:val="23"/>
              </w:rPr>
              <m:t>pv</m:t>
            </m:r>
          </m:sub>
        </m:sSub>
        <m:r>
          <w:rPr>
            <w:rFonts w:ascii="Cambria Math" w:hAnsi="Cambria Math" w:eastAsia="宋体"/>
            <w:sz w:val="23"/>
          </w:rPr>
          <m:t>,</m:t>
        </m:r>
        <m:sSub>
          <m:e>
            <m:r>
              <w:rPr>
                <w:rFonts w:ascii="Cambria Math" w:hAnsi="Cambria Math" w:eastAsia="宋体"/>
                <w:sz w:val="23"/>
              </w:rPr>
              <m:t>R</m:t>
            </m:r>
          </m:e>
          <m:sub>
            <m:r>
              <w:rPr>
                <w:rFonts w:ascii="Cambria Math" w:hAnsi="Cambria Math" w:eastAsia="宋体"/>
                <w:sz w:val="23"/>
              </w:rPr>
              <m:t>pv</m:t>
            </m:r>
          </m:sub>
        </m:sSub>
        <m:r>
          <w:rPr>
            <w:rFonts w:ascii="Cambria Math" w:hAnsi="Cambria Math" w:eastAsia="宋体"/>
            <w:sz w:val="23"/>
          </w:rPr>
          <m:t>).</m:t>
        </m:r>
      </m:oMath>
      <w:r>
        <w:tab/>
        <w:t>(A2)</w:t>
      </w:r>
    </w:p>
    <w:p>
      <w:pPr/>
      <w:r>
        <w:t>六类变量分别记录不同的准入要求，具体编码见表A2，取值越大表示相应限制越强。各项要求同时记录适用条件；不同地区或投资者待遇不同时，分别判断。</w:t>
      </w:r>
    </w:p>
    <w:p>
      <w:pPr>
        <w:keepNext/>
      </w:pPr>
      <w:r>
        <w:t>原文规定外资总持股上限，或能够直接换算时，保留其原始数值</w:t>
      </w:r>
      <m:oMath>
        <m:box>
          <m:boxPr>
            <m:noBreak m:val="1"/>
          </m:boxPr>
          <m:e>
            <m:r>
              <w:rPr>
                <w:rFonts w:ascii="Cambria Math" w:hAnsi="Cambria Math" w:eastAsia="宋体"/>
                <w:sz w:val="24"/>
              </w:rPr>
              <m:t>ca</m:t>
            </m:r>
            <m:sSub>
              <m:e>
                <m:r>
                  <w:rPr>
                    <w:rFonts w:ascii="Cambria Math" w:hAnsi="Cambria Math" w:eastAsia="宋体"/>
                    <w:sz w:val="24"/>
                  </w:rPr>
                  <m:t>p</m:t>
                </m:r>
              </m:e>
              <m:sub>
                <m:r>
                  <w:rPr>
                    <w:rFonts w:ascii="Cambria Math" w:hAnsi="Cambria Math" w:eastAsia="宋体"/>
                    <w:sz w:val="24"/>
                  </w:rPr>
                  <m:t>pv</m:t>
                </m:r>
              </m:sub>
            </m:sSub>
          </m:e>
        </m:box>
      </m:oMath>
      <w:r>
        <w:t>，并定义：</w:t>
      </w:r>
    </w:p>
    <w:p>
      <w:pPr>
        <w:pStyle w:val="Equation"/>
        <w:keepNext/>
      </w:pPr>
      <w:r>
        <w:tab/>
      </w:r>
      <m:oMath>
        <m:sSub>
          <m:e>
            <m:r>
              <w:rPr>
                <w:rFonts w:ascii="Cambria Math" w:hAnsi="Cambria Math" w:eastAsia="宋体"/>
                <w:sz w:val="23"/>
              </w:rPr>
              <m:t>E</m:t>
            </m:r>
          </m:e>
          <m:sub>
            <m:r>
              <w:rPr>
                <w:rFonts w:ascii="Cambria Math" w:hAnsi="Cambria Math" w:eastAsia="宋体"/>
                <w:sz w:val="23"/>
              </w:rPr>
              <m:t>pv</m:t>
            </m:r>
          </m:sub>
        </m:sSub>
        <m:r>
          <w:rPr>
            <w:rFonts w:ascii="Cambria Math" w:hAnsi="Cambria Math" w:eastAsia="宋体"/>
            <w:sz w:val="23"/>
          </w:rPr>
          <m:t>=1-ca</m:t>
        </m:r>
        <m:sSub>
          <m:e>
            <m:r>
              <w:rPr>
                <w:rFonts w:ascii="Cambria Math" w:hAnsi="Cambria Math" w:eastAsia="宋体"/>
                <w:sz w:val="23"/>
              </w:rPr>
              <m:t>p</m:t>
            </m:r>
          </m:e>
          <m:sub>
            <m:r>
              <w:rPr>
                <w:rFonts w:ascii="Cambria Math" w:hAnsi="Cambria Math" w:eastAsia="宋体"/>
                <w:sz w:val="23"/>
              </w:rPr>
              <m:t>pv</m:t>
            </m:r>
          </m:sub>
        </m:sSub>
        <m:r>
          <w:rPr>
            <w:rFonts w:ascii="Cambria Math" w:hAnsi="Cambria Math" w:eastAsia="宋体"/>
            <w:sz w:val="23"/>
          </w:rPr>
          <m:t>.</m:t>
        </m:r>
      </m:oMath>
      <w:r>
        <w:tab/>
        <w:t>(A3)</w:t>
      </w:r>
    </w:p>
    <w:p>
      <w:pPr/>
      <w:r>
        <w:t xml:space="preserve">经核实没有明确数值要求时，</w:t>
      </w:r>
      <m:oMath>
        <m:box>
          <m:boxPr>
            <m:noBreak m:val="1"/>
          </m:boxPr>
          <m:e>
            <m:r>
              <w:rPr>
                <w:rFonts w:ascii="Cambria Math" w:hAnsi="Cambria Math" w:eastAsia="宋体"/>
                <w:sz w:val="24"/>
              </w:rPr>
              <m:t>E</m:t>
            </m:r>
          </m:e>
        </m:box>
      </m:oMath>
      <w:r>
        <w:t xml:space="preserve">记为0，但不为原始持股上限补填数值。“中方控股”等要求由</w:t>
      </w:r>
      <m:oMath>
        <m:box>
          <m:boxPr>
            <m:noBreak m:val="1"/>
          </m:boxPr>
          <m:e>
            <m:r>
              <w:rPr>
                <w:rFonts w:ascii="Cambria Math" w:hAnsi="Cambria Math" w:eastAsia="宋体"/>
                <w:sz w:val="24"/>
              </w:rPr>
              <m:t>C</m:t>
            </m:r>
          </m:e>
        </m:box>
      </m:oMath>
      <w:r>
        <w:t xml:space="preserve">记录，不统一换算为49%；单一外商持股上限归入</w:t>
      </w:r>
      <m:oMath>
        <m:box>
          <m:boxPr>
            <m:noBreak m:val="1"/>
          </m:boxPr>
          <m:e>
            <m:r>
              <w:rPr>
                <w:rFonts w:ascii="Cambria Math" w:hAnsi="Cambria Math" w:eastAsia="宋体"/>
                <w:sz w:val="24"/>
              </w:rPr>
              <m:t>R</m:t>
            </m:r>
          </m:e>
        </m:box>
      </m:oMath>
      <w:r>
        <w:t xml:space="preserve">。各维度记为0时，均须有相应的法律依据；未知状态保留缺失。禁止准入在A.4单列分析。</w:t>
      </w:r>
    </w:p>
    <w:p>
      <w:pPr>
        <w:pStyle w:val="af7"/>
        <w:keepNext/>
      </w:pPr>
      <w:r>
        <w:t>表A2 外资准入限制变量</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0" w:type="dxa"/>
          <w:bottom w:w="50" w:type="dxa"/>
          <w:left w:w="80" w:type="dxa"/>
          <w:right w:w="80" w:type="dxa"/>
        </w:tblCellMar>
      </w:tblPr>
      <w:tblGrid>
        <w:gridCol w:w="1123"/>
        <w:gridCol w:w="2527"/>
        <w:gridCol w:w="5710"/>
      </w:tblGrid>
      <w:tr>
        <w:trPr>
          <w:cantSplit/>
          <w:tblHeader/>
        </w:trPr>
        <w:tc>
          <w:tcPr>
            <w:tcW w:type="dxa" w:w="1123"/>
            <w:vAlign w:val="center"/>
            <w:tcBorders>
              <w:bottom w:val="single" w:sz="5" w:color="000000"/>
            </w:tcBorders>
          </w:tcPr>
          <w:p>
            <w:pPr>
              <w:pStyle w:val="TableText"/>
              <w:keepNext/>
              <w:jc w:val="center"/>
            </w:pPr>
            <w:r>
              <w:rPr>
                <w:b/>
              </w:rPr>
              <w:t>变量</w:t>
            </w:r>
          </w:p>
        </w:tc>
        <w:tc>
          <w:tcPr>
            <w:tcW w:type="dxa" w:w="2527"/>
            <w:vAlign w:val="center"/>
            <w:tcBorders>
              <w:bottom w:val="single" w:sz="5" w:color="000000"/>
            </w:tcBorders>
          </w:tcPr>
          <w:p>
            <w:pPr>
              <w:pStyle w:val="TableText"/>
              <w:keepNext/>
            </w:pPr>
            <w:r>
              <w:rPr>
                <w:b/>
              </w:rPr>
              <w:t>限制内容</w:t>
            </w:r>
          </w:p>
        </w:tc>
        <w:tc>
          <w:tcPr>
            <w:tcW w:type="dxa" w:w="5710"/>
            <w:vAlign w:val="center"/>
            <w:tcBorders>
              <w:bottom w:val="single" w:sz="5" w:color="000000"/>
            </w:tcBorders>
          </w:tcPr>
          <w:p>
            <w:pPr>
              <w:pStyle w:val="TableText"/>
              <w:keepNext/>
            </w:pPr>
            <w:r>
              <w:rPr>
                <w:b/>
              </w:rPr>
              <w:t>编码方法</w:t>
            </w:r>
          </w:p>
        </w:tc>
      </w:tr>
      <w:tr>
        <w:trPr>
          <w:cantSplit/>
        </w:trPr>
        <w:tc>
          <w:tcPr>
            <w:tcW w:type="dxa" w:w="1123"/>
            <w:vAlign w:val="center"/>
          </w:tcPr>
          <w:p>
            <w:pPr>
              <w:pStyle w:val="TableText"/>
              <w:keepNext/>
              <w:jc w:val="center"/>
            </w:pPr>
            <m:oMath>
              <m:box>
                <m:boxPr>
                  <m:noBreak m:val="1"/>
                </m:boxPr>
                <m:e>
                  <m:r>
                    <w:rPr>
                      <w:rFonts w:ascii="Cambria Math" w:hAnsi="Cambria Math" w:eastAsia="宋体"/>
                      <w:sz w:val="24"/>
                    </w:rPr>
                    <m:t>P</m:t>
                  </m:r>
                </m:e>
              </m:box>
            </m:oMath>
          </w:p>
        </w:tc>
        <w:tc>
          <w:tcPr>
            <w:tcW w:type="dxa" w:w="2527"/>
            <w:vAlign w:val="center"/>
          </w:tcPr>
          <w:p>
            <w:pPr>
              <w:pStyle w:val="TableText"/>
              <w:keepNext/>
            </w:pPr>
            <w:r>
              <w:t>禁止准入</w:t>
            </w:r>
          </w:p>
        </w:tc>
        <w:tc>
          <w:tcPr>
            <w:tcW w:type="dxa" w:w="5710"/>
            <w:vAlign w:val="center"/>
          </w:tcPr>
          <w:p>
            <w:pPr>
              <w:pStyle w:val="TableText"/>
              <w:keepNext/>
            </w:pPr>
            <w:r>
              <w:t>禁止为1，允许为0</w:t>
            </w:r>
          </w:p>
        </w:tc>
      </w:tr>
      <w:tr>
        <w:trPr>
          <w:cantSplit/>
        </w:trPr>
        <w:tc>
          <w:tcPr>
            <w:tcW w:type="dxa" w:w="1123"/>
            <w:vAlign w:val="center"/>
          </w:tcPr>
          <w:p>
            <w:pPr>
              <w:pStyle w:val="TableText"/>
              <w:keepNext/>
              <w:jc w:val="center"/>
            </w:pPr>
            <m:oMath>
              <m:box>
                <m:boxPr>
                  <m:noBreak m:val="1"/>
                </m:boxPr>
                <m:e>
                  <m:r>
                    <w:rPr>
                      <w:rFonts w:ascii="Cambria Math" w:hAnsi="Cambria Math" w:eastAsia="宋体"/>
                      <w:sz w:val="24"/>
                    </w:rPr>
                    <m:t>E</m:t>
                  </m:r>
                </m:e>
              </m:box>
            </m:oMath>
          </w:p>
        </w:tc>
        <w:tc>
          <w:tcPr>
            <w:tcW w:type="dxa" w:w="2527"/>
            <w:vAlign w:val="center"/>
          </w:tcPr>
          <w:p>
            <w:pPr>
              <w:pStyle w:val="TableText"/>
              <w:keepNext/>
            </w:pPr>
            <w:r>
              <w:t>明确数值股比限制</w:t>
            </w:r>
          </w:p>
        </w:tc>
        <w:tc>
          <w:tcPr>
            <w:tcW w:type="dxa" w:w="5710"/>
            <w:vAlign w:val="center"/>
          </w:tcPr>
          <w:p>
            <w:pPr>
              <w:pStyle w:val="TableText"/>
              <w:keepNext/>
            </w:pPr>
            <w:r>
              <w:t>1减外资总持股上限</w:t>
            </w:r>
          </w:p>
        </w:tc>
      </w:tr>
      <w:tr>
        <w:trPr>
          <w:cantSplit/>
        </w:trPr>
        <w:tc>
          <w:tcPr>
            <w:tcW w:type="dxa" w:w="1123"/>
            <w:vAlign w:val="center"/>
          </w:tcPr>
          <w:p>
            <w:pPr>
              <w:pStyle w:val="TableText"/>
              <w:keepNext/>
              <w:jc w:val="center"/>
            </w:pPr>
            <m:oMath>
              <m:box>
                <m:boxPr>
                  <m:noBreak m:val="1"/>
                </m:boxPr>
                <m:e>
                  <m:r>
                    <w:rPr>
                      <w:rFonts w:ascii="Cambria Math" w:hAnsi="Cambria Math" w:eastAsia="宋体"/>
                      <w:sz w:val="24"/>
                    </w:rPr>
                    <m:t>C</m:t>
                  </m:r>
                </m:e>
              </m:box>
            </m:oMath>
          </w:p>
        </w:tc>
        <w:tc>
          <w:tcPr>
            <w:tcW w:type="dxa" w:w="2527"/>
            <w:vAlign w:val="center"/>
          </w:tcPr>
          <w:p>
            <w:pPr>
              <w:pStyle w:val="TableText"/>
              <w:keepNext/>
            </w:pPr>
            <w:r>
              <w:t>中方控制要求</w:t>
            </w:r>
          </w:p>
        </w:tc>
        <w:tc>
          <w:tcPr>
            <w:tcW w:type="dxa" w:w="5710"/>
            <w:vAlign w:val="center"/>
          </w:tcPr>
          <w:p>
            <w:pPr>
              <w:pStyle w:val="TableText"/>
              <w:keepNext/>
            </w:pPr>
            <w:r>
              <w:t>要求中方控股、相对控股或主导时为1</w:t>
            </w:r>
          </w:p>
        </w:tc>
      </w:tr>
      <w:tr>
        <w:trPr>
          <w:cantSplit/>
        </w:trPr>
        <w:tc>
          <w:tcPr>
            <w:tcW w:type="dxa" w:w="1123"/>
            <w:vAlign w:val="center"/>
          </w:tcPr>
          <w:p>
            <w:pPr>
              <w:pStyle w:val="TableText"/>
              <w:keepNext/>
              <w:jc w:val="center"/>
            </w:pPr>
            <m:oMath>
              <m:box>
                <m:boxPr>
                  <m:noBreak m:val="1"/>
                </m:boxPr>
                <m:e>
                  <m:r>
                    <w:rPr>
                      <w:rFonts w:ascii="Cambria Math" w:hAnsi="Cambria Math" w:eastAsia="宋体"/>
                      <w:sz w:val="24"/>
                    </w:rPr>
                    <m:t>O</m:t>
                  </m:r>
                </m:e>
              </m:box>
            </m:oMath>
          </w:p>
        </w:tc>
        <w:tc>
          <w:tcPr>
            <w:tcW w:type="dxa" w:w="2527"/>
            <w:vAlign w:val="center"/>
          </w:tcPr>
          <w:p>
            <w:pPr>
              <w:pStyle w:val="TableText"/>
              <w:keepNext/>
            </w:pPr>
            <w:r>
              <w:t>组织形式限制</w:t>
            </w:r>
          </w:p>
        </w:tc>
        <w:tc>
          <w:tcPr>
            <w:tcW w:type="dxa" w:w="5710"/>
            <w:vAlign w:val="center"/>
          </w:tcPr>
          <w:p>
            <w:pPr>
              <w:pStyle w:val="TableText"/>
              <w:keepNext/>
            </w:pPr>
            <w:r>
              <w:t>要求合资、合作等特定形式时为1</w:t>
            </w:r>
          </w:p>
        </w:tc>
      </w:tr>
      <w:tr>
        <w:trPr>
          <w:cantSplit/>
        </w:trPr>
        <w:tc>
          <w:tcPr>
            <w:tcW w:type="dxa" w:w="1123"/>
            <w:vAlign w:val="center"/>
          </w:tcPr>
          <w:p>
            <w:pPr>
              <w:pStyle w:val="TableText"/>
              <w:keepNext/>
              <w:jc w:val="center"/>
            </w:pPr>
            <m:oMath>
              <m:box>
                <m:boxPr>
                  <m:noBreak m:val="1"/>
                </m:boxPr>
                <m:e>
                  <m:r>
                    <w:rPr>
                      <w:rFonts w:ascii="Cambria Math" w:hAnsi="Cambria Math" w:eastAsia="宋体"/>
                      <w:sz w:val="24"/>
                    </w:rPr>
                    <m:t>G</m:t>
                  </m:r>
                </m:e>
              </m:box>
            </m:oMath>
          </w:p>
        </w:tc>
        <w:tc>
          <w:tcPr>
            <w:tcW w:type="dxa" w:w="2527"/>
            <w:vAlign w:val="center"/>
          </w:tcPr>
          <w:p>
            <w:pPr>
              <w:pStyle w:val="TableText"/>
              <w:keepNext/>
            </w:pPr>
            <w:r>
              <w:t>治理限制</w:t>
            </w:r>
          </w:p>
        </w:tc>
        <w:tc>
          <w:tcPr>
            <w:tcW w:type="dxa" w:w="5710"/>
            <w:vAlign w:val="center"/>
          </w:tcPr>
          <w:p>
            <w:pPr>
              <w:pStyle w:val="TableText"/>
              <w:keepNext/>
            </w:pPr>
            <w:r>
              <w:t>对董事会、高管或法定代表人提出中方要求时为1</w:t>
            </w:r>
          </w:p>
        </w:tc>
      </w:tr>
      <w:tr>
        <w:trPr>
          <w:cantSplit/>
        </w:trPr>
        <w:tc>
          <w:tcPr>
            <w:tcW w:type="dxa" w:w="1123"/>
            <w:vAlign w:val="center"/>
          </w:tcPr>
          <w:p>
            <w:pPr>
              <w:pStyle w:val="TableText"/>
              <w:keepNext w:val="0"/>
              <w:jc w:val="center"/>
            </w:pPr>
            <m:oMath>
              <m:box>
                <m:boxPr>
                  <m:noBreak m:val="1"/>
                </m:boxPr>
                <m:e>
                  <m:r>
                    <w:rPr>
                      <w:rFonts w:ascii="Cambria Math" w:hAnsi="Cambria Math" w:eastAsia="宋体"/>
                      <w:sz w:val="24"/>
                    </w:rPr>
                    <m:t>R</m:t>
                  </m:r>
                </m:e>
              </m:box>
            </m:oMath>
          </w:p>
        </w:tc>
        <w:tc>
          <w:tcPr>
            <w:tcW w:type="dxa" w:w="2527"/>
            <w:vAlign w:val="center"/>
          </w:tcPr>
          <w:p>
            <w:pPr>
              <w:pStyle w:val="TableText"/>
              <w:keepNext w:val="0"/>
            </w:pPr>
            <w:r>
              <w:t>其他有限限制</w:t>
            </w:r>
          </w:p>
        </w:tc>
        <w:tc>
          <w:tcPr>
            <w:tcW w:type="dxa" w:w="5710"/>
            <w:vAlign w:val="center"/>
          </w:tcPr>
          <w:p>
            <w:pPr>
              <w:pStyle w:val="TableText"/>
              <w:keepNext w:val="0"/>
            </w:pPr>
            <w:r>
              <w:t>对数量、业务范围、地域或单一外商持股等提出要求时为1，并保留类别</w:t>
            </w:r>
          </w:p>
        </w:tc>
      </w:tr>
    </w:tbl>
    <w:p>
      <w:pPr>
        <w:spacing w:after="40" w:before="0" w:line="84" w:lineRule="auto"/>
      </w:pPr>
    </w:p>
    <w:p>
      <w:pPr>
        <w:pStyle w:val="21"/>
      </w:pPr>
      <w:r>
        <w:t>A.1.3 政策文本抽取与人工核验</w:t>
      </w:r>
    </w:p>
    <w:p>
      <w:pPr/>
      <w:r>
        <w:t xml:space="preserve">大语言模型辅助识别活动、限制、条件和例外，每项结果均须对应政策原文。先用规则检查比例、日期和变量取值，再人工复核条款拆分、限制取消、适用条件重合及低置信度结果，并随机抽取其他条款核验。模型版本、提示词和修改记录随编码结果保存。以独立人工标注检验编码准确性，分别报告总体及复杂条款的精确率、召回率和F1；另以重复抽取结果的一致程度考察稳定性。</w:t>
      </w:r>
    </w:p>
    <w:p>
      <w:pPr>
        <w:pStyle w:val="1"/>
      </w:pPr>
      <w:r>
        <w:t>A.2 从政策编码单元到企业政策暴露</w:t>
      </w:r>
    </w:p>
    <w:p>
      <w:pPr>
        <w:pStyle w:val="21"/>
      </w:pPr>
      <w:r>
        <w:t>A.2.1 历史政策活动与GB2017四位小类匹配</w:t>
      </w:r>
    </w:p>
    <w:p>
      <w:pPr/>
      <w:r>
        <w:t xml:space="preserve">本文统一采用GB/T 4754—2017及2019年第1号修改单，以下简称GB2017。核查资料时，分别记录政策生效时已经实施的行业标准、政策文件明确采用的分类依据，以及企业数据实际使用的行业版本。这三种分类依据可能不同。例如，2017年目录生效时实施的仍是GB2011，不能据目录年份认定其采用GB2017；企业数据采用何种标准，也应查阅相应统计说明。⁠</w:t>
      </w:r>
      <w:r>
        <w:rPr>
          <w:rStyle w:val="FootnoteReference"/>
        </w:rPr>
        <w:footnoteReference w:id="2"/>
      </w:r>
    </w:p>
    <w:p>
      <w:pPr/>
      <w:r>
        <w:t xml:space="preserve">基准方法根据历史政策条款的业务内容，直接匹配GB2017四位小类。首先，用行业名称、注释及包括和不包括的活动建立检索资料；其次，根据政策活动和适用范围检索候选代码；最后，由大语言模型结合原文与行业定义提出匹配判断，经人工复核后确定对应关系。语义相似度用于筛选候选，政策是否适用仍取决于业务内容及条款条件。</w:t>
      </w:r>
    </w:p>
    <w:p>
      <w:pPr/>
      <w:r>
        <w:t xml:space="preserve">一个编码单元可以对应多个小类，一个小类也可以涉及多项规则。每条对应关系均记录政策完整覆盖该小类、仅覆盖部分活动，还是覆盖范围尚待核实。只有该小类全部活动的政策待遇均已确认且一致时，才形成统一限制变量；存在差异时，保留各项规则及适用范围，供企业匹配使用。例如，对中国管辖海域及内陆水域的水产品捕捞限制涉及0421海水捕捞和0422内陆捕捞，须结合实际作业水域判断。2018、2020及2024年清单中的相关禁止规定持续存在，因此该例说明一个政策单元如何对应多个行业，不构成这些版本之间的开放事件。</w:t>
      </w:r>
    </w:p>
    <w:p>
      <w:pPr/>
      <w:r>
        <w:t xml:space="preserve">能够确认历史行业代码时，使用官方新旧类目对照表核验直接匹配结果。对照可能涉及GB1994、GB2002、GB2011和GB2017，各版本之间的关系分别核验，不要求所有条款依次经过全部版本。行业拆分或合并后出现多个候选代码的，依据活动内容进一步判断。资料不足时保留全部合理候选，不指定无依据的唯一代码或分配权重。旧版条款业务范围较宽、无法确定对应哪些细分行业时，注明尚未解决的分类问题。</w:t>
      </w:r>
    </w:p>
    <w:p>
      <w:pPr>
        <w:pStyle w:val="21"/>
      </w:pPr>
      <w:r>
        <w:t>A.2.2 GB2017四位小类到ISIC Rev.4及AMNE部门</w:t>
      </w:r>
    </w:p>
    <w:p>
      <w:pPr/>
      <w:r>
        <w:t xml:space="preserve">在GB2017分类基础上，依据官方对照资料转换至ISIC Rev.4四位行业，再按所用OECD-AMNE数据版本和现有模型部门表归并。分类版本、对应依据和未能确定的关系一并保存。多个候选行业最终属于同一模型部门时，可以确定部门归属；候选行业分属不同部门时，须依据业务资料或分业务产出进一步判断。只有企业总产出且无法确定部门归属时，不将产出任意拆分。确定部门归属后，才能按部门加总生产价值；企业实际适用的政策仍按具体业务判断。</w:t>
      </w:r>
    </w:p>
    <w:p>
      <w:pPr>
        <w:pStyle w:val="21"/>
      </w:pPr>
      <w:r>
        <w:t>A.2.3 企业核心产品与政策编码单元的语义匹配</w:t>
      </w:r>
    </w:p>
    <w:p>
      <w:pPr>
        <w:keepNext/>
      </w:pPr>
      <w:r>
        <w:t xml:space="preserve">对每次改革</w:t>
      </w:r>
      <m:oMath>
        <m:box>
          <m:boxPr>
            <m:noBreak m:val="1"/>
          </m:boxPr>
          <m:e>
            <m:r>
              <w:rPr>
                <w:rFonts w:ascii="Cambria Math" w:hAnsi="Cambria Math" w:eastAsia="宋体"/>
                <w:sz w:val="24"/>
              </w:rPr>
              <m:t>e</m:t>
            </m:r>
          </m:e>
        </m:box>
      </m:oMath>
      <w:r>
        <w:t xml:space="preserve">，以企业改革前的核心产品或主营业务描述</w:t>
      </w:r>
      <m:oMath>
        <m:box>
          <m:boxPr>
            <m:noBreak m:val="1"/>
          </m:boxPr>
          <m:e>
            <m:sSub>
              <m:e>
                <m:r>
                  <w:rPr>
                    <w:rFonts w:ascii="Cambria Math" w:hAnsi="Cambria Math" w:eastAsia="宋体"/>
                    <w:sz w:val="24"/>
                  </w:rPr>
                  <m:t>q</m:t>
                </m:r>
              </m:e>
              <m:sub>
                <m:r>
                  <w:rPr>
                    <w:rFonts w:ascii="Cambria Math" w:hAnsi="Cambria Math" w:eastAsia="宋体"/>
                    <w:sz w:val="24"/>
                  </w:rPr>
                  <m:t>fe0</m:t>
                </m:r>
              </m:sub>
            </m:sSub>
          </m:e>
        </m:box>
      </m:oMath>
      <w:r>
        <w:t xml:space="preserve">为比较依据。对提前公告的改革，优先使用公告前业务，同时固定相应地区和投资者资格。将企业行业统一至GB2017后，分别在各政策版本中检索相关单元，并核查适用的一般规则及例外。业务文本与候选单元的相似度为：</w:t>
      </w:r>
    </w:p>
    <w:p>
      <w:pPr>
        <w:pStyle w:val="Equation"/>
        <w:keepNext/>
      </w:pPr>
      <w:r>
        <w:tab/>
      </w:r>
      <m:oMath>
        <m:sSub>
          <m:e>
            <m:r>
              <w:rPr>
                <w:rFonts w:ascii="Cambria Math" w:hAnsi="Cambria Math" w:eastAsia="宋体"/>
                <w:sz w:val="23"/>
              </w:rPr>
              <m:t>s</m:t>
            </m:r>
          </m:e>
          <m:sub>
            <m:r>
              <w:rPr>
                <w:rFonts w:ascii="Cambria Math" w:hAnsi="Cambria Math" w:eastAsia="宋体"/>
                <w:sz w:val="23"/>
              </w:rPr>
              <m:t>fpv,e</m:t>
            </m:r>
          </m:sub>
        </m:sSub>
        <m:r>
          <w:rPr>
            <w:rFonts w:ascii="Cambria Math" w:hAnsi="Cambria Math" w:eastAsia="宋体"/>
            <w:sz w:val="23"/>
          </w:rPr>
          <m:t>=</m:t>
        </m:r>
        <m:r>
          <w:rPr>
            <w:rFonts w:ascii="Cambria Math" w:hAnsi="Cambria Math" w:eastAsia="宋体"/>
            <w:sz w:val="23"/>
          </w:rPr>
          <m:rPr>
            <m:sty m:val="p"/>
          </m:rPr>
          <m:t>cos</m:t>
        </m:r>
        <m:r>
          <w:rPr>
            <w:rFonts w:ascii="Cambria Math" w:hAnsi="Cambria Math" w:eastAsia="宋体"/>
            <w:sz w:val="23"/>
          </w:rPr>
          <m:t>[</m:t>
        </m:r>
        <m:r>
          <w:rPr>
            <w:rFonts w:ascii="Cambria Math" w:hAnsi="Cambria Math" w:eastAsia="宋体"/>
            <w:sz w:val="23"/>
          </w:rPr>
          <m:rPr>
            <m:sty m:val="p"/>
          </m:rPr>
          <m:t>emb</m:t>
        </m:r>
        <m:r>
          <w:rPr>
            <w:rFonts w:ascii="Cambria Math" w:hAnsi="Cambria Math" w:eastAsia="宋体"/>
            <w:sz w:val="23"/>
          </w:rPr>
          <m:t>(</m:t>
        </m:r>
        <m:sSub>
          <m:e>
            <m:r>
              <w:rPr>
                <w:rFonts w:ascii="Cambria Math" w:hAnsi="Cambria Math" w:eastAsia="宋体"/>
                <w:sz w:val="23"/>
              </w:rPr>
              <m:t>q</m:t>
            </m:r>
          </m:e>
          <m:sub>
            <m:r>
              <w:rPr>
                <w:rFonts w:ascii="Cambria Math" w:hAnsi="Cambria Math" w:eastAsia="宋体"/>
                <w:sz w:val="23"/>
              </w:rPr>
              <m:t>fe0</m:t>
            </m:r>
          </m:sub>
        </m:sSub>
        <m:r>
          <w:rPr>
            <w:rFonts w:ascii="Cambria Math" w:hAnsi="Cambria Math" w:eastAsia="宋体"/>
            <w:sz w:val="23"/>
          </w:rPr>
          <m:t>),</m:t>
        </m:r>
        <m:r>
          <w:rPr>
            <w:rFonts w:ascii="Cambria Math" w:hAnsi="Cambria Math" w:eastAsia="宋体"/>
            <w:sz w:val="23"/>
          </w:rPr>
          <m:rPr>
            <m:sty m:val="p"/>
          </m:rPr>
          <m:t>emb</m:t>
        </m:r>
        <m:r>
          <w:rPr>
            <w:rFonts w:ascii="Cambria Math" w:hAnsi="Cambria Math" w:eastAsia="宋体"/>
            <w:sz w:val="23"/>
          </w:rPr>
          <m:t>(</m:t>
        </m:r>
        <m:sSub>
          <m:e>
            <m:r>
              <w:rPr>
                <w:rFonts w:ascii="Cambria Math" w:hAnsi="Cambria Math" w:eastAsia="宋体"/>
                <w:sz w:val="23"/>
              </w:rPr>
              <m:t>A</m:t>
            </m:r>
          </m:e>
          <m:sub>
            <m:r>
              <w:rPr>
                <w:rFonts w:ascii="Cambria Math" w:hAnsi="Cambria Math" w:eastAsia="宋体"/>
                <w:sz w:val="23"/>
              </w:rPr>
              <m:t>pv</m:t>
            </m:r>
          </m:sub>
        </m:sSub>
        <m:r>
          <w:rPr>
            <w:rFonts w:ascii="Cambria Math" w:hAnsi="Cambria Math" w:eastAsia="宋体"/>
            <w:sz w:val="23"/>
          </w:rPr>
          <m:t>)].</m:t>
        </m:r>
      </m:oMath>
      <w:r>
        <w:tab/>
        <w:t>(A4)</w:t>
      </w:r>
    </w:p>
    <w:p>
      <w:pPr/>
      <w:r>
        <w:t xml:space="preserve">其中，</w:t>
      </w:r>
      <m:oMath>
        <m:box>
          <m:boxPr>
            <m:noBreak m:val="1"/>
          </m:boxPr>
          <m:e>
            <m:sSub>
              <m:e>
                <m:r>
                  <w:rPr>
                    <w:rFonts w:ascii="Cambria Math" w:hAnsi="Cambria Math" w:eastAsia="宋体"/>
                    <w:sz w:val="24"/>
                  </w:rPr>
                  <m:t>A</m:t>
                </m:r>
              </m:e>
              <m:sub>
                <m:r>
                  <w:rPr>
                    <w:rFonts w:ascii="Cambria Math" w:hAnsi="Cambria Math" w:eastAsia="宋体"/>
                    <w:sz w:val="24"/>
                  </w:rPr>
                  <m:t>pv</m:t>
                </m:r>
              </m:sub>
            </m:sSub>
          </m:e>
        </m:box>
      </m:oMath>
      <w:r>
        <w:t xml:space="preserve">为该版本单元的活动描述。匹配阈值由独立核验样本确定。存在多个合理候选时，结合业务细节及限制原文复核；多项规定同时适用时，完整记录各项要求。企业业务未匹配到条款时，继续核查当期有效规定，不直接认定为无限制。</w:t>
      </w:r>
    </w:p>
    <w:p>
      <w:pPr/>
      <w:r>
        <w:t xml:space="preserve">例如，普通小麦种子的商业繁育、生产可对应0511种子种苗培育活动。2018年清单对小麦、玉米要求中方控股，2020年小麦改为中方股比不低于34%，玉米仍要求中方控股。因此，应分别判断从事这两类业务的企业适用什么规则，不能认定0511中的全部企业经历了同样的政策变化。普通柴油货车与汽油乘用车均可能属于3611汽柴油车整车制造，但2020年两者面对的股比要求不同。相关开放安排已于2018年公告，选择改革前业务资料时须考虑企业可能提前调整。</w:t>
      </w:r>
    </w:p>
    <w:p>
      <w:pPr/>
      <w:r>
        <w:t xml:space="preserve">企业在改革后调整业务，属于需要考察的政策反应，不据此重新划分其原有处理组。</w:t>
      </w:r>
    </w:p>
    <w:p>
      <w:pPr>
        <w:pStyle w:val="21"/>
      </w:pPr>
      <w:r>
        <w:t>A.2.4 企业层面的六类政策暴露</w:t>
      </w:r>
    </w:p>
    <w:p>
      <w:pPr>
        <w:keepNext/>
      </w:pPr>
      <w:r>
        <w:t xml:space="preserve">对多业务、多地区企业，依据改革前实际产出确定各项业务在各地区的权重。设</w:t>
      </w:r>
      <m:oMath>
        <m:box>
          <m:boxPr>
            <m:noBreak m:val="1"/>
          </m:boxPr>
          <m:e>
            <m:r>
              <w:rPr>
                <w:rFonts w:ascii="Cambria Math" w:hAnsi="Cambria Math" w:eastAsia="宋体"/>
                <w:sz w:val="24"/>
              </w:rPr>
              <m:t>ℓ</m:t>
            </m:r>
          </m:e>
        </m:box>
      </m:oMath>
      <w:r>
        <w:t xml:space="preserve">为企业原始数据中可区分的业务记录，</w:t>
      </w:r>
      <m:oMath>
        <m:box>
          <m:boxPr>
            <m:noBreak m:val="1"/>
          </m:boxPr>
          <m:e>
            <m:sSub>
              <m:e>
                <m:r>
                  <w:rPr>
                    <w:rFonts w:ascii="Cambria Math" w:hAnsi="Cambria Math" w:eastAsia="宋体"/>
                    <w:sz w:val="24"/>
                  </w:rPr>
                  <m:t>w</m:t>
                </m:r>
              </m:e>
              <m:sub>
                <m:r>
                  <w:rPr>
                    <w:rFonts w:ascii="Cambria Math" w:hAnsi="Cambria Math" w:eastAsia="宋体"/>
                    <w:sz w:val="24"/>
                  </w:rPr>
                  <m:t>fℓr,e0</m:t>
                </m:r>
              </m:sub>
            </m:sSub>
          </m:e>
        </m:box>
      </m:oMath>
      <w:r>
        <w:t xml:space="preserve">为该业务在地区</w:t>
      </w:r>
      <m:oMath>
        <m:box>
          <m:boxPr>
            <m:noBreak m:val="1"/>
          </m:boxPr>
          <m:e>
            <m:r>
              <w:rPr>
                <w:rFonts w:ascii="Cambria Math" w:hAnsi="Cambria Math" w:eastAsia="宋体"/>
                <w:sz w:val="24"/>
              </w:rPr>
              <m:t>r</m:t>
            </m:r>
          </m:e>
        </m:box>
      </m:oMath>
      <w:r>
        <w:t xml:space="preserve">的改革前产出占企业总产出的比重。固定改革前业务、地区及资格后，</w:t>
      </w:r>
      <m:oMath>
        <m:box>
          <m:boxPr>
            <m:noBreak m:val="1"/>
          </m:boxPr>
          <m:e>
            <m:sSubSup>
              <m:e>
                <m:r>
                  <w:rPr>
                    <w:rFonts w:ascii="Cambria Math" w:hAnsi="Cambria Math" w:eastAsia="宋体"/>
                    <w:sz w:val="24"/>
                  </w:rPr>
                  <m:t>z</m:t>
                </m:r>
              </m:e>
              <m:sub>
                <m:r>
                  <w:rPr>
                    <w:rFonts w:ascii="Cambria Math" w:hAnsi="Cambria Math" w:eastAsia="宋体"/>
                    <w:sz w:val="24"/>
                  </w:rPr>
                  <m:t>fℓrv(t),e</m:t>
                </m:r>
              </m:sub>
              <m:sup>
                <m:r>
                  <w:rPr>
                    <w:rFonts w:ascii="Cambria Math" w:hAnsi="Cambria Math" w:eastAsia="宋体"/>
                    <w:sz w:val="24"/>
                  </w:rPr>
                  <m:t>k</m:t>
                </m:r>
              </m:sup>
            </m:sSubSup>
          </m:e>
        </m:box>
      </m:oMath>
      <w:r>
        <w:t xml:space="preserve">表示该业务在当期规则下适用的第</w:t>
      </w:r>
      <m:oMath>
        <m:box>
          <m:boxPr>
            <m:noBreak m:val="1"/>
          </m:boxPr>
          <m:e>
            <m:r>
              <w:rPr>
                <w:rFonts w:ascii="Cambria Math" w:hAnsi="Cambria Math" w:eastAsia="宋体"/>
                <w:sz w:val="24"/>
              </w:rPr>
              <m:t>k</m:t>
            </m:r>
          </m:e>
        </m:box>
      </m:oMath>
      <w:r>
        <w:t xml:space="preserve">类限制，则：</w:t>
      </w:r>
    </w:p>
    <w:p>
      <w:pPr>
        <w:pStyle w:val="Equation"/>
        <w:keepNext/>
      </w:pPr>
      <w:r>
        <w:tab/>
      </w:r>
      <m:oMath>
        <m:sSubSup>
          <m:e>
            <m:r>
              <w:rPr>
                <w:rFonts w:ascii="Cambria Math" w:hAnsi="Cambria Math" w:eastAsia="宋体"/>
                <w:sz w:val="23"/>
              </w:rPr>
              <m:t>Z</m:t>
            </m:r>
          </m:e>
          <m:sub>
            <m:r>
              <w:rPr>
                <w:rFonts w:ascii="Cambria Math" w:hAnsi="Cambria Math" w:eastAsia="宋体"/>
                <w:sz w:val="23"/>
              </w:rPr>
              <m:t>fte</m:t>
            </m:r>
          </m:sub>
          <m:sup>
            <m:r>
              <w:rPr>
                <w:rFonts w:ascii="Cambria Math" w:hAnsi="Cambria Math" w:eastAsia="宋体"/>
                <w:sz w:val="23"/>
              </w:rPr>
              <m:t>k</m:t>
            </m:r>
          </m:sup>
        </m:sSubSup>
        <m:r>
          <w:rPr>
            <w:rFonts w:ascii="Cambria Math" w:hAnsi="Cambria Math" w:eastAsia="宋体"/>
            <w:sz w:val="23"/>
          </w:rPr>
          <m:t>=</m:t>
        </m:r>
        <m:nary>
          <m:naryPr>
            <m:chr m:val="∑"/>
            <m:limLoc m:val="undOvr"/>
            <m:grow m:val="1"/>
            <m:subHide m:val="off"/>
            <m:supHide m:val="on"/>
          </m:naryPr>
          <m:sub>
            <m:r>
              <w:rPr>
                <w:rFonts w:ascii="Cambria Math" w:hAnsi="Cambria Math" w:eastAsia="宋体"/>
                <w:sz w:val="23"/>
              </w:rPr>
              <m:t>ℓ,r</m:t>
            </m:r>
          </m:sub>
          <m:sup/>
          <m:e>
            <m:sSub>
              <m:e>
                <m:r>
                  <w:rPr>
                    <w:rFonts w:ascii="Cambria Math" w:hAnsi="Cambria Math" w:eastAsia="宋体"/>
                    <w:sz w:val="23"/>
                  </w:rPr>
                  <m:t>w</m:t>
                </m:r>
              </m:e>
              <m:sub>
                <m:r>
                  <w:rPr>
                    <w:rFonts w:ascii="Cambria Math" w:hAnsi="Cambria Math" w:eastAsia="宋体"/>
                    <w:sz w:val="23"/>
                  </w:rPr>
                  <m:t>fℓr,e0</m:t>
                </m:r>
              </m:sub>
            </m:sSub>
          </m:e>
        </m:nary>
        <m:sSubSup>
          <m:e>
            <m:r>
              <w:rPr>
                <w:rFonts w:ascii="Cambria Math" w:hAnsi="Cambria Math" w:eastAsia="宋体"/>
                <w:sz w:val="23"/>
              </w:rPr>
              <m:t>z</m:t>
            </m:r>
          </m:e>
          <m:sub>
            <m:r>
              <w:rPr>
                <w:rFonts w:ascii="Cambria Math" w:hAnsi="Cambria Math" w:eastAsia="宋体"/>
                <w:sz w:val="23"/>
              </w:rPr>
              <m:t>fℓrv(t),e</m:t>
            </m:r>
          </m:sub>
          <m:sup>
            <m:r>
              <w:rPr>
                <w:rFonts w:ascii="Cambria Math" w:hAnsi="Cambria Math" w:eastAsia="宋体"/>
                <w:sz w:val="23"/>
              </w:rPr>
              <m:t>k</m:t>
            </m:r>
          </m:sup>
        </m:sSubSup>
        <m:r>
          <w:rPr>
            <w:rFonts w:ascii="Cambria Math" w:hAnsi="Cambria Math" w:eastAsia="宋体"/>
            <w:sz w:val="23"/>
          </w:rPr>
          <m:t>,</m:t>
        </m:r>
        <m:nary>
          <m:naryPr>
            <m:chr m:val="∑"/>
            <m:limLoc m:val="undOvr"/>
            <m:grow m:val="1"/>
            <m:subHide m:val="off"/>
            <m:supHide m:val="on"/>
          </m:naryPr>
          <m:sub>
            <m:r>
              <w:rPr>
                <w:rFonts w:ascii="Cambria Math" w:hAnsi="Cambria Math" w:eastAsia="宋体"/>
                <w:sz w:val="23"/>
              </w:rPr>
              <m:t>ℓ,r</m:t>
            </m:r>
          </m:sub>
          <m:sup/>
          <m:e>
            <m:sSub>
              <m:e>
                <m:r>
                  <w:rPr>
                    <w:rFonts w:ascii="Cambria Math" w:hAnsi="Cambria Math" w:eastAsia="宋体"/>
                    <w:sz w:val="23"/>
                  </w:rPr>
                  <m:t>w</m:t>
                </m:r>
              </m:e>
              <m:sub>
                <m:r>
                  <w:rPr>
                    <w:rFonts w:ascii="Cambria Math" w:hAnsi="Cambria Math" w:eastAsia="宋体"/>
                    <w:sz w:val="23"/>
                  </w:rPr>
                  <m:t>fℓr,e0</m:t>
                </m:r>
              </m:sub>
            </m:sSub>
          </m:e>
        </m:nary>
        <m:r>
          <w:rPr>
            <w:rFonts w:ascii="Cambria Math" w:hAnsi="Cambria Math" w:eastAsia="宋体"/>
            <w:sz w:val="23"/>
          </w:rPr>
          <m:t>=1.</m:t>
        </m:r>
      </m:oMath>
      <w:r>
        <w:tab/>
        <w:t>(A5)</w:t>
      </w:r>
    </w:p>
    <w:p>
      <w:pPr/>
      <w:r>
        <w:t xml:space="preserve">其中，</w:t>
      </w:r>
      <m:oMath>
        <m:box>
          <m:boxPr>
            <m:noBreak m:val="1"/>
          </m:boxPr>
          <m:e>
            <m:r>
              <w:rPr>
                <w:rFonts w:ascii="Cambria Math" w:hAnsi="Cambria Math" w:eastAsia="宋体"/>
                <w:sz w:val="24"/>
              </w:rPr>
              <m:t>k</m:t>
            </m:r>
          </m:e>
        </m:box>
      </m:oMath>
      <w:r>
        <w:t xml:space="preserve">取表A2中的六类限制。业务记录来自企业自身资料，用于逐版判断企业适用的政策，不用于连接不同版本的政策单元。权重在事件窗口内固定，加权结果描述企业业务受到限制的程度。适用于整个法人或项目的股比要求仍须单独判断，不能把业务加权值当作法定持股上限。</w:t>
      </w:r>
    </w:p>
    <w:p>
      <w:pPr/>
      <w:r>
        <w:t xml:space="preserve">无法取得分业务产出时，不将各项业务赋予相同权重，也不以文本相似度代替产出权重。主业明确的企业按已核实业务识别，混合业务企业单列分析。法律状态未知的业务保留缺失，不能删除这部分业务后重新计算其余业务的权重。上述政策暴露用于A.3的原有企业分析。</w:t>
      </w:r>
    </w:p>
    <w:p>
      <w:pPr>
        <w:pStyle w:val="1"/>
      </w:pPr>
      <w:r>
        <w:t>A.3 企业行为识别与跨国生产成本反演</w:t>
      </w:r>
    </w:p>
    <w:p>
      <w:pPr>
        <w:pStyle w:val="21"/>
      </w:pPr>
      <w:r>
        <w:t>A.3.1 基准识别策略</w:t>
      </w:r>
    </w:p>
    <w:p>
      <w:pPr/>
      <w:r>
        <w:t xml:space="preserve">基准采用企业—年份面板，比较每次改革中适用新规则与未适用新规则的企业。研究对象为改革前已经存在、且能够观察其业务的企业。新设企业没有改革前业务，另在行业分析中考察。事件</w:t>
      </w:r>
      <m:oMath>
        <m:box>
          <m:boxPr>
            <m:noBreak m:val="1"/>
          </m:boxPr>
          <m:e>
            <m:r>
              <w:rPr>
                <w:rFonts w:ascii="Cambria Math" w:hAnsi="Cambria Math" w:eastAsia="宋体"/>
                <w:sz w:val="24"/>
              </w:rPr>
              <m:t>e</m:t>
            </m:r>
          </m:e>
        </m:box>
      </m:oMath>
      <w:r>
        <w:t xml:space="preserve">依据同一业务改革前后法律待遇的实质变化确定，并记录公告、生效和过渡时间。按改革前业务、地区及资格确定处理分组，在事件窗口内保持不变。有实际业务权重时，再考察改革涉及的业务占比不同是否带来不同反应。对照组优先选择同一四位小类中未受该项改革影响、改革前制度状态和生产趋势可比的企业。</w:t>
      </w:r>
    </w:p>
    <w:p>
      <w:pPr>
        <w:keepNext/>
      </w:pPr>
      <w:r>
        <w:t xml:space="preserve">对于非负生产价值</w:t>
      </w:r>
      <m:oMath>
        <m:box>
          <m:boxPr>
            <m:noBreak m:val="1"/>
          </m:boxPr>
          <m:e>
            <m:sSub>
              <m:e>
                <m:r>
                  <w:rPr>
                    <w:rFonts w:ascii="Cambria Math" w:hAnsi="Cambria Math" w:eastAsia="宋体"/>
                    <w:sz w:val="24"/>
                  </w:rPr>
                  <m:t>Q</m:t>
                </m:r>
              </m:e>
              <m:sub>
                <m:r>
                  <w:rPr>
                    <w:rFonts w:ascii="Cambria Math" w:hAnsi="Cambria Math" w:eastAsia="宋体"/>
                    <w:sz w:val="24"/>
                  </w:rPr>
                  <m:t>ft</m:t>
                </m:r>
              </m:sub>
            </m:sSub>
          </m:e>
        </m:box>
      </m:oMath>
      <w:r>
        <w:t xml:space="preserve">，采用泊松伪最大似然方法（PPML；Santos Silva and Tenreyro，2006）估计条件均值。真实零产出保留在样本中。因企业失访、统计门槛变化或披露中断而缺失的记录，须分别核查，不能直接认定为退出。以</w:t>
      </w:r>
      <m:oMath>
        <m:box>
          <m:boxPr>
            <m:noBreak m:val="1"/>
          </m:boxPr>
          <m:e>
            <m:r>
              <w:rPr>
                <w:rFonts w:ascii="Cambria Math" w:hAnsi="Cambria Math" w:eastAsia="宋体"/>
                <w:sz w:val="24"/>
              </w:rPr>
              <m:rPr>
                <m:scr m:val="script"/>
              </m:rPr>
              <m:t>X</m:t>
            </m:r>
          </m:e>
        </m:box>
      </m:oMath>
      <w:r>
        <w:t xml:space="preserve">表示回归的条件信息，事件</w:t>
      </w:r>
      <m:oMath>
        <m:box>
          <m:boxPr>
            <m:noBreak m:val="1"/>
          </m:boxPr>
          <m:e>
            <m:r>
              <w:rPr>
                <w:rFonts w:ascii="Cambria Math" w:hAnsi="Cambria Math" w:eastAsia="宋体"/>
                <w:sz w:val="24"/>
              </w:rPr>
              <m:t>e</m:t>
            </m:r>
          </m:e>
        </m:box>
      </m:oMath>
      <w:r>
        <w:t xml:space="preserve">的基准规格为：</w:t>
      </w:r>
    </w:p>
    <w:p>
      <w:pPr>
        <w:pStyle w:val="Equation"/>
        <w:keepNext/>
      </w:pPr>
      <w:r>
        <w:tab/>
      </w:r>
      <m:oMath>
        <m:r>
          <w:rPr>
            <w:rFonts w:ascii="Cambria Math" w:hAnsi="Cambria Math" w:eastAsia="宋体"/>
            <w:sz w:val="23"/>
          </w:rPr>
          <m:rPr>
            <m:scr m:val="double-struck"/>
            <m:sty m:val="p"/>
          </m:rPr>
          <m:t>E</m:t>
        </m:r>
        <m:r>
          <w:rPr>
            <w:rFonts w:ascii="Cambria Math" w:hAnsi="Cambria Math" w:eastAsia="宋体"/>
            <w:sz w:val="23"/>
          </w:rPr>
          <m:t>[</m:t>
        </m:r>
        <m:sSub>
          <m:e>
            <m:r>
              <w:rPr>
                <w:rFonts w:ascii="Cambria Math" w:hAnsi="Cambria Math" w:eastAsia="宋体"/>
                <w:sz w:val="23"/>
              </w:rPr>
              <m:t>Q</m:t>
            </m:r>
          </m:e>
          <m:sub>
            <m:r>
              <w:rPr>
                <w:rFonts w:ascii="Cambria Math" w:hAnsi="Cambria Math" w:eastAsia="宋体"/>
                <w:sz w:val="23"/>
              </w:rPr>
              <m:t>ft</m:t>
            </m:r>
          </m:sub>
        </m:sSub>
        <m:r>
          <w:rPr>
            <w:rFonts w:ascii="Cambria Math" w:hAnsi="Cambria Math" w:eastAsia="宋体"/>
            <w:sz w:val="23"/>
          </w:rPr>
          <m:t>|</m:t>
        </m:r>
        <m:r>
          <w:rPr>
            <w:rFonts w:ascii="Cambria Math" w:hAnsi="Cambria Math" w:eastAsia="宋体"/>
            <w:sz w:val="23"/>
          </w:rPr>
          <m:rPr>
            <m:scr m:val="script"/>
          </m:rPr>
          <m:t>X</m:t>
        </m:r>
        <m:r>
          <w:rPr>
            <w:rFonts w:ascii="Cambria Math" w:hAnsi="Cambria Math" w:eastAsia="宋体"/>
            <w:sz w:val="23"/>
          </w:rPr>
          <m:t>,e]=</m:t>
        </m:r>
        <m:r>
          <w:rPr>
            <w:rFonts w:ascii="Cambria Math" w:hAnsi="Cambria Math" w:eastAsia="宋体"/>
            <w:sz w:val="23"/>
          </w:rPr>
          <m:rPr>
            <m:sty m:val="p"/>
          </m:rPr>
          <m:t>exp</m:t>
        </m:r>
        <m:r>
          <w:rPr>
            <w:rFonts w:ascii="Cambria Math" w:hAnsi="Cambria Math" w:eastAsia="宋体"/>
            <w:sz w:val="23"/>
          </w:rPr>
          <m:t>[</m:t>
        </m:r>
        <m:sSub>
          <m:e>
            <m:r>
              <w:rPr>
                <w:rFonts w:ascii="Cambria Math" w:hAnsi="Cambria Math" w:eastAsia="宋体"/>
                <w:sz w:val="23"/>
              </w:rPr>
              <m:t>α</m:t>
            </m:r>
          </m:e>
          <m:sub>
            <m:r>
              <w:rPr>
                <w:rFonts w:ascii="Cambria Math" w:hAnsi="Cambria Math" w:eastAsia="宋体"/>
                <w:sz w:val="23"/>
              </w:rPr>
              <m:t>fe</m:t>
            </m:r>
          </m:sub>
        </m:sSub>
        <m:r>
          <w:rPr>
            <w:rFonts w:ascii="Cambria Math" w:hAnsi="Cambria Math" w:eastAsia="宋体"/>
            <w:sz w:val="23"/>
          </w:rPr>
          <m:t>+</m:t>
        </m:r>
        <m:sSub>
          <m:e>
            <m:r>
              <w:rPr>
                <w:rFonts w:ascii="Cambria Math" w:hAnsi="Cambria Math" w:eastAsia="宋体"/>
                <w:sz w:val="23"/>
              </w:rPr>
              <m:t>λ</m:t>
            </m:r>
          </m:e>
          <m:sub>
            <m:sSub>
              <m:e>
                <m:r>
                  <w:rPr>
                    <w:rFonts w:ascii="Cambria Math" w:hAnsi="Cambria Math" w:eastAsia="宋体"/>
                    <w:sz w:val="23"/>
                  </w:rPr>
                  <m:t>c</m:t>
                </m:r>
              </m:e>
              <m:sub>
                <m:r>
                  <w:rPr>
                    <w:rFonts w:ascii="Cambria Math" w:hAnsi="Cambria Math" w:eastAsia="宋体"/>
                    <w:sz w:val="23"/>
                  </w:rPr>
                  <m:t>fe0</m:t>
                </m:r>
              </m:sub>
            </m:sSub>
            <m:r>
              <w:rPr>
                <w:rFonts w:ascii="Cambria Math" w:hAnsi="Cambria Math" w:eastAsia="宋体"/>
                <w:sz w:val="23"/>
              </w:rPr>
              <m:t>t,e</m:t>
            </m:r>
          </m:sub>
        </m:sSub>
        <m:r>
          <w:rPr>
            <w:rFonts w:ascii="Cambria Math" w:hAnsi="Cambria Math" w:eastAsia="宋体"/>
            <w:sz w:val="23"/>
          </w:rPr>
          <m:t>+</m:t>
        </m:r>
        <m:sSub>
          <m:e>
            <m:r>
              <w:rPr>
                <w:rFonts w:ascii="Cambria Math" w:hAnsi="Cambria Math" w:eastAsia="宋体"/>
                <w:sz w:val="23"/>
              </w:rPr>
              <m:t>η</m:t>
            </m:r>
          </m:e>
          <m:sub>
            <m:sSub>
              <m:e>
                <m:r>
                  <w:rPr>
                    <w:rFonts w:ascii="Cambria Math" w:hAnsi="Cambria Math" w:eastAsia="宋体"/>
                    <w:sz w:val="23"/>
                  </w:rPr>
                  <m:t>r</m:t>
                </m:r>
              </m:e>
              <m:sub>
                <m:r>
                  <w:rPr>
                    <w:rFonts w:ascii="Cambria Math" w:hAnsi="Cambria Math" w:eastAsia="宋体"/>
                    <w:sz w:val="23"/>
                  </w:rPr>
                  <m:t>fe0</m:t>
                </m:r>
              </m:sub>
            </m:sSub>
            <m:r>
              <w:rPr>
                <w:rFonts w:ascii="Cambria Math" w:hAnsi="Cambria Math" w:eastAsia="宋体"/>
                <w:sz w:val="23"/>
              </w:rPr>
              <m:t>t,e</m:t>
            </m:r>
          </m:sub>
        </m:sSub>
        <m:r>
          <w:rPr>
            <w:rFonts w:ascii="Cambria Math" w:hAnsi="Cambria Math" w:eastAsia="宋体"/>
            <w:sz w:val="23"/>
          </w:rPr>
          <m:t>+</m:t>
        </m:r>
        <m:sSub>
          <m:e>
            <m:r>
              <w:rPr>
                <w:rFonts w:ascii="Cambria Math" w:hAnsi="Cambria Math" w:eastAsia="宋体"/>
                <w:sz w:val="23"/>
              </w:rPr>
              <m:t>L</m:t>
            </m:r>
          </m:e>
          <m:sub>
            <m:r>
              <w:rPr>
                <w:rFonts w:ascii="Cambria Math" w:hAnsi="Cambria Math" w:eastAsia="宋体"/>
                <w:sz w:val="23"/>
              </w:rPr>
              <m:t>fe</m:t>
            </m:r>
          </m:sub>
        </m:sSub>
        <m:r>
          <w:rPr>
            <w:rFonts w:ascii="Cambria Math" w:hAnsi="Cambria Math" w:eastAsia="宋体"/>
            <w:sz w:val="23"/>
          </w:rPr>
          <m:t>(t)].</m:t>
        </m:r>
      </m:oMath>
      <w:r>
        <w:tab/>
        <w:t>(A6)</w:t>
      </w:r>
    </w:p>
    <w:p>
      <w:pPr>
        <w:pStyle w:val="Equation"/>
        <w:keepNext/>
      </w:pPr>
      <w:r>
        <w:tab/>
      </w:r>
      <m:oMath>
        <m:sSub>
          <m:e>
            <m:r>
              <w:rPr>
                <w:rFonts w:ascii="Cambria Math" w:hAnsi="Cambria Math" w:eastAsia="宋体"/>
                <w:sz w:val="23"/>
              </w:rPr>
              <m:t>L</m:t>
            </m:r>
          </m:e>
          <m:sub>
            <m:r>
              <w:rPr>
                <w:rFonts w:ascii="Cambria Math" w:hAnsi="Cambria Math" w:eastAsia="宋体"/>
                <w:sz w:val="23"/>
              </w:rPr>
              <m:t>fe</m:t>
            </m:r>
          </m:sub>
        </m:sSub>
        <m:r>
          <w:rPr>
            <w:rFonts w:ascii="Cambria Math" w:hAnsi="Cambria Math" w:eastAsia="宋体"/>
            <w:sz w:val="23"/>
          </w:rPr>
          <m:t>(t)=</m:t>
        </m:r>
        <m:nary>
          <m:naryPr>
            <m:chr m:val="∑"/>
            <m:limLoc m:val="undOvr"/>
            <m:grow m:val="1"/>
            <m:subHide m:val="off"/>
            <m:supHide m:val="on"/>
          </m:naryPr>
          <m:sub>
            <m:r>
              <w:rPr>
                <w:rFonts w:ascii="Cambria Math" w:hAnsi="Cambria Math" w:eastAsia="宋体"/>
                <w:sz w:val="23"/>
              </w:rPr>
              <m:t>h∈</m:t>
            </m:r>
            <m:sSub>
              <m:e>
                <m:r>
                  <w:rPr>
                    <w:rFonts w:ascii="Cambria Math" w:hAnsi="Cambria Math" w:eastAsia="宋体"/>
                    <w:sz w:val="23"/>
                  </w:rPr>
                  <m:rPr>
                    <m:scr m:val="script"/>
                  </m:rPr>
                  <m:t>H</m:t>
                </m:r>
              </m:e>
              <m:sub>
                <m:r>
                  <w:rPr>
                    <w:rFonts w:ascii="Cambria Math" w:hAnsi="Cambria Math" w:eastAsia="宋体"/>
                    <w:sz w:val="23"/>
                  </w:rPr>
                  <m:t>e</m:t>
                </m:r>
              </m:sub>
            </m:sSub>
            <m:r>
              <w:rPr>
                <w:rFonts w:ascii="Cambria Math" w:hAnsi="Cambria Math" w:eastAsia="宋体"/>
                <w:sz w:val="23"/>
              </w:rPr>
              <m:t>,</m:t>
            </m:r>
            <m:r>
              <w:rPr>
                <w:rFonts w:ascii="Cambria Math" w:hAnsi="Cambria Math" w:eastAsia="宋体"/>
                <w:sz w:val="23"/>
              </w:rPr>
              <m:t>h≠</m:t>
            </m:r>
            <m:sSub>
              <m:e>
                <m:r>
                  <w:rPr>
                    <w:rFonts w:ascii="Cambria Math" w:hAnsi="Cambria Math" w:eastAsia="宋体"/>
                    <w:sz w:val="23"/>
                  </w:rPr>
                  <m:t>h</m:t>
                </m:r>
              </m:e>
              <m:sub>
                <m:r>
                  <w:rPr>
                    <w:rFonts w:ascii="Cambria Math" w:hAnsi="Cambria Math" w:eastAsia="宋体"/>
                    <w:sz w:val="23"/>
                  </w:rPr>
                  <m:t>0e</m:t>
                </m:r>
              </m:sub>
            </m:sSub>
          </m:sub>
          <m:sup/>
          <m:e>
            <m:sSub>
              <m:e>
                <m:r>
                  <w:rPr>
                    <w:rFonts w:ascii="Cambria Math" w:hAnsi="Cambria Math" w:eastAsia="宋体"/>
                    <w:sz w:val="23"/>
                  </w:rPr>
                  <m:t>β</m:t>
                </m:r>
              </m:e>
              <m:sub>
                <m:r>
                  <w:rPr>
                    <w:rFonts w:ascii="Cambria Math" w:hAnsi="Cambria Math" w:eastAsia="宋体"/>
                    <w:sz w:val="23"/>
                  </w:rPr>
                  <m:t>eh</m:t>
                </m:r>
              </m:sub>
            </m:sSub>
          </m:e>
        </m:nary>
        <m:sSub>
          <m:e>
            <m:r>
              <w:rPr>
                <w:rFonts w:ascii="Cambria Math" w:hAnsi="Cambria Math" w:eastAsia="宋体"/>
                <w:sz w:val="23"/>
              </w:rPr>
              <m:t>T</m:t>
            </m:r>
          </m:e>
          <m:sub>
            <m:r>
              <w:rPr>
                <w:rFonts w:ascii="Cambria Math" w:hAnsi="Cambria Math" w:eastAsia="宋体"/>
                <w:sz w:val="23"/>
              </w:rPr>
              <m:t>fe</m:t>
            </m:r>
          </m:sub>
        </m:sSub>
        <m:r>
          <w:rPr>
            <w:rFonts w:ascii="Cambria Math" w:hAnsi="Cambria Math" w:eastAsia="宋体"/>
            <w:sz w:val="23"/>
          </w:rPr>
          <m:rPr>
            <m:sty m:val="b"/>
          </m:rPr>
          <m:t>1</m:t>
        </m:r>
        <m:r>
          <w:rPr>
            <w:rFonts w:ascii="Cambria Math" w:hAnsi="Cambria Math" w:eastAsia="宋体"/>
            <w:sz w:val="23"/>
          </w:rPr>
          <m:t>(t-</m:t>
        </m:r>
        <m:sSub>
          <m:e>
            <m:r>
              <w:rPr>
                <w:rFonts w:ascii="Cambria Math" w:hAnsi="Cambria Math" w:eastAsia="宋体"/>
                <w:sz w:val="23"/>
              </w:rPr>
              <m:t>t</m:t>
            </m:r>
          </m:e>
          <m:sub>
            <m:r>
              <w:rPr>
                <w:rFonts w:ascii="Cambria Math" w:hAnsi="Cambria Math" w:eastAsia="宋体"/>
                <w:sz w:val="23"/>
              </w:rPr>
              <m:t>e</m:t>
            </m:r>
          </m:sub>
        </m:sSub>
        <m:r>
          <w:rPr>
            <w:rFonts w:ascii="Cambria Math" w:hAnsi="Cambria Math" w:eastAsia="宋体"/>
            <w:sz w:val="23"/>
          </w:rPr>
          <m:t>=h).</m:t>
        </m:r>
      </m:oMath>
      <w:r>
        <w:tab/>
        <w:t>(A7)</w:t>
      </w:r>
    </w:p>
    <w:p>
      <w:pPr/>
      <w:r>
        <w:t xml:space="preserve">其中，</w:t>
      </w:r>
      <m:oMath>
        <m:box>
          <m:boxPr>
            <m:noBreak m:val="1"/>
          </m:boxPr>
          <m:e>
            <m:sSub>
              <m:e>
                <m:r>
                  <w:rPr>
                    <w:rFonts w:ascii="Cambria Math" w:hAnsi="Cambria Math" w:eastAsia="宋体"/>
                    <w:sz w:val="24"/>
                  </w:rPr>
                  <m:t>T</m:t>
                </m:r>
              </m:e>
              <m:sub>
                <m:r>
                  <w:rPr>
                    <w:rFonts w:ascii="Cambria Math" w:hAnsi="Cambria Math" w:eastAsia="宋体"/>
                    <w:sz w:val="24"/>
                  </w:rPr>
                  <m:t>fe</m:t>
                </m:r>
              </m:sub>
            </m:sSub>
          </m:e>
        </m:box>
      </m:oMath>
      <w:r>
        <w:t xml:space="preserve">表示企业是否适用该次改革，</w:t>
      </w:r>
      <m:oMath>
        <m:box>
          <m:boxPr>
            <m:noBreak m:val="1"/>
          </m:boxPr>
          <m:e>
            <m:sSub>
              <m:e>
                <m:r>
                  <w:rPr>
                    <w:rFonts w:ascii="Cambria Math" w:hAnsi="Cambria Math" w:eastAsia="宋体"/>
                    <w:sz w:val="24"/>
                  </w:rPr>
                  <m:t>t</m:t>
                </m:r>
              </m:e>
              <m:sub>
                <m:r>
                  <w:rPr>
                    <w:rFonts w:ascii="Cambria Math" w:hAnsi="Cambria Math" w:eastAsia="宋体"/>
                    <w:sz w:val="24"/>
                  </w:rPr>
                  <m:t>e</m:t>
                </m:r>
              </m:sub>
            </m:sSub>
          </m:e>
        </m:box>
      </m:oMath>
      <w:r>
        <w:t xml:space="preserve">为改革生效年份，</w:t>
      </w:r>
      <m:oMath>
        <m:box>
          <m:boxPr>
            <m:noBreak m:val="1"/>
          </m:boxPr>
          <m:e>
            <m:r>
              <w:rPr>
                <w:rFonts w:ascii="Cambria Math" w:hAnsi="Cambria Math" w:eastAsia="宋体"/>
                <w:sz w:val="24"/>
              </w:rPr>
              <m:t>h</m:t>
            </m:r>
          </m:e>
        </m:box>
      </m:oMath>
      <w:r>
        <w:t xml:space="preserve">为相对事件时间，</w:t>
      </w:r>
      <m:oMath>
        <m:box>
          <m:boxPr>
            <m:noBreak m:val="1"/>
          </m:boxPr>
          <m:e>
            <m:sSub>
              <m:e>
                <m:r>
                  <w:rPr>
                    <w:rFonts w:ascii="Cambria Math" w:hAnsi="Cambria Math" w:eastAsia="宋体"/>
                    <w:sz w:val="24"/>
                  </w:rPr>
                  <m:rPr>
                    <m:scr m:val="script"/>
                  </m:rPr>
                  <m:t>H</m:t>
                </m:r>
              </m:e>
              <m:sub>
                <m:r>
                  <w:rPr>
                    <w:rFonts w:ascii="Cambria Math" w:hAnsi="Cambria Math" w:eastAsia="宋体"/>
                    <w:sz w:val="24"/>
                  </w:rPr>
                  <m:t>e</m:t>
                </m:r>
              </m:sub>
            </m:sSub>
          </m:e>
        </m:box>
      </m:oMath>
      <w:r>
        <w:t xml:space="preserve">为事先确定的观察窗口。没有提前公告时，参照期</w:t>
      </w:r>
      <m:oMath>
        <m:box>
          <m:boxPr>
            <m:noBreak m:val="1"/>
          </m:boxPr>
          <m:e>
            <m:sSub>
              <m:e>
                <m:r>
                  <w:rPr>
                    <w:rFonts w:ascii="Cambria Math" w:hAnsi="Cambria Math" w:eastAsia="宋体"/>
                    <w:sz w:val="24"/>
                  </w:rPr>
                  <m:t>h</m:t>
                </m:r>
              </m:e>
              <m:sub>
                <m:r>
                  <w:rPr>
                    <w:rFonts w:ascii="Cambria Math" w:hAnsi="Cambria Math" w:eastAsia="宋体"/>
                    <w:sz w:val="24"/>
                  </w:rPr>
                  <m:t>0e</m:t>
                </m:r>
              </m:sub>
            </m:sSub>
          </m:e>
        </m:box>
      </m:oMath>
      <w:r>
        <w:t xml:space="preserve">取</w:t>
      </w:r>
      <m:oMath>
        <m:box>
          <m:boxPr>
            <m:noBreak m:val="1"/>
          </m:boxPr>
          <m:e>
            <m:r>
              <w:rPr>
                <w:rFonts w:ascii="Cambria Math" w:hAnsi="Cambria Math" w:eastAsia="宋体"/>
                <w:sz w:val="24"/>
              </w:rPr>
              <m:t>-1</m:t>
            </m:r>
          </m:e>
        </m:box>
      </m:oMath>
      <w:r>
        <w:t xml:space="preserve">；提前公告的改革选用公告前最后一个完整年度，并单独考察公告至生效期间的提前调整。</w:t>
      </w:r>
      <m:oMath>
        <m:box>
          <m:boxPr>
            <m:noBreak m:val="1"/>
          </m:boxPr>
          <m:e>
            <m:sSub>
              <m:e>
                <m:r>
                  <w:rPr>
                    <w:rFonts w:ascii="Cambria Math" w:hAnsi="Cambria Math" w:eastAsia="宋体"/>
                    <w:sz w:val="24"/>
                  </w:rPr>
                  <m:t>c</m:t>
                </m:r>
              </m:e>
              <m:sub>
                <m:r>
                  <w:rPr>
                    <w:rFonts w:ascii="Cambria Math" w:hAnsi="Cambria Math" w:eastAsia="宋体"/>
                    <w:sz w:val="24"/>
                  </w:rPr>
                  <m:t>fe0</m:t>
                </m:r>
              </m:sub>
            </m:sSub>
          </m:e>
        </m:box>
      </m:oMath>
      <w:r>
        <w:t xml:space="preserve">和</w:t>
      </w:r>
      <m:oMath>
        <m:box>
          <m:boxPr>
            <m:noBreak m:val="1"/>
          </m:boxPr>
          <m:e>
            <m:sSub>
              <m:e>
                <m:r>
                  <w:rPr>
                    <w:rFonts w:ascii="Cambria Math" w:hAnsi="Cambria Math" w:eastAsia="宋体"/>
                    <w:sz w:val="24"/>
                  </w:rPr>
                  <m:t>r</m:t>
                </m:r>
              </m:e>
              <m:sub>
                <m:r>
                  <w:rPr>
                    <w:rFonts w:ascii="Cambria Math" w:hAnsi="Cambria Math" w:eastAsia="宋体"/>
                    <w:sz w:val="24"/>
                  </w:rPr>
                  <m:t>fe0</m:t>
                </m:r>
              </m:sub>
            </m:sSub>
          </m:e>
        </m:box>
      </m:oMath>
      <w:r>
        <w:t xml:space="preserve">分别依据已核实的改革前主业和主要生产地区确定。多业务、多地区企业无法明确归属时单列分析。</w:t>
      </w:r>
      <m:oMath>
        <m:box>
          <m:boxPr>
            <m:noBreak m:val="1"/>
          </m:boxPr>
          <m:e>
            <m:sSub>
              <m:e>
                <m:r>
                  <w:rPr>
                    <w:rFonts w:ascii="Cambria Math" w:hAnsi="Cambria Math" w:eastAsia="宋体"/>
                    <w:sz w:val="24"/>
                  </w:rPr>
                  <m:t>α</m:t>
                </m:r>
              </m:e>
              <m:sub>
                <m:r>
                  <w:rPr>
                    <w:rFonts w:ascii="Cambria Math" w:hAnsi="Cambria Math" w:eastAsia="宋体"/>
                    <w:sz w:val="24"/>
                  </w:rPr>
                  <m:t>fe</m:t>
                </m:r>
              </m:sub>
            </m:sSub>
          </m:e>
        </m:box>
      </m:oMath>
      <w:r>
        <w:t xml:space="preserve">控制企业稳定特征，</w:t>
      </w:r>
      <m:oMath>
        <m:box>
          <m:boxPr>
            <m:noBreak m:val="1"/>
          </m:boxPr>
          <m:e>
            <m:r>
              <w:rPr>
                <w:rFonts w:ascii="Cambria Math" w:hAnsi="Cambria Math" w:eastAsia="宋体"/>
                <w:sz w:val="24"/>
              </w:rPr>
              <m:t>λ</m:t>
            </m:r>
          </m:e>
        </m:box>
      </m:oMath>
      <w:r>
        <w:t xml:space="preserve">和</w:t>
      </w:r>
      <m:oMath>
        <m:box>
          <m:boxPr>
            <m:noBreak m:val="1"/>
          </m:boxPr>
          <m:e>
            <m:r>
              <w:rPr>
                <w:rFonts w:ascii="Cambria Math" w:hAnsi="Cambria Math" w:eastAsia="宋体"/>
                <w:sz w:val="24"/>
              </w:rPr>
              <m:t>η</m:t>
            </m:r>
          </m:e>
        </m:box>
      </m:oMath>
      <w:r>
        <w:t xml:space="preserve">分别控制基期行业及地区的年度共同变化。补充控制变量时，使用改革前特征及其与年份的交互项；改革后的融资、规模和产品调整则作为结果或作用机制研究。</w:t>
      </w:r>
    </w:p>
    <w:p>
      <w:pPr/>
      <w:r>
        <w:t xml:space="preserve">四位行业×年份固定效应适用于同一行业内企业政策待遇不同的事件。全国性改革完整覆盖一个小类时，这组固定效应会吸收该行业的政策变化，应改用较宽行业的年度效应，并检验行业间比较是否合理。若乘法平行趋势成立、提前反应得到适当处理，且对照组未受到相关溢出影响，</w:t>
      </w:r>
      <m:oMath>
        <m:box>
          <m:boxPr>
            <m:noBreak m:val="1"/>
          </m:boxPr>
          <m:e>
            <m:r>
              <w:rPr>
                <w:rFonts w:ascii="Cambria Math" w:hAnsi="Cambria Math" w:eastAsia="宋体"/>
                <w:sz w:val="24"/>
              </w:rPr>
              <m:rPr>
                <m:sty m:val="p"/>
              </m:rPr>
              <m:t>exp</m:t>
            </m:r>
            <m:r>
              <w:rPr>
                <w:rFonts w:ascii="Cambria Math" w:hAnsi="Cambria Math" w:eastAsia="宋体"/>
                <w:sz w:val="24"/>
              </w:rPr>
              <m:t>(</m:t>
            </m:r>
            <m:sSub>
              <m:e>
                <m:r>
                  <w:rPr>
                    <w:rFonts w:ascii="Cambria Math" w:hAnsi="Cambria Math" w:eastAsia="宋体"/>
                    <w:sz w:val="24"/>
                  </w:rPr>
                  <m:t>β</m:t>
                </m:r>
              </m:e>
              <m:sub>
                <m:r>
                  <w:rPr>
                    <w:rFonts w:ascii="Cambria Math" w:hAnsi="Cambria Math" w:eastAsia="宋体"/>
                    <w:sz w:val="24"/>
                  </w:rPr>
                  <m:t>eh</m:t>
                </m:r>
              </m:sub>
            </m:sSub>
            <m:r>
              <w:rPr>
                <w:rFonts w:ascii="Cambria Math" w:hAnsi="Cambria Math" w:eastAsia="宋体"/>
                <w:sz w:val="24"/>
              </w:rPr>
              <m:t>)-1</m:t>
            </m:r>
          </m:e>
        </m:box>
      </m:oMath>
      <w:r>
        <w:t xml:space="preserve">表示处理企业相对于对照企业的条件产出变化。这些识别条件仍须由改革背景和样本证据支持。</w:t>
      </w:r>
    </w:p>
    <w:p>
      <w:pPr/>
      <w:r>
        <w:t xml:space="preserve">对分批实施或重复发生的改革，分别确定观察窗口。窗口内出现其他相关改革时，缩短观察期，或将同时发生的改革作为一个组合研究。提前公告的改革按公告前业务分组，分别考察公告后和实施后的调整。将多个事件合并估计时，校正对照样本重复使用造成的权重差异。选择对照组还需考虑企业之间的竞争和供应链联系，并比较不同对照范围下的结果。</w:t>
      </w:r>
    </w:p>
    <w:p>
      <w:pPr/>
      <w:r>
        <w:t xml:space="preserve">行业补充分析采用GB四位小类—地区—年份面板，使用覆盖当期全部经营企业的资料，考察新设企业进入和行业总生产变化。改革仅涉及小类中的部分业务时，将该小类标记为“包含受改革业务的行业”。估计结果反映整个行业的变化，包括各类业务及进入退出的反应，不意味着行业内所有企业都受到相同限制。行业分析需要单独论证行业间的可比性，并采用不会吸收所研究政策变化的较宽行业年度效应，才能为部门生产变化提供补充证据。</w:t>
      </w:r>
    </w:p>
    <w:p>
      <w:pPr>
        <w:pStyle w:val="21"/>
      </w:pPr>
      <w:r>
        <w:t>A.3.2 六类政策限制与企业外资行为识别</w:t>
      </w:r>
    </w:p>
    <w:p>
      <w:pPr/>
      <w:r>
        <w:t xml:space="preserve">企业行为结果包括外资持股、外国控制、全外资、存续和业务调整，估计方法按变量性质选择。改革前已有的国内企业被外资收购，计入原有企业的控制权变化；改革后新设企业的数量和产出，纳入行业统计。分别报告所有权、进入退出和生产规模的变化，据此解释外资生产份额为何改变。</w:t>
      </w:r>
    </w:p>
    <w:p>
      <w:pPr/>
      <w:r>
        <w:t xml:space="preserve">估计前建立改革事件与六类限制变化的对应表，逐项记录同一业务改革前后的限制、适用范围及共同政策依据。同一次改革同时放松股比、控制权和组织形式要求时，主要估计这一改革组合的效果。只有其他限制保持不变，且存在业务可比、政策状态可供比较的样本时，才单独识别某类限制的效果。不同限制具有足够的独立变化时，可补充联合回归及有依据的交互项。即使设计矩阵满秩，仍须判断政策比较是否合理，不能仅据此认定六类效应均已识别（de Chaisemartin and D’Haultfœuille，2023）。</w:t>
      </w:r>
    </w:p>
    <w:p>
      <w:pPr/>
      <w:r>
        <w:t xml:space="preserve">同一次政策调整涉及多个小类时，分别记录其适用范围，并根据共同决策、实施安排和误差相关性，判断哪些变化属于独立政策冲击以及采用何种聚类层级。不能按受影响的企业数或行业数计算独立改革次数，同一改革的公告和生效也不能算作两次独立冲击。政策变化较少时，仅报告能够识别的限制类型及相应反事实，并说明推断的不确定性。比较不同限制的贡献时，采用相同基准、样本和观察期限。</w:t>
      </w:r>
    </w:p>
    <w:p>
      <w:pPr>
        <w:pStyle w:val="21"/>
      </w:pPr>
      <w:r>
        <w:t>A.3.3 外国控制企业生产份额的构造</w:t>
      </w:r>
    </w:p>
    <w:p>
      <w:pPr/>
      <w:r>
        <w:t xml:space="preserve">生产份额依据当期实际生产价值计算。以最终控制主体所在地划分外国和国内控制企业，设</w:t>
      </w:r>
      <m:oMath>
        <m:box>
          <m:boxPr>
            <m:noBreak m:val="1"/>
          </m:boxPr>
          <m:e>
            <m:sSubSup>
              <m:e>
                <m:r>
                  <w:rPr>
                    <w:rFonts w:ascii="Cambria Math" w:hAnsi="Cambria Math" w:eastAsia="宋体"/>
                    <w:sz w:val="24"/>
                  </w:rPr>
                  <m:t>D</m:t>
                </m:r>
              </m:e>
              <m:sub>
                <m:r>
                  <w:rPr>
                    <w:rFonts w:ascii="Cambria Math" w:hAnsi="Cambria Math" w:eastAsia="宋体"/>
                    <w:sz w:val="24"/>
                  </w:rPr>
                  <m:t>ft</m:t>
                </m:r>
              </m:sub>
              <m:sup>
                <m:r>
                  <w:rPr>
                    <w:rFonts w:ascii="Cambria Math" w:hAnsi="Cambria Math" w:eastAsia="宋体"/>
                    <w:sz w:val="24"/>
                  </w:rPr>
                  <m:t>F</m:t>
                </m:r>
              </m:sup>
            </m:sSubSup>
          </m:e>
        </m:box>
      </m:oMath>
      <w:r>
        <w:t xml:space="preserve">为外国控制指示变量。对改革前已有企业，在同一企业集合中分别计算</w:t>
      </w:r>
      <m:oMath>
        <m:box>
          <m:boxPr>
            <m:noBreak m:val="1"/>
          </m:boxPr>
          <m:e>
            <m:sSubSup>
              <m:e>
                <m:r>
                  <w:rPr>
                    <w:rFonts w:ascii="Cambria Math" w:hAnsi="Cambria Math" w:eastAsia="宋体"/>
                    <w:sz w:val="24"/>
                  </w:rPr>
                  <m:t>D</m:t>
                </m:r>
              </m:e>
              <m:sub>
                <m:r>
                  <w:rPr>
                    <w:rFonts w:ascii="Cambria Math" w:hAnsi="Cambria Math" w:eastAsia="宋体"/>
                    <w:sz w:val="24"/>
                  </w:rPr>
                  <m:t>ft</m:t>
                </m:r>
              </m:sub>
              <m:sup>
                <m:r>
                  <w:rPr>
                    <w:rFonts w:ascii="Cambria Math" w:hAnsi="Cambria Math" w:eastAsia="宋体"/>
                    <w:sz w:val="24"/>
                  </w:rPr>
                  <m:t>F</m:t>
                </m:r>
              </m:sup>
            </m:sSubSup>
            <m:sSub>
              <m:e>
                <m:r>
                  <w:rPr>
                    <w:rFonts w:ascii="Cambria Math" w:hAnsi="Cambria Math" w:eastAsia="宋体"/>
                    <w:sz w:val="24"/>
                  </w:rPr>
                  <m:t>Q</m:t>
                </m:r>
              </m:e>
              <m:sub>
                <m:r>
                  <w:rPr>
                    <w:rFonts w:ascii="Cambria Math" w:hAnsi="Cambria Math" w:eastAsia="宋体"/>
                    <w:sz w:val="24"/>
                  </w:rPr>
                  <m:t>ft</m:t>
                </m:r>
              </m:sub>
            </m:sSub>
          </m:e>
        </m:box>
      </m:oMath>
      <w:r>
        <w:t xml:space="preserve">和</w:t>
      </w:r>
      <m:oMath>
        <m:box>
          <m:boxPr>
            <m:noBreak m:val="1"/>
          </m:boxPr>
          <m:e>
            <m:r>
              <w:rPr>
                <w:rFonts w:ascii="Cambria Math" w:hAnsi="Cambria Math" w:eastAsia="宋体"/>
                <w:sz w:val="24"/>
              </w:rPr>
              <m:t>(1-</m:t>
            </m:r>
            <m:sSubSup>
              <m:e>
                <m:r>
                  <w:rPr>
                    <w:rFonts w:ascii="Cambria Math" w:hAnsi="Cambria Math" w:eastAsia="宋体"/>
                    <w:sz w:val="24"/>
                  </w:rPr>
                  <m:t>D</m:t>
                </m:r>
              </m:e>
              <m:sub>
                <m:r>
                  <w:rPr>
                    <w:rFonts w:ascii="Cambria Math" w:hAnsi="Cambria Math" w:eastAsia="宋体"/>
                    <w:sz w:val="24"/>
                  </w:rPr>
                  <m:t>ft</m:t>
                </m:r>
              </m:sub>
              <m:sup>
                <m:r>
                  <w:rPr>
                    <w:rFonts w:ascii="Cambria Math" w:hAnsi="Cambria Math" w:eastAsia="宋体"/>
                    <w:sz w:val="24"/>
                  </w:rPr>
                  <m:t>F</m:t>
                </m:r>
              </m:sup>
            </m:sSubSup>
            <m:r>
              <w:rPr>
                <w:rFonts w:ascii="Cambria Math" w:hAnsi="Cambria Math" w:eastAsia="宋体"/>
                <w:sz w:val="24"/>
              </w:rPr>
              <m:t>)</m:t>
            </m:r>
            <m:sSub>
              <m:e>
                <m:r>
                  <w:rPr>
                    <w:rFonts w:ascii="Cambria Math" w:hAnsi="Cambria Math" w:eastAsia="宋体"/>
                    <w:sz w:val="24"/>
                  </w:rPr>
                  <m:t>Q</m:t>
                </m:r>
              </m:e>
              <m:sub>
                <m:r>
                  <w:rPr>
                    <w:rFonts w:ascii="Cambria Math" w:hAnsi="Cambria Math" w:eastAsia="宋体"/>
                    <w:sz w:val="24"/>
                  </w:rPr>
                  <m:t>ft</m:t>
                </m:r>
              </m:sub>
            </m:sSub>
          </m:e>
        </m:box>
      </m:oMath>
      <w:r>
        <w:t xml:space="preserve">。企业控制权改变时，相应产出在外国与国内控制生产之间重新归属，企业样本的定义保持不变。将两组产出分别作为式（A6）—（A7）的因变量，各自估计固定效应和政策系数。也可按改革前行业、地区及处理状态划分固定企业组，加总组内产出后估计。两种方式均需检查全零观测组的处理。⁠</w:t>
      </w:r>
      <w:r>
        <w:rPr>
          <w:rStyle w:val="FootnoteReference"/>
        </w:rPr>
        <w:footnoteReference w:id="3"/>
      </w:r>
    </w:p>
    <w:p>
      <w:pPr/>
      <w:r>
        <w:t xml:space="preserve">行业统计纳入当期经营的全部企业，包括改革后新设企业。能够观察分业务产出时，按实际业务和生产地区确定其归属；只有企业总产出时，采用能够核实且可与AMNE对应的企业行业分类，不任意拆分至多个候选行业。处理分组和固定效应仍采用改革前行业，当期产出则计入实际所属部门，以反映企业的业务调整。</w:t>
      </w:r>
    </w:p>
    <w:p>
      <w:pPr>
        <w:keepNext/>
      </w:pPr>
      <w:r>
        <w:t>令</w:t>
      </w:r>
      <m:oMath>
        <m:box>
          <m:boxPr>
            <m:noBreak m:val="1"/>
          </m:boxPr>
          <m:e>
            <m:r>
              <w:rPr>
                <w:rFonts w:ascii="Cambria Math" w:hAnsi="Cambria Math" w:eastAsia="宋体"/>
                <w:sz w:val="24"/>
              </w:rPr>
              <m:t>ℓ</m:t>
            </m:r>
          </m:e>
        </m:box>
      </m:oMath>
      <w:r>
        <w:t>表示企业原始资料中能够区分的业务记录，</w:t>
      </w:r>
      <m:oMath>
        <m:box>
          <m:boxPr>
            <m:noBreak m:val="1"/>
          </m:boxPr>
          <m:e>
            <m:sSub>
              <m:e>
                <m:r>
                  <w:rPr>
                    <w:rFonts w:ascii="Cambria Math" w:hAnsi="Cambria Math" w:eastAsia="宋体"/>
                    <w:sz w:val="24"/>
                  </w:rPr>
                  <m:t>Q</m:t>
                </m:r>
              </m:e>
              <m:sub>
                <m:r>
                  <w:rPr>
                    <w:rFonts w:ascii="Cambria Math" w:hAnsi="Cambria Math" w:eastAsia="宋体"/>
                    <w:sz w:val="24"/>
                  </w:rPr>
                  <m:t>fℓrt</m:t>
                </m:r>
              </m:sub>
            </m:sSub>
          </m:e>
        </m:box>
      </m:oMath>
      <w:r>
        <w:t>为相应当期生产价值，</w:t>
      </w:r>
      <m:oMath>
        <m:box>
          <m:boxPr>
            <m:noBreak m:val="1"/>
          </m:boxPr>
          <m:e>
            <m:sSub>
              <m:e>
                <m:r>
                  <w:rPr>
                    <w:rFonts w:ascii="Cambria Math" w:hAnsi="Cambria Math" w:eastAsia="宋体"/>
                    <w:sz w:val="24"/>
                  </w:rPr>
                  <m:rPr>
                    <m:scr m:val="script"/>
                  </m:rPr>
                  <m:t>B</m:t>
                </m:r>
              </m:e>
              <m:sub>
                <m:r>
                  <w:rPr>
                    <w:rFonts w:ascii="Cambria Math" w:hAnsi="Cambria Math" w:eastAsia="宋体"/>
                    <w:sz w:val="24"/>
                  </w:rPr>
                  <m:t>jt</m:t>
                </m:r>
              </m:sub>
            </m:sSub>
          </m:e>
        </m:box>
      </m:oMath>
      <w:r>
        <w:t>为能够唯一归入部门</w:t>
      </w:r>
      <m:oMath>
        <m:box>
          <m:boxPr>
            <m:noBreak m:val="1"/>
          </m:boxPr>
          <m:e>
            <m:r>
              <w:rPr>
                <w:rFonts w:ascii="Cambria Math" w:hAnsi="Cambria Math" w:eastAsia="宋体"/>
                <w:sz w:val="24"/>
              </w:rPr>
              <m:t>j</m:t>
            </m:r>
          </m:e>
        </m:box>
      </m:oMath>
      <w:r>
        <w:t>且控制关系已核实的企业业务—地区记录集合。各记录通过GB2017、ISIC Rev.4及模型部门对照确定归属。外国和国内控制生产分别为：</w:t>
      </w:r>
    </w:p>
    <w:p>
      <w:pPr>
        <w:pStyle w:val="Equation"/>
        <w:keepNext/>
      </w:pPr>
      <w:r>
        <w:tab/>
      </w:r>
      <m:oMath>
        <m:sSub>
          <m:e>
            <m:r>
              <w:rPr>
                <w:rFonts w:ascii="Cambria Math" w:hAnsi="Cambria Math" w:eastAsia="宋体"/>
                <w:sz w:val="23"/>
              </w:rPr>
              <m:t>F</m:t>
            </m:r>
          </m:e>
          <m:sub>
            <m:r>
              <w:rPr>
                <w:rFonts w:ascii="Cambria Math" w:hAnsi="Cambria Math" w:eastAsia="宋体"/>
                <w:sz w:val="23"/>
              </w:rPr>
              <m:t>jt</m:t>
            </m:r>
          </m:sub>
        </m:sSub>
        <m:r>
          <w:rPr>
            <w:rFonts w:ascii="Cambria Math" w:hAnsi="Cambria Math" w:eastAsia="宋体"/>
            <w:sz w:val="23"/>
          </w:rPr>
          <m:t>=</m:t>
        </m:r>
        <m:nary>
          <m:naryPr>
            <m:chr m:val="∑"/>
            <m:limLoc m:val="undOvr"/>
            <m:grow m:val="1"/>
            <m:subHide m:val="off"/>
            <m:supHide m:val="on"/>
          </m:naryPr>
          <m:sub>
            <m:r>
              <w:rPr>
                <w:rFonts w:ascii="Cambria Math" w:hAnsi="Cambria Math" w:eastAsia="宋体"/>
                <w:sz w:val="23"/>
              </w:rPr>
              <m:t>(f,ℓ,r)∈</m:t>
            </m:r>
            <m:sSub>
              <m:e>
                <m:r>
                  <w:rPr>
                    <w:rFonts w:ascii="Cambria Math" w:hAnsi="Cambria Math" w:eastAsia="宋体"/>
                    <w:sz w:val="23"/>
                  </w:rPr>
                  <m:rPr>
                    <m:scr m:val="script"/>
                  </m:rPr>
                  <m:t>B</m:t>
                </m:r>
              </m:e>
              <m:sub>
                <m:r>
                  <w:rPr>
                    <w:rFonts w:ascii="Cambria Math" w:hAnsi="Cambria Math" w:eastAsia="宋体"/>
                    <w:sz w:val="23"/>
                  </w:rPr>
                  <m:t>jt</m:t>
                </m:r>
              </m:sub>
            </m:sSub>
          </m:sub>
          <m:sup/>
          <m:e>
            <m:sSubSup>
              <m:e>
                <m:r>
                  <w:rPr>
                    <w:rFonts w:ascii="Cambria Math" w:hAnsi="Cambria Math" w:eastAsia="宋体"/>
                    <w:sz w:val="23"/>
                  </w:rPr>
                  <m:t>D</m:t>
                </m:r>
              </m:e>
              <m:sub>
                <m:r>
                  <w:rPr>
                    <w:rFonts w:ascii="Cambria Math" w:hAnsi="Cambria Math" w:eastAsia="宋体"/>
                    <w:sz w:val="23"/>
                  </w:rPr>
                  <m:t>ft</m:t>
                </m:r>
              </m:sub>
              <m:sup>
                <m:r>
                  <w:rPr>
                    <w:rFonts w:ascii="Cambria Math" w:hAnsi="Cambria Math" w:eastAsia="宋体"/>
                    <w:sz w:val="23"/>
                  </w:rPr>
                  <m:t>F</m:t>
                </m:r>
              </m:sup>
            </m:sSubSup>
          </m:e>
        </m:nary>
        <m:sSub>
          <m:e>
            <m:r>
              <w:rPr>
                <w:rFonts w:ascii="Cambria Math" w:hAnsi="Cambria Math" w:eastAsia="宋体"/>
                <w:sz w:val="23"/>
              </w:rPr>
              <m:t>Q</m:t>
            </m:r>
          </m:e>
          <m:sub>
            <m:r>
              <w:rPr>
                <w:rFonts w:ascii="Cambria Math" w:hAnsi="Cambria Math" w:eastAsia="宋体"/>
                <w:sz w:val="23"/>
              </w:rPr>
              <m:t>fℓrt</m:t>
            </m:r>
          </m:sub>
        </m:sSub>
        <m:r>
          <w:rPr>
            <w:rFonts w:ascii="Cambria Math" w:hAnsi="Cambria Math" w:eastAsia="宋体"/>
            <w:sz w:val="23"/>
          </w:rPr>
          <m:t>,</m:t>
        </m:r>
        <m:sSub>
          <m:e>
            <m:r>
              <w:rPr>
                <w:rFonts w:ascii="Cambria Math" w:hAnsi="Cambria Math" w:eastAsia="宋体"/>
                <w:sz w:val="23"/>
              </w:rPr>
              <m:t>D</m:t>
            </m:r>
          </m:e>
          <m:sub>
            <m:r>
              <w:rPr>
                <w:rFonts w:ascii="Cambria Math" w:hAnsi="Cambria Math" w:eastAsia="宋体"/>
                <w:sz w:val="23"/>
              </w:rPr>
              <m:t>jt</m:t>
            </m:r>
          </m:sub>
        </m:sSub>
        <m:r>
          <w:rPr>
            <w:rFonts w:ascii="Cambria Math" w:hAnsi="Cambria Math" w:eastAsia="宋体"/>
            <w:sz w:val="23"/>
          </w:rPr>
          <m:t>=</m:t>
        </m:r>
        <m:nary>
          <m:naryPr>
            <m:chr m:val="∑"/>
            <m:limLoc m:val="undOvr"/>
            <m:grow m:val="1"/>
            <m:subHide m:val="off"/>
            <m:supHide m:val="on"/>
          </m:naryPr>
          <m:sub>
            <m:r>
              <w:rPr>
                <w:rFonts w:ascii="Cambria Math" w:hAnsi="Cambria Math" w:eastAsia="宋体"/>
                <w:sz w:val="23"/>
              </w:rPr>
              <m:t>(f,ℓ,r)∈</m:t>
            </m:r>
            <m:sSub>
              <m:e>
                <m:r>
                  <w:rPr>
                    <w:rFonts w:ascii="Cambria Math" w:hAnsi="Cambria Math" w:eastAsia="宋体"/>
                    <w:sz w:val="23"/>
                  </w:rPr>
                  <m:rPr>
                    <m:scr m:val="script"/>
                  </m:rPr>
                  <m:t>B</m:t>
                </m:r>
              </m:e>
              <m:sub>
                <m:r>
                  <w:rPr>
                    <w:rFonts w:ascii="Cambria Math" w:hAnsi="Cambria Math" w:eastAsia="宋体"/>
                    <w:sz w:val="23"/>
                  </w:rPr>
                  <m:t>jt</m:t>
                </m:r>
              </m:sub>
            </m:sSub>
          </m:sub>
          <m:sup/>
          <m:e>
            <m:r>
              <w:rPr>
                <w:rFonts w:ascii="Cambria Math" w:hAnsi="Cambria Math" w:eastAsia="宋体"/>
                <w:sz w:val="23"/>
              </w:rPr>
              <m:t>(1-</m:t>
            </m:r>
          </m:e>
        </m:nary>
        <m:sSubSup>
          <m:e>
            <m:r>
              <w:rPr>
                <w:rFonts w:ascii="Cambria Math" w:hAnsi="Cambria Math" w:eastAsia="宋体"/>
                <w:sz w:val="23"/>
              </w:rPr>
              <m:t>D</m:t>
            </m:r>
          </m:e>
          <m:sub>
            <m:r>
              <w:rPr>
                <w:rFonts w:ascii="Cambria Math" w:hAnsi="Cambria Math" w:eastAsia="宋体"/>
                <w:sz w:val="23"/>
              </w:rPr>
              <m:t>ft</m:t>
            </m:r>
          </m:sub>
          <m:sup>
            <m:r>
              <w:rPr>
                <w:rFonts w:ascii="Cambria Math" w:hAnsi="Cambria Math" w:eastAsia="宋体"/>
                <w:sz w:val="23"/>
              </w:rPr>
              <m:t>F</m:t>
            </m:r>
          </m:sup>
        </m:sSubSup>
        <m:r>
          <w:rPr>
            <w:rFonts w:ascii="Cambria Math" w:hAnsi="Cambria Math" w:eastAsia="宋体"/>
            <w:sz w:val="23"/>
          </w:rPr>
          <m:t>)</m:t>
        </m:r>
        <m:sSub>
          <m:e>
            <m:r>
              <w:rPr>
                <w:rFonts w:ascii="Cambria Math" w:hAnsi="Cambria Math" w:eastAsia="宋体"/>
                <w:sz w:val="23"/>
              </w:rPr>
              <m:t>Q</m:t>
            </m:r>
          </m:e>
          <m:sub>
            <m:r>
              <w:rPr>
                <w:rFonts w:ascii="Cambria Math" w:hAnsi="Cambria Math" w:eastAsia="宋体"/>
                <w:sz w:val="23"/>
              </w:rPr>
              <m:t>fℓrt</m:t>
            </m:r>
          </m:sub>
        </m:sSub>
        <m:r>
          <w:rPr>
            <w:rFonts w:ascii="Cambria Math" w:hAnsi="Cambria Math" w:eastAsia="宋体"/>
            <w:sz w:val="23"/>
          </w:rPr>
          <m:t>.</m:t>
        </m:r>
      </m:oMath>
      <w:r>
        <w:tab/>
        <w:t>(A8)</w:t>
      </w:r>
    </w:p>
    <w:p>
      <w:pPr>
        <w:keepNext/>
      </w:pPr>
      <w:r>
        <w:t xml:space="preserve">外国和国内控制生产采用相同币值、价格年份和估值口径。多个小类归入同一部门时，先加总生产价值，再计算外国控制企业的生产份额：</w:t>
      </w:r>
    </w:p>
    <w:p>
      <w:pPr>
        <w:pStyle w:val="Equation"/>
        <w:keepNext/>
      </w:pPr>
      <w:r>
        <w:tab/>
      </w:r>
      <m:oMath>
        <m:sSubSup>
          <m:e>
            <m:r>
              <w:rPr>
                <w:rFonts w:ascii="Cambria Math" w:hAnsi="Cambria Math" w:eastAsia="宋体"/>
                <w:sz w:val="23"/>
              </w:rPr>
              <m:t>M</m:t>
            </m:r>
          </m:e>
          <m:sub>
            <m:r>
              <w:rPr>
                <w:rFonts w:ascii="Cambria Math" w:hAnsi="Cambria Math" w:eastAsia="宋体"/>
                <w:sz w:val="23"/>
              </w:rPr>
              <m:t>jt</m:t>
            </m:r>
          </m:sub>
          <m:sup>
            <m:r>
              <w:rPr>
                <w:rFonts w:ascii="Cambria Math" w:hAnsi="Cambria Math" w:eastAsia="宋体"/>
                <w:sz w:val="23"/>
              </w:rPr>
              <m:rPr>
                <m:sty m:val="p"/>
              </m:rPr>
              <m:t>obs</m:t>
            </m:r>
          </m:sup>
        </m:sSubSup>
        <m:r>
          <w:rPr>
            <w:rFonts w:ascii="Cambria Math" w:hAnsi="Cambria Math" w:eastAsia="宋体"/>
            <w:sz w:val="23"/>
          </w:rPr>
          <m:t>=</m:t>
        </m:r>
        <m:f>
          <m:fPr>
            <m:type m:val="bar"/>
          </m:fPr>
          <m:num>
            <m:sSub>
              <m:e>
                <m:r>
                  <w:rPr>
                    <w:rFonts w:ascii="Cambria Math" w:hAnsi="Cambria Math" w:eastAsia="宋体"/>
                    <w:sz w:val="23"/>
                  </w:rPr>
                  <m:t>F</m:t>
                </m:r>
              </m:e>
              <m:sub>
                <m:r>
                  <w:rPr>
                    <w:rFonts w:ascii="Cambria Math" w:hAnsi="Cambria Math" w:eastAsia="宋体"/>
                    <w:sz w:val="23"/>
                  </w:rPr>
                  <m:t>jt</m:t>
                </m:r>
              </m:sub>
            </m:sSub>
          </m:num>
          <m:den>
            <m:sSub>
              <m:e>
                <m:r>
                  <w:rPr>
                    <w:rFonts w:ascii="Cambria Math" w:hAnsi="Cambria Math" w:eastAsia="宋体"/>
                    <w:sz w:val="23"/>
                  </w:rPr>
                  <m:t>F</m:t>
                </m:r>
              </m:e>
              <m:sub>
                <m:r>
                  <w:rPr>
                    <w:rFonts w:ascii="Cambria Math" w:hAnsi="Cambria Math" w:eastAsia="宋体"/>
                    <w:sz w:val="23"/>
                  </w:rPr>
                  <m:t>jt</m:t>
                </m:r>
              </m:sub>
            </m:sSub>
            <m:r>
              <w:rPr>
                <w:rFonts w:ascii="Cambria Math" w:hAnsi="Cambria Math" w:eastAsia="宋体"/>
                <w:sz w:val="23"/>
              </w:rPr>
              <m:t>+</m:t>
            </m:r>
            <m:sSub>
              <m:e>
                <m:r>
                  <w:rPr>
                    <w:rFonts w:ascii="Cambria Math" w:hAnsi="Cambria Math" w:eastAsia="宋体"/>
                    <w:sz w:val="23"/>
                  </w:rPr>
                  <m:t>D</m:t>
                </m:r>
              </m:e>
              <m:sub>
                <m:r>
                  <w:rPr>
                    <w:rFonts w:ascii="Cambria Math" w:hAnsi="Cambria Math" w:eastAsia="宋体"/>
                    <w:sz w:val="23"/>
                  </w:rPr>
                  <m:t>jt</m:t>
                </m:r>
              </m:sub>
            </m:sSub>
          </m:den>
        </m:f>
        <m:r>
          <w:rPr>
            <w:rFonts w:ascii="Cambria Math" w:hAnsi="Cambria Math" w:eastAsia="宋体"/>
            <w:sz w:val="23"/>
          </w:rPr>
          <m:t>.</m:t>
        </m:r>
      </m:oMath>
      <w:r>
        <w:tab/>
        <w:t>(A9)</w:t>
      </w:r>
    </w:p>
    <w:p>
      <w:pPr/>
      <w:r>
        <w:t xml:space="preserve">控制关系或部门归属未确定的产出单列，并说明这部分产出未纳入统计会如何影响部门份额。分母为零时，份额未定义。计算跨部门份额时，同样先加总产出再计算比例。每笔产出只计一次，不能因其对应多个候选行业而重复计入。</w:t>
      </w:r>
    </w:p>
    <w:p>
      <w:pPr>
        <w:keepNext/>
      </w:pPr>
      <w:r>
        <w:t xml:space="preserve">观察到的份额变化还受到需求、技术及其他政策影响。为识别所研究改革引起的变化，企业分析和行业分析均分别估计外国与国内控制产出，再用各自的系数预测有改革和无改革的结果。两种情景采用相同预测样本及其他条件，仅改变该项改革。以</w:t>
      </w:r>
      <m:oMath>
        <m:box>
          <m:boxPr>
            <m:noBreak m:val="1"/>
          </m:boxPr>
          <m:e>
            <m:r>
              <w:rPr>
                <w:rFonts w:ascii="Cambria Math" w:hAnsi="Cambria Math" w:eastAsia="宋体"/>
                <w:sz w:val="24"/>
              </w:rPr>
              <m:t>a=1</m:t>
            </m:r>
          </m:e>
        </m:box>
      </m:oMath>
      <w:r>
        <w:t xml:space="preserve">和</w:t>
      </w:r>
      <m:oMath>
        <m:box>
          <m:boxPr>
            <m:noBreak m:val="1"/>
          </m:boxPr>
          <m:e>
            <m:r>
              <w:rPr>
                <w:rFonts w:ascii="Cambria Math" w:hAnsi="Cambria Math" w:eastAsia="宋体"/>
                <w:sz w:val="24"/>
              </w:rPr>
              <m:t>a=0</m:t>
            </m:r>
          </m:e>
        </m:box>
      </m:oMath>
      <w:r>
        <w:t xml:space="preserve">表示两种政策状态，</w:t>
      </w:r>
      <m:oMath>
        <m:box>
          <m:boxPr>
            <m:noBreak m:val="1"/>
          </m:boxPr>
          <m:e>
            <m:r>
              <w:rPr>
                <w:rFonts w:ascii="Cambria Math" w:hAnsi="Cambria Math" w:eastAsia="宋体"/>
                <w:sz w:val="24"/>
              </w:rPr>
              <m:t>g</m:t>
            </m:r>
          </m:e>
        </m:box>
      </m:oMath>
      <w:r>
        <w:t xml:space="preserve">表示所用估计规格中的产出观测单元，</w:t>
      </w:r>
      <m:oMath>
        <m:box>
          <m:boxPr>
            <m:noBreak m:val="1"/>
          </m:boxPr>
          <m:e>
            <m:sSub>
              <m:e>
                <m:r>
                  <w:rPr>
                    <w:rFonts w:ascii="Cambria Math" w:hAnsi="Cambria Math" w:eastAsia="宋体"/>
                    <w:sz w:val="24"/>
                  </w:rPr>
                  <m:rPr>
                    <m:scr m:val="script"/>
                  </m:rPr>
                  <m:t>S</m:t>
                </m:r>
              </m:e>
              <m:sub>
                <m:r>
                  <w:rPr>
                    <w:rFonts w:ascii="Cambria Math" w:hAnsi="Cambria Math" w:eastAsia="宋体"/>
                    <w:sz w:val="24"/>
                  </w:rPr>
                  <m:t>je</m:t>
                </m:r>
              </m:sub>
            </m:sSub>
          </m:e>
        </m:box>
      </m:oMath>
      <w:r>
        <w:t xml:space="preserve">为能够归入部门</w:t>
      </w:r>
      <m:oMath>
        <m:box>
          <m:boxPr>
            <m:noBreak m:val="1"/>
          </m:boxPr>
          <m:e>
            <m:r>
              <w:rPr>
                <w:rFonts w:ascii="Cambria Math" w:hAnsi="Cambria Math" w:eastAsia="宋体"/>
                <w:sz w:val="24"/>
              </w:rPr>
              <m:t>j</m:t>
            </m:r>
          </m:e>
        </m:box>
      </m:oMath>
      <w:r>
        <w:t xml:space="preserve">的预测单元集合，则：</w:t>
      </w:r>
    </w:p>
    <w:p>
      <w:pPr>
        <w:pStyle w:val="Equation"/>
        <w:keepNext/>
      </w:pPr>
      <w:r>
        <w:tab/>
      </w:r>
      <m:oMath>
        <m:sSubSup>
          <m:e>
            <m:acc>
              <m:accPr>
                <m:chr m:val="̂"/>
              </m:accPr>
              <m:e>
                <m:r>
                  <w:rPr>
                    <w:rFonts w:ascii="Cambria Math" w:hAnsi="Cambria Math" w:eastAsia="宋体"/>
                    <w:sz w:val="23"/>
                  </w:rPr>
                  <m:t>M</m:t>
                </m:r>
              </m:e>
            </m:acc>
          </m:e>
          <m:sub>
            <m:r>
              <w:rPr>
                <w:rFonts w:ascii="Cambria Math" w:hAnsi="Cambria Math" w:eastAsia="宋体"/>
                <w:sz w:val="23"/>
              </w:rPr>
              <m:t>jte</m:t>
            </m:r>
          </m:sub>
          <m:sup>
            <m:r>
              <w:rPr>
                <w:rFonts w:ascii="Cambria Math" w:hAnsi="Cambria Math" w:eastAsia="宋体"/>
                <w:sz w:val="23"/>
              </w:rPr>
              <m:t>a</m:t>
            </m:r>
          </m:sup>
        </m:sSubSup>
        <m:r>
          <w:rPr>
            <w:rFonts w:ascii="Cambria Math" w:hAnsi="Cambria Math" w:eastAsia="宋体"/>
            <w:sz w:val="23"/>
          </w:rPr>
          <m:t>=</m:t>
        </m:r>
        <m:f>
          <m:fPr>
            <m:type m:val="bar"/>
          </m:fPr>
          <m:num>
            <m:nary>
              <m:naryPr>
                <m:chr m:val="∑"/>
                <m:limLoc m:val="undOvr"/>
                <m:grow m:val="1"/>
                <m:subHide m:val="off"/>
                <m:supHide m:val="on"/>
              </m:naryPr>
              <m:sub>
                <m:r>
                  <w:rPr>
                    <w:rFonts w:ascii="Cambria Math" w:hAnsi="Cambria Math" w:eastAsia="宋体"/>
                    <w:sz w:val="23"/>
                  </w:rPr>
                  <m:t>g∈</m:t>
                </m:r>
                <m:sSub>
                  <m:e>
                    <m:r>
                      <w:rPr>
                        <w:rFonts w:ascii="Cambria Math" w:hAnsi="Cambria Math" w:eastAsia="宋体"/>
                        <w:sz w:val="23"/>
                      </w:rPr>
                      <m:rPr>
                        <m:scr m:val="script"/>
                      </m:rPr>
                      <m:t>S</m:t>
                    </m:r>
                  </m:e>
                  <m:sub>
                    <m:r>
                      <w:rPr>
                        <w:rFonts w:ascii="Cambria Math" w:hAnsi="Cambria Math" w:eastAsia="宋体"/>
                        <w:sz w:val="23"/>
                      </w:rPr>
                      <m:t>je</m:t>
                    </m:r>
                  </m:sub>
                </m:sSub>
              </m:sub>
              <m:sup/>
              <m:e>
                <m:sSubSup>
                  <m:e>
                    <m:acc>
                      <m:accPr>
                        <m:chr m:val="̂"/>
                      </m:accPr>
                      <m:e>
                        <m:r>
                          <w:rPr>
                            <w:rFonts w:ascii="Cambria Math" w:hAnsi="Cambria Math" w:eastAsia="宋体"/>
                            <w:sz w:val="23"/>
                          </w:rPr>
                          <m:t>F</m:t>
                        </m:r>
                      </m:e>
                    </m:acc>
                  </m:e>
                  <m:sub>
                    <m:r>
                      <w:rPr>
                        <w:rFonts w:ascii="Cambria Math" w:hAnsi="Cambria Math" w:eastAsia="宋体"/>
                        <w:sz w:val="23"/>
                      </w:rPr>
                      <m:t>gte</m:t>
                    </m:r>
                  </m:sub>
                  <m:sup>
                    <m:r>
                      <w:rPr>
                        <w:rFonts w:ascii="Cambria Math" w:hAnsi="Cambria Math" w:eastAsia="宋体"/>
                        <w:sz w:val="23"/>
                      </w:rPr>
                      <m:t>a</m:t>
                    </m:r>
                  </m:sup>
                </m:sSubSup>
              </m:e>
            </m:nary>
          </m:num>
          <m:den>
            <m:nary>
              <m:naryPr>
                <m:chr m:val="∑"/>
                <m:limLoc m:val="undOvr"/>
                <m:grow m:val="1"/>
                <m:subHide m:val="off"/>
                <m:supHide m:val="on"/>
              </m:naryPr>
              <m:sub>
                <m:r>
                  <w:rPr>
                    <w:rFonts w:ascii="Cambria Math" w:hAnsi="Cambria Math" w:eastAsia="宋体"/>
                    <w:sz w:val="23"/>
                  </w:rPr>
                  <m:t>g∈</m:t>
                </m:r>
                <m:sSub>
                  <m:e>
                    <m:r>
                      <w:rPr>
                        <w:rFonts w:ascii="Cambria Math" w:hAnsi="Cambria Math" w:eastAsia="宋体"/>
                        <w:sz w:val="23"/>
                      </w:rPr>
                      <m:rPr>
                        <m:scr m:val="script"/>
                      </m:rPr>
                      <m:t>S</m:t>
                    </m:r>
                  </m:e>
                  <m:sub>
                    <m:r>
                      <w:rPr>
                        <w:rFonts w:ascii="Cambria Math" w:hAnsi="Cambria Math" w:eastAsia="宋体"/>
                        <w:sz w:val="23"/>
                      </w:rPr>
                      <m:t>je</m:t>
                    </m:r>
                  </m:sub>
                </m:sSub>
              </m:sub>
              <m:sup/>
              <m:e>
                <m:r>
                  <w:rPr>
                    <w:rFonts w:ascii="Cambria Math" w:hAnsi="Cambria Math" w:eastAsia="宋体"/>
                    <w:sz w:val="23"/>
                  </w:rPr>
                  <m:t>(</m:t>
                </m:r>
              </m:e>
            </m:nary>
            <m:sSubSup>
              <m:e>
                <m:acc>
                  <m:accPr>
                    <m:chr m:val="̂"/>
                  </m:accPr>
                  <m:e>
                    <m:r>
                      <w:rPr>
                        <w:rFonts w:ascii="Cambria Math" w:hAnsi="Cambria Math" w:eastAsia="宋体"/>
                        <w:sz w:val="23"/>
                      </w:rPr>
                      <m:t>F</m:t>
                    </m:r>
                  </m:e>
                </m:acc>
              </m:e>
              <m:sub>
                <m:r>
                  <w:rPr>
                    <w:rFonts w:ascii="Cambria Math" w:hAnsi="Cambria Math" w:eastAsia="宋体"/>
                    <w:sz w:val="23"/>
                  </w:rPr>
                  <m:t>gte</m:t>
                </m:r>
              </m:sub>
              <m:sup>
                <m:r>
                  <w:rPr>
                    <w:rFonts w:ascii="Cambria Math" w:hAnsi="Cambria Math" w:eastAsia="宋体"/>
                    <w:sz w:val="23"/>
                  </w:rPr>
                  <m:t>a</m:t>
                </m:r>
              </m:sup>
            </m:sSubSup>
            <m:r>
              <w:rPr>
                <w:rFonts w:ascii="Cambria Math" w:hAnsi="Cambria Math" w:eastAsia="宋体"/>
                <w:sz w:val="23"/>
              </w:rPr>
              <m:t>+</m:t>
            </m:r>
            <m:sSubSup>
              <m:e>
                <m:acc>
                  <m:accPr>
                    <m:chr m:val="̂"/>
                  </m:accPr>
                  <m:e>
                    <m:r>
                      <w:rPr>
                        <w:rFonts w:ascii="Cambria Math" w:hAnsi="Cambria Math" w:eastAsia="宋体"/>
                        <w:sz w:val="23"/>
                      </w:rPr>
                      <m:t>D</m:t>
                    </m:r>
                  </m:e>
                </m:acc>
              </m:e>
              <m:sub>
                <m:r>
                  <w:rPr>
                    <w:rFonts w:ascii="Cambria Math" w:hAnsi="Cambria Math" w:eastAsia="宋体"/>
                    <w:sz w:val="23"/>
                  </w:rPr>
                  <m:t>gte</m:t>
                </m:r>
              </m:sub>
              <m:sup>
                <m:r>
                  <w:rPr>
                    <w:rFonts w:ascii="Cambria Math" w:hAnsi="Cambria Math" w:eastAsia="宋体"/>
                    <w:sz w:val="23"/>
                  </w:rPr>
                  <m:t>a</m:t>
                </m:r>
              </m:sup>
            </m:sSubSup>
            <m:r>
              <w:rPr>
                <w:rFonts w:ascii="Cambria Math" w:hAnsi="Cambria Math" w:eastAsia="宋体"/>
                <w:sz w:val="23"/>
              </w:rPr>
              <m:t>)</m:t>
            </m:r>
          </m:den>
        </m:f>
        <m:r>
          <w:rPr>
            <w:rFonts w:ascii="Cambria Math" w:hAnsi="Cambria Math" w:eastAsia="宋体"/>
            <w:sz w:val="23"/>
          </w:rPr>
          <m:t>,</m:t>
        </m:r>
        <m:r>
          <w:rPr>
            <w:rFonts w:ascii="Cambria Math" w:hAnsi="Cambria Math" w:eastAsia="宋体"/>
            <w:sz w:val="23"/>
          </w:rPr>
          <m:t>a∈{0,1}.</m:t>
        </m:r>
      </m:oMath>
      <w:r>
        <w:tab/>
        <w:t>(A10)</w:t>
      </w:r>
    </w:p>
    <w:p>
      <w:pPr/>
      <w:r>
        <w:t xml:space="preserve">企业、固定企业组和行业面板的预测范围不同，结果应分别解释。行业总产出已包含原有企业产出，两类结果不能直接相加。部门成本反演优先使用覆盖整个部门的生产变化。只有原有企业或部分行业的估计结果时，须说明其余产出如何处理及其依据。例如，假定未覆盖产出在有无改革两种情景下均保持不变，属于构造部门目标时增加的假设。无法说明部门产出的覆盖范围或其余产出的处理依据时，仅报告该事件的微观结果。图A1说明两类分析如何用于部门成本反演。</w:t>
      </w:r>
    </w:p>
    <w:tbl>
      <w:tblPr>
        <w:tblW w:type="auto" w:w="0"/>
        <w:jc w:val="center"/>
        <w:tblLayout w:type="fixed"/>
        <w:tblLook w:firstColumn="1" w:firstRow="1" w:lastColumn="0" w:lastRow="0" w:noHBand="0" w:noVBand="1" w:val="04A0"/>
      </w:tblPr>
      <w:tblGrid>
        <w:gridCol w:w="4680"/>
        <w:gridCol w:w="4680"/>
      </w:tblGrid>
      <w:tr>
        <w:trPr>
          <w:cantSplit/>
        </w:trPr>
        <w:tc>
          <w:tcPr>
            <w:tcW w:type="dxa" w:w="9360"/>
            <w:vAlign w:val="center"/>
            <w:gridSpan w:val="2"/>
            <w:tcMar>
              <w:top w:w="65" w:type="dxa"/>
              <w:bottom w:w="65" w:type="dxa"/>
              <w:left w:w="95" w:type="dxa"/>
              <w:right w:w="95" w:type="dxa"/>
            </w:tcMar>
            <w:tcBorders>
              <w:top w:val="single" w:sz="5" w:color="8497AB"/>
              <w:left w:val="single" w:sz="5" w:color="8497AB"/>
              <w:bottom w:val="single" w:sz="5" w:color="8497AB"/>
              <w:right w:val="single" w:sz="5" w:color="8497AB"/>
            </w:tcBorders>
            <w:shd w:fill="EEF2F6"/>
          </w:tcPr>
          <w:p>
            <w:pPr>
              <w:keepNext/>
              <w:keepLines/>
              <w:spacing w:line="264" w:lineRule="auto" w:before="0" w:after="0"/>
              <w:ind w:firstLine="0"/>
              <w:jc w:val="center"/>
            </w:pPr>
            <w:r>
              <w:rPr>
                <w:sz w:val="21"/>
              </w:rPr>
              <w:t>政策逐版编码与GB2017行业匹配</w:t>
              <w:br/>
              <w:t>大语言模型辅助识别，人工核查法律适用范围</w:t>
            </w:r>
          </w:p>
        </w:tc>
      </w:tr>
      <w:tr>
        <w:trPr>
          <w:cantSplit/>
        </w:trPr>
        <w:tc>
          <w:tcPr>
            <w:tcW w:type="dxa" w:w="9360"/>
            <w:vAlign w:val="center"/>
            <w:gridSpan w:val="2"/>
            <w:tcMar>
              <w:top w:w="65" w:type="dxa"/>
              <w:bottom w:w="65" w:type="dxa"/>
              <w:left w:w="95" w:type="dxa"/>
              <w:right w:w="95" w:type="dxa"/>
            </w:tcMar>
          </w:tcPr>
          <w:p>
            <w:pPr>
              <w:keepNext/>
              <w:keepLines/>
              <w:spacing w:line="264" w:lineRule="auto" w:before="0" w:after="0"/>
              <w:ind w:firstLine="0"/>
              <w:jc w:val="center"/>
            </w:pPr>
            <w:r>
              <w:rPr>
                <w:sz w:val="21"/>
              </w:rPr>
              <w:t>↓</w:t>
            </w:r>
          </w:p>
        </w:tc>
      </w:tr>
      <w:tr>
        <w:trPr>
          <w:cantSplit/>
        </w:trPr>
        <w:tc>
          <w:tcPr>
            <w:tcW w:type="dxa" w:w="9360"/>
            <w:vAlign w:val="center"/>
            <w:gridSpan w:val="2"/>
            <w:tcMar>
              <w:top w:w="65" w:type="dxa"/>
              <w:bottom w:w="65" w:type="dxa"/>
              <w:left w:w="95" w:type="dxa"/>
              <w:right w:w="95" w:type="dxa"/>
            </w:tcMar>
            <w:tcBorders>
              <w:top w:val="single" w:sz="5" w:color="8497AB"/>
              <w:left w:val="single" w:sz="5" w:color="8497AB"/>
              <w:bottom w:val="single" w:sz="5" w:color="8497AB"/>
              <w:right w:val="single" w:sz="5" w:color="8497AB"/>
            </w:tcBorders>
            <w:shd w:fill="EEF2F6"/>
          </w:tcPr>
          <w:p>
            <w:pPr>
              <w:keepNext/>
              <w:keepLines/>
              <w:spacing w:line="264" w:lineRule="auto" w:before="0" w:after="0"/>
              <w:ind w:firstLine="0"/>
              <w:jc w:val="center"/>
            </w:pPr>
            <w:r>
              <w:rPr>
                <w:sz w:val="21"/>
              </w:rPr>
              <w:t>固定企业改革前业务，逐版判断适用规则</w:t>
              <w:br/>
              <w:t>确定改革事件及适用范围</w:t>
            </w:r>
          </w:p>
        </w:tc>
      </w:tr>
      <w:tr>
        <w:trPr>
          <w:cantSplit/>
        </w:trPr>
        <w:tc>
          <w:tcPr>
            <w:tcW w:type="dxa" w:w="9360"/>
            <w:vAlign w:val="center"/>
            <w:gridSpan w:val="2"/>
            <w:tcMar>
              <w:top w:w="65" w:type="dxa"/>
              <w:bottom w:w="65" w:type="dxa"/>
              <w:left w:w="95" w:type="dxa"/>
              <w:right w:w="95" w:type="dxa"/>
            </w:tcMar>
          </w:tcPr>
          <w:p>
            <w:pPr>
              <w:keepNext/>
              <w:keepLines/>
              <w:spacing w:line="264" w:lineRule="auto" w:before="0" w:after="0"/>
              <w:ind w:firstLine="0"/>
              <w:jc w:val="center"/>
            </w:pPr>
            <w:r>
              <w:rPr>
                <w:sz w:val="21"/>
              </w:rPr>
              <w:t>↓</w:t>
            </w:r>
          </w:p>
        </w:tc>
      </w:tr>
      <w:tr>
        <w:trPr>
          <w:cantSplit/>
        </w:trPr>
        <w:tc>
          <w:tcPr>
            <w:tcW w:type="dxa" w:w="4680"/>
            <w:vAlign w:val="center"/>
            <w:tcMar>
              <w:top w:w="65" w:type="dxa"/>
              <w:bottom w:w="65" w:type="dxa"/>
              <w:left w:w="95" w:type="dxa"/>
              <w:right w:w="95" w:type="dxa"/>
            </w:tcMar>
            <w:tcBorders>
              <w:top w:val="single" w:sz="5" w:color="8497AB"/>
              <w:left w:val="single" w:sz="5" w:color="8497AB"/>
              <w:bottom w:val="single" w:sz="5" w:color="8497AB"/>
              <w:right w:val="single" w:sz="5" w:color="8497AB"/>
            </w:tcBorders>
            <w:shd w:fill="FFFFFF"/>
          </w:tcPr>
          <w:p>
            <w:pPr>
              <w:keepNext/>
              <w:keepLines/>
              <w:spacing w:line="264" w:lineRule="auto" w:before="0" w:after="0"/>
              <w:ind w:firstLine="0"/>
              <w:jc w:val="center"/>
            </w:pPr>
            <w:r>
              <w:rPr>
                <w:sz w:val="21"/>
              </w:rPr>
              <w:t>企业—年份基准分析</w:t>
              <w:br/>
              <w:t>原有企业的规模、控制权与存续</w:t>
            </w:r>
          </w:p>
        </w:tc>
        <w:tc>
          <w:tcPr>
            <w:tcW w:type="dxa" w:w="4680"/>
            <w:vAlign w:val="center"/>
            <w:tcMar>
              <w:top w:w="65" w:type="dxa"/>
              <w:bottom w:w="65" w:type="dxa"/>
              <w:left w:w="95" w:type="dxa"/>
              <w:right w:w="95" w:type="dxa"/>
            </w:tcMar>
            <w:tcBorders>
              <w:top w:val="single" w:sz="5" w:color="8497AB"/>
              <w:left w:val="single" w:sz="5" w:color="8497AB"/>
              <w:bottom w:val="single" w:sz="5" w:color="8497AB"/>
              <w:right w:val="single" w:sz="5" w:color="8497AB"/>
            </w:tcBorders>
            <w:shd w:fill="FFFFFF"/>
          </w:tcPr>
          <w:p>
            <w:pPr>
              <w:keepNext/>
              <w:keepLines/>
              <w:spacing w:line="264" w:lineRule="auto" w:before="0" w:after="0"/>
              <w:ind w:firstLine="0"/>
              <w:jc w:val="center"/>
            </w:pPr>
            <w:r>
              <w:rPr>
                <w:sz w:val="21"/>
              </w:rPr>
              <w:t>GB四位小类—地区—年份补充分析</w:t>
              <w:br/>
              <w:t>全行业生产，包括新设企业产出</w:t>
            </w:r>
          </w:p>
        </w:tc>
      </w:tr>
      <w:tr>
        <w:trPr>
          <w:cantSplit/>
        </w:trPr>
        <w:tc>
          <w:tcPr>
            <w:tcW w:type="dxa" w:w="4680"/>
            <w:vAlign w:val="center"/>
            <w:tcMar>
              <w:top w:w="65" w:type="dxa"/>
              <w:bottom w:w="65" w:type="dxa"/>
              <w:left w:w="95" w:type="dxa"/>
              <w:right w:w="95" w:type="dxa"/>
            </w:tcMar>
            <w:tcBorders>
              <w:top w:val="single" w:sz="5" w:color="8497AB"/>
              <w:left w:val="single" w:sz="5" w:color="8497AB"/>
              <w:bottom w:val="single" w:sz="5" w:color="8497AB"/>
              <w:right w:val="single" w:sz="5" w:color="8497AB"/>
            </w:tcBorders>
            <w:shd w:fill="FFFFFF"/>
          </w:tcPr>
          <w:p>
            <w:pPr>
              <w:keepNext/>
              <w:keepLines/>
              <w:spacing w:line="264" w:lineRule="auto" w:before="0" w:after="0"/>
              <w:ind w:firstLine="0"/>
              <w:jc w:val="center"/>
            </w:pPr>
            <w:r>
              <w:rPr>
                <w:sz w:val="21"/>
              </w:rPr>
              <w:t>解释原有企业的调整</w:t>
              <w:br/>
              <w:t>明确原有企业样本覆盖哪些部门产出</w:t>
            </w:r>
          </w:p>
        </w:tc>
        <w:tc>
          <w:tcPr>
            <w:tcW w:type="dxa" w:w="4680"/>
            <w:vAlign w:val="center"/>
            <w:tcMar>
              <w:top w:w="65" w:type="dxa"/>
              <w:bottom w:w="65" w:type="dxa"/>
              <w:left w:w="95" w:type="dxa"/>
              <w:right w:w="95" w:type="dxa"/>
            </w:tcMar>
            <w:tcBorders>
              <w:top w:val="single" w:sz="5" w:color="8497AB"/>
              <w:left w:val="single" w:sz="5" w:color="8497AB"/>
              <w:bottom w:val="single" w:sz="5" w:color="8497AB"/>
              <w:right w:val="single" w:sz="5" w:color="8497AB"/>
            </w:tcBorders>
            <w:shd w:fill="FFFFFF"/>
          </w:tcPr>
          <w:p>
            <w:pPr>
              <w:keepNext/>
              <w:keepLines/>
              <w:spacing w:line="264" w:lineRule="auto" w:before="0" w:after="0"/>
              <w:ind w:firstLine="0"/>
              <w:jc w:val="center"/>
            </w:pPr>
            <w:r>
              <w:rPr>
                <w:sz w:val="21"/>
              </w:rPr>
              <w:t>分别估计外国和国内控制生产</w:t>
              <w:br/>
              <w:t>按真实产出加总至模型部门</w:t>
            </w:r>
          </w:p>
        </w:tc>
      </w:tr>
      <w:tr>
        <w:trPr>
          <w:cantSplit/>
        </w:trPr>
        <w:tc>
          <w:tcPr>
            <w:tcW w:type="dxa" w:w="9360"/>
            <w:vAlign w:val="center"/>
            <w:gridSpan w:val="2"/>
            <w:tcMar>
              <w:top w:w="65" w:type="dxa"/>
              <w:bottom w:w="65" w:type="dxa"/>
              <w:left w:w="95" w:type="dxa"/>
              <w:right w:w="95" w:type="dxa"/>
            </w:tcMar>
            <w:tcBorders>
              <w:top w:val="single" w:sz="5" w:color="8497AB"/>
              <w:left w:val="single" w:sz="5" w:color="8497AB"/>
              <w:bottom w:val="single" w:sz="5" w:color="8497AB"/>
              <w:right w:val="single" w:sz="5" w:color="8497AB"/>
            </w:tcBorders>
            <w:shd w:fill="EEF2F6"/>
          </w:tcPr>
          <w:p>
            <w:pPr>
              <w:keepNext/>
              <w:keepLines/>
              <w:spacing w:line="264" w:lineRule="auto" w:before="0" w:after="0"/>
              <w:ind w:firstLine="0"/>
              <w:jc w:val="center"/>
            </w:pPr>
            <w:r>
              <w:rPr>
                <w:sz w:val="21"/>
              </w:rPr>
              <w:t>核查产出覆盖范围、部门归属及模型比较口径</w:t>
              <w:br/>
              <w:t>掌握完整部门产出或说明补充假设后，构造部门目标</w:t>
            </w:r>
          </w:p>
        </w:tc>
      </w:tr>
      <w:tr>
        <w:trPr>
          <w:cantSplit/>
        </w:trPr>
        <w:tc>
          <w:tcPr>
            <w:tcW w:type="dxa" w:w="9360"/>
            <w:vAlign w:val="center"/>
            <w:gridSpan w:val="2"/>
            <w:tcMar>
              <w:top w:w="65" w:type="dxa"/>
              <w:bottom w:w="65" w:type="dxa"/>
              <w:left w:w="95" w:type="dxa"/>
              <w:right w:w="95" w:type="dxa"/>
            </w:tcMar>
            <w:tcBorders>
              <w:top w:val="single" w:sz="5" w:color="8497AB"/>
              <w:left w:val="single" w:sz="5" w:color="8497AB"/>
              <w:bottom w:val="single" w:sz="5" w:color="8497AB"/>
              <w:right w:val="single" w:sz="5" w:color="8497AB"/>
            </w:tcBorders>
            <w:shd w:fill="FFFFFF"/>
          </w:tcPr>
          <w:p>
            <w:pPr>
              <w:keepNext/>
              <w:keepLines/>
              <w:spacing w:line="264" w:lineRule="auto" w:before="0" w:after="0"/>
              <w:ind w:firstLine="0"/>
              <w:jc w:val="center"/>
            </w:pPr>
            <w:r>
              <w:rPr>
                <w:sz w:val="21"/>
              </w:rPr>
              <w:t>↓</w:t>
              <w:br/>
              <w:t>部门MP成本反演 → 一般均衡反事实</w:t>
            </w:r>
          </w:p>
        </w:tc>
      </w:tr>
    </w:tbl>
    <w:p>
      <w:pPr>
        <w:pStyle w:val="af7"/>
        <w:keepNext w:val="0"/>
        <w:spacing w:before="80" w:after="140"/>
        <w:jc w:val="center"/>
      </w:pPr>
      <w:r>
        <w:t>图A1 企业估计与部门成本反演的衔接</w:t>
      </w:r>
    </w:p>
    <w:p>
      <w:pPr/>
      <w:r>
        <w:t xml:space="preserve">同时保存外国生产、国内生产和总生产的预测变化，用于判断份额上升是来自外国生产扩张、国内生产下降，还是控制权转换。原有企业、进入退出及所有权转换的贡献分别计算。固定基期产出权重的控制身份指标仅作辅助结果，实际生产份额仍按当期产出计算。</w:t>
      </w:r>
    </w:p>
    <w:p>
      <w:pPr>
        <w:pStyle w:val="21"/>
      </w:pPr>
      <w:r>
        <w:t>A.3.4 由外资生产份额变化反演跨国生产成本</w:t>
      </w:r>
    </w:p>
    <w:p>
      <w:pPr/>
      <w:r>
        <w:t xml:space="preserve">本节将估计得到的生产变化按模型部门和计价口径重新整理，再调整模型中外国企业在华生产的成本，使模型计算出的生产变化与实证估计相符。以</w:t>
      </w:r>
      <m:oMath>
        <m:box>
          <m:boxPr>
            <m:noBreak m:val="1"/>
          </m:boxPr>
          <m:e>
            <m:sSub>
              <m:e>
                <m:r>
                  <w:rPr>
                    <w:rFonts w:ascii="Cambria Math" w:hAnsi="Cambria Math" w:eastAsia="宋体"/>
                    <w:sz w:val="24"/>
                  </w:rPr>
                  <m:t>δ</m:t>
                </m:r>
              </m:e>
              <m:sub>
                <m:r>
                  <w:rPr>
                    <w:rFonts w:ascii="Cambria Math" w:hAnsi="Cambria Math" w:eastAsia="宋体"/>
                    <w:sz w:val="24"/>
                  </w:rPr>
                  <m:t>j</m:t>
                </m:r>
              </m:sub>
            </m:sSub>
          </m:e>
        </m:box>
      </m:oMath>
      <w:r>
        <w:t xml:space="preserve">表示成本的对数相对变化，负值表示下降。这一结果说明改革前后成本改变了多少；改革前的成本水平仍由模型数据和校准确定。</w:t>
      </w:r>
    </w:p>
    <w:p>
      <w:pPr/>
      <w:r>
        <w:t xml:space="preserve">每次改革事先选定用于比较的年份，并说明该年份的生产反应为何能够与模型的均衡结果对应。以该年有改革和无改革的预测份额之差构成</w:t>
      </w:r>
      <m:oMath>
        <m:box>
          <m:boxPr>
            <m:noBreak m:val="1"/>
          </m:boxPr>
          <m:e>
            <m:acc>
              <m:accPr>
                <m:chr m:val="̂"/>
              </m:accPr>
              <m:e>
                <m:r>
                  <w:rPr>
                    <w:rFonts w:ascii="Cambria Math" w:hAnsi="Cambria Math" w:eastAsia="宋体"/>
                    <w:sz w:val="24"/>
                  </w:rPr>
                  <m:rPr>
                    <m:sty m:val="bi"/>
                  </m:rPr>
                  <m:t>μ</m:t>
                </m:r>
              </m:e>
            </m:acc>
          </m:e>
        </m:box>
      </m:oMath>
      <w:r>
        <w:t xml:space="preserve">。份额取值在0至1之间，份额之差乘以100后表示百分点变化。需要补充预测范围之外的产出时，先在整个部门内重新计算两种情景的份额，再求其差值。下文省略事件及比较期下标，各次改革的成本变化分别反演。</w:t>
      </w:r>
    </w:p>
    <w:p>
      <w:pPr>
        <w:keepNext/>
      </w:pPr>
      <w:r>
        <w:t xml:space="preserve">模型按生产国、母国和销售目的国记录流量，企业数据则记录生产价值，因此需要先统一计价口径，再加总比较。令</w:t>
      </w:r>
      <m:oMath>
        <m:box>
          <m:boxPr>
            <m:noBreak m:val="1"/>
          </m:boxPr>
          <m:e>
            <m:sSub>
              <m:e>
                <m:r>
                  <w:rPr>
                    <w:rFonts w:ascii="Cambria Math" w:hAnsi="Cambria Math" w:eastAsia="宋体"/>
                    <w:sz w:val="24"/>
                  </w:rPr>
                  <m:t>V</m:t>
                </m:r>
              </m:e>
              <m:sub>
                <m:r>
                  <w:rPr>
                    <w:rFonts w:ascii="Cambria Math" w:hAnsi="Cambria Math" w:eastAsia="宋体"/>
                    <w:sz w:val="24"/>
                  </w:rPr>
                  <m:t>j</m:t>
                </m:r>
              </m:sub>
            </m:sSub>
          </m:e>
        </m:box>
      </m:oMath>
      <w:r>
        <w:t xml:space="preserve">表示将模型流量换算为企业数据口径的函数，换算依据包括价格、货币和贸易成本。</w:t>
      </w:r>
      <m:oMath>
        <m:box>
          <m:boxPr>
            <m:noBreak m:val="1"/>
          </m:boxPr>
          <m:e>
            <m:sSub>
              <m:e>
                <m:r>
                  <w:rPr>
                    <w:rFonts w:ascii="Cambria Math" w:hAnsi="Cambria Math" w:eastAsia="宋体"/>
                    <w:sz w:val="24"/>
                  </w:rPr>
                  <m:t>τ</m:t>
                </m:r>
              </m:e>
              <m:sub>
                <m:r>
                  <w:rPr>
                    <w:rFonts w:ascii="Cambria Math" w:hAnsi="Cambria Math" w:eastAsia="宋体"/>
                    <w:sz w:val="24"/>
                  </w:rPr>
                  <m:t>nCj</m:t>
                </m:r>
              </m:sub>
            </m:sSub>
          </m:e>
        </m:box>
      </m:oMath>
      <w:r>
        <w:t xml:space="preserve">为中国至目的国</w:t>
      </w:r>
      <m:oMath>
        <m:box>
          <m:boxPr>
            <m:noBreak m:val="1"/>
          </m:boxPr>
          <m:e>
            <m:r>
              <w:rPr>
                <w:rFonts w:ascii="Cambria Math" w:hAnsi="Cambria Math" w:eastAsia="宋体"/>
                <w:sz w:val="24"/>
              </w:rPr>
              <m:t>n</m:t>
            </m:r>
          </m:e>
        </m:box>
      </m:oMath>
      <w:r>
        <w:t xml:space="preserve">的贸易成本，</w:t>
      </w:r>
      <m:oMath>
        <m:box>
          <m:boxPr>
            <m:noBreak m:val="1"/>
          </m:boxPr>
          <m:e>
            <m:r>
              <w:rPr>
                <w:rFonts w:ascii="Cambria Math" w:hAnsi="Cambria Math" w:eastAsia="宋体"/>
                <w:sz w:val="24"/>
              </w:rPr>
              <m:rPr>
                <m:sty m:val="bi"/>
              </m:rPr>
              <m:t>P</m:t>
            </m:r>
          </m:e>
        </m:box>
      </m:oMath>
      <w:r>
        <w:t xml:space="preserve">为相应价格向量。模型中母国</w:t>
      </w:r>
      <m:oMath>
        <m:box>
          <m:boxPr>
            <m:noBreak m:val="1"/>
          </m:boxPr>
          <m:e>
            <m:r>
              <w:rPr>
                <w:rFonts w:ascii="Cambria Math" w:hAnsi="Cambria Math" w:eastAsia="宋体"/>
                <w:sz w:val="24"/>
              </w:rPr>
              <m:t>m</m:t>
            </m:r>
          </m:e>
        </m:box>
      </m:oMath>
      <w:r>
        <w:t xml:space="preserve">企业在中国的生产及外国控制份额为：</w:t>
      </w:r>
    </w:p>
    <w:p>
      <w:pPr>
        <w:pStyle w:val="Equation"/>
        <w:keepNext/>
      </w:pPr>
      <w:r>
        <w:tab/>
      </w:r>
      <m:oMath>
        <m:sSub>
          <m:e>
            <m:r>
              <w:rPr>
                <w:rFonts w:ascii="Cambria Math" w:hAnsi="Cambria Math" w:eastAsia="宋体"/>
                <w:sz w:val="23"/>
              </w:rPr>
              <m:t>Q</m:t>
            </m:r>
          </m:e>
          <m:sub>
            <m:r>
              <w:rPr>
                <w:rFonts w:ascii="Cambria Math" w:hAnsi="Cambria Math" w:eastAsia="宋体"/>
                <w:sz w:val="23"/>
              </w:rPr>
              <m:t>Cmj</m:t>
            </m:r>
          </m:sub>
        </m:sSub>
        <m:r>
          <w:rPr>
            <w:rFonts w:ascii="Cambria Math" w:hAnsi="Cambria Math" w:eastAsia="宋体"/>
            <w:sz w:val="23"/>
          </w:rPr>
          <m:t>=</m:t>
        </m:r>
        <m:nary>
          <m:naryPr>
            <m:chr m:val="∑"/>
            <m:limLoc m:val="undOvr"/>
            <m:grow m:val="1"/>
            <m:subHide m:val="off"/>
            <m:supHide m:val="on"/>
          </m:naryPr>
          <m:sub>
            <m:r>
              <w:rPr>
                <w:rFonts w:ascii="Cambria Math" w:hAnsi="Cambria Math" w:eastAsia="宋体"/>
                <w:sz w:val="23"/>
              </w:rPr>
              <m:t>n</m:t>
            </m:r>
          </m:sub>
          <m:sup/>
          <m:e>
            <m:sSub>
              <m:e>
                <m:r>
                  <w:rPr>
                    <w:rFonts w:ascii="Cambria Math" w:hAnsi="Cambria Math" w:eastAsia="宋体"/>
                    <w:sz w:val="23"/>
                  </w:rPr>
                  <m:t>V</m:t>
                </m:r>
              </m:e>
              <m:sub>
                <m:r>
                  <w:rPr>
                    <w:rFonts w:ascii="Cambria Math" w:hAnsi="Cambria Math" w:eastAsia="宋体"/>
                    <w:sz w:val="23"/>
                  </w:rPr>
                  <m:t>j</m:t>
                </m:r>
              </m:sub>
            </m:sSub>
          </m:e>
        </m:nary>
        <m:r>
          <w:rPr>
            <w:rFonts w:ascii="Cambria Math" w:hAnsi="Cambria Math" w:eastAsia="宋体"/>
            <w:sz w:val="23"/>
          </w:rPr>
          <m:t>(</m:t>
        </m:r>
        <m:sSub>
          <m:e>
            <m:r>
              <w:rPr>
                <w:rFonts w:ascii="Cambria Math" w:hAnsi="Cambria Math" w:eastAsia="宋体"/>
                <w:sz w:val="23"/>
              </w:rPr>
              <m:t>X</m:t>
            </m:r>
          </m:e>
          <m:sub>
            <m:r>
              <w:rPr>
                <w:rFonts w:ascii="Cambria Math" w:hAnsi="Cambria Math" w:eastAsia="宋体"/>
                <w:sz w:val="23"/>
              </w:rPr>
              <m:t>nCmj</m:t>
            </m:r>
          </m:sub>
        </m:sSub>
        <m:r>
          <w:rPr>
            <w:rFonts w:ascii="Cambria Math" w:hAnsi="Cambria Math" w:eastAsia="宋体"/>
            <w:sz w:val="23"/>
          </w:rPr>
          <m:t>,</m:t>
        </m:r>
        <m:sSub>
          <m:e>
            <m:r>
              <w:rPr>
                <w:rFonts w:ascii="Cambria Math" w:hAnsi="Cambria Math" w:eastAsia="宋体"/>
                <w:sz w:val="23"/>
              </w:rPr>
              <m:t>τ</m:t>
            </m:r>
          </m:e>
          <m:sub>
            <m:r>
              <w:rPr>
                <w:rFonts w:ascii="Cambria Math" w:hAnsi="Cambria Math" w:eastAsia="宋体"/>
                <w:sz w:val="23"/>
              </w:rPr>
              <m:t>nCj</m:t>
            </m:r>
          </m:sub>
        </m:sSub>
        <m:r>
          <w:rPr>
            <w:rFonts w:ascii="Cambria Math" w:hAnsi="Cambria Math" w:eastAsia="宋体"/>
            <w:sz w:val="23"/>
          </w:rPr>
          <m:t>,</m:t>
        </m:r>
        <m:r>
          <w:rPr>
            <w:rFonts w:ascii="Cambria Math" w:hAnsi="Cambria Math" w:eastAsia="宋体"/>
            <w:sz w:val="23"/>
          </w:rPr>
          <m:rPr>
            <m:sty m:val="bi"/>
          </m:rPr>
          <m:t>P</m:t>
        </m:r>
        <m:r>
          <w:rPr>
            <w:rFonts w:ascii="Cambria Math" w:hAnsi="Cambria Math" w:eastAsia="宋体"/>
            <w:sz w:val="23"/>
          </w:rPr>
          <m:t>),</m:t>
        </m:r>
        <m:sSub>
          <m:e>
            <m:r>
              <w:rPr>
                <w:rFonts w:ascii="Cambria Math" w:hAnsi="Cambria Math" w:eastAsia="宋体"/>
                <w:sz w:val="23"/>
              </w:rPr>
              <m:t>M</m:t>
            </m:r>
          </m:e>
          <m:sub>
            <m:r>
              <w:rPr>
                <w:rFonts w:ascii="Cambria Math" w:hAnsi="Cambria Math" w:eastAsia="宋体"/>
                <w:sz w:val="23"/>
              </w:rPr>
              <m:t>Cj</m:t>
            </m:r>
          </m:sub>
        </m:sSub>
        <m:r>
          <w:rPr>
            <w:rFonts w:ascii="Cambria Math" w:hAnsi="Cambria Math" w:eastAsia="宋体"/>
            <w:sz w:val="23"/>
          </w:rPr>
          <m:t>=</m:t>
        </m:r>
        <m:f>
          <m:fPr>
            <m:type m:val="bar"/>
          </m:fPr>
          <m:num>
            <m:nary>
              <m:naryPr>
                <m:chr m:val="∑"/>
                <m:limLoc m:val="undOvr"/>
                <m:grow m:val="1"/>
                <m:subHide m:val="off"/>
                <m:supHide m:val="on"/>
              </m:naryPr>
              <m:sub>
                <m:r>
                  <w:rPr>
                    <w:rFonts w:ascii="Cambria Math" w:hAnsi="Cambria Math" w:eastAsia="宋体"/>
                    <w:sz w:val="23"/>
                  </w:rPr>
                  <m:t>m≠C</m:t>
                </m:r>
              </m:sub>
              <m:sup/>
              <m:e>
                <m:sSub>
                  <m:e>
                    <m:r>
                      <w:rPr>
                        <w:rFonts w:ascii="Cambria Math" w:hAnsi="Cambria Math" w:eastAsia="宋体"/>
                        <w:sz w:val="23"/>
                      </w:rPr>
                      <m:t>Q</m:t>
                    </m:r>
                  </m:e>
                  <m:sub>
                    <m:r>
                      <w:rPr>
                        <w:rFonts w:ascii="Cambria Math" w:hAnsi="Cambria Math" w:eastAsia="宋体"/>
                        <w:sz w:val="23"/>
                      </w:rPr>
                      <m:t>Cmj</m:t>
                    </m:r>
                  </m:sub>
                </m:sSub>
              </m:e>
            </m:nary>
          </m:num>
          <m:den>
            <m:nary>
              <m:naryPr>
                <m:chr m:val="∑"/>
                <m:limLoc m:val="undOvr"/>
                <m:grow m:val="1"/>
                <m:subHide m:val="off"/>
                <m:supHide m:val="on"/>
              </m:naryPr>
              <m:sub>
                <m:r>
                  <w:rPr>
                    <w:rFonts w:ascii="Cambria Math" w:hAnsi="Cambria Math" w:eastAsia="宋体"/>
                    <w:sz w:val="23"/>
                  </w:rPr>
                  <m:t>m</m:t>
                </m:r>
              </m:sub>
              <m:sup/>
              <m:e>
                <m:sSub>
                  <m:e>
                    <m:r>
                      <w:rPr>
                        <w:rFonts w:ascii="Cambria Math" w:hAnsi="Cambria Math" w:eastAsia="宋体"/>
                        <w:sz w:val="23"/>
                      </w:rPr>
                      <m:t>Q</m:t>
                    </m:r>
                  </m:e>
                  <m:sub>
                    <m:r>
                      <w:rPr>
                        <w:rFonts w:ascii="Cambria Math" w:hAnsi="Cambria Math" w:eastAsia="宋体"/>
                        <w:sz w:val="23"/>
                      </w:rPr>
                      <m:t>Cmj</m:t>
                    </m:r>
                  </m:sub>
                </m:sSub>
              </m:e>
            </m:nary>
          </m:den>
        </m:f>
        <m:r>
          <w:rPr>
            <w:rFonts w:ascii="Cambria Math" w:hAnsi="Cambria Math" w:eastAsia="宋体"/>
            <w:sz w:val="23"/>
          </w:rPr>
          <m:t>.</m:t>
        </m:r>
      </m:oMath>
      <w:r>
        <w:tab/>
        <w:t>(A11)</w:t>
      </w:r>
    </w:p>
    <w:p>
      <w:pPr>
        <w:keepNext/>
      </w:pPr>
      <w:r>
        <w:t xml:space="preserve">若采用原模型中的生产者收入，应按相应的</w:t>
      </w:r>
      <m:oMath>
        <m:box>
          <m:boxPr>
            <m:noBreak m:val="1"/>
          </m:boxPr>
          <m:e>
            <m:f>
              <m:fPr>
                <m:type m:val="lin"/>
              </m:fPr>
              <m:num>
                <m:r>
                  <w:rPr>
                    <w:rFonts w:ascii="Cambria Math" w:hAnsi="Cambria Math" w:eastAsia="宋体"/>
                    <w:sz w:val="24"/>
                  </w:rPr>
                  <m:t>X</m:t>
                </m:r>
              </m:num>
              <m:den>
                <m:r>
                  <w:rPr>
                    <w:rFonts w:ascii="Cambria Math" w:hAnsi="Cambria Math" w:eastAsia="宋体"/>
                    <w:sz w:val="24"/>
                  </w:rPr>
                  <m:t>τ</m:t>
                </m:r>
              </m:den>
            </m:f>
          </m:e>
        </m:box>
      </m:oMath>
      <w:r>
        <w:t xml:space="preserve">关系换算；采用其他估值口径时，先核实其与模型变量的对应关系。令</w:t>
      </w:r>
      <m:oMath>
        <m:box>
          <m:boxPr>
            <m:noBreak m:val="1"/>
          </m:boxPr>
          <m:e>
            <m:sSup>
              <m:e>
                <m:r>
                  <w:rPr>
                    <w:rFonts w:ascii="Cambria Math" w:hAnsi="Cambria Math" w:eastAsia="宋体"/>
                    <w:sz w:val="24"/>
                  </w:rPr>
                  <m:t>G</m:t>
                </m:r>
              </m:e>
              <m:sup>
                <m:r>
                  <w:rPr>
                    <w:rFonts w:ascii="Cambria Math" w:hAnsi="Cambria Math" w:eastAsia="宋体"/>
                    <w:sz w:val="24"/>
                  </w:rPr>
                  <m:t>χ</m:t>
                </m:r>
              </m:sup>
            </m:sSup>
            <m:r>
              <w:rPr>
                <w:rFonts w:ascii="Cambria Math" w:hAnsi="Cambria Math" w:eastAsia="宋体"/>
                <w:sz w:val="24"/>
              </w:rPr>
              <m:t>(</m:t>
            </m:r>
            <m:r>
              <w:rPr>
                <w:rFonts w:ascii="Cambria Math" w:hAnsi="Cambria Math" w:eastAsia="宋体"/>
                <w:sz w:val="24"/>
              </w:rPr>
              <m:rPr>
                <m:sty m:val="bi"/>
              </m:rPr>
              <m:t>δ</m:t>
            </m:r>
            <m:r>
              <w:rPr>
                <w:rFonts w:ascii="Cambria Math" w:hAnsi="Cambria Math" w:eastAsia="宋体"/>
                <w:sz w:val="24"/>
              </w:rPr>
              <m:t>)</m:t>
            </m:r>
          </m:e>
        </m:box>
      </m:oMath>
      <w:r>
        <w:t xml:space="preserve">为给定成本变化后的模型解，</w:t>
      </w:r>
      <m:oMath>
        <m:box>
          <m:boxPr>
            <m:noBreak m:val="1"/>
          </m:boxPr>
          <m:e>
            <m:r>
              <w:rPr>
                <w:rFonts w:ascii="Cambria Math" w:hAnsi="Cambria Math" w:eastAsia="宋体"/>
                <w:sz w:val="24"/>
              </w:rPr>
              <m:t>χ∈{</m:t>
            </m:r>
            <m:r>
              <w:rPr>
                <w:rFonts w:ascii="Cambria Math" w:hAnsi="Cambria Math" w:eastAsia="宋体"/>
                <w:sz w:val="24"/>
              </w:rPr>
              <m:rPr>
                <m:sty m:val="p"/>
              </m:rPr>
              <m:t>PE</m:t>
            </m:r>
            <m:r>
              <w:rPr>
                <w:rFonts w:ascii="Cambria Math" w:hAnsi="Cambria Math" w:eastAsia="宋体"/>
                <w:sz w:val="24"/>
              </w:rPr>
              <m:t>,</m:t>
            </m:r>
            <m:r>
              <w:rPr>
                <w:rFonts w:ascii="Cambria Math" w:hAnsi="Cambria Math" w:eastAsia="宋体"/>
                <w:sz w:val="24"/>
              </w:rPr>
              <m:rPr>
                <m:sty m:val="p"/>
              </m:rPr>
              <m:t>GE</m:t>
            </m:r>
            <m:r>
              <w:rPr>
                <w:rFonts w:ascii="Cambria Math" w:hAnsi="Cambria Math" w:eastAsia="宋体"/>
                <w:sz w:val="24"/>
              </w:rPr>
              <m:t>}</m:t>
            </m:r>
          </m:e>
        </m:box>
      </m:oMath>
      <w:r>
        <w:t xml:space="preserve">分别表示局部均衡和一般均衡。函数</w:t>
      </w:r>
      <m:oMath>
        <m:box>
          <m:boxPr>
            <m:noBreak m:val="1"/>
          </m:boxPr>
          <m:e>
            <m:r>
              <w:rPr>
                <w:rFonts w:ascii="Cambria Math" w:hAnsi="Cambria Math" w:eastAsia="宋体"/>
                <w:sz w:val="24"/>
              </w:rPr>
              <m:t>O</m:t>
            </m:r>
          </m:e>
        </m:box>
      </m:oMath>
      <w:r>
        <w:t xml:space="preserve">将模型结果转换为可与实证估计比较的指标，使二者在部门、样本范围、时间及比较方式上保持一致。以实证估计的生产变化</w:t>
      </w:r>
      <m:oMath>
        <m:box>
          <m:boxPr>
            <m:noBreak m:val="1"/>
          </m:boxPr>
          <m:e>
            <m:acc>
              <m:accPr>
                <m:chr m:val="̂"/>
              </m:accPr>
              <m:e>
                <m:r>
                  <w:rPr>
                    <w:rFonts w:ascii="Cambria Math" w:hAnsi="Cambria Math" w:eastAsia="宋体"/>
                    <w:sz w:val="24"/>
                  </w:rPr>
                  <m:rPr>
                    <m:sty m:val="bi"/>
                  </m:rPr>
                  <m:t>μ</m:t>
                </m:r>
              </m:e>
            </m:acc>
          </m:e>
        </m:box>
      </m:oMath>
      <w:r>
        <w:t xml:space="preserve">为目标，定义模型结果与该目标之间的偏差：</w:t>
      </w:r>
    </w:p>
    <w:p>
      <w:pPr>
        <w:pStyle w:val="Equation"/>
        <w:keepNext/>
      </w:pPr>
      <w:r>
        <w:tab/>
      </w:r>
      <m:oMath>
        <m:r>
          <w:rPr>
            <w:rFonts w:ascii="Cambria Math" w:hAnsi="Cambria Math" w:eastAsia="宋体"/>
            <w:sz w:val="23"/>
          </w:rPr>
          <m:rPr>
            <m:sty m:val="bi"/>
          </m:rPr>
          <m:t>ε</m:t>
        </m:r>
        <m:r>
          <w:rPr>
            <w:rFonts w:ascii="Cambria Math" w:hAnsi="Cambria Math" w:eastAsia="宋体"/>
            <w:sz w:val="23"/>
          </w:rPr>
          <m:t>(</m:t>
        </m:r>
        <m:r>
          <w:rPr>
            <w:rFonts w:ascii="Cambria Math" w:hAnsi="Cambria Math" w:eastAsia="宋体"/>
            <w:sz w:val="23"/>
          </w:rPr>
          <m:rPr>
            <m:sty m:val="bi"/>
          </m:rPr>
          <m:t>δ</m:t>
        </m:r>
        <m:r>
          <w:rPr>
            <w:rFonts w:ascii="Cambria Math" w:hAnsi="Cambria Math" w:eastAsia="宋体"/>
            <w:sz w:val="23"/>
          </w:rPr>
          <m:t>)=ΔO(</m:t>
        </m:r>
        <m:sSup>
          <m:e>
            <m:r>
              <w:rPr>
                <w:rFonts w:ascii="Cambria Math" w:hAnsi="Cambria Math" w:eastAsia="宋体"/>
                <w:sz w:val="23"/>
              </w:rPr>
              <m:t>G</m:t>
            </m:r>
          </m:e>
          <m:sup>
            <m:r>
              <w:rPr>
                <w:rFonts w:ascii="Cambria Math" w:hAnsi="Cambria Math" w:eastAsia="宋体"/>
                <w:sz w:val="23"/>
              </w:rPr>
              <m:t>χ</m:t>
            </m:r>
          </m:sup>
        </m:sSup>
        <m:r>
          <w:rPr>
            <w:rFonts w:ascii="Cambria Math" w:hAnsi="Cambria Math" w:eastAsia="宋体"/>
            <w:sz w:val="23"/>
          </w:rPr>
          <m:t>(</m:t>
        </m:r>
        <m:r>
          <w:rPr>
            <w:rFonts w:ascii="Cambria Math" w:hAnsi="Cambria Math" w:eastAsia="宋体"/>
            <w:sz w:val="23"/>
          </w:rPr>
          <m:rPr>
            <m:sty m:val="bi"/>
          </m:rPr>
          <m:t>δ</m:t>
        </m:r>
        <m:r>
          <w:rPr>
            <w:rFonts w:ascii="Cambria Math" w:hAnsi="Cambria Math" w:eastAsia="宋体"/>
            <w:sz w:val="23"/>
          </w:rPr>
          <m:t>))-</m:t>
        </m:r>
        <m:acc>
          <m:accPr>
            <m:chr m:val="̂"/>
          </m:accPr>
          <m:e>
            <m:r>
              <w:rPr>
                <w:rFonts w:ascii="Cambria Math" w:hAnsi="Cambria Math" w:eastAsia="宋体"/>
                <w:sz w:val="23"/>
              </w:rPr>
              <m:rPr>
                <m:sty m:val="bi"/>
              </m:rPr>
              <m:t>μ</m:t>
            </m:r>
          </m:e>
        </m:acc>
        <m:r>
          <w:rPr>
            <w:rFonts w:ascii="Cambria Math" w:hAnsi="Cambria Math" w:eastAsia="宋体"/>
            <w:sz w:val="23"/>
          </w:rPr>
          <m:t>.</m:t>
        </m:r>
      </m:oMath>
      <w:r>
        <w:tab/>
        <w:t>(A12)</w:t>
      </w:r>
    </w:p>
    <w:p>
      <w:pPr>
        <w:pStyle w:val="Equation"/>
        <w:keepNext/>
      </w:pPr>
      <w:r>
        <w:tab/>
      </w:r>
      <m:oMath>
        <m:acc>
          <m:accPr>
            <m:chr m:val="̂"/>
          </m:accPr>
          <m:e>
            <m:r>
              <w:rPr>
                <w:rFonts w:ascii="Cambria Math" w:hAnsi="Cambria Math" w:eastAsia="宋体"/>
                <w:sz w:val="23"/>
              </w:rPr>
              <m:rPr>
                <m:sty m:val="bi"/>
              </m:rPr>
              <m:t>δ</m:t>
            </m:r>
          </m:e>
        </m:acc>
        <m:r>
          <w:rPr>
            <w:rFonts w:ascii="Cambria Math" w:hAnsi="Cambria Math" w:eastAsia="宋体"/>
            <w:sz w:val="23"/>
          </w:rPr>
          <m:t>=</m:t>
        </m:r>
        <m:limLow>
          <m:e>
            <m:r>
              <w:rPr>
                <w:rFonts w:ascii="Cambria Math" w:hAnsi="Cambria Math" w:eastAsia="宋体"/>
                <w:sz w:val="23"/>
              </w:rPr>
              <m:rPr>
                <m:sty m:val="p"/>
              </m:rPr>
              <m:t>argmin</m:t>
            </m:r>
          </m:e>
          <m:lim>
            <m:r>
              <w:rPr>
                <w:rFonts w:ascii="Cambria Math" w:hAnsi="Cambria Math" w:eastAsia="宋体"/>
                <w:sz w:val="23"/>
              </w:rPr>
              <m:rPr>
                <m:sty m:val="bi"/>
              </m:rPr>
              <m:t>δ</m:t>
            </m:r>
            <m:r>
              <w:rPr>
                <w:rFonts w:ascii="Cambria Math" w:hAnsi="Cambria Math" w:eastAsia="宋体"/>
                <w:sz w:val="23"/>
              </w:rPr>
              <m:t>∈</m:t>
            </m:r>
            <m:r>
              <w:rPr>
                <w:rFonts w:ascii="Cambria Math" w:hAnsi="Cambria Math" w:eastAsia="宋体"/>
                <w:sz w:val="23"/>
              </w:rPr>
              <m:rPr>
                <m:scr m:val="script"/>
              </m:rPr>
              <m:t>D</m:t>
            </m:r>
          </m:lim>
        </m:limLow>
        <m:r>
          <w:rPr>
            <w:rFonts w:ascii="Cambria Math" w:hAnsi="Cambria Math" w:eastAsia="宋体"/>
            <w:sz w:val="23"/>
          </w:rPr>
          <m:rPr>
            <m:sty m:val="bi"/>
          </m:rPr>
          <m:t>ε</m:t>
        </m:r>
        <m:r>
          <w:rPr>
            <w:rFonts w:ascii="Cambria Math" w:hAnsi="Cambria Math" w:eastAsia="宋体"/>
            <w:sz w:val="23"/>
          </w:rPr>
          <m:t>(</m:t>
        </m:r>
        <m:r>
          <w:rPr>
            <w:rFonts w:ascii="Cambria Math" w:hAnsi="Cambria Math" w:eastAsia="宋体"/>
            <w:sz w:val="23"/>
          </w:rPr>
          <m:rPr>
            <m:sty m:val="bi"/>
          </m:rPr>
          <m:t>δ</m:t>
        </m:r>
        <m:sSup>
          <m:e>
            <m:r>
              <w:rPr>
                <w:rFonts w:ascii="Cambria Math" w:hAnsi="Cambria Math" w:eastAsia="宋体"/>
                <w:sz w:val="23"/>
              </w:rPr>
              <m:t>)</m:t>
            </m:r>
          </m:e>
          <m:sup>
            <m:r>
              <w:rPr>
                <w:rFonts w:ascii="Cambria Math" w:hAnsi="Cambria Math" w:eastAsia="宋体"/>
                <w:sz w:val="23"/>
              </w:rPr>
              <m:t>′</m:t>
            </m:r>
          </m:sup>
        </m:sSup>
        <m:r>
          <w:rPr>
            <w:rFonts w:ascii="Cambria Math" w:hAnsi="Cambria Math" w:eastAsia="宋体"/>
            <w:sz w:val="23"/>
          </w:rPr>
          <m:rPr>
            <m:sty m:val="bi"/>
          </m:rPr>
          <m:t>W</m:t>
        </m:r>
        <m:r>
          <w:rPr>
            <w:rFonts w:ascii="Cambria Math" w:hAnsi="Cambria Math" w:eastAsia="宋体"/>
            <w:sz w:val="23"/>
          </w:rPr>
          <m:rPr>
            <m:sty m:val="bi"/>
          </m:rPr>
          <m:t>ε</m:t>
        </m:r>
        <m:r>
          <w:rPr>
            <w:rFonts w:ascii="Cambria Math" w:hAnsi="Cambria Math" w:eastAsia="宋体"/>
            <w:sz w:val="23"/>
          </w:rPr>
          <m:t>(</m:t>
        </m:r>
        <m:r>
          <w:rPr>
            <w:rFonts w:ascii="Cambria Math" w:hAnsi="Cambria Math" w:eastAsia="宋体"/>
            <w:sz w:val="23"/>
          </w:rPr>
          <m:rPr>
            <m:sty m:val="bi"/>
          </m:rPr>
          <m:t>δ</m:t>
        </m:r>
        <m:r>
          <w:rPr>
            <w:rFonts w:ascii="Cambria Math" w:hAnsi="Cambria Math" w:eastAsia="宋体"/>
            <w:sz w:val="23"/>
          </w:rPr>
          <m:t>).</m:t>
        </m:r>
      </m:oMath>
      <w:r>
        <w:tab/>
        <w:t>(A13)</w:t>
      </w:r>
    </w:p>
    <w:p>
      <w:pPr/>
      <w:r>
        <w:t xml:space="preserve">其中，</w:t>
      </w:r>
      <m:oMath>
        <m:box>
          <m:boxPr>
            <m:noBreak m:val="1"/>
          </m:boxPr>
          <m:e>
            <m:r>
              <w:rPr>
                <w:rFonts w:ascii="Cambria Math" w:hAnsi="Cambria Math" w:eastAsia="宋体"/>
                <w:sz w:val="24"/>
              </w:rPr>
              <m:t>ΔO</m:t>
            </m:r>
          </m:e>
        </m:box>
      </m:oMath>
      <w:r>
        <w:t xml:space="preserve">表示有无改革两种状态下模型指标的变化，</w:t>
      </w:r>
      <m:oMath>
        <m:box>
          <m:boxPr>
            <m:noBreak m:val="1"/>
          </m:boxPr>
          <m:e>
            <m:r>
              <w:rPr>
                <w:rFonts w:ascii="Cambria Math" w:hAnsi="Cambria Math" w:eastAsia="宋体"/>
                <w:sz w:val="24"/>
              </w:rPr>
              <m:rPr>
                <m:scr m:val="script"/>
              </m:rPr>
              <m:t>D</m:t>
            </m:r>
          </m:e>
        </m:box>
      </m:oMath>
      <w:r>
        <w:t xml:space="preserve">为依据模型及改革设定确定的参数范围。权重矩阵</w:t>
      </w:r>
      <m:oMath>
        <m:box>
          <m:boxPr>
            <m:noBreak m:val="1"/>
          </m:boxPr>
          <m:e>
            <m:r>
              <w:rPr>
                <w:rFonts w:ascii="Cambria Math" w:hAnsi="Cambria Math" w:eastAsia="宋体"/>
                <w:sz w:val="24"/>
              </w:rPr>
              <m:rPr>
                <m:sty m:val="bi"/>
              </m:rPr>
              <m:t>W</m:t>
            </m:r>
          </m:e>
        </m:box>
      </m:oMath>
      <w:r>
        <w:t xml:space="preserve">根据估计目标的协方差，或在统一各指标量纲后预先设定。基准反演拟合外国控制生产份额的变化，并用外国和国内生产价值检验结果；数据允许时，也可预先规定同时拟合哪些指标。总生产等于两组生产之和，不能将其计为额外的独立目标。若假定各外国母国企业面临相同成本变化，可以利用部门总量识别共同的</w:t>
      </w:r>
      <m:oMath>
        <m:box>
          <m:boxPr>
            <m:noBreak m:val="1"/>
          </m:boxPr>
          <m:e>
            <m:sSub>
              <m:e>
                <m:r>
                  <w:rPr>
                    <w:rFonts w:ascii="Cambria Math" w:hAnsi="Cambria Math" w:eastAsia="宋体"/>
                    <w:sz w:val="24"/>
                  </w:rPr>
                  <m:t>δ</m:t>
                </m:r>
              </m:e>
              <m:sub>
                <m:r>
                  <w:rPr>
                    <w:rFonts w:ascii="Cambria Math" w:hAnsi="Cambria Math" w:eastAsia="宋体"/>
                    <w:sz w:val="24"/>
                  </w:rPr>
                  <m:t>j</m:t>
                </m:r>
              </m:sub>
            </m:sSub>
          </m:e>
        </m:box>
      </m:oMath>
      <w:r>
        <w:t xml:space="preserve">；分别识别不同母国的成本变化，则需要相应的独立生产目标。</w:t>
      </w:r>
    </w:p>
    <w:p>
      <w:pPr/>
      <w:r>
        <w:t xml:space="preserve">反演前需核查，模型能否计算出与实证分析相对应的生产变化。现有模型采用较宽的部门分类，无法直接区分同一GB小类内从事不同业务的处理企业和对照企业。因此，应按A.3.3先核实产出覆盖范围，说明如何补充其余产出，再构造部门目标。成本和均衡结果须结合这些假设解释；仍无法可靠构造部门目标时，只报告该事件的微观结果。</w:t>
      </w:r>
    </w:p>
    <w:p>
      <w:pPr/>
      <w:r>
        <w:t xml:space="preserve">采用PE反演时，需说明为何可以将估计的生产变化视为工资、价格和需求给定时的反应；加入年度固定效应本身不足以支持这一判断。若估计结果包含均衡调整，且模型能够计算相应的生产变化，则采用GE反演。将PE反演得到的成本变化用于GE求解后，报告新的生产结果及其与原PE目标的差异。GE反演则直接在一般均衡条件下拟合目标。采用弹性近似时，须从同一模型和生产指标中核实相应弹性，不直接套用</w:t>
      </w:r>
      <m:oMath>
        <m:box>
          <m:boxPr>
            <m:noBreak m:val="1"/>
          </m:boxPr>
          <m:e>
            <m:sSub>
              <m:e>
                <m:r>
                  <w:rPr>
                    <w:rFonts w:ascii="Cambria Math" w:hAnsi="Cambria Math" w:eastAsia="宋体"/>
                    <w:sz w:val="24"/>
                  </w:rPr>
                  <m:t>θ</m:t>
                </m:r>
              </m:e>
              <m:sub>
                <m:r>
                  <w:rPr>
                    <w:rFonts w:ascii="Cambria Math" w:hAnsi="Cambria Math" w:eastAsia="宋体"/>
                    <w:sz w:val="24"/>
                  </w:rPr>
                  <m:t>j</m:t>
                </m:r>
              </m:sub>
            </m:sSub>
            <m:r>
              <w:rPr>
                <w:rFonts w:ascii="Cambria Math" w:hAnsi="Cambria Math" w:eastAsia="宋体"/>
                <w:sz w:val="24"/>
              </w:rPr>
              <m:t>/(1-</m:t>
            </m:r>
            <m:sSub>
              <m:e>
                <m:r>
                  <w:rPr>
                    <w:rFonts w:ascii="Cambria Math" w:hAnsi="Cambria Math" w:eastAsia="宋体"/>
                    <w:sz w:val="24"/>
                  </w:rPr>
                  <m:t>ρ</m:t>
                </m:r>
              </m:e>
              <m:sub>
                <m:r>
                  <w:rPr>
                    <w:rFonts w:ascii="Cambria Math" w:hAnsi="Cambria Math" w:eastAsia="宋体"/>
                    <w:sz w:val="24"/>
                  </w:rPr>
                  <m:t>j</m:t>
                </m:r>
              </m:sub>
            </m:sSub>
            <m:r>
              <w:rPr>
                <w:rFonts w:ascii="Cambria Math" w:hAnsi="Cambria Math" w:eastAsia="宋体"/>
                <w:sz w:val="24"/>
              </w:rPr>
              <m:t>)</m:t>
            </m:r>
          </m:e>
        </m:box>
      </m:oMath>
      <w:r>
        <w:t xml:space="preserve">。</w:t>
      </w:r>
    </w:p>
    <w:p>
      <w:pPr>
        <w:pStyle w:val="1"/>
      </w:pPr>
      <w:r>
        <w:t>A.4 禁止准入的处理</w:t>
      </w:r>
    </w:p>
    <w:p>
      <w:pPr/>
      <w:r>
        <w:t xml:space="preserve">禁止准入决定有关业务能否由外资开展，其作用与股比、控制权及组织形式限制不同。对禁止转为允许的改革，比较同一固定业务改革前后的有效法律状态，单独确定事件，并分别估计新设企业进入、原有企业控制权和实际生产的变化。改革前已经存在外资企业时，核查其是否适用例外或过渡安排，或实际从事的业务是否不在禁止范围内。</w:t>
      </w:r>
    </w:p>
    <w:p>
      <w:pPr/>
      <w:r>
        <w:t xml:space="preserve">当改革前外资生产份额为零时，现有精确帽子代数用基期份额乘以变化倍数计算改革后的份额。零份额乘以有限倍数仍为零，因此这种求解方法无法表示外资从无到有的进入。这类事件先报告微观结果，不使用现有模型反演新进入对应的成本变化。原模型中的</w:t>
      </w:r>
      <m:oMath>
        <m:box>
          <m:boxPr>
            <m:noBreak m:val="1"/>
          </m:boxPr>
          <m:e>
            <m:sSub>
              <m:e>
                <m:r>
                  <w:rPr>
                    <w:rFonts w:ascii="Cambria Math" w:hAnsi="Cambria Math" w:eastAsia="宋体"/>
                    <w:sz w:val="24"/>
                  </w:rPr>
                  <m:t>F</m:t>
                </m:r>
              </m:e>
              <m:sub>
                <m:r>
                  <w:rPr>
                    <w:rFonts w:ascii="Cambria Math" w:hAnsi="Cambria Math" w:eastAsia="宋体"/>
                    <w:sz w:val="24"/>
                  </w:rPr>
                  <m:t>nj</m:t>
                </m:r>
              </m:sub>
            </m:sSub>
          </m:e>
        </m:box>
      </m:oMath>
      <w:r>
        <w:t xml:space="preserve">是进入消费市场</w:t>
      </w:r>
      <m:oMath>
        <m:box>
          <m:boxPr>
            <m:noBreak m:val="1"/>
          </m:boxPr>
          <m:e>
            <m:r>
              <w:rPr>
                <w:rFonts w:ascii="Cambria Math" w:hAnsi="Cambria Math" w:eastAsia="宋体"/>
                <w:sz w:val="24"/>
              </w:rPr>
              <m:t>n</m:t>
            </m:r>
          </m:e>
        </m:box>
      </m:oMath>
      <w:r>
        <w:t xml:space="preserve">的固定营销成本，并非外国企业在中国设立企业的固定成本。研究新进入需要另行建立相应机制并取得独立数据，不能通过给零份额添加任意小值解决。</w:t>
      </w:r>
    </w:p>
    <w:p>
      <w:pPr>
        <w:pStyle w:val="1"/>
      </w:pPr>
      <w:r>
        <w:t>A.5 从制度型 MP 成本变化到结构模型冲击</w:t>
      </w:r>
    </w:p>
    <w:p>
      <w:pPr>
        <w:pStyle w:val="21"/>
      </w:pPr>
      <w:r>
        <w:t>A.5.1 反演成本与结构效率项</w:t>
      </w:r>
    </w:p>
    <w:p>
      <w:pPr>
        <w:keepNext/>
      </w:pPr>
      <w:r>
        <w:t>模型以</w:t>
      </w:r>
      <m:oMath>
        <m:box>
          <m:boxPr>
            <m:noBreak m:val="1"/>
          </m:boxPr>
          <m:e>
            <m:sSub>
              <m:e>
                <m:r>
                  <w:rPr>
                    <w:rFonts w:ascii="Cambria Math" w:hAnsi="Cambria Math" w:eastAsia="宋体"/>
                    <w:sz w:val="24"/>
                  </w:rPr>
                  <m:t>ξ</m:t>
                </m:r>
              </m:e>
              <m:sub>
                <m:r>
                  <w:rPr>
                    <w:rFonts w:ascii="Cambria Math" w:hAnsi="Cambria Math" w:eastAsia="宋体"/>
                    <w:sz w:val="24"/>
                  </w:rPr>
                  <m:t>imj</m:t>
                </m:r>
              </m:sub>
            </m:sSub>
          </m:e>
        </m:box>
      </m:oMath>
      <w:r>
        <w:t>表示母国</w:t>
      </w:r>
      <m:oMath>
        <m:box>
          <m:boxPr>
            <m:noBreak m:val="1"/>
          </m:boxPr>
          <m:e>
            <m:r>
              <w:rPr>
                <w:rFonts w:ascii="Cambria Math" w:hAnsi="Cambria Math" w:eastAsia="宋体"/>
                <w:sz w:val="24"/>
              </w:rPr>
              <m:t>m</m:t>
            </m:r>
          </m:e>
        </m:box>
      </m:oMath>
      <w:r>
        <w:t>企业在生产国</w:t>
      </w:r>
      <m:oMath>
        <m:box>
          <m:boxPr>
            <m:noBreak m:val="1"/>
          </m:boxPr>
          <m:e>
            <m:r>
              <w:rPr>
                <w:rFonts w:ascii="Cambria Math" w:hAnsi="Cambria Math" w:eastAsia="宋体"/>
                <w:sz w:val="24"/>
              </w:rPr>
              <m:t>i</m:t>
            </m:r>
          </m:e>
        </m:box>
      </m:oMath>
      <w:r>
        <w:t>、部门</w:t>
      </w:r>
      <m:oMath>
        <m:box>
          <m:boxPr>
            <m:noBreak m:val="1"/>
          </m:boxPr>
          <m:e>
            <m:r>
              <w:rPr>
                <w:rFonts w:ascii="Cambria Math" w:hAnsi="Cambria Math" w:eastAsia="宋体"/>
                <w:sz w:val="24"/>
              </w:rPr>
              <m:t>j</m:t>
            </m:r>
          </m:e>
        </m:box>
      </m:oMath>
      <w:r>
        <w:t>的跨国生产效率。效率提高意味着单位生产成本下降，成本楔子定义为：</w:t>
      </w:r>
    </w:p>
    <w:p>
      <w:pPr>
        <w:pStyle w:val="Equation"/>
        <w:keepNext/>
      </w:pPr>
      <w:r>
        <w:tab/>
      </w:r>
      <m:oMath>
        <m:sSubSup>
          <m:e>
            <m:r>
              <w:rPr>
                <w:rFonts w:ascii="Cambria Math" w:hAnsi="Cambria Math" w:eastAsia="宋体"/>
                <w:sz w:val="23"/>
              </w:rPr>
              <m:t>d</m:t>
            </m:r>
          </m:e>
          <m:sub>
            <m:r>
              <w:rPr>
                <w:rFonts w:ascii="Cambria Math" w:hAnsi="Cambria Math" w:eastAsia="宋体"/>
                <w:sz w:val="23"/>
              </w:rPr>
              <m:t>imj</m:t>
            </m:r>
          </m:sub>
          <m:sup>
            <m:r>
              <w:rPr>
                <w:rFonts w:ascii="Cambria Math" w:hAnsi="Cambria Math" w:eastAsia="宋体"/>
                <w:sz w:val="23"/>
              </w:rPr>
              <m:rPr>
                <m:sty m:val="p"/>
              </m:rPr>
              <m:t>MP</m:t>
            </m:r>
          </m:sup>
        </m:sSubSup>
        <m:r>
          <w:rPr>
            <w:rFonts w:ascii="Cambria Math" w:hAnsi="Cambria Math" w:eastAsia="宋体"/>
            <w:sz w:val="23"/>
          </w:rPr>
          <m:t>=</m:t>
        </m:r>
        <m:f>
          <m:fPr>
            <m:type m:val="bar"/>
          </m:fPr>
          <m:num>
            <m:r>
              <w:rPr>
                <w:rFonts w:ascii="Cambria Math" w:hAnsi="Cambria Math" w:eastAsia="宋体"/>
                <w:sz w:val="23"/>
              </w:rPr>
              <m:t>1</m:t>
            </m:r>
          </m:num>
          <m:den>
            <m:sSub>
              <m:e>
                <m:r>
                  <w:rPr>
                    <w:rFonts w:ascii="Cambria Math" w:hAnsi="Cambria Math" w:eastAsia="宋体"/>
                    <w:sz w:val="23"/>
                  </w:rPr>
                  <m:t>ξ</m:t>
                </m:r>
              </m:e>
              <m:sub>
                <m:r>
                  <w:rPr>
                    <w:rFonts w:ascii="Cambria Math" w:hAnsi="Cambria Math" w:eastAsia="宋体"/>
                    <w:sz w:val="23"/>
                  </w:rPr>
                  <m:t>imj</m:t>
                </m:r>
              </m:sub>
            </m:sSub>
          </m:den>
        </m:f>
        <m:r>
          <w:rPr>
            <w:rFonts w:ascii="Cambria Math" w:hAnsi="Cambria Math" w:eastAsia="宋体"/>
            <w:sz w:val="23"/>
          </w:rPr>
          <m:t>.</m:t>
        </m:r>
      </m:oMath>
      <w:r>
        <w:tab/>
        <w:t>(A14)</w:t>
      </w:r>
    </w:p>
    <w:p>
      <w:pPr>
        <w:keepNext/>
      </w:pPr>
      <w:r>
        <w:t>反演得到的</w:t>
      </w:r>
      <m:oMath>
        <m:box>
          <m:boxPr>
            <m:noBreak m:val="1"/>
          </m:boxPr>
          <m:e>
            <m:sSub>
              <m:e>
                <m:acc>
                  <m:accPr>
                    <m:chr m:val="̂"/>
                  </m:accPr>
                  <m:e>
                    <m:r>
                      <w:rPr>
                        <w:rFonts w:ascii="Cambria Math" w:hAnsi="Cambria Math" w:eastAsia="宋体"/>
                        <w:sz w:val="24"/>
                      </w:rPr>
                      <m:t>δ</m:t>
                    </m:r>
                  </m:e>
                </m:acc>
              </m:e>
              <m:sub>
                <m:r>
                  <w:rPr>
                    <w:rFonts w:ascii="Cambria Math" w:hAnsi="Cambria Math" w:eastAsia="宋体"/>
                    <w:sz w:val="24"/>
                  </w:rPr>
                  <m:t>j</m:t>
                </m:r>
              </m:sub>
            </m:sSub>
          </m:e>
        </m:box>
      </m:oMath>
      <w:r>
        <w:t>为外国企业在华成本的对数变化，因此其成本和效率变化倍数分别为：</w:t>
      </w:r>
    </w:p>
    <w:p>
      <w:pPr>
        <w:pStyle w:val="Equation"/>
        <w:keepNext/>
      </w:pPr>
      <w:r>
        <w:tab/>
      </w:r>
      <m:oMath>
        <m:sSubSup>
          <m:e>
            <m:acc>
              <m:accPr>
                <m:chr m:val="̂"/>
              </m:accPr>
              <m:e>
                <m:r>
                  <w:rPr>
                    <w:rFonts w:ascii="Cambria Math" w:hAnsi="Cambria Math" w:eastAsia="宋体"/>
                    <w:sz w:val="23"/>
                  </w:rPr>
                  <m:t>d</m:t>
                </m:r>
              </m:e>
            </m:acc>
          </m:e>
          <m:sub>
            <m:r>
              <w:rPr>
                <w:rFonts w:ascii="Cambria Math" w:hAnsi="Cambria Math" w:eastAsia="宋体"/>
                <w:sz w:val="23"/>
              </w:rPr>
              <m:t>Cmj</m:t>
            </m:r>
          </m:sub>
          <m:sup>
            <m:r>
              <w:rPr>
                <w:rFonts w:ascii="Cambria Math" w:hAnsi="Cambria Math" w:eastAsia="宋体"/>
                <w:sz w:val="23"/>
              </w:rPr>
              <m:rPr>
                <m:sty m:val="p"/>
              </m:rPr>
              <m:t>MP</m:t>
            </m:r>
          </m:sup>
        </m:sSubSup>
        <m:r>
          <w:rPr>
            <w:rFonts w:ascii="Cambria Math" w:hAnsi="Cambria Math" w:eastAsia="宋体"/>
            <w:sz w:val="23"/>
          </w:rPr>
          <m:t>=</m:t>
        </m:r>
        <m:r>
          <w:rPr>
            <w:rFonts w:ascii="Cambria Math" w:hAnsi="Cambria Math" w:eastAsia="宋体"/>
            <w:sz w:val="23"/>
          </w:rPr>
          <m:rPr>
            <m:sty m:val="p"/>
          </m:rPr>
          <m:t>exp</m:t>
        </m:r>
        <m:r>
          <w:rPr>
            <w:rFonts w:ascii="Cambria Math" w:hAnsi="Cambria Math" w:eastAsia="宋体"/>
            <w:sz w:val="23"/>
          </w:rPr>
          <m:t>(</m:t>
        </m:r>
        <m:sSub>
          <m:e>
            <m:acc>
              <m:accPr>
                <m:chr m:val="̂"/>
              </m:accPr>
              <m:e>
                <m:r>
                  <w:rPr>
                    <w:rFonts w:ascii="Cambria Math" w:hAnsi="Cambria Math" w:eastAsia="宋体"/>
                    <w:sz w:val="23"/>
                  </w:rPr>
                  <m:t>δ</m:t>
                </m:r>
              </m:e>
            </m:acc>
          </m:e>
          <m:sub>
            <m:r>
              <w:rPr>
                <w:rFonts w:ascii="Cambria Math" w:hAnsi="Cambria Math" w:eastAsia="宋体"/>
                <w:sz w:val="23"/>
              </w:rPr>
              <m:t>j</m:t>
            </m:r>
          </m:sub>
        </m:sSub>
        <m:r>
          <w:rPr>
            <w:rFonts w:ascii="Cambria Math" w:hAnsi="Cambria Math" w:eastAsia="宋体"/>
            <w:sz w:val="23"/>
          </w:rPr>
          <m:t>),</m:t>
        </m:r>
        <m:sSub>
          <m:e>
            <m:acc>
              <m:accPr>
                <m:chr m:val="̂"/>
              </m:accPr>
              <m:e>
                <m:r>
                  <w:rPr>
                    <w:rFonts w:ascii="Cambria Math" w:hAnsi="Cambria Math" w:eastAsia="宋体"/>
                    <w:sz w:val="23"/>
                  </w:rPr>
                  <m:t>ξ</m:t>
                </m:r>
              </m:e>
            </m:acc>
          </m:e>
          <m:sub>
            <m:r>
              <w:rPr>
                <w:rFonts w:ascii="Cambria Math" w:hAnsi="Cambria Math" w:eastAsia="宋体"/>
                <w:sz w:val="23"/>
              </w:rPr>
              <m:t>Cmj</m:t>
            </m:r>
          </m:sub>
        </m:sSub>
        <m:r>
          <w:rPr>
            <w:rFonts w:ascii="Cambria Math" w:hAnsi="Cambria Math" w:eastAsia="宋体"/>
            <w:sz w:val="23"/>
          </w:rPr>
          <m:t>=</m:t>
        </m:r>
        <m:r>
          <w:rPr>
            <w:rFonts w:ascii="Cambria Math" w:hAnsi="Cambria Math" w:eastAsia="宋体"/>
            <w:sz w:val="23"/>
          </w:rPr>
          <m:rPr>
            <m:sty m:val="p"/>
          </m:rPr>
          <m:t>exp</m:t>
        </m:r>
        <m:r>
          <w:rPr>
            <w:rFonts w:ascii="Cambria Math" w:hAnsi="Cambria Math" w:eastAsia="宋体"/>
            <w:sz w:val="23"/>
          </w:rPr>
          <m:t>(-</m:t>
        </m:r>
        <m:sSub>
          <m:e>
            <m:acc>
              <m:accPr>
                <m:chr m:val="̂"/>
              </m:accPr>
              <m:e>
                <m:r>
                  <w:rPr>
                    <w:rFonts w:ascii="Cambria Math" w:hAnsi="Cambria Math" w:eastAsia="宋体"/>
                    <w:sz w:val="23"/>
                  </w:rPr>
                  <m:t>δ</m:t>
                </m:r>
              </m:e>
            </m:acc>
          </m:e>
          <m:sub>
            <m:r>
              <w:rPr>
                <w:rFonts w:ascii="Cambria Math" w:hAnsi="Cambria Math" w:eastAsia="宋体"/>
                <w:sz w:val="23"/>
              </w:rPr>
              <m:t>j</m:t>
            </m:r>
          </m:sub>
        </m:sSub>
        <m:r>
          <w:rPr>
            <w:rFonts w:ascii="Cambria Math" w:hAnsi="Cambria Math" w:eastAsia="宋体"/>
            <w:sz w:val="23"/>
          </w:rPr>
          <m:t>),</m:t>
        </m:r>
        <m:r>
          <w:rPr>
            <w:rFonts w:ascii="Cambria Math" w:hAnsi="Cambria Math" w:eastAsia="宋体"/>
            <w:sz w:val="23"/>
          </w:rPr>
          <m:t>m≠C.</m:t>
        </m:r>
      </m:oMath>
      <w:r>
        <w:tab/>
        <w:t>(A15)</w:t>
      </w:r>
    </w:p>
    <w:p>
      <w:pPr/>
      <w:r>
        <w:t xml:space="preserve">式（A15）沿用模型中成本与效率的关系。基准假定，同一部门中来自不同外国母国的企业面临相同成本变化；母国分组的生产结果足以识别各自成本变化时，再分别反演。政策限制变量用于识别改革及其生产效果，施加于结构模型的成本变化则由式（A12）—（A15）确定。</w:t>
      </w:r>
    </w:p>
    <w:p>
      <w:pPr>
        <w:pStyle w:val="21"/>
      </w:pPr>
      <w:r>
        <w:t>A.5.2 仅调整跨国生产成本（MP-only）的一般均衡反事实</w:t>
      </w:r>
    </w:p>
    <w:p>
      <w:pPr>
        <w:keepNext/>
      </w:pPr>
      <w:r>
        <w:t xml:space="preserve">设</w:t>
      </w:r>
      <m:oMath>
        <m:box>
          <m:boxPr>
            <m:noBreak m:val="1"/>
          </m:boxPr>
          <m:e>
            <m:sSub>
              <m:e>
                <m:r>
                  <w:rPr>
                    <w:rFonts w:ascii="Cambria Math" w:hAnsi="Cambria Math" w:eastAsia="宋体"/>
                    <w:sz w:val="24"/>
                  </w:rPr>
                  <m:rPr>
                    <m:scr m:val="script"/>
                  </m:rPr>
                  <m:t>J</m:t>
                </m:r>
              </m:e>
              <m:sub>
                <m:r>
                  <w:rPr>
                    <w:rFonts w:ascii="Cambria Math" w:hAnsi="Cambria Math" w:eastAsia="宋体"/>
                    <w:sz w:val="24"/>
                  </w:rPr>
                  <m:t>R</m:t>
                </m:r>
              </m:sub>
            </m:sSub>
          </m:e>
        </m:box>
      </m:oMath>
      <w:r>
        <w:t xml:space="preserve">为能够获得成本估计的受改革部门集合，其政策适用范围和行业归属均已核实。在贸易成本给定的条件下，对外国企业在中国生产施加以下冲击：</w:t>
      </w:r>
    </w:p>
    <w:p>
      <w:pPr>
        <w:pStyle w:val="Equation"/>
        <w:keepNext/>
      </w:pPr>
      <w:r>
        <w:tab/>
      </w:r>
      <m:oMath>
        <m:sSub>
          <m:e>
            <m:acc>
              <m:accPr>
                <m:chr m:val="̂"/>
              </m:accPr>
              <m:e>
                <m:r>
                  <w:rPr>
                    <w:rFonts w:ascii="Cambria Math" w:hAnsi="Cambria Math" w:eastAsia="宋体"/>
                    <w:sz w:val="23"/>
                  </w:rPr>
                  <m:t>ξ</m:t>
                </m:r>
              </m:e>
            </m:acc>
          </m:e>
          <m:sub>
            <m:r>
              <w:rPr>
                <w:rFonts w:ascii="Cambria Math" w:hAnsi="Cambria Math" w:eastAsia="宋体"/>
                <w:sz w:val="23"/>
              </w:rPr>
              <m:t>imj</m:t>
            </m:r>
          </m:sub>
        </m:sSub>
        <m:r>
          <w:rPr>
            <w:rFonts w:ascii="Cambria Math" w:hAnsi="Cambria Math" w:eastAsia="宋体"/>
            <w:sz w:val="23"/>
          </w:rPr>
          <m:t>=</m:t>
        </m:r>
        <m:d>
          <m:dPr>
            <m:begChr m:val="{"/>
            <m:sepChr m:val=","/>
            <m:endChr m:val=""/>
          </m:dPr>
          <m:e>
            <m:m>
              <m:mPr>
                <m:baseJc m:val="center"/>
                <m:plcHide m:val="on"/>
                <m:mcs>
                  <m:mc>
                    <m:mcPr>
                      <m:count m:val="2"/>
                      <m:mcJc m:val="center"/>
                    </m:mcPr>
                  </m:mc>
                </m:mcs>
              </m:mPr>
              <m:mr>
                <m:e>
                  <m:r>
                    <w:rPr>
                      <w:rFonts w:ascii="Cambria Math" w:hAnsi="Cambria Math" w:eastAsia="宋体"/>
                      <w:sz w:val="23"/>
                    </w:rPr>
                    <m:rPr>
                      <m:sty m:val="p"/>
                    </m:rPr>
                    <m:t>exp</m:t>
                  </m:r>
                  <m:r>
                    <w:rPr>
                      <w:rFonts w:ascii="Cambria Math" w:hAnsi="Cambria Math" w:eastAsia="宋体"/>
                      <w:sz w:val="23"/>
                    </w:rPr>
                    <m:t>(-</m:t>
                  </m:r>
                  <m:sSub>
                    <m:e>
                      <m:acc>
                        <m:accPr>
                          <m:chr m:val="̂"/>
                        </m:accPr>
                        <m:e>
                          <m:r>
                            <w:rPr>
                              <w:rFonts w:ascii="Cambria Math" w:hAnsi="Cambria Math" w:eastAsia="宋体"/>
                              <w:sz w:val="23"/>
                            </w:rPr>
                            <m:t>δ</m:t>
                          </m:r>
                        </m:e>
                      </m:acc>
                    </m:e>
                    <m:sub>
                      <m:r>
                        <w:rPr>
                          <w:rFonts w:ascii="Cambria Math" w:hAnsi="Cambria Math" w:eastAsia="宋体"/>
                          <w:sz w:val="23"/>
                        </w:rPr>
                        <m:t>j</m:t>
                      </m:r>
                    </m:sub>
                  </m:sSub>
                  <m:r>
                    <w:rPr>
                      <w:rFonts w:ascii="Cambria Math" w:hAnsi="Cambria Math" w:eastAsia="宋体"/>
                      <w:sz w:val="23"/>
                    </w:rPr>
                    <m:t>),</m:t>
                  </m:r>
                </m:e>
                <m:e>
                  <m:r>
                    <w:rPr>
                      <w:rFonts w:ascii="Cambria Math" w:hAnsi="Cambria Math" w:eastAsia="宋体"/>
                      <w:sz w:val="23"/>
                    </w:rPr>
                    <m:t>i=C,</m:t>
                  </m:r>
                  <m:r>
                    <w:rPr>
                      <w:rFonts w:ascii="Cambria Math" w:hAnsi="Cambria Math" w:eastAsia="宋体"/>
                      <w:sz w:val="23"/>
                    </w:rPr>
                    <m:t>m≠C,</m:t>
                  </m:r>
                  <m:r>
                    <w:rPr>
                      <w:rFonts w:ascii="Cambria Math" w:hAnsi="Cambria Math" w:eastAsia="宋体"/>
                      <w:sz w:val="23"/>
                    </w:rPr>
                    <m:t>j∈</m:t>
                  </m:r>
                  <m:sSub>
                    <m:e>
                      <m:r>
                        <w:rPr>
                          <w:rFonts w:ascii="Cambria Math" w:hAnsi="Cambria Math" w:eastAsia="宋体"/>
                          <w:sz w:val="23"/>
                        </w:rPr>
                        <m:rPr>
                          <m:scr m:val="script"/>
                        </m:rPr>
                        <m:t>J</m:t>
                      </m:r>
                    </m:e>
                    <m:sub>
                      <m:r>
                        <w:rPr>
                          <w:rFonts w:ascii="Cambria Math" w:hAnsi="Cambria Math" w:eastAsia="宋体"/>
                          <w:sz w:val="23"/>
                        </w:rPr>
                        <m:t>R</m:t>
                      </m:r>
                    </m:sub>
                  </m:sSub>
                  <m:r>
                    <w:rPr>
                      <w:rFonts w:ascii="Cambria Math" w:hAnsi="Cambria Math" w:eastAsia="宋体"/>
                      <w:sz w:val="23"/>
                    </w:rPr>
                    <m:t>,</m:t>
                  </m:r>
                </m:e>
              </m:mr>
              <m:mr>
                <m:e>
                  <m:r>
                    <w:rPr>
                      <w:rFonts w:ascii="Cambria Math" w:hAnsi="Cambria Math" w:eastAsia="宋体"/>
                      <w:sz w:val="23"/>
                    </w:rPr>
                    <m:t>1,</m:t>
                  </m:r>
                </m:e>
                <m:e>
                  <m:r>
                    <w:rPr>
                      <w:rFonts w:ascii="Cambria Math" w:hAnsi="Cambria Math" w:eastAsia="宋体"/>
                      <w:sz w:val="23"/>
                    </w:rPr>
                    <m:rPr>
                      <m:nor/>
                    </m:rPr>
                    <m:t>其他关系</m:t>
                  </m:r>
                  <m:r>
                    <w:rPr>
                      <w:rFonts w:ascii="Cambria Math" w:hAnsi="Cambria Math" w:eastAsia="宋体"/>
                      <w:sz w:val="23"/>
                    </w:rPr>
                    <m:t>.</m:t>
                  </m:r>
                </m:e>
              </m:mr>
            </m:m>
          </m:e>
        </m:d>
      </m:oMath>
      <w:r>
        <w:tab/>
        <w:t>(A16)</w:t>
      </w:r>
    </w:p>
    <w:p>
      <w:pPr/>
      <w:r>
        <w:t xml:space="preserve">一般均衡求解允许生产地选择、三边销售、投入需求、价格、工资、利润、创新及福利随成本变化而调整。未直接受到政策冲击的部门，以及中国企业的境外生产，也可能通过需求、投入产出联系和要素价格受到间接影响。若改革只涉及部门内的部分业务，反演得到的是使模型产生该部门总体生产变化所需的平均成本调整。各项业务实际适用哪些政策，仍按A.2判断。</w:t>
      </w:r>
    </w:p>
    <w:p>
      <w:pPr>
        <w:pStyle w:val="1"/>
      </w:pPr>
      <w:r>
        <w:t>A.6 一般均衡结果的组织与反事实设计</w:t>
      </w:r>
    </w:p>
    <w:p>
      <w:pPr>
        <w:pStyle w:val="21"/>
      </w:pPr>
      <w:r>
        <w:t>A.6.1 三边生产网络</w:t>
      </w:r>
    </w:p>
    <w:p>
      <w:pPr>
        <w:keepNext/>
      </w:pPr>
      <w:r>
        <w:t>针对外国企业在中国生产的准入改革，固定生产国</w:t>
      </w:r>
      <m:oMath>
        <m:box>
          <m:boxPr>
            <m:noBreak m:val="1"/>
          </m:boxPr>
          <m:e>
            <m:r>
              <w:rPr>
                <w:rFonts w:ascii="Cambria Math" w:hAnsi="Cambria Math" w:eastAsia="宋体"/>
                <w:sz w:val="24"/>
              </w:rPr>
              <m:t>i=C</m:t>
            </m:r>
          </m:e>
        </m:box>
      </m:oMath>
      <w:r>
        <w:t>，保留母国</w:t>
      </w:r>
      <m:oMath>
        <m:box>
          <m:boxPr>
            <m:noBreak m:val="1"/>
          </m:boxPr>
          <m:e>
            <m:r>
              <w:rPr>
                <w:rFonts w:ascii="Cambria Math" w:hAnsi="Cambria Math" w:eastAsia="宋体"/>
                <w:sz w:val="24"/>
              </w:rPr>
              <m:t>m</m:t>
            </m:r>
          </m:e>
        </m:box>
      </m:oMath>
      <w:r>
        <w:t>和销售目的国</w:t>
      </w:r>
      <m:oMath>
        <m:box>
          <m:boxPr>
            <m:noBreak m:val="1"/>
          </m:boxPr>
          <m:e>
            <m:r>
              <w:rPr>
                <w:rFonts w:ascii="Cambria Math" w:hAnsi="Cambria Math" w:eastAsia="宋体"/>
                <w:sz w:val="24"/>
              </w:rPr>
              <m:t>n</m:t>
            </m:r>
          </m:e>
        </m:box>
      </m:oMath>
      <w:r>
        <w:t>，计算各部门流量变化：</w:t>
      </w:r>
    </w:p>
    <w:p>
      <w:pPr>
        <w:pStyle w:val="Equation"/>
        <w:keepNext/>
      </w:pPr>
      <w:r>
        <w:tab/>
      </w:r>
      <m:oMath>
        <m:r>
          <w:rPr>
            <w:rFonts w:ascii="Cambria Math" w:hAnsi="Cambria Math" w:eastAsia="宋体"/>
            <w:sz w:val="23"/>
          </w:rPr>
          <m:t>Δ</m:t>
        </m:r>
        <m:sSub>
          <m:e>
            <m:r>
              <w:rPr>
                <w:rFonts w:ascii="Cambria Math" w:hAnsi="Cambria Math" w:eastAsia="宋体"/>
                <w:sz w:val="23"/>
              </w:rPr>
              <m:t>X</m:t>
            </m:r>
          </m:e>
          <m:sub>
            <m:r>
              <w:rPr>
                <w:rFonts w:ascii="Cambria Math" w:hAnsi="Cambria Math" w:eastAsia="宋体"/>
                <w:sz w:val="23"/>
              </w:rPr>
              <m:t>nCmj</m:t>
            </m:r>
          </m:sub>
        </m:sSub>
        <m:r>
          <w:rPr>
            <w:rFonts w:ascii="Cambria Math" w:hAnsi="Cambria Math" w:eastAsia="宋体"/>
            <w:sz w:val="23"/>
          </w:rPr>
          <m:t>=</m:t>
        </m:r>
        <m:sSubSup>
          <m:e>
            <m:r>
              <w:rPr>
                <w:rFonts w:ascii="Cambria Math" w:hAnsi="Cambria Math" w:eastAsia="宋体"/>
                <w:sz w:val="23"/>
              </w:rPr>
              <m:t>X</m:t>
            </m:r>
          </m:e>
          <m:sub>
            <m:r>
              <w:rPr>
                <w:rFonts w:ascii="Cambria Math" w:hAnsi="Cambria Math" w:eastAsia="宋体"/>
                <w:sz w:val="23"/>
              </w:rPr>
              <m:t>nCmj</m:t>
            </m:r>
          </m:sub>
          <m:sup>
            <m:r>
              <w:rPr>
                <w:rFonts w:ascii="Cambria Math" w:hAnsi="Cambria Math" w:eastAsia="宋体"/>
                <w:sz w:val="23"/>
              </w:rPr>
              <m:rPr>
                <m:sty m:val="p"/>
              </m:rPr>
              <m:t>cf</m:t>
            </m:r>
          </m:sup>
        </m:sSubSup>
        <m:r>
          <w:rPr>
            <w:rFonts w:ascii="Cambria Math" w:hAnsi="Cambria Math" w:eastAsia="宋体"/>
            <w:sz w:val="23"/>
          </w:rPr>
          <m:t>-</m:t>
        </m:r>
        <m:sSubSup>
          <m:e>
            <m:r>
              <w:rPr>
                <w:rFonts w:ascii="Cambria Math" w:hAnsi="Cambria Math" w:eastAsia="宋体"/>
                <w:sz w:val="23"/>
              </w:rPr>
              <m:t>X</m:t>
            </m:r>
          </m:e>
          <m:sub>
            <m:r>
              <w:rPr>
                <w:rFonts w:ascii="Cambria Math" w:hAnsi="Cambria Math" w:eastAsia="宋体"/>
                <w:sz w:val="23"/>
              </w:rPr>
              <m:t>nCmj</m:t>
            </m:r>
          </m:sub>
          <m:sup>
            <m:r>
              <w:rPr>
                <w:rFonts w:ascii="Cambria Math" w:hAnsi="Cambria Math" w:eastAsia="宋体"/>
                <w:sz w:val="23"/>
              </w:rPr>
              <m:t>0</m:t>
            </m:r>
          </m:sup>
        </m:sSubSup>
        <m:r>
          <w:rPr>
            <w:rFonts w:ascii="Cambria Math" w:hAnsi="Cambria Math" w:eastAsia="宋体"/>
            <w:sz w:val="23"/>
          </w:rPr>
          <m:t>.</m:t>
        </m:r>
      </m:oMath>
      <w:r>
        <w:tab/>
        <w:t>(A17)</w:t>
      </w:r>
    </w:p>
    <w:p>
      <w:pPr/>
      <w:r>
        <w:t xml:space="preserve">其中，上标</w:t>
      </w:r>
      <m:oMath>
        <m:box>
          <m:boxPr>
            <m:noBreak m:val="1"/>
          </m:boxPr>
          <m:e>
            <m:r>
              <w:rPr>
                <w:rFonts w:ascii="Cambria Math" w:hAnsi="Cambria Math" w:eastAsia="宋体"/>
                <w:sz w:val="24"/>
              </w:rPr>
              <m:t>0</m:t>
            </m:r>
          </m:e>
        </m:box>
      </m:oMath>
      <w:r>
        <w:t xml:space="preserve">和</w:t>
      </w:r>
      <m:oMath>
        <m:box>
          <m:boxPr>
            <m:noBreak m:val="1"/>
          </m:boxPr>
          <m:e>
            <m:r>
              <w:rPr>
                <w:rFonts w:ascii="Cambria Math" w:hAnsi="Cambria Math" w:eastAsia="宋体"/>
                <w:sz w:val="24"/>
              </w:rPr>
              <m:rPr>
                <m:sty m:val="p"/>
              </m:rPr>
              <m:t>cf</m:t>
            </m:r>
          </m:e>
        </m:box>
      </m:oMath>
      <w:r>
        <w:t xml:space="preserve">分别表示基准及反事实。按母国、目的国和部门加总，可以分别考察在华生产面向中国市场和其他市场的变化，以及不同母国企业的调整。不同情景采用相同流量定义和经济基准，以比较成本冲击影响了哪些生产和销售关系。</w:t>
      </w:r>
    </w:p>
    <w:p>
      <w:pPr>
        <w:pStyle w:val="21"/>
      </w:pPr>
      <w:r>
        <w:t>A.6.2 反事实组</w:t>
      </w:r>
    </w:p>
    <w:p>
      <w:pPr/>
      <w:r>
        <w:t xml:space="preserve">反事实情景根据已识别的改革及其部门成本变化设置，先研究实际发生的改革，再讨论样本能够支持的限制类型或组合。各情景的政策设定和解释范围见表A3。</w:t>
      </w:r>
    </w:p>
    <w:p>
      <w:pPr>
        <w:pStyle w:val="af7"/>
        <w:keepNext/>
      </w:pPr>
      <w:r>
        <w:t>表A3 基准反事实实验</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50" w:type="dxa"/>
          <w:bottom w:w="50" w:type="dxa"/>
          <w:left w:w="80" w:type="dxa"/>
          <w:right w:w="80" w:type="dxa"/>
        </w:tblCellMar>
      </w:tblPr>
      <w:tblGrid>
        <w:gridCol w:w="1778"/>
        <w:gridCol w:w="3557"/>
        <w:gridCol w:w="4025"/>
      </w:tblGrid>
      <w:tr>
        <w:trPr>
          <w:cantSplit/>
          <w:tblHeader/>
        </w:trPr>
        <w:tc>
          <w:tcPr>
            <w:tcW w:type="dxa" w:w="1778"/>
            <w:vAlign w:val="center"/>
            <w:tcBorders>
              <w:bottom w:val="single" w:sz="5" w:color="000000"/>
            </w:tcBorders>
          </w:tcPr>
          <w:p>
            <w:pPr>
              <w:pStyle w:val="TableText"/>
              <w:keepNext/>
              <w:jc w:val="center"/>
            </w:pPr>
            <w:r>
              <w:rPr>
                <w:b/>
              </w:rPr>
              <w:t>情景</w:t>
            </w:r>
          </w:p>
        </w:tc>
        <w:tc>
          <w:tcPr>
            <w:tcW w:type="dxa" w:w="3557"/>
            <w:vAlign w:val="center"/>
            <w:tcBorders>
              <w:bottom w:val="single" w:sz="5" w:color="000000"/>
            </w:tcBorders>
          </w:tcPr>
          <w:p>
            <w:pPr>
              <w:pStyle w:val="TableText"/>
              <w:keepNext/>
            </w:pPr>
            <w:r>
              <w:rPr>
                <w:b/>
              </w:rPr>
              <w:t>政策设定</w:t>
            </w:r>
          </w:p>
        </w:tc>
        <w:tc>
          <w:tcPr>
            <w:tcW w:type="dxa" w:w="4025"/>
            <w:vAlign w:val="center"/>
            <w:tcBorders>
              <w:bottom w:val="single" w:sz="5" w:color="000000"/>
            </w:tcBorders>
          </w:tcPr>
          <w:p>
            <w:pPr>
              <w:pStyle w:val="TableText"/>
              <w:keepNext/>
            </w:pPr>
            <w:r>
              <w:rPr>
                <w:b/>
              </w:rPr>
              <w:t>解释范围</w:t>
            </w:r>
          </w:p>
        </w:tc>
      </w:tr>
      <w:tr>
        <w:trPr>
          <w:cantSplit/>
        </w:trPr>
        <w:tc>
          <w:tcPr>
            <w:tcW w:type="dxa" w:w="1778"/>
            <w:vAlign w:val="center"/>
          </w:tcPr>
          <w:p>
            <w:pPr>
              <w:pStyle w:val="TableText"/>
            </w:pPr>
            <w:r>
              <w:t>CF1 历次真实改革</w:t>
            </w:r>
          </w:p>
        </w:tc>
        <w:tc>
          <w:tcPr>
            <w:tcW w:type="dxa" w:w="3557"/>
            <w:vAlign w:val="center"/>
          </w:tcPr>
          <w:p>
            <w:pPr>
              <w:pStyle w:val="TableText"/>
            </w:pPr>
            <w:r>
              <w:t>比较同一业务在相邻有效版本下的法律待遇</w:t>
            </w:r>
          </w:p>
        </w:tc>
        <w:tc>
          <w:tcPr>
            <w:tcW w:type="dxa" w:w="4025"/>
            <w:vAlign w:val="center"/>
          </w:tcPr>
          <w:p>
            <w:pPr>
              <w:pStyle w:val="TableText"/>
            </w:pPr>
            <w:r>
              <w:t xml:space="preserve">分别估计有限限制放松的效果，再计算可识别的部门结果</w:t>
            </w:r>
          </w:p>
        </w:tc>
      </w:tr>
      <w:tr>
        <w:trPr>
          <w:cantSplit/>
        </w:trPr>
        <w:tc>
          <w:tcPr>
            <w:tcW w:type="dxa" w:w="1778"/>
            <w:vAlign w:val="center"/>
          </w:tcPr>
          <w:p>
            <w:pPr>
              <w:pStyle w:val="TableText"/>
            </w:pPr>
            <w:r>
              <w:t>CF2 累计改革</w:t>
            </w:r>
          </w:p>
        </w:tc>
        <w:tc>
          <w:tcPr>
            <w:tcW w:type="dxa" w:w="3557"/>
            <w:vAlign w:val="center"/>
          </w:tcPr>
          <w:p>
            <w:pPr>
              <w:pStyle w:val="TableText"/>
            </w:pPr>
            <w:r>
              <w:t>比较选定起止版本，核查期间改革组合</w:t>
            </w:r>
          </w:p>
        </w:tc>
        <w:tc>
          <w:tcPr>
            <w:tcW w:type="dxa" w:w="4025"/>
            <w:vAlign w:val="center"/>
          </w:tcPr>
          <w:p>
            <w:pPr>
              <w:pStyle w:val="TableText"/>
            </w:pPr>
            <w:r>
              <w:t>在共同基准下求解累计变化，不直接相加事件系数</w:t>
            </w:r>
          </w:p>
        </w:tc>
      </w:tr>
      <w:tr>
        <w:trPr>
          <w:cantSplit/>
        </w:trPr>
        <w:tc>
          <w:tcPr>
            <w:tcW w:type="dxa" w:w="1778"/>
            <w:vAlign w:val="center"/>
          </w:tcPr>
          <w:p>
            <w:pPr>
              <w:pStyle w:val="TableText"/>
            </w:pPr>
            <w:r>
              <w:t>CF3 无后续改革</w:t>
            </w:r>
          </w:p>
        </w:tc>
        <w:tc>
          <w:tcPr>
            <w:tcW w:type="dxa" w:w="3557"/>
            <w:vAlign w:val="center"/>
          </w:tcPr>
          <w:p>
            <w:pPr>
              <w:pStyle w:val="TableText"/>
            </w:pPr>
            <w:r>
              <w:t>在同一经济基准下保留较早版本的规则</w:t>
            </w:r>
          </w:p>
        </w:tc>
        <w:tc>
          <w:tcPr>
            <w:tcW w:type="dxa" w:w="4025"/>
            <w:vAlign w:val="center"/>
          </w:tcPr>
          <w:p>
            <w:pPr>
              <w:pStyle w:val="TableText"/>
            </w:pPr>
            <w:r>
              <w:t xml:space="preserve">说明保留哪个政策版本，以及是否假定政策可以逆转、历史路径是否影响结果</w:t>
            </w:r>
          </w:p>
        </w:tc>
      </w:tr>
      <w:tr>
        <w:trPr>
          <w:cantSplit/>
        </w:trPr>
        <w:tc>
          <w:tcPr>
            <w:tcW w:type="dxa" w:w="1778"/>
            <w:vAlign w:val="center"/>
          </w:tcPr>
          <w:p>
            <w:pPr>
              <w:pStyle w:val="TableText"/>
            </w:pPr>
            <w:r>
              <w:t>CF4 限制类型或组合</w:t>
            </w:r>
          </w:p>
        </w:tc>
        <w:tc>
          <w:tcPr>
            <w:tcW w:type="dxa" w:w="3557"/>
            <w:vAlign w:val="center"/>
          </w:tcPr>
          <w:p>
            <w:pPr>
              <w:pStyle w:val="TableText"/>
            </w:pPr>
            <w:r>
              <w:t>分别调整有独立识别依据的限制或组合</w:t>
            </w:r>
          </w:p>
        </w:tc>
        <w:tc>
          <w:tcPr>
            <w:tcW w:type="dxa" w:w="4025"/>
            <w:vAlign w:val="center"/>
          </w:tcPr>
          <w:p>
            <w:pPr>
              <w:pStyle w:val="TableText"/>
            </w:pPr>
            <w:r>
              <w:t>共同变化的限制按组合报告</w:t>
            </w:r>
          </w:p>
        </w:tc>
      </w:tr>
      <w:tr>
        <w:trPr>
          <w:cantSplit/>
        </w:trPr>
        <w:tc>
          <w:tcPr>
            <w:tcW w:type="dxa" w:w="1778"/>
            <w:vAlign w:val="center"/>
          </w:tcPr>
          <w:p>
            <w:pPr>
              <w:pStyle w:val="TableText"/>
            </w:pPr>
            <w:r>
              <w:t>CF5 进一步开放</w:t>
            </w:r>
          </w:p>
        </w:tc>
        <w:tc>
          <w:tcPr>
            <w:tcW w:type="dxa" w:w="3557"/>
            <w:vAlign w:val="center"/>
          </w:tcPr>
          <w:p>
            <w:pPr>
              <w:pStyle w:val="TableText"/>
            </w:pPr>
            <w:r>
              <w:t>放松仍然存在的有限限制</w:t>
            </w:r>
          </w:p>
        </w:tc>
        <w:tc>
          <w:tcPr>
            <w:tcW w:type="dxa" w:w="4025"/>
            <w:vAlign w:val="center"/>
          </w:tcPr>
          <w:p>
            <w:pPr>
              <w:pStyle w:val="TableText"/>
            </w:pPr>
            <w:r>
              <w:t>区分样本支持的预测与超出已观察政策范围的推演</w:t>
            </w:r>
          </w:p>
        </w:tc>
      </w:tr>
    </w:tbl>
    <w:p>
      <w:pPr>
        <w:spacing w:after="40" w:before="0" w:line="84" w:lineRule="auto"/>
      </w:pPr>
    </w:p>
    <w:p>
      <w:pPr/>
      <w:r>
        <w:t xml:space="preserve">各情景先按具体业务判断适用规则，再采用有相应识别依据的生产反应和成本变化。比较相隔较远的政策版本时，还需核查期间发生的改革和基期企业构成，不能把文本差异直接换算为成本变化。所有部门成本同幅调整的情景，仅用于比较不同冲击分布假设下的结果。进一步开放情景用于考察可能的经济变化，其福利结果不代表严格的上限。</w:t>
      </w:r>
    </w:p>
    <w:p>
      <w:pPr>
        <w:pStyle w:val="21"/>
      </w:pPr>
      <w:r>
        <w:t>A.6.3 结果变量与福利</w:t>
      </w:r>
    </w:p>
    <w:p>
      <w:pPr/>
      <w:r>
        <w:t xml:space="preserve">结果包括外国企业在华生产价值和份额、部门产出与价格、三边流量、工资、利润、研发劳动、产品种类及实际收入。先报告不同部门和母国的结果，再按具有明确经济含义的权重加总。各行业成本变化的简单平均值不能直接解释为全国成本变化。</w:t>
      </w:r>
    </w:p>
    <w:p>
      <w:pPr/>
      <w:r>
        <w:t xml:space="preserve">福利计算及分解遵循现有模型。对每项可识别改革分别求解反事实，并结合微观结果解释生产和福利的变化。多项改革相互影响时，可按事先说明的政策实施顺序或分摊规则计算各项贡献，但这种分配不代表各类限制的独立因果效应。若构造部门生产目标时补充了假设，解释福利结果时也须说明这些假设。</w:t>
      </w:r>
    </w:p>
    <w:p>
      <w:pPr>
        <w:pStyle w:val="1"/>
      </w:pPr>
      <w:r>
        <w:t>A.7 识别边界与稳健性</w:t>
      </w:r>
    </w:p>
    <w:p>
      <w:pPr/>
      <w:r>
        <w:t xml:space="preserve">政策测度分别报告完整覆盖、部分覆盖、行业候选待定及法律状态未知的记录。按A.1.3开展人工核验，检查大语言模型重复编码的稳定性，并在历史代码有明确依据时，用新旧分类对照核查直接匹配结果。重点排查行业分类变化、条款删除及目录类别调整是否被误判为实际政策变化。</w:t>
      </w:r>
    </w:p>
    <w:p>
      <w:pPr/>
      <w:r>
        <w:t xml:space="preserve">实证稳健性围绕A.3.1—A.3.2的识别条件展开，检验公告前趋势，并比较不同事件窗口、对照组范围及同期政策处理方式下的结果。基准始终按改革前业务分组；剔除改革后调整业务的企业，仅用于检验样本选择对结果的影响。根据政策赋值方式和共同冲击确定聚类层级；有效簇较少时补充适当的小样本方法，并说明其局限。</w:t>
      </w:r>
    </w:p>
    <w:p>
      <w:pPr/>
      <w:r>
        <w:t xml:space="preserve">按A.3.3核查企业样本和行业资料各自覆盖哪些产出，并考察控制关系未知、部门归属未定及真实退出如何影响生产目标。若外资生产份额主要因所有权转换而改变，还需结合外国和国内生产的变化，判断模型中的经营成本机制能否解释这一结果。</w:t>
      </w:r>
    </w:p>
    <w:p>
      <w:pPr/>
      <w:r>
        <w:t xml:space="preserve">结构反演首先检查，不同成本参数是否会产生可区分的生产结果，并核验相应雅可比矩阵的秩。再检查模型能否达到估计目标，解是否位于参数范围边界，以及是否存在多组解。无法拟合或不能唯一求解的部门，应说明原因，并报告现有信息能够支持的结果范围。</w:t>
      </w:r>
    </w:p>
    <w:p>
      <w:pPr/>
      <w:r>
        <w:t xml:space="preserve">评估成本与福利的不确定性时，同时考虑实证估计、政策匹配、企业覆盖、结构参数及均衡条件。按实际政策簇重抽样，每次重新估计生产变化、反演成本并求解均衡，单独记录未收敛或无法反演的情况。结构参数采用有来源的校准值或区间。比较PE与GE结果时，分别说明其目标和均衡条件。</w:t>
      </w:r>
    </w:p>
    <w:p>
      <w:pPr/>
      <w:r>
        <w:t xml:space="preserve">实施时，先选取一次法律状态明确、改革前已有外资生产且对照组范围可以核实的有限限制放松，完成从政策匹配到一般均衡分析的全过程检验后，再扩展至其他改革。政策资料拟覆盖1995—2024年，实际微观估计期则取决于业务、所有权、产出及改革前资料能够共同覆盖的年份。对样本中最早收录的政策，仍须核查此前适用的规则。</w:t>
      </w:r>
    </w:p>
    <w:p>
      <w:pPr>
        <w:pStyle w:val="1"/>
      </w:pPr>
      <w:r>
        <w:t>参考文献与政策资料</w:t>
      </w:r>
    </w:p>
    <w:p>
      <w:pPr>
        <w:pStyle w:val="Reference"/>
      </w:pPr>
      <w:r>
        <w:t>Eppinger, P., and H. Ma. 2023. Optimal Ownership and Firm Performance: An Analysis of China’s FDI Liberalization. CESifo Working Paper No. 10551.</w:t>
      </w:r>
    </w:p>
    <w:p>
      <w:pPr>
        <w:pStyle w:val="Reference"/>
      </w:pPr>
      <w:r>
        <w:t>de Chaisemartin, C., and X. D’Haultfœuille. 2023. Two-way Fixed Effects and Differences-in-Differences Estimators with Several Treatments. Journal of Econometrics.</w:t>
      </w:r>
    </w:p>
    <w:p>
      <w:pPr>
        <w:pStyle w:val="Reference"/>
      </w:pPr>
      <w:r>
        <w:t>Santos Silva, J. M. C., and S. Tenreyro. 2006. The Log of Gravity. Review of Economics and Statistics, 88(4), 641–658.</w:t>
      </w:r>
    </w:p>
    <w:p>
      <w:pPr>
        <w:pStyle w:val="Reference"/>
      </w:pPr>
      <w:r>
        <w:t xml:space="preserve">国家统计局：《国民经济行业分类》GB/T 4754—2017及第1号修改单；《2017年国民经济行业分类注释》。行业分类及其对应关系均按预先选定的版本核验。</w:t>
      </w:r>
      <w:hyperlink r:id="rId11">
        <w:r>
          <w:rPr>
            <w:color w:val="000000"/>
            <w:u w:val="single"/>
          </w:rPr>
          <w:t>行业标准</w:t>
        </w:r>
      </w:hyperlink>
      <w:r>
        <w:t xml:space="preserve">，</w:t>
      </w:r>
      <w:hyperlink r:id="rId12">
        <w:r>
          <w:rPr>
            <w:color w:val="000000"/>
            <w:u w:val="single"/>
          </w:rPr>
          <w:t>修改单</w:t>
        </w:r>
      </w:hyperlink>
      <w:r>
        <w:t xml:space="preserve">，</w:t>
      </w:r>
      <w:hyperlink r:id="rId13">
        <w:r>
          <w:rPr>
            <w:color w:val="000000"/>
            <w:u w:val="single"/>
          </w:rPr>
          <w:t>行业注释</w:t>
        </w:r>
      </w:hyperlink>
      <w:r>
        <w:t xml:space="preserve">。</w:t>
      </w:r>
    </w:p>
    <w:p>
      <w:pPr>
        <w:pStyle w:val="Reference"/>
      </w:pPr>
      <w:r>
        <w:t>国家统计局：《国家统计局统计设计管理司负责人就〈国民经济行业分类〉国家标准修订答记者问》。用于核查行业标准实施与统计资料采用时间。</w:t>
      </w:r>
      <w:hyperlink r:id="rId14">
        <w:r>
          <w:rPr>
            <w:color w:val="000000"/>
            <w:u w:val="single"/>
          </w:rPr>
          <w:t>官方说明</w:t>
        </w:r>
      </w:hyperlink>
      <w:r>
        <w:t>。</w:t>
      </w:r>
    </w:p>
    <w:p>
      <w:pPr>
        <w:pStyle w:val="Reference"/>
      </w:pPr>
      <w:r>
        <w:t>国家发展改革委、商务部：《外商投资产业指导目录》及历年《外商投资准入特别管理措施（负面清单）》。文中案例依据</w:t>
      </w:r>
      <w:hyperlink r:id="rId15">
        <w:r>
          <w:rPr>
            <w:color w:val="000000"/>
            <w:u w:val="single"/>
          </w:rPr>
          <w:t>2018年版</w:t>
        </w:r>
      </w:hyperlink>
      <w:r>
        <w:t>、</w:t>
      </w:r>
      <w:hyperlink r:id="rId16">
        <w:r>
          <w:rPr>
            <w:color w:val="000000"/>
            <w:u w:val="single"/>
          </w:rPr>
          <w:t>2020年版</w:t>
        </w:r>
      </w:hyperlink>
      <w:r>
        <w:t>及</w:t>
      </w:r>
      <w:hyperlink r:id="rId17">
        <w:r>
          <w:rPr>
            <w:color w:val="000000"/>
            <w:u w:val="single"/>
          </w:rPr>
          <w:t>2024年版</w:t>
        </w:r>
      </w:hyperlink>
      <w:r>
        <w:t>；其他事件按实际适用版本核验。</w:t>
      </w:r>
    </w:p>
    <w:p>
      <w:pPr>
        <w:pStyle w:val="Reference"/>
      </w:pPr>
      <w:r>
        <w:t>《中国高水平制度型开放与全球产业链网络重塑》及模型完整推导附录，研究稿；《审稿人回复》，制度型开放测度及流量与成本映射部分；《报告_重点标红版》，成本映射及参数说明。结构定义沿用研究稿，参数数值在模型校准时核实。</w:t>
      </w:r>
    </w:p>
    <w:sectPr w:rsidR="00553CE8" w:rsidSect="00034616">
      <w:footerReference w:type="default" r:id="rId8"/>
      <w:pgSz w:w="12240" w:h="15840"/>
      <w:pgMar w:top="1440" w:right="1440" w:bottom="1440" w:left="1440" w:header="720"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28BF6" w14:textId="77777777" w:rsidR="008B3F46" w:rsidRDefault="008B3F46">
      <w:pPr>
        <w:spacing w:after="0" w:line="240" w:lineRule="auto"/>
      </w:pPr>
      <w:r>
        <w:separator/>
      </w:r>
    </w:p>
  </w:endnote>
  <w:endnote w:type="continuationSeparator" w:id="0">
    <w:p w14:paraId="05EB21B5" w14:textId="77777777" w:rsidR="008B3F46" w:rsidRDefault="008B3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DFCF2" w14:textId="77777777" w:rsidR="002C0540" w:rsidRDefault="00FE1083">
    <w:pPr>
      <w:pStyle w:val="a7"/>
      <w:jc w:val="center"/>
    </w:pPr>
    <w:r>
      <w:fldChar w:fldCharType="begin"/>
    </w:r>
    <w:r>
      <w:instrText>PAGE</w:instrText>
    </w:r>
    <w:r>
      <w:fldChar w:fldCharType="separate"/>
    </w:r>
    <w:r>
      <w:t>1</w:t>
    </w:r>
    <w:r>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 例如，2017年目录中的鼓励类业务仍可能受到外资特别管理措施约束；2018年种业政策解释也对负面清单未列出的部分作物说明了准入要求。因此，应结合全部适用规则判断，不能仅凭目录类别或条目是否出现赋值。参见</w:t>
      </w:r>
      <w:hyperlink r:id="rId1">
        <w:r>
          <w:rPr>
            <w:color w:val="000000"/>
            <w:u w:val="single"/>
          </w:rPr>
          <w:t>2017年目录原文</w:t>
        </w:r>
      </w:hyperlink>
      <w:r>
        <w:t xml:space="preserve">和</w:t>
      </w:r>
      <w:hyperlink r:id="rId2">
        <w:r>
          <w:rPr>
            <w:color w:val="000000"/>
            <w:u w:val="single"/>
          </w:rPr>
          <w:t>2018年农业政策解释</w:t>
        </w:r>
      </w:hyperlink>
      <w:r>
        <w:t xml:space="preserve">。</w:t>
      </w:r>
    </w:p>
  </w:footnote>
  <w:footnote w:id="2">
    <w:p>
      <w:pPr>
        <w:pStyle w:val="FootnoteText"/>
      </w:pPr>
      <w:r>
        <w:rPr>
          <w:rStyle w:val="FootnoteReference"/>
        </w:rPr>
        <w:footnoteRef/>
      </w:r>
      <w:r>
        <w:t xml:space="preserve"> GB2017于2017年10月1日实施，2017年目录于同年7月28日生效；2002年目录于当年4月生效，而GB2002于10月实施。这些日期用于核查当时已实施何种分类标准，不能据此认定目录按该标准编制。另据国家统计局说明，2017年年度统计仍采用GB2011。参见</w:t>
      </w:r>
      <w:hyperlink r:id="rId3">
        <w:r>
          <w:rPr>
            <w:color w:val="000000"/>
            <w:u w:val="single"/>
          </w:rPr>
          <w:t>GB2017标准信息</w:t>
        </w:r>
      </w:hyperlink>
      <w:r>
        <w:t xml:space="preserve">、</w:t>
      </w:r>
      <w:hyperlink r:id="rId4">
        <w:r>
          <w:rPr>
            <w:color w:val="000000"/>
            <w:u w:val="single"/>
          </w:rPr>
          <w:t>2017年目录</w:t>
        </w:r>
      </w:hyperlink>
      <w:r>
        <w:t xml:space="preserve">、</w:t>
      </w:r>
      <w:hyperlink r:id="rId5">
        <w:r>
          <w:rPr>
            <w:color w:val="000000"/>
            <w:u w:val="single"/>
          </w:rPr>
          <w:t>2002年目录</w:t>
        </w:r>
      </w:hyperlink>
      <w:r>
        <w:t xml:space="preserve">、</w:t>
      </w:r>
      <w:hyperlink r:id="rId6">
        <w:r>
          <w:rPr>
            <w:color w:val="000000"/>
            <w:u w:val="single"/>
          </w:rPr>
          <w:t>GB2002标准信息</w:t>
        </w:r>
      </w:hyperlink>
      <w:r>
        <w:t xml:space="preserve">及参考资料中的统计说明。</w:t>
      </w:r>
    </w:p>
  </w:footnote>
  <w:footnote w:id="3">
    <w:p>
      <w:pPr>
        <w:pStyle w:val="FootnoteText"/>
      </w:pPr>
      <w:r>
        <w:rPr>
          <w:rStyle w:val="FootnoteReference"/>
        </w:rPr>
        <w:footnoteRef/>
      </w:r>
      <w:r>
        <w:t xml:space="preserve"> 对始终没有外国控制生产的企业，外国生产结果全为零，带企业固定效应的PPML可能因分离问题剔除这些观测。因此须核对实际估计样本和预测范围，不能将被剔除企业视为未受改革影响。参见</w:t>
      </w:r>
      <w:hyperlink r:id="rId7">
        <w:r>
          <w:rPr>
            <w:color w:val="000000"/>
            <w:u w:val="single"/>
          </w:rPr>
          <w:t>PPMLHDFE作者文档</w:t>
        </w:r>
      </w:hyperlink>
      <w:r>
        <w:t xml:space="preserv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87836803">
    <w:abstractNumId w:val="8"/>
  </w:num>
  <w:num w:numId="2" w16cid:durableId="521016866">
    <w:abstractNumId w:val="6"/>
  </w:num>
  <w:num w:numId="3" w16cid:durableId="633095668">
    <w:abstractNumId w:val="5"/>
  </w:num>
  <w:num w:numId="4" w16cid:durableId="403798814">
    <w:abstractNumId w:val="4"/>
  </w:num>
  <w:num w:numId="5" w16cid:durableId="530538523">
    <w:abstractNumId w:val="7"/>
  </w:num>
  <w:num w:numId="6" w16cid:durableId="527375847">
    <w:abstractNumId w:val="3"/>
  </w:num>
  <w:num w:numId="7" w16cid:durableId="470945582">
    <w:abstractNumId w:val="2"/>
  </w:num>
  <w:num w:numId="8" w16cid:durableId="1295403094">
    <w:abstractNumId w:val="1"/>
  </w:num>
  <w:num w:numId="9" w16cid:durableId="666710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9C9"/>
    <w:rsid w:val="0015074B"/>
    <w:rsid w:val="0029639D"/>
    <w:rsid w:val="002C0540"/>
    <w:rsid w:val="003268CE"/>
    <w:rsid w:val="00326F90"/>
    <w:rsid w:val="003A1012"/>
    <w:rsid w:val="004B1FF2"/>
    <w:rsid w:val="004F26D2"/>
    <w:rsid w:val="00553CE8"/>
    <w:rsid w:val="005C3041"/>
    <w:rsid w:val="005D0D22"/>
    <w:rsid w:val="006C781C"/>
    <w:rsid w:val="007B166D"/>
    <w:rsid w:val="008B3F46"/>
    <w:rsid w:val="00954789"/>
    <w:rsid w:val="00AA1D8D"/>
    <w:rsid w:val="00B47730"/>
    <w:rsid w:val="00B729EE"/>
    <w:rsid w:val="00CB0664"/>
    <w:rsid w:val="00D56FD2"/>
    <w:rsid w:val="00FC693F"/>
    <w:rsid w:val="00FE10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5763DA"/>
  <w14:defaultImageDpi w14:val="300"/>
  <w15:docId w15:val="{7ACFBFEA-6D3A-409A-8A60-E45C1D40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36" w:lineRule="auto"/>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220"/>
      <w:outlineLvl w:val="0"/>
    </w:pPr>
    <w:rPr>
      <w:rFonts w:eastAsia="黑体"/>
      <w:bCs/>
      <w:color w:val="000000"/>
      <w:sz w:val="28"/>
      <w:szCs w:val="28"/>
    </w:rPr>
  </w:style>
  <w:style w:type="paragraph" w:styleId="21">
    <w:name w:val="heading 2"/>
    <w:basedOn w:val="a1"/>
    <w:next w:val="a1"/>
    <w:link w:val="22"/>
    <w:uiPriority w:val="9"/>
    <w:unhideWhenUsed/>
    <w:qFormat/>
    <w:rsid w:val="00FC693F"/>
    <w:pPr>
      <w:keepNext/>
      <w:keepLines/>
      <w:spacing w:before="140"/>
      <w:outlineLvl w:val="1"/>
    </w:pPr>
    <w:rPr>
      <w:rFonts w:eastAsia="黑体"/>
      <w:bCs/>
      <w:color w:val="000000"/>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180" w:line="240" w:lineRule="auto"/>
      <w:contextualSpacing/>
    </w:pPr>
    <w:rPr>
      <w:rFonts w:eastAsia="黑体"/>
      <w:color w:val="000000"/>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keepNext/>
      <w:spacing w:before="120" w:after="80" w:line="240" w:lineRule="auto"/>
    </w:pPr>
    <w:rPr>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20"/>
    </w:pPr>
    <w:rPr>
      <w:rFonts w:ascii="Times New Roman" w:eastAsia="宋体" w:hAnsi="Times New Roman"/>
      <w:color w:val="000000"/>
      <w:sz w:val="21"/>
    </w:rPr>
  </w:style>
  <w:style w:type="paragraph" w:customStyle="1" w:styleId="Equation">
    <w:name w:val="Equation"/>
    <w:pPr>
      <w:keepLines/>
      <w:tabs>
        <w:tab w:pos="4349" w:val="center"/>
        <w:tab w:pos="9360" w:val="right"/>
      </w:tabs>
      <w:spacing w:before="80" w:after="140" w:line="264" w:lineRule="auto"/>
    </w:pPr>
    <w:rPr>
      <w:rFonts w:ascii="Times New Roman" w:eastAsia="宋体" w:hAnsi="Times New Roman"/>
      <w:color w:val="000000"/>
      <w:sz w:val="23"/>
    </w:rPr>
  </w:style>
  <w:style w:type="paragraph" w:customStyle="1" w:styleId="Reference">
    <w:name w:val="Reference"/>
    <w:pPr>
      <w:spacing w:after="100" w:line="288" w:lineRule="auto"/>
    </w:pPr>
    <w:rPr>
      <w:rFonts w:ascii="Times New Roman" w:eastAsia="宋体" w:hAnsi="Times New Roman"/>
      <w:color w:val="000000"/>
      <w:sz w:val="21"/>
    </w:rPr>
  </w:style>
  <w:style w:type="paragraph" w:customStyle="1" w:styleId="DateLine">
    <w:name w:val="Date Line"/>
    <w:rPr>
      <w:rFonts w:ascii="Times New Roman" w:eastAsia="宋体" w:hAnsi="Times New Roman"/>
      <w:color w:val="000000"/>
      <w:sz w:val="21"/>
    </w:rPr>
  </w:style>
  <w:style w:type="paragraph" w:customStyle="1" w:styleId="FootnoteText">
    <w:name w:val="Footnote Text"/>
    <w:pPr>
      <w:keepLines/>
      <w:spacing w:line="240" w:lineRule="auto" w:after="20"/>
      <w:ind w:firstLine="0"/>
    </w:pPr>
    <w:rPr>
      <w:rFonts w:ascii="Times New Roman" w:hAnsi="Times New Roman" w:eastAsia="宋体"/>
      <w:b w:val="0"/>
      <w:color w:val="000000"/>
      <w:sz w:val="19"/>
    </w:rPr>
  </w:style>
  <w:style w:type="character" w:customStyle="1" w:styleId="FootnoteReference">
    <w:name w:val="Footnote Referenc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yperlink" Target="https://www.stats.gov.cn/xxgk/tjbz/gjtjbz/202008/P020200811606493723477.pdf" TargetMode="External"/><Relationship Id="rId12" Type="http://schemas.openxmlformats.org/officeDocument/2006/relationships/hyperlink" Target="https://www.stats.gov.cn/sj/tjbz/gjtjbz/202302/t20230213_1902779.html" TargetMode="External"/><Relationship Id="rId13" Type="http://schemas.openxmlformats.org/officeDocument/2006/relationships/hyperlink" Target="https://www.stats.gov.cn/sj/tjbz/gmjjhyfl/202302/t20230213_1902780.html" TargetMode="External"/><Relationship Id="rId14" Type="http://schemas.openxmlformats.org/officeDocument/2006/relationships/hyperlink" Target="https://www.stats.gov.cn/sj/sjjd/202302/t20230202_1895911.html" TargetMode="External"/><Relationship Id="rId15" Type="http://schemas.openxmlformats.org/officeDocument/2006/relationships/hyperlink" Target="https://www.ndrc.gov.cn/xxgk/zcfb/fzggwl/201806/W020190905495140644002.pdf" TargetMode="External"/><Relationship Id="rId16" Type="http://schemas.openxmlformats.org/officeDocument/2006/relationships/hyperlink" Target="https://www.ndrc.gov.cn/xxgk/zcfb/fzggwl/202006/P020200624549035288187.pdf" TargetMode="External"/><Relationship Id="rId17" Type="http://schemas.openxmlformats.org/officeDocument/2006/relationships/hyperlink" Target="https://www.ndrc.gov.cn/xxgk/zcfb/fzggwl/202409/P020240907514493057643.pdf"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ndrc.gov.cn/xwdt/ztzl/gbmjcbzc/swb/201801/t20180122_1209171.html" TargetMode="External"/><Relationship Id="rId2" Type="http://schemas.openxmlformats.org/officeDocument/2006/relationships/hyperlink" Target="https://dcj.mofcom.gov.cn/article/zcjd/jdtzhz/201811/20181102810202.shtml" TargetMode="External"/><Relationship Id="rId3" Type="http://schemas.openxmlformats.org/officeDocument/2006/relationships/hyperlink" Target="https://std.samr.gov.cn/gb/search/gbDetailed?id=71F772D811F1D3A7E05397BE0A0AB82A" TargetMode="External"/><Relationship Id="rId4" Type="http://schemas.openxmlformats.org/officeDocument/2006/relationships/hyperlink" Target="https://zfxxgk.ndrc.gov.cn/web/iteminfo.jsp?id=2808" TargetMode="External"/><Relationship Id="rId5" Type="http://schemas.openxmlformats.org/officeDocument/2006/relationships/hyperlink" Target="https://www.ndrc.gov.cn/xxgk/zcfb/fzggwl/200507/t20050707_960602_ext.html" TargetMode="External"/><Relationship Id="rId6" Type="http://schemas.openxmlformats.org/officeDocument/2006/relationships/hyperlink" Target="https://std.samr.gov.cn/gb/search/gbDetailed?id=71F772D79DA6D3A7E05397BE0A0AB82A" TargetMode="External"/><Relationship Id="rId7" Type="http://schemas.openxmlformats.org/officeDocument/2006/relationships/hyperlink" Target="https://scorreia.com/help/ppmlhdf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11</Pages>
  <Words>1556</Words>
  <Characters>8875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附录A 外资准入负面清单的政策测度、跨国投资成本识别与一般均衡反事实</dc:title>
  <dc:subject/>
  <dc:creator/>
  <cp:keywords/>
  <dc:description/>
  <cp:lastModifiedBy/>
  <cp:revision>7</cp:revision>
  <dcterms:created xsi:type="dcterms:W3CDTF">2013-12-23T23:15:00Z</dcterms:created>
  <dcterms:modified xsi:type="dcterms:W3CDTF">2026-10-08T01:50:00Z</dcterms:modified>
  <cp:category/>
</cp:coreProperties>
</file>