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a"/>
        <w:jc w:val="center"/>
      </w:pPr>
      <w:r>
        <w:t>附录A 外资准入改革的企业效应、</w:t>
        <w:br/>
        <w:t>跨国生产成本识别与一般均衡反事实</w:t>
      </w:r>
    </w:p>
    <w:p>
      <w:pPr/>
      <w:r>
        <w:t>本附录以《外商投资产业指导目录（2011年修订）》的信息公开及随后实施为研究对象，考察企业的生产、投资、控制权和存续调整，并据此研究部门跨国生产成本及一般均衡变化。基准采用2007—2014年企业面板，以2007—2010年为改革前、2011—2014年为改革后，开展单轮改革的双重差分（DID）及年度动态分析。</w:t>
      </w:r>
    </w:p>
    <w:p>
      <w:pPr/>
      <w:r>
        <w:t>研究先依据企业改革前业务和实际适用的准入要求确定处理身份，再估计企业反应。政策与企业业务通过GB/T 4754—2017四位小类统一分类，同时保留具体业务、地区和投资者资格的差异。企业基准分析考察改革前已有企业；覆盖当期全部经营企业的行业资料补充新设企业及总体生产变化。按统一口径将部门生产目标与结构模型衔接，再反演成本并开展反事实比较。</w:t>
      </w:r>
    </w:p>
    <w:p>
      <w:pPr>
        <w:keepNext/>
      </w:pPr>
      <w:r>
        <w:t>设</w:t>
      </w:r>
      <m:oMath>
        <m:box>
          <m:boxPr>
            <m:noBreak m:val="1"/>
          </m:boxPr>
          <m:e>
            <m:r>
              <w:rPr>
                <w:rFonts w:ascii="Cambria Math" w:hAnsi="Cambria Math" w:eastAsia="宋体"/>
                <w:sz w:val="24"/>
              </w:rPr>
              <m:t>f</m:t>
            </m:r>
          </m:e>
        </m:box>
      </m:oMath>
      <w:r>
        <w:t>为企业，</w:t>
      </w:r>
      <m:oMath>
        <m:box>
          <m:boxPr>
            <m:noBreak m:val="1"/>
          </m:boxPr>
          <m:e>
            <m:r>
              <w:rPr>
                <w:rFonts w:ascii="Cambria Math" w:hAnsi="Cambria Math" w:eastAsia="宋体"/>
                <w:sz w:val="24"/>
              </w:rPr>
              <m:t>c</m:t>
            </m:r>
          </m:e>
        </m:box>
      </m:oMath>
      <w:r>
        <w:t>为GB四位小类，</w:t>
      </w:r>
      <m:oMath>
        <m:box>
          <m:boxPr>
            <m:noBreak m:val="1"/>
          </m:boxPr>
          <m:e>
            <m:r>
              <w:rPr>
                <w:rFonts w:ascii="Cambria Math" w:hAnsi="Cambria Math" w:eastAsia="宋体"/>
                <w:sz w:val="24"/>
              </w:rPr>
              <m:t>r</m:t>
            </m:r>
          </m:e>
        </m:box>
      </m:oMath>
      <w:r>
        <w:t>为生产地区，</w:t>
      </w:r>
      <m:oMath>
        <m:box>
          <m:boxPr>
            <m:noBreak m:val="1"/>
          </m:boxPr>
          <m:e>
            <m:r>
              <w:rPr>
                <w:rFonts w:ascii="Cambria Math" w:hAnsi="Cambria Math" w:eastAsia="宋体"/>
                <w:sz w:val="24"/>
              </w:rPr>
              <m:t>t</m:t>
            </m:r>
          </m:e>
        </m:box>
      </m:oMath>
      <w:r>
        <w:t>为年份；结构模型中</w:t>
      </w:r>
      <m:oMath>
        <m:box>
          <m:boxPr>
            <m:noBreak m:val="1"/>
          </m:boxPr>
          <m:e>
            <m:r>
              <w:rPr>
                <w:rFonts w:ascii="Cambria Math" w:hAnsi="Cambria Math" w:eastAsia="宋体"/>
                <w:sz w:val="24"/>
              </w:rPr>
              <m:t>m</m:t>
            </m:r>
          </m:e>
        </m:box>
      </m:oMath>
      <w:r>
        <w:t>为企业最终控制母国，</w:t>
      </w:r>
      <m:oMath>
        <m:box>
          <m:boxPr>
            <m:noBreak m:val="1"/>
          </m:boxPr>
          <m:e>
            <m:r>
              <w:rPr>
                <w:rFonts w:ascii="Cambria Math" w:hAnsi="Cambria Math" w:eastAsia="宋体"/>
                <w:sz w:val="24"/>
              </w:rPr>
              <m:t>i</m:t>
            </m:r>
          </m:e>
        </m:box>
      </m:oMath>
      <w:r>
        <w:t>为生产国，</w:t>
      </w:r>
      <m:oMath>
        <m:box>
          <m:boxPr>
            <m:noBreak m:val="1"/>
          </m:boxPr>
          <m:e>
            <m:r>
              <w:rPr>
                <w:rFonts w:ascii="Cambria Math" w:hAnsi="Cambria Math" w:eastAsia="宋体"/>
                <w:sz w:val="24"/>
              </w:rPr>
              <m:t>n</m:t>
            </m:r>
          </m:e>
        </m:box>
      </m:oMath>
      <w:r>
        <w:t>为销售目的国，</w:t>
      </w:r>
      <m:oMath>
        <m:box>
          <m:boxPr>
            <m:noBreak m:val="1"/>
          </m:boxPr>
          <m:e>
            <m:r>
              <w:rPr>
                <w:rFonts w:ascii="Cambria Math" w:hAnsi="Cambria Math" w:eastAsia="宋体"/>
                <w:sz w:val="24"/>
              </w:rPr>
              <m:t>j</m:t>
            </m:r>
          </m:e>
        </m:box>
      </m:oMath>
      <w:r>
        <w:t>为部门，</w:t>
      </w:r>
      <m:oMath>
        <m:box>
          <m:boxPr>
            <m:noBreak m:val="1"/>
          </m:boxPr>
          <m:e>
            <m:r>
              <w:rPr>
                <w:rFonts w:ascii="Cambria Math" w:hAnsi="Cambria Math" w:eastAsia="宋体"/>
                <w:sz w:val="24"/>
              </w:rPr>
              <m:t>C</m:t>
            </m:r>
          </m:e>
        </m:box>
      </m:oMath>
      <w:r>
        <w:t>表示中国。研究依次建立以下关系：</w:t>
      </w:r>
    </w:p>
    <w:p>
      <w:pPr>
        <w:pStyle w:val="Equation"/>
        <w:keepNext/>
      </w:pPr>
      <w:r>
        <w:tab/>
      </w:r>
      <m:oMath>
        <m:sSub>
          <m:e>
            <m:r>
              <w:rPr>
                <w:rFonts w:ascii="Cambria Math" w:hAnsi="Cambria Math" w:eastAsia="宋体"/>
                <w:sz w:val="23"/>
              </w:rPr>
              <m:rPr>
                <m:sty m:val="p"/>
              </m:rPr>
              <m:t>Treat</m:t>
            </m:r>
          </m:e>
          <m:sub>
            <m:r>
              <w:rPr>
                <w:rFonts w:ascii="Cambria Math" w:hAnsi="Cambria Math" w:eastAsia="宋体"/>
                <w:sz w:val="23"/>
              </w:rPr>
              <m:t>f</m:t>
            </m:r>
          </m:sub>
        </m:sSub>
        <m:r>
          <w:rPr>
            <w:rFonts w:ascii="Cambria Math" w:hAnsi="Cambria Math" w:eastAsia="宋体"/>
            <w:sz w:val="23"/>
          </w:rPr>
          <m:t>×</m:t>
        </m:r>
        <m:sSub>
          <m:e>
            <m:r>
              <w:rPr>
                <w:rFonts w:ascii="Cambria Math" w:hAnsi="Cambria Math" w:eastAsia="宋体"/>
                <w:sz w:val="23"/>
              </w:rPr>
              <m:rPr>
                <m:sty m:val="p"/>
              </m:rPr>
              <m:t>Post</m:t>
            </m:r>
          </m:e>
          <m:sub>
            <m:r>
              <w:rPr>
                <w:rFonts w:ascii="Cambria Math" w:hAnsi="Cambria Math" w:eastAsia="宋体"/>
                <w:sz w:val="23"/>
              </w:rPr>
              <m:t>t</m:t>
            </m:r>
          </m:sub>
        </m:sSub>
        <m:r>
          <w:rPr>
            <w:rFonts w:ascii="Cambria Math" w:hAnsi="Cambria Math" w:eastAsia="宋体"/>
            <w:sz w:val="23"/>
          </w:rPr>
          <m:t>→</m:t>
        </m:r>
        <m:acc>
          <m:accPr>
            <m:chr m:val="̂"/>
          </m:accPr>
          <m:e>
            <m:r>
              <w:rPr>
                <w:rFonts w:ascii="Cambria Math" w:hAnsi="Cambria Math" w:eastAsia="宋体"/>
                <w:sz w:val="23"/>
              </w:rPr>
              <m:rPr>
                <m:sty m:val="bi"/>
              </m:rPr>
              <m:t>μ</m:t>
            </m:r>
          </m:e>
        </m:acc>
        <m:r>
          <w:rPr>
            <w:rFonts w:ascii="Cambria Math" w:hAnsi="Cambria Math" w:eastAsia="宋体"/>
            <w:sz w:val="23"/>
          </w:rPr>
          <m:t>→</m:t>
        </m:r>
        <m:acc>
          <m:accPr>
            <m:chr m:val="̂"/>
          </m:accPr>
          <m:e>
            <m:r>
              <w:rPr>
                <w:rFonts w:ascii="Cambria Math" w:hAnsi="Cambria Math" w:eastAsia="宋体"/>
                <w:sz w:val="23"/>
              </w:rPr>
              <m:rPr>
                <m:sty m:val="bi"/>
              </m:rPr>
              <m:t>δ</m:t>
            </m:r>
          </m:e>
        </m:acc>
        <m:r>
          <w:rPr>
            <w:rFonts w:ascii="Cambria Math" w:hAnsi="Cambria Math" w:eastAsia="宋体"/>
            <w:sz w:val="23"/>
          </w:rPr>
          <m:t>→</m:t>
        </m:r>
        <m:sSub>
          <m:e>
            <m:acc>
              <m:accPr>
                <m:chr m:val="̂"/>
              </m:accPr>
              <m:e>
                <m:r>
                  <w:rPr>
                    <w:rFonts w:ascii="Cambria Math" w:hAnsi="Cambria Math" w:eastAsia="宋体"/>
                    <w:sz w:val="23"/>
                  </w:rPr>
                  <m:t>ξ</m:t>
                </m:r>
              </m:e>
            </m:acc>
          </m:e>
          <m:sub>
            <m:r>
              <w:rPr>
                <w:rFonts w:ascii="Cambria Math" w:hAnsi="Cambria Math" w:eastAsia="宋体"/>
                <w:sz w:val="23"/>
              </w:rPr>
              <m:t>Cmj</m:t>
            </m:r>
          </m:sub>
        </m:sSub>
        <m:r>
          <w:rPr>
            <w:rFonts w:ascii="Cambria Math" w:hAnsi="Cambria Math" w:eastAsia="宋体"/>
            <w:sz w:val="23"/>
          </w:rPr>
          <m:t>→</m:t>
        </m:r>
        <m:r>
          <w:rPr>
            <w:rFonts w:ascii="Cambria Math" w:hAnsi="Cambria Math" w:eastAsia="宋体"/>
            <w:sz w:val="23"/>
          </w:rPr>
          <m:t>{X,P,w,N,W}.</m:t>
        </m:r>
      </m:oMath>
      <w:r>
        <w:tab/>
        <w:t>(A1)</w:t>
      </w:r>
    </w:p>
    <w:p>
      <w:pPr/>
      <w:r>
        <w:t>其中，</w:t>
      </w:r>
      <m:oMath>
        <m:box>
          <m:boxPr>
            <m:noBreak m:val="1"/>
          </m:boxPr>
          <m:e>
            <m:sSub>
              <m:e>
                <m:r>
                  <w:rPr>
                    <w:rFonts w:ascii="Cambria Math" w:hAnsi="Cambria Math" w:eastAsia="宋体"/>
                    <w:sz w:val="24"/>
                  </w:rPr>
                  <m:rPr>
                    <m:sty m:val="p"/>
                  </m:rPr>
                  <m:t>Treat</m:t>
                </m:r>
              </m:e>
              <m:sub>
                <m:r>
                  <w:rPr>
                    <w:rFonts w:ascii="Cambria Math" w:hAnsi="Cambria Math" w:eastAsia="宋体"/>
                    <w:sz w:val="24"/>
                  </w:rPr>
                  <m:t>f</m:t>
                </m:r>
              </m:sub>
            </m:sSub>
          </m:e>
        </m:box>
      </m:oMath>
      <w:r>
        <w:t>表示企业是否属于本轮准入放宽范围，</w:t>
      </w:r>
      <m:oMath>
        <m:box>
          <m:boxPr>
            <m:noBreak m:val="1"/>
          </m:boxPr>
          <m:e>
            <m:sSub>
              <m:e>
                <m:r>
                  <w:rPr>
                    <w:rFonts w:ascii="Cambria Math" w:hAnsi="Cambria Math" w:eastAsia="宋体"/>
                    <w:sz w:val="24"/>
                  </w:rPr>
                  <m:rPr>
                    <m:sty m:val="p"/>
                  </m:rPr>
                  <m:t>Post</m:t>
                </m:r>
              </m:e>
              <m:sub>
                <m:r>
                  <w:rPr>
                    <w:rFonts w:ascii="Cambria Math" w:hAnsi="Cambria Math" w:eastAsia="宋体"/>
                    <w:sz w:val="24"/>
                  </w:rPr>
                  <m:t>t</m:t>
                </m:r>
              </m:sub>
            </m:sSub>
          </m:e>
        </m:box>
      </m:oMath>
      <w:r>
        <w:t>标记2011年信息公开起点之后的观察期，具体定义见A.2—A.3。</w:t>
      </w:r>
      <m:oMath>
        <m:box>
          <m:boxPr>
            <m:noBreak m:val="1"/>
          </m:boxPr>
          <m:e>
            <m:acc>
              <m:accPr>
                <m:chr m:val="̂"/>
              </m:accPr>
              <m:e>
                <m:r>
                  <w:rPr>
                    <w:rFonts w:ascii="Cambria Math" w:hAnsi="Cambria Math" w:eastAsia="宋体"/>
                    <w:sz w:val="24"/>
                  </w:rPr>
                  <m:rPr>
                    <m:sty m:val="bi"/>
                  </m:rPr>
                  <m:t>μ</m:t>
                </m:r>
              </m:e>
            </m:acc>
          </m:e>
        </m:box>
      </m:oMath>
      <w:r>
        <w:t>为部门生产变化的估计目标，</w:t>
      </w:r>
      <m:oMath>
        <m:box>
          <m:boxPr>
            <m:noBreak m:val="1"/>
          </m:boxPr>
          <m:e>
            <m:acc>
              <m:accPr>
                <m:chr m:val="̂"/>
              </m:accPr>
              <m:e>
                <m:r>
                  <w:rPr>
                    <w:rFonts w:ascii="Cambria Math" w:hAnsi="Cambria Math" w:eastAsia="宋体"/>
                    <w:sz w:val="24"/>
                  </w:rPr>
                  <m:rPr>
                    <m:sty m:val="bi"/>
                  </m:rPr>
                  <m:t>δ</m:t>
                </m:r>
              </m:e>
            </m:acc>
          </m:e>
        </m:box>
      </m:oMath>
      <w:r>
        <w:t>为成本对数变化的估计值，</w:t>
      </w:r>
      <m:oMath>
        <m:box>
          <m:boxPr>
            <m:noBreak m:val="1"/>
          </m:boxPr>
          <m:e>
            <m:sSub>
              <m:e>
                <m:acc>
                  <m:accPr>
                    <m:chr m:val="̂"/>
                  </m:accPr>
                  <m:e>
                    <m:r>
                      <w:rPr>
                        <w:rFonts w:ascii="Cambria Math" w:hAnsi="Cambria Math" w:eastAsia="宋体"/>
                        <w:sz w:val="24"/>
                      </w:rPr>
                      <m:t>ξ</m:t>
                    </m:r>
                  </m:e>
                </m:acc>
              </m:e>
              <m:sub>
                <m:r>
                  <w:rPr>
                    <w:rFonts w:ascii="Cambria Math" w:hAnsi="Cambria Math" w:eastAsia="宋体"/>
                    <w:sz w:val="24"/>
                  </w:rPr>
                  <m:t>Cmj</m:t>
                </m:r>
              </m:sub>
            </m:sSub>
          </m:e>
        </m:box>
      </m:oMath>
      <w:r>
        <w:t>为跨国生产效率的变化倍数。</w:t>
      </w:r>
      <m:oMath>
        <m:box>
          <m:boxPr>
            <m:noBreak m:val="1"/>
          </m:boxPr>
          <m:e>
            <m:r>
              <w:rPr>
                <w:rFonts w:ascii="Cambria Math" w:hAnsi="Cambria Math" w:eastAsia="宋体"/>
                <w:sz w:val="24"/>
              </w:rPr>
              <m:t>X</m:t>
            </m:r>
          </m:e>
        </m:box>
      </m:oMath>
      <w:r>
        <w:t>、</w:t>
      </w:r>
      <m:oMath>
        <m:box>
          <m:boxPr>
            <m:noBreak m:val="1"/>
          </m:boxPr>
          <m:e>
            <m:r>
              <w:rPr>
                <w:rFonts w:ascii="Cambria Math" w:hAnsi="Cambria Math" w:eastAsia="宋体"/>
                <w:sz w:val="24"/>
              </w:rPr>
              <m:t>P</m:t>
            </m:r>
          </m:e>
        </m:box>
      </m:oMath>
      <w:r>
        <w:t>、</w:t>
      </w:r>
      <m:oMath>
        <m:box>
          <m:boxPr>
            <m:noBreak m:val="1"/>
          </m:boxPr>
          <m:e>
            <m:r>
              <w:rPr>
                <w:rFonts w:ascii="Cambria Math" w:hAnsi="Cambria Math" w:eastAsia="宋体"/>
                <w:sz w:val="24"/>
              </w:rPr>
              <m:t>w</m:t>
            </m:r>
          </m:e>
        </m:box>
      </m:oMath>
      <w:r>
        <w:t>、</w:t>
      </w:r>
      <m:oMath>
        <m:box>
          <m:boxPr>
            <m:noBreak m:val="1"/>
          </m:boxPr>
          <m:e>
            <m:r>
              <w:rPr>
                <w:rFonts w:ascii="Cambria Math" w:hAnsi="Cambria Math" w:eastAsia="宋体"/>
                <w:sz w:val="24"/>
              </w:rPr>
              <m:t>N</m:t>
            </m:r>
          </m:e>
        </m:box>
      </m:oMath>
      <w:r>
        <w:t>和</w:t>
      </w:r>
      <m:oMath>
        <m:box>
          <m:boxPr>
            <m:noBreak m:val="1"/>
          </m:boxPr>
          <m:e>
            <m:r>
              <w:rPr>
                <w:rFonts w:ascii="Cambria Math" w:hAnsi="Cambria Math" w:eastAsia="宋体"/>
                <w:sz w:val="24"/>
              </w:rPr>
              <m:t>W</m:t>
            </m:r>
          </m:e>
        </m:box>
      </m:oMath>
      <w:r>
        <w:t>依次表示三边生产流量、价格、工资、产品种类和福利。文本匹配参考Eppinger and Ma（2023），结构分析沿用《中国高水平制度型开放与全球产业链网络重塑》及其修订稿的模型。</w:t>
      </w:r>
    </w:p>
    <w:p>
      <w:pPr>
        <w:pStyle w:val="1"/>
      </w:pPr>
      <w:r>
        <w:t>A.1 政策文本的测量对象</w:t>
      </w:r>
    </w:p>
    <w:p>
      <w:pPr>
        <w:pStyle w:val="21"/>
      </w:pPr>
      <w:r>
        <w:t>A.1.1 政策版本与政策编码单元</w:t>
      </w:r>
    </w:p>
    <w:p>
      <w:pPr/>
      <w:r>
        <w:t>本文以2011年目录修订信息公开为冲击起点，考察企业在公告及随后实施过程中的调整。修订草案于2011年4月公开征求意见，正式目录于当年12月公布，自2012年1月30日起施行。2007版目录自2007年12月1日起施行，改革前各年的法律要求按当时有效规定记录，2007年内的目录更替也据此处理。</w:t>
      </w:r>
      <w:r>
        <w:t>⁠</w:t>
      </w:r>
      <w:r>
        <w:rPr>
          <w:rStyle w:val="FootnoteReference"/>
        </w:rPr>
        <w:footnoteReference w:id="1"/>
      </w:r>
    </w:p>
    <w:p>
      <w:pPr/>
      <w:r>
        <w:t>政策比较以2007版与2011版目录为主要依据，并结合征求意见稿及相关有效规定，核实本轮公布的实际放宽。草案与正式目录分别记录，区分草案已公开的内容及最终确定的要求。每个版本按能够独立判断准入条件的业务划分政策编码单元：同一条款涉及不同活动或适用条件时，按其法律含义拆分；同一业务适用多项规则时，完整保留相关要求。</w:t>
      </w:r>
    </w:p>
    <w:p>
      <w:pPr/>
      <w:r>
        <w:t>各版本设置内部唯一的policy_unit_id，记录表A1所列信息。版本间比较以统一行业分类和企业改革前业务为共同参照，各版本单元独立编码，不建立政策单元的跨版本连接。</w:t>
      </w:r>
    </w:p>
    <w:p>
      <w:pPr>
        <w:pStyle w:val="af7"/>
        <w:keepNext/>
      </w:pPr>
      <w:r>
        <w:t>表A1 政策编码单元与放宽判断的记录</w:t>
      </w:r>
    </w:p>
    <w:tbl>
      <w:tblPr>
        <w:tblW w:type="auto" w:w="0"/>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50" w:type="dxa"/>
          <w:bottom w:w="50" w:type="dxa"/>
          <w:left w:w="80" w:type="dxa"/>
          <w:right w:w="80" w:type="dxa"/>
        </w:tblCellMar>
      </w:tblPr>
      <w:tblGrid>
        <w:gridCol w:w="2434"/>
        <w:gridCol w:w="6926"/>
      </w:tblGrid>
      <w:tr>
        <w:trPr>
          <w:cantSplit/>
          <w:tblHeader/>
        </w:trPr>
        <w:tc>
          <w:tcPr>
            <w:tcW w:type="dxa" w:w="2434"/>
            <w:vAlign w:val="center"/>
            <w:tcBorders>
              <w:bottom w:val="single" w:sz="5" w:color="000000"/>
            </w:tcBorders>
          </w:tcPr>
          <w:p>
            <w:pPr>
              <w:pStyle w:val="TableText"/>
              <w:keepNext/>
            </w:pPr>
            <w:r>
              <w:rPr>
                <w:b/>
              </w:rPr>
              <w:t>记录内容</w:t>
            </w:r>
          </w:p>
        </w:tc>
        <w:tc>
          <w:tcPr>
            <w:tcW w:type="dxa" w:w="6926"/>
            <w:vAlign w:val="center"/>
            <w:tcBorders>
              <w:bottom w:val="single" w:sz="5" w:color="000000"/>
            </w:tcBorders>
          </w:tcPr>
          <w:p>
            <w:pPr>
              <w:pStyle w:val="TableText"/>
              <w:keepNext/>
            </w:pPr>
            <w:r>
              <w:rPr>
                <w:b/>
              </w:rPr>
              <w:t>具体要求</w:t>
            </w:r>
          </w:p>
        </w:tc>
      </w:tr>
      <w:tr>
        <w:trPr>
          <w:cantSplit/>
        </w:trPr>
        <w:tc>
          <w:tcPr>
            <w:tcW w:type="dxa" w:w="2434"/>
            <w:vAlign w:val="center"/>
          </w:tcPr>
          <w:p>
            <w:pPr>
              <w:pStyle w:val="TableText"/>
            </w:pPr>
            <w:r>
              <w:t>版本与原文</w:t>
            </w:r>
          </w:p>
        </w:tc>
        <w:tc>
          <w:tcPr>
            <w:tcW w:type="dxa" w:w="6926"/>
            <w:vAlign w:val="center"/>
          </w:tcPr>
          <w:p>
            <w:pPr>
              <w:pStyle w:val="TableText"/>
            </w:pPr>
            <w:r>
              <w:t>目录或草案名称、版本内编号、官方序号、原文位置及来源</w:t>
            </w:r>
          </w:p>
        </w:tc>
      </w:tr>
      <w:tr>
        <w:trPr>
          <w:cantSplit/>
        </w:trPr>
        <w:tc>
          <w:tcPr>
            <w:tcW w:type="dxa" w:w="2434"/>
            <w:vAlign w:val="center"/>
          </w:tcPr>
          <w:p>
            <w:pPr>
              <w:pStyle w:val="TableText"/>
            </w:pPr>
            <w:r>
              <w:t>业务与适用条件</w:t>
            </w:r>
          </w:p>
        </w:tc>
        <w:tc>
          <w:tcPr>
            <w:tcW w:type="dxa" w:w="6926"/>
            <w:vAlign w:val="center"/>
          </w:tcPr>
          <w:p>
            <w:pPr>
              <w:pStyle w:val="TableText"/>
            </w:pPr>
            <w:r>
              <w:t>具体活动、地区、投资者资格、项目或交易范围及例外</w:t>
            </w:r>
          </w:p>
        </w:tc>
      </w:tr>
      <w:tr>
        <w:trPr>
          <w:cantSplit/>
        </w:trPr>
        <w:tc>
          <w:tcPr>
            <w:tcW w:type="dxa" w:w="2434"/>
            <w:vAlign w:val="center"/>
          </w:tcPr>
          <w:p>
            <w:pPr>
              <w:pStyle w:val="TableText"/>
            </w:pPr>
            <w:r>
              <w:t>时间与法律要求</w:t>
            </w:r>
          </w:p>
        </w:tc>
        <w:tc>
          <w:tcPr>
            <w:tcW w:type="dxa" w:w="6926"/>
            <w:vAlign w:val="center"/>
          </w:tcPr>
          <w:p>
            <w:pPr>
              <w:pStyle w:val="TableText"/>
            </w:pPr>
            <w:r>
              <w:t>信息公开、生效及过渡安排，改革前要求和本轮公布内容</w:t>
            </w:r>
          </w:p>
        </w:tc>
      </w:tr>
      <w:tr>
        <w:trPr>
          <w:cantSplit/>
        </w:trPr>
        <w:tc>
          <w:tcPr>
            <w:tcW w:type="dxa" w:w="2434"/>
            <w:vAlign w:val="center"/>
          </w:tcPr>
          <w:p>
            <w:pPr>
              <w:pStyle w:val="TableText"/>
            </w:pPr>
            <w:r>
              <w:t>放宽判断</w:t>
            </w:r>
          </w:p>
        </w:tc>
        <w:tc>
          <w:tcPr>
            <w:tcW w:type="dxa" w:w="6926"/>
            <w:vAlign w:val="center"/>
          </w:tcPr>
          <w:p>
            <w:pPr>
              <w:pStyle w:val="TableText"/>
            </w:pPr>
            <w:r>
              <w:t>确认放宽、未发生本轮放宽或适用尚不明确，并附法律依据</w:t>
            </w:r>
          </w:p>
        </w:tc>
      </w:tr>
      <w:tr>
        <w:trPr>
          <w:cantSplit/>
        </w:trPr>
        <w:tc>
          <w:tcPr>
            <w:tcW w:type="dxa" w:w="2434"/>
            <w:vAlign w:val="center"/>
          </w:tcPr>
          <w:p>
            <w:pPr>
              <w:pStyle w:val="TableText"/>
            </w:pPr>
            <w:r>
              <w:t>分类与复核</w:t>
            </w:r>
          </w:p>
        </w:tc>
        <w:tc>
          <w:tcPr>
            <w:tcW w:type="dxa" w:w="6926"/>
            <w:vAlign w:val="center"/>
          </w:tcPr>
          <w:p>
            <w:pPr>
              <w:pStyle w:val="TableText"/>
            </w:pPr>
            <w:r>
              <w:t>GB2017候选及覆盖范围、专项规定核查、人工复核记录</w:t>
            </w:r>
          </w:p>
        </w:tc>
      </w:tr>
    </w:tbl>
    <w:p>
      <w:pPr>
        <w:spacing w:after="40" w:before="0" w:line="84" w:lineRule="auto"/>
      </w:pPr>
    </w:p>
    <w:p>
      <w:pPr>
        <w:pStyle w:val="21"/>
      </w:pPr>
      <w:r>
        <w:t>A.1.2 准入放宽的判断依据</w:t>
      </w:r>
    </w:p>
    <w:p>
      <w:pPr/>
      <w:r>
        <w:t>本文依据企业改革前的业务、地区及资格，比较原有要求与本轮公布的准入条件。取消中方控股要求、提高外资持股上限或取消合资合作要求，均可扩大企业接受外资的机会。提高上限后仍有股比限制的，也计入放宽范围，处理身份反映本轮条件是否改善。</w:t>
      </w:r>
    </w:p>
    <w:p>
      <w:pPr/>
      <w:r>
        <w:t>条目删除、合并和鼓励资格变化，按实际法律效果判断。例如，2007版鼓励类对天然食品添加剂、食品配料生产附有合资合作要求，2011年草案和正式目录取消该要求，这一变化属于目录层面的准入放宽。已在此前实施的放宽另作历史记录，不计入本轮处理范围。单纯新增鼓励资格也另作记录，相关税收优惠和办理条件与准入变化分别保存，用于后续检验。</w:t>
      </w:r>
    </w:p>
    <w:p>
      <w:pPr/>
      <w:r>
        <w:t>同一业务同时放宽一项要求、收紧另一项要求时，记录各项变化并单列核验，不以赋分相抵判断总体放宽。原条目未再出现的，核对当期有效规定及专项要求；法律适用尚不明确的记录保留为未知状态。</w:t>
      </w:r>
    </w:p>
    <w:p>
      <w:pPr>
        <w:pStyle w:val="21"/>
      </w:pPr>
      <w:r>
        <w:t>A.1.3 政策文本抽取与人工核验</w:t>
      </w:r>
    </w:p>
    <w:p>
      <w:pPr/>
      <w:r>
        <w:t>大语言模型辅助识别业务、法律要求、适用条件和例外，每项判断均对应原文。人工重点复核放宽条目、删除条目、专项规定重合和低置信度结果，并抽查其他记录。以独立人工标注检验活动识别和放宽判断，报告精确率、召回率和F1；重复抽取用于考察稳定性。模型版本、提示词和人工修改记录随结果保存。</w:t>
      </w:r>
    </w:p>
    <w:p>
      <w:pPr>
        <w:pStyle w:val="1"/>
      </w:pPr>
      <w:r>
        <w:t>A.2 从政策编码单元到企业处理身份</w:t>
      </w:r>
    </w:p>
    <w:p>
      <w:pPr>
        <w:pStyle w:val="21"/>
      </w:pPr>
      <w:r>
        <w:t>A.2.1 政策活动与GB2017四位小类匹配</w:t>
      </w:r>
    </w:p>
    <w:p>
      <w:pPr/>
      <w:r>
        <w:t>本文统一采用GB/T 4754—2017及2019年第1号修改单，以下简称GB2017。它是研究采用的回溯分类口径，历史政策文件与企业资料所用分类版本分别依据原始说明核实。</w:t>
      </w:r>
    </w:p>
    <w:p>
      <w:pPr/>
      <w:r>
        <w:t>基准从政策条款的业务内容直接匹配GB2017。用四位小类名称、注释及包括和不包括的活动建立检索资料，筛选候选代码，再结合原文与行业定义判断对应关系。语义相似度用于检索，政策适用仍依据具体业务和法律要求确定。</w:t>
      </w:r>
    </w:p>
    <w:p>
      <w:pPr/>
      <w:r>
        <w:t>一个政策单元可以对应多个小类，一个小类也可能涉及多项规则，各条映射分别记录完整覆盖、部分覆盖或范围待核实。天然食品添加剂、食品配料的条款仅涉及相应活动，匹配时依据产品属性判断，不将相关食品制造小类中的全部企业赋为处理组。</w:t>
      </w:r>
    </w:p>
    <w:p>
      <w:pPr/>
      <w:r>
        <w:t>历史行业代码有明确依据时，使用官方新旧类目对照表辅助核验。分类拆分或合并产生多个候选的，依据业务内容进一步判断；不能确定的保留候选关系，不任意指定唯一代码或分配权重。</w:t>
      </w:r>
    </w:p>
    <w:p>
      <w:pPr>
        <w:pStyle w:val="21"/>
      </w:pPr>
      <w:r>
        <w:t>A.2.2 GB2017四位小类到ISIC Rev.4及AMNE部门</w:t>
      </w:r>
    </w:p>
    <w:p>
      <w:pPr/>
      <w:r>
        <w:t>在GB2017分类基础上，依据官方对照资料转换至ISIC Rev.4四位行业，再按所用OECD-AMNE数据版本和现有模型部门表归并。分类版本、对应依据及未能确定的关系一并保存。多个候选最终属于同一模型部门时，可以确定部门归属；分属不同部门时，依据业务资料或分业务产出判断。只有企业总产出且部门归属不明确的，不任意拆分。该步骤用于部门生产加总，企业政策待遇仍按具体业务识别。</w:t>
      </w:r>
    </w:p>
    <w:p>
      <w:pPr>
        <w:pStyle w:val="21"/>
      </w:pPr>
      <w:r>
        <w:t>A.2.3 企业改革前业务与政策适用判断</w:t>
      </w:r>
    </w:p>
    <w:p>
      <w:pPr>
        <w:keepNext/>
      </w:pPr>
      <w:r>
        <w:t>以2010年或更早的核心产品、主营业务描述</w:t>
      </w:r>
      <m:oMath>
        <m:box>
          <m:boxPr>
            <m:noBreak m:val="1"/>
          </m:boxPr>
          <m:e>
            <m:sSub>
              <m:e>
                <m:r>
                  <w:rPr>
                    <w:rFonts w:ascii="Cambria Math" w:hAnsi="Cambria Math" w:eastAsia="宋体"/>
                    <w:sz w:val="24"/>
                  </w:rPr>
                  <m:t>q</m:t>
                </m:r>
              </m:e>
              <m:sub>
                <m:r>
                  <w:rPr>
                    <w:rFonts w:ascii="Cambria Math" w:hAnsi="Cambria Math" w:eastAsia="宋体"/>
                    <w:sz w:val="24"/>
                  </w:rPr>
                  <m:t>f0</m:t>
                </m:r>
              </m:sub>
            </m:sSub>
          </m:e>
        </m:box>
      </m:oMath>
      <w:r>
        <w:t>作为固定比较对象，相应行业、生产地区和可观察资格也按改革前资料确定。统一企业行业后，分别在原有规则与本轮政策文本中检索适用单元。设</w:t>
      </w:r>
      <m:oMath>
        <m:box>
          <m:boxPr>
            <m:noBreak m:val="1"/>
          </m:boxPr>
          <m:e>
            <m:r>
              <w:rPr>
                <w:rFonts w:ascii="Cambria Math" w:hAnsi="Cambria Math" w:eastAsia="宋体"/>
                <w:sz w:val="24"/>
              </w:rPr>
              <m:t>v</m:t>
            </m:r>
          </m:e>
        </m:box>
      </m:oMath>
      <w:r>
        <w:t>为版本、</w:t>
      </w:r>
      <m:oMath>
        <m:box>
          <m:boxPr>
            <m:noBreak m:val="1"/>
          </m:boxPr>
          <m:e>
            <m:r>
              <w:rPr>
                <w:rFonts w:ascii="Cambria Math" w:hAnsi="Cambria Math" w:eastAsia="宋体"/>
                <w:sz w:val="24"/>
              </w:rPr>
              <m:t>p</m:t>
            </m:r>
          </m:e>
        </m:box>
      </m:oMath>
      <w:r>
        <w:t>为版本内单元，</w:t>
      </w:r>
      <m:oMath>
        <m:box>
          <m:boxPr>
            <m:noBreak m:val="1"/>
          </m:boxPr>
          <m:e>
            <m:sSub>
              <m:e>
                <m:r>
                  <w:rPr>
                    <w:rFonts w:ascii="Cambria Math" w:hAnsi="Cambria Math" w:eastAsia="宋体"/>
                    <w:sz w:val="24"/>
                  </w:rPr>
                  <m:t>A</m:t>
                </m:r>
              </m:e>
              <m:sub>
                <m:r>
                  <w:rPr>
                    <w:rFonts w:ascii="Cambria Math" w:hAnsi="Cambria Math" w:eastAsia="宋体"/>
                    <w:sz w:val="24"/>
                  </w:rPr>
                  <m:t>pv</m:t>
                </m:r>
              </m:sub>
            </m:sSub>
          </m:e>
        </m:box>
      </m:oMath>
      <w:r>
        <w:t>为活动描述，</w:t>
      </w:r>
      <m:oMath>
        <m:box>
          <m:boxPr>
            <m:noBreak m:val="1"/>
          </m:boxPr>
          <m:e>
            <m:r>
              <w:rPr>
                <w:rFonts w:ascii="Cambria Math" w:hAnsi="Cambria Math" w:eastAsia="宋体"/>
                <w:sz w:val="24"/>
              </w:rPr>
              <m:rPr>
                <m:sty m:val="p"/>
              </m:rPr>
              <m:t>emb</m:t>
            </m:r>
          </m:e>
        </m:box>
      </m:oMath>
      <w:r>
        <w:t>为语义向量表示，则检索相似度为：</w:t>
      </w:r>
    </w:p>
    <w:p>
      <w:pPr>
        <w:pStyle w:val="Equation"/>
        <w:keepNext/>
      </w:pPr>
      <w:r>
        <w:tab/>
      </w:r>
      <m:oMath>
        <m:sSub>
          <m:e>
            <m:r>
              <w:rPr>
                <w:rFonts w:ascii="Cambria Math" w:hAnsi="Cambria Math" w:eastAsia="宋体"/>
                <w:sz w:val="23"/>
              </w:rPr>
              <m:t>s</m:t>
            </m:r>
          </m:e>
          <m:sub>
            <m:r>
              <w:rPr>
                <w:rFonts w:ascii="Cambria Math" w:hAnsi="Cambria Math" w:eastAsia="宋体"/>
                <w:sz w:val="23"/>
              </w:rPr>
              <m:t>fpv</m:t>
            </m:r>
          </m:sub>
        </m:sSub>
        <m:r>
          <w:rPr>
            <w:rFonts w:ascii="Cambria Math" w:hAnsi="Cambria Math" w:eastAsia="宋体"/>
            <w:sz w:val="23"/>
          </w:rPr>
          <m:t>=</m:t>
        </m:r>
        <m:r>
          <w:rPr>
            <w:rFonts w:ascii="Cambria Math" w:hAnsi="Cambria Math" w:eastAsia="宋体"/>
            <w:sz w:val="23"/>
          </w:rPr>
          <m:rPr>
            <m:sty m:val="p"/>
          </m:rPr>
          <m:t>cos</m:t>
        </m:r>
        <m:r>
          <w:rPr>
            <w:rFonts w:ascii="Cambria Math" w:hAnsi="Cambria Math" w:eastAsia="宋体"/>
            <w:sz w:val="23"/>
          </w:rPr>
          <m:t>[</m:t>
        </m:r>
        <m:r>
          <w:rPr>
            <w:rFonts w:ascii="Cambria Math" w:hAnsi="Cambria Math" w:eastAsia="宋体"/>
            <w:sz w:val="23"/>
          </w:rPr>
          <m:rPr>
            <m:sty m:val="p"/>
          </m:rPr>
          <m:t>emb</m:t>
        </m:r>
        <m:r>
          <w:rPr>
            <w:rFonts w:ascii="Cambria Math" w:hAnsi="Cambria Math" w:eastAsia="宋体"/>
            <w:sz w:val="23"/>
          </w:rPr>
          <m:t>(</m:t>
        </m:r>
        <m:sSub>
          <m:e>
            <m:r>
              <w:rPr>
                <w:rFonts w:ascii="Cambria Math" w:hAnsi="Cambria Math" w:eastAsia="宋体"/>
                <w:sz w:val="23"/>
              </w:rPr>
              <m:t>q</m:t>
            </m:r>
          </m:e>
          <m:sub>
            <m:r>
              <w:rPr>
                <w:rFonts w:ascii="Cambria Math" w:hAnsi="Cambria Math" w:eastAsia="宋体"/>
                <w:sz w:val="23"/>
              </w:rPr>
              <m:t>f0</m:t>
            </m:r>
          </m:sub>
        </m:sSub>
        <m:r>
          <w:rPr>
            <w:rFonts w:ascii="Cambria Math" w:hAnsi="Cambria Math" w:eastAsia="宋体"/>
            <w:sz w:val="23"/>
          </w:rPr>
          <m:t>),</m:t>
        </m:r>
        <m:r>
          <w:rPr>
            <w:rFonts w:ascii="Cambria Math" w:hAnsi="Cambria Math" w:eastAsia="宋体"/>
            <w:sz w:val="23"/>
          </w:rPr>
          <m:rPr>
            <m:sty m:val="p"/>
          </m:rPr>
          <m:t>emb</m:t>
        </m:r>
        <m:r>
          <w:rPr>
            <w:rFonts w:ascii="Cambria Math" w:hAnsi="Cambria Math" w:eastAsia="宋体"/>
            <w:sz w:val="23"/>
          </w:rPr>
          <m:t>(</m:t>
        </m:r>
        <m:sSub>
          <m:e>
            <m:r>
              <w:rPr>
                <w:rFonts w:ascii="Cambria Math" w:hAnsi="Cambria Math" w:eastAsia="宋体"/>
                <w:sz w:val="23"/>
              </w:rPr>
              <m:t>A</m:t>
            </m:r>
          </m:e>
          <m:sub>
            <m:r>
              <w:rPr>
                <w:rFonts w:ascii="Cambria Math" w:hAnsi="Cambria Math" w:eastAsia="宋体"/>
                <w:sz w:val="23"/>
              </w:rPr>
              <m:t>pv</m:t>
            </m:r>
          </m:sub>
        </m:sSub>
        <m:r>
          <w:rPr>
            <w:rFonts w:ascii="Cambria Math" w:hAnsi="Cambria Math" w:eastAsia="宋体"/>
            <w:sz w:val="23"/>
          </w:rPr>
          <m:t>)].</m:t>
        </m:r>
      </m:oMath>
      <w:r>
        <w:tab/>
        <w:t>(A2)</w:t>
      </w:r>
    </w:p>
    <w:p>
      <w:pPr/>
      <w:r>
        <w:t>其中，</w:t>
      </w:r>
      <m:oMath>
        <m:box>
          <m:boxPr>
            <m:noBreak m:val="1"/>
          </m:boxPr>
          <m:e>
            <m:r>
              <w:rPr>
                <w:rFonts w:ascii="Cambria Math" w:hAnsi="Cambria Math" w:eastAsia="宋体"/>
                <w:sz w:val="24"/>
              </w:rPr>
              <m:rPr>
                <m:sty m:val="p"/>
              </m:rPr>
              <m:t>cos</m:t>
            </m:r>
          </m:e>
        </m:box>
      </m:oMath>
      <w:r>
        <w:t>为余弦相似度，匹配阈值由独立核验样本确定。多个候选结合产品细节、条款条件和例外复核，多项规则同时适用的完整记录。未匹配到条款的，继续依据有效规定判断其法律状态。</w:t>
      </w:r>
    </w:p>
    <w:p>
      <w:pPr/>
      <w:r>
        <w:t>企业处理身份据此反映本轮改革是否扩大其接受外资、增资或调整股权的机会。既有项目按衔接规则和变更事项核实，区分原批准条件与新增投资机会。项目核准、交易程序和行业许可按相应规定核对，实际增资、并购及业务调整作为企业反应。</w:t>
      </w:r>
      <w:r>
        <w:t>⁠</w:t>
      </w:r>
      <w:r>
        <w:rPr>
          <w:rStyle w:val="FootnoteReference"/>
        </w:rPr>
        <w:footnoteReference w:id="2"/>
      </w:r>
    </w:p>
    <w:p>
      <w:pPr/>
      <w:r>
        <w:t>特殊地区和合资格投资者的安排分别记录。国内企业按一般外资准入口径判断其接受投资的条件，依据改革前业务和可观察资格确定分组，不由改革后的收购方倒推处理身份。地区与资格所涉及的其他政策变化集中在A.7检验。</w:t>
      </w:r>
    </w:p>
    <w:p>
      <w:pPr>
        <w:pStyle w:val="21"/>
      </w:pPr>
      <w:r>
        <w:t>A.2.4 企业处理组与对照组</w:t>
      </w:r>
    </w:p>
    <w:p>
      <w:pPr>
        <w:keepNext/>
      </w:pPr>
      <w:r>
        <w:t>根据改革前业务及适用条件，确认企业是否属于本轮准入放宽范围，定义：</w:t>
      </w:r>
    </w:p>
    <w:p>
      <w:pPr>
        <w:pStyle w:val="Equation"/>
        <w:keepNext/>
      </w:pPr>
      <w:r>
        <w:tab/>
      </w:r>
      <m:oMath>
        <m:sSub>
          <m:e>
            <m:r>
              <w:rPr>
                <w:rFonts w:ascii="Cambria Math" w:hAnsi="Cambria Math" w:eastAsia="宋体"/>
                <w:sz w:val="23"/>
              </w:rPr>
              <m:rPr>
                <m:sty m:val="p"/>
              </m:rPr>
              <m:t>Treat</m:t>
            </m:r>
          </m:e>
          <m:sub>
            <m:r>
              <w:rPr>
                <w:rFonts w:ascii="Cambria Math" w:hAnsi="Cambria Math" w:eastAsia="宋体"/>
                <w:sz w:val="23"/>
              </w:rPr>
              <m:t>f</m:t>
            </m:r>
          </m:sub>
        </m:sSub>
        <m:r>
          <w:rPr>
            <w:rFonts w:ascii="Cambria Math" w:hAnsi="Cambria Math" w:eastAsia="宋体"/>
            <w:sz w:val="23"/>
          </w:rPr>
          <m:t>=</m:t>
        </m:r>
        <m:d>
          <m:dPr>
            <m:begChr m:val="{"/>
            <m:sepChr m:val=","/>
            <m:endChr m:val=""/>
          </m:dPr>
          <m:e>
            <m:m>
              <m:mPr>
                <m:baseJc m:val="center"/>
                <m:plcHide m:val="on"/>
                <m:mcs>
                  <m:mc>
                    <m:mcPr>
                      <m:count m:val="2"/>
                      <m:mcJc m:val="center"/>
                    </m:mcPr>
                  </m:mc>
                </m:mcs>
              </m:mPr>
              <m:mr>
                <m:e>
                  <m:r>
                    <w:rPr>
                      <w:rFonts w:ascii="Cambria Math" w:hAnsi="Cambria Math" w:eastAsia="宋体"/>
                      <w:sz w:val="23"/>
                    </w:rPr>
                    <m:t>1,</m:t>
                  </m:r>
                </m:e>
                <m:e>
                  <m:r>
                    <w:rPr>
                      <w:rFonts w:ascii="Cambria Math" w:hAnsi="Cambria Math" w:eastAsia="宋体"/>
                      <w:sz w:val="23"/>
                    </w:rPr>
                    <m:rPr>
                      <m:nor/>
                    </m:rPr>
                    <m:t>改革前业务属于本轮准入放宽范围</m:t>
                  </m:r>
                  <m:r>
                    <w:rPr>
                      <w:rFonts w:ascii="Cambria Math" w:hAnsi="Cambria Math" w:eastAsia="宋体"/>
                      <w:sz w:val="23"/>
                    </w:rPr>
                    <m:t>,</m:t>
                  </m:r>
                </m:e>
              </m:mr>
              <m:mr>
                <m:e>
                  <m:r>
                    <w:rPr>
                      <w:rFonts w:ascii="Cambria Math" w:hAnsi="Cambria Math" w:eastAsia="宋体"/>
                      <w:sz w:val="23"/>
                    </w:rPr>
                    <m:t>0,</m:t>
                  </m:r>
                </m:e>
                <m:e>
                  <m:r>
                    <w:rPr>
                      <w:rFonts w:ascii="Cambria Math" w:hAnsi="Cambria Math" w:eastAsia="宋体"/>
                      <w:sz w:val="23"/>
                    </w:rPr>
                    <m:rPr>
                      <m:nor/>
                    </m:rPr>
                    <m:t>未受本轮相关放宽且符合对照条件</m:t>
                  </m:r>
                  <m:r>
                    <w:rPr>
                      <w:rFonts w:ascii="Cambria Math" w:hAnsi="Cambria Math" w:eastAsia="宋体"/>
                      <w:sz w:val="23"/>
                    </w:rPr>
                    <m:t>,</m:t>
                  </m:r>
                </m:e>
              </m:mr>
              <m:mr>
                <m:e>
                  <m:r>
                    <w:rPr>
                      <w:rFonts w:ascii="Cambria Math" w:hAnsi="Cambria Math" w:eastAsia="宋体"/>
                      <w:sz w:val="23"/>
                    </w:rPr>
                    <m:rPr>
                      <m:sty m:val="p"/>
                    </m:rPr>
                    <m:t>NA</m:t>
                  </m:r>
                  <m:r>
                    <w:rPr>
                      <w:rFonts w:ascii="Cambria Math" w:hAnsi="Cambria Math" w:eastAsia="宋体"/>
                      <w:sz w:val="23"/>
                    </w:rPr>
                    <m:t>,</m:t>
                  </m:r>
                </m:e>
                <m:e>
                  <m:r>
                    <w:rPr>
                      <w:rFonts w:ascii="Cambria Math" w:hAnsi="Cambria Math" w:eastAsia="宋体"/>
                      <w:sz w:val="23"/>
                    </w:rPr>
                    <m:rPr>
                      <m:nor/>
                    </m:rPr>
                    <m:t>业务或法律适用尚不明确</m:t>
                  </m:r>
                  <m:r>
                    <w:rPr>
                      <w:rFonts w:ascii="Cambria Math" w:hAnsi="Cambria Math" w:eastAsia="宋体"/>
                      <w:sz w:val="23"/>
                    </w:rPr>
                    <m:t>.</m:t>
                  </m:r>
                </m:e>
              </m:mr>
            </m:m>
          </m:e>
        </m:d>
      </m:oMath>
      <w:r>
        <w:tab/>
        <w:t>(A3)</w:t>
      </w:r>
    </w:p>
    <w:p>
      <w:pPr/>
      <w:r>
        <w:t>处理组包括符合条件的国内控制和外国控制企业，分组不要求改革后实际发生外资收购或增资。对照组确认未受到本轮相关放宽，并在改革前业务、制度状态和生产走势上具有可比性。已提前适用同等放宽的企业另行识别，处理身份以本轮新增机会为依据。</w:t>
      </w:r>
    </w:p>
    <w:p>
      <w:pPr/>
      <w:r>
        <w:t>多业务企业依据真实记录逐项判断。部分业务受到放宽且适用范围清楚的，记为处理组并标明部分覆盖；全部相关业务均未受到放宽且符合对照条件的，记为对照组。范围或交叉法律要求不明确的单列核验，不新造业务权重或平均法定要求。处理身份在窗口内固定，2011年及以后业务、迁移和投资变化均作为企业反应研究。</w:t>
      </w:r>
    </w:p>
    <w:p>
      <w:pPr>
        <w:pStyle w:val="1"/>
      </w:pPr>
      <w:r>
        <w:t>A.3 企业行为识别与跨国生产成本反演</w:t>
      </w:r>
    </w:p>
    <w:p>
      <w:pPr>
        <w:pStyle w:val="21"/>
      </w:pPr>
      <w:r>
        <w:t>A.3.1 单轮改革的基准DID</w:t>
      </w:r>
    </w:p>
    <w:p>
      <w:pPr/>
      <w:r>
        <w:t>基准采用2007—2014年企业—年份面板，纳入2010年末已经经营、业务及适用条件能够识别的企业。样本名单依据改革前资料形成，国内和外国控制企业均可纳入。改革后的存续、收购和信息披露不作为事前入组条件，新设企业由行业补充分析考察。</w:t>
      </w:r>
    </w:p>
    <w:p>
      <w:pPr/>
      <w:r>
        <w:t>在这一窗口内，2007—2010年取</w:t>
      </w:r>
      <m:oMath>
        <m:box>
          <m:boxPr>
            <m:noBreak m:val="1"/>
          </m:boxPr>
          <m:e>
            <m:sSub>
              <m:e>
                <m:r>
                  <w:rPr>
                    <w:rFonts w:ascii="Cambria Math" w:hAnsi="Cambria Math" w:eastAsia="宋体"/>
                    <w:sz w:val="24"/>
                  </w:rPr>
                  <m:rPr>
                    <m:sty m:val="p"/>
                  </m:rPr>
                  <m:t>Post</m:t>
                </m:r>
              </m:e>
              <m:sub>
                <m:r>
                  <w:rPr>
                    <w:rFonts w:ascii="Cambria Math" w:hAnsi="Cambria Math" w:eastAsia="宋体"/>
                    <w:sz w:val="24"/>
                  </w:rPr>
                  <m:t>t</m:t>
                </m:r>
              </m:sub>
            </m:sSub>
            <m:r>
              <w:rPr>
                <w:rFonts w:ascii="Cambria Math" w:hAnsi="Cambria Math" w:eastAsia="宋体"/>
                <w:sz w:val="24"/>
              </w:rPr>
              <m:t>=0</m:t>
            </m:r>
          </m:e>
        </m:box>
      </m:oMath>
      <w:r>
        <w:t>，2011—2014年取</w:t>
      </w:r>
      <m:oMath>
        <m:box>
          <m:boxPr>
            <m:noBreak m:val="1"/>
          </m:boxPr>
          <m:e>
            <m:sSub>
              <m:e>
                <m:r>
                  <w:rPr>
                    <w:rFonts w:ascii="Cambria Math" w:hAnsi="Cambria Math" w:eastAsia="宋体"/>
                    <w:sz w:val="24"/>
                  </w:rPr>
                  <m:rPr>
                    <m:sty m:val="p"/>
                  </m:rPr>
                  <m:t>Post</m:t>
                </m:r>
              </m:e>
              <m:sub>
                <m:r>
                  <w:rPr>
                    <w:rFonts w:ascii="Cambria Math" w:hAnsi="Cambria Math" w:eastAsia="宋体"/>
                    <w:sz w:val="24"/>
                  </w:rPr>
                  <m:t>t</m:t>
                </m:r>
              </m:sub>
            </m:sSub>
            <m:r>
              <w:rPr>
                <w:rFonts w:ascii="Cambria Math" w:hAnsi="Cambria Math" w:eastAsia="宋体"/>
                <w:sz w:val="24"/>
              </w:rPr>
              <m:t>=1</m:t>
            </m:r>
          </m:e>
        </m:box>
      </m:oMath>
      <w:r>
        <w:t>，即</w:t>
      </w:r>
      <m:oMath>
        <m:box>
          <m:boxPr>
            <m:noBreak m:val="1"/>
          </m:boxPr>
          <m:e>
            <m:sSub>
              <m:e>
                <m:r>
                  <w:rPr>
                    <w:rFonts w:ascii="Cambria Math" w:hAnsi="Cambria Math" w:eastAsia="宋体"/>
                    <w:sz w:val="24"/>
                  </w:rPr>
                  <m:rPr>
                    <m:sty m:val="p"/>
                  </m:rPr>
                  <m:t>Post</m:t>
                </m:r>
              </m:e>
              <m:sub>
                <m:r>
                  <w:rPr>
                    <w:rFonts w:ascii="Cambria Math" w:hAnsi="Cambria Math" w:eastAsia="宋体"/>
                    <w:sz w:val="24"/>
                  </w:rPr>
                  <m:t>t</m:t>
                </m:r>
              </m:sub>
            </m:sSub>
            <m:r>
              <w:rPr>
                <w:rFonts w:ascii="Cambria Math" w:hAnsi="Cambria Math" w:eastAsia="宋体"/>
                <w:sz w:val="24"/>
              </w:rPr>
              <m:t>=</m:t>
            </m:r>
            <m:r>
              <w:rPr>
                <w:rFonts w:ascii="Cambria Math" w:hAnsi="Cambria Math" w:eastAsia="宋体"/>
                <w:sz w:val="24"/>
              </w:rPr>
              <m:rPr>
                <m:sty m:val="b"/>
              </m:rPr>
              <m:t>1</m:t>
            </m:r>
            <m:r>
              <w:rPr>
                <w:rFonts w:ascii="Cambria Math" w:hAnsi="Cambria Math" w:eastAsia="宋体"/>
                <w:sz w:val="24"/>
              </w:rPr>
              <m:t>(t≥2011)</m:t>
            </m:r>
          </m:e>
        </m:box>
      </m:oMath>
      <w:r>
        <w:t>。2011年纳入静态基准后期，年度安排见表A2。静态结果概括信息公开及随后实施过程中的整体企业反应，年度动态进一步区分各阶段的变化。</w:t>
      </w:r>
    </w:p>
    <w:p>
      <w:pPr>
        <w:pStyle w:val="af7"/>
        <w:keepNext/>
      </w:pPr>
      <w:r>
        <w:t>表A2 基准窗口与年度动态的安排</w:t>
      </w:r>
    </w:p>
    <w:tbl>
      <w:tblPr>
        <w:tblW w:type="auto" w:w="0"/>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50" w:type="dxa"/>
          <w:bottom w:w="50" w:type="dxa"/>
          <w:left w:w="80" w:type="dxa"/>
          <w:right w:w="80" w:type="dxa"/>
        </w:tblCellMar>
      </w:tblPr>
      <w:tblGrid>
        <w:gridCol w:w="1498"/>
        <w:gridCol w:w="3370"/>
        <w:gridCol w:w="4493"/>
      </w:tblGrid>
      <w:tr>
        <w:trPr>
          <w:cantSplit/>
          <w:tblHeader/>
        </w:trPr>
        <w:tc>
          <w:tcPr>
            <w:tcW w:type="dxa" w:w="1498"/>
            <w:vAlign w:val="center"/>
            <w:tcBorders>
              <w:bottom w:val="single" w:sz="5" w:color="000000"/>
            </w:tcBorders>
          </w:tcPr>
          <w:p>
            <w:pPr>
              <w:pStyle w:val="TableText"/>
              <w:keepNext/>
              <w:jc w:val="center"/>
            </w:pPr>
            <w:r>
              <w:rPr>
                <w:b/>
              </w:rPr>
              <w:t>年份</w:t>
            </w:r>
          </w:p>
        </w:tc>
        <w:tc>
          <w:tcPr>
            <w:tcW w:type="dxa" w:w="3370"/>
            <w:vAlign w:val="center"/>
            <w:tcBorders>
              <w:bottom w:val="single" w:sz="5" w:color="000000"/>
            </w:tcBorders>
          </w:tcPr>
          <w:p>
            <w:pPr>
              <w:pStyle w:val="TableText"/>
              <w:keepNext/>
            </w:pPr>
            <w:r>
              <w:rPr>
                <w:b/>
              </w:rPr>
              <w:t>阶段含义</w:t>
            </w:r>
          </w:p>
        </w:tc>
        <w:tc>
          <w:tcPr>
            <w:tcW w:type="dxa" w:w="4493"/>
            <w:vAlign w:val="center"/>
            <w:tcBorders>
              <w:bottom w:val="single" w:sz="5" w:color="000000"/>
            </w:tcBorders>
          </w:tcPr>
          <w:p>
            <w:pPr>
              <w:pStyle w:val="TableText"/>
              <w:keepNext/>
            </w:pPr>
            <w:r>
              <w:rPr>
                <w:b/>
              </w:rPr>
              <w:t>估计中的处理</w:t>
            </w:r>
          </w:p>
        </w:tc>
      </w:tr>
      <w:tr>
        <w:trPr>
          <w:cantSplit/>
        </w:trPr>
        <w:tc>
          <w:tcPr>
            <w:tcW w:type="dxa" w:w="1498"/>
            <w:vAlign w:val="center"/>
          </w:tcPr>
          <w:p>
            <w:pPr>
              <w:pStyle w:val="TableText"/>
              <w:keepNext/>
            </w:pPr>
            <w:r>
              <w:t>2007—2009年</w:t>
            </w:r>
          </w:p>
        </w:tc>
        <w:tc>
          <w:tcPr>
            <w:tcW w:type="dxa" w:w="3370"/>
            <w:vAlign w:val="center"/>
          </w:tcPr>
          <w:p>
            <w:pPr>
              <w:pStyle w:val="TableText"/>
              <w:keepNext/>
            </w:pPr>
            <w:r>
              <w:t>信息公开前</w:t>
            </w:r>
          </w:p>
        </w:tc>
        <w:tc>
          <w:tcPr>
            <w:tcW w:type="dxa" w:w="4493"/>
            <w:vAlign w:val="center"/>
          </w:tcPr>
          <w:p>
            <w:pPr>
              <w:pStyle w:val="TableText"/>
              <w:keepNext/>
            </w:pPr>
            <w:r>
              <w:t>改革前年份，分别估计相对于2010年的变化</w:t>
            </w:r>
          </w:p>
        </w:tc>
      </w:tr>
      <w:tr>
        <w:trPr>
          <w:cantSplit/>
        </w:trPr>
        <w:tc>
          <w:tcPr>
            <w:tcW w:type="dxa" w:w="1498"/>
            <w:vAlign w:val="center"/>
          </w:tcPr>
          <w:p>
            <w:pPr>
              <w:pStyle w:val="TableText"/>
              <w:keepNext/>
            </w:pPr>
            <w:r>
              <w:t>2010年</w:t>
            </w:r>
          </w:p>
        </w:tc>
        <w:tc>
          <w:tcPr>
            <w:tcW w:type="dxa" w:w="3370"/>
            <w:vAlign w:val="center"/>
          </w:tcPr>
          <w:p>
            <w:pPr>
              <w:pStyle w:val="TableText"/>
              <w:keepNext/>
            </w:pPr>
            <w:r>
              <w:t>信息公开前的参照年</w:t>
            </w:r>
          </w:p>
        </w:tc>
        <w:tc>
          <w:tcPr>
            <w:tcW w:type="dxa" w:w="4493"/>
            <w:vAlign w:val="center"/>
          </w:tcPr>
          <w:p>
            <w:pPr>
              <w:pStyle w:val="TableText"/>
              <w:keepNext/>
            </w:pPr>
            <w:r>
              <w:t>静态前期、动态参照期，企业处理身份据此或更早资料确定</w:t>
            </w:r>
          </w:p>
        </w:tc>
      </w:tr>
      <w:tr>
        <w:trPr>
          <w:cantSplit/>
        </w:trPr>
        <w:tc>
          <w:tcPr>
            <w:tcW w:type="dxa" w:w="1498"/>
            <w:vAlign w:val="center"/>
          </w:tcPr>
          <w:p>
            <w:pPr>
              <w:pStyle w:val="TableText"/>
              <w:keepNext/>
            </w:pPr>
            <w:r>
              <w:t>2011年</w:t>
            </w:r>
          </w:p>
        </w:tc>
        <w:tc>
          <w:tcPr>
            <w:tcW w:type="dxa" w:w="3370"/>
            <w:vAlign w:val="center"/>
          </w:tcPr>
          <w:p>
            <w:pPr>
              <w:pStyle w:val="TableText"/>
              <w:keepNext/>
            </w:pPr>
            <w:r>
              <w:t>政策信息公开</w:t>
            </w:r>
          </w:p>
        </w:tc>
        <w:tc>
          <w:tcPr>
            <w:tcW w:type="dxa" w:w="4493"/>
            <w:vAlign w:val="center"/>
          </w:tcPr>
          <w:p>
            <w:pPr>
              <w:pStyle w:val="TableText"/>
              <w:keepNext/>
            </w:pPr>
            <w:r>
              <w:t>纳入静态后期，估计信息公开当年的企业反应</w:t>
            </w:r>
          </w:p>
        </w:tc>
      </w:tr>
      <w:tr>
        <w:trPr>
          <w:cantSplit/>
        </w:trPr>
        <w:tc>
          <w:tcPr>
            <w:tcW w:type="dxa" w:w="1498"/>
            <w:vAlign w:val="center"/>
          </w:tcPr>
          <w:p>
            <w:pPr>
              <w:pStyle w:val="TableText"/>
              <w:keepNext/>
            </w:pPr>
            <w:r>
              <w:t>2012年</w:t>
            </w:r>
          </w:p>
        </w:tc>
        <w:tc>
          <w:tcPr>
            <w:tcW w:type="dxa" w:w="3370"/>
            <w:vAlign w:val="center"/>
          </w:tcPr>
          <w:p>
            <w:pPr>
              <w:pStyle w:val="TableText"/>
              <w:keepNext/>
            </w:pPr>
            <w:r>
              <w:t>正式实施</w:t>
            </w:r>
          </w:p>
        </w:tc>
        <w:tc>
          <w:tcPr>
            <w:tcW w:type="dxa" w:w="4493"/>
            <w:vAlign w:val="center"/>
          </w:tcPr>
          <w:p>
            <w:pPr>
              <w:pStyle w:val="TableText"/>
              <w:keepNext/>
            </w:pPr>
            <w:r>
              <w:t>纳入静态后期，估计实施后的反应</w:t>
            </w:r>
          </w:p>
        </w:tc>
      </w:tr>
      <w:tr>
        <w:trPr>
          <w:cantSplit/>
        </w:trPr>
        <w:tc>
          <w:tcPr>
            <w:tcW w:type="dxa" w:w="1498"/>
            <w:vAlign w:val="center"/>
          </w:tcPr>
          <w:p>
            <w:pPr>
              <w:pStyle w:val="TableText"/>
              <w:keepNext w:val="0"/>
            </w:pPr>
            <w:r>
              <w:t>2013—2014年</w:t>
            </w:r>
          </w:p>
        </w:tc>
        <w:tc>
          <w:tcPr>
            <w:tcW w:type="dxa" w:w="3370"/>
            <w:vAlign w:val="center"/>
          </w:tcPr>
          <w:p>
            <w:pPr>
              <w:pStyle w:val="TableText"/>
              <w:keepNext w:val="0"/>
            </w:pPr>
            <w:r>
              <w:t>后续调整</w:t>
            </w:r>
          </w:p>
        </w:tc>
        <w:tc>
          <w:tcPr>
            <w:tcW w:type="dxa" w:w="4493"/>
            <w:vAlign w:val="center"/>
          </w:tcPr>
          <w:p>
            <w:pPr>
              <w:pStyle w:val="TableText"/>
              <w:keepNext w:val="0"/>
            </w:pPr>
            <w:r>
              <w:t>纳入静态后期，分别估计后续变化</w:t>
            </w:r>
          </w:p>
        </w:tc>
      </w:tr>
    </w:tbl>
    <w:p>
      <w:pPr>
        <w:spacing w:after="40" w:before="0" w:line="84" w:lineRule="auto"/>
      </w:pPr>
    </w:p>
    <w:p>
      <w:pPr>
        <w:keepNext/>
      </w:pPr>
      <w:r>
        <w:t>对非负生产价值</w:t>
      </w:r>
      <m:oMath>
        <m:box>
          <m:boxPr>
            <m:noBreak m:val="1"/>
          </m:boxPr>
          <m:e>
            <m:sSub>
              <m:e>
                <m:r>
                  <w:rPr>
                    <w:rFonts w:ascii="Cambria Math" w:hAnsi="Cambria Math" w:eastAsia="宋体"/>
                    <w:sz w:val="24"/>
                  </w:rPr>
                  <m:t>Q</m:t>
                </m:r>
              </m:e>
              <m:sub>
                <m:r>
                  <w:rPr>
                    <w:rFonts w:ascii="Cambria Math" w:hAnsi="Cambria Math" w:eastAsia="宋体"/>
                    <w:sz w:val="24"/>
                  </w:rPr>
                  <m:t>ft</m:t>
                </m:r>
              </m:sub>
            </m:sSub>
          </m:e>
        </m:box>
      </m:oMath>
      <w:r>
        <w:t>，采用泊松伪最大似然方法（PPML；Santos Silva and Tenreyro，2006）估计条件均值。以</w:t>
      </w:r>
      <m:oMath>
        <m:box>
          <m:boxPr>
            <m:noBreak m:val="1"/>
          </m:boxPr>
          <m:e>
            <m:r>
              <w:rPr>
                <w:rFonts w:ascii="Cambria Math" w:hAnsi="Cambria Math" w:eastAsia="宋体"/>
                <w:sz w:val="24"/>
              </w:rPr>
              <m:rPr>
                <m:scr m:val="script"/>
              </m:rPr>
              <m:t>X</m:t>
            </m:r>
          </m:e>
        </m:box>
      </m:oMath>
      <w:r>
        <w:t>表示回归条件信息，</w:t>
      </w:r>
      <m:oMath>
        <m:box>
          <m:boxPr>
            <m:noBreak m:val="1"/>
          </m:boxPr>
          <m:e>
            <m:r>
              <w:rPr>
                <w:rFonts w:ascii="Cambria Math" w:hAnsi="Cambria Math" w:eastAsia="宋体"/>
                <w:sz w:val="24"/>
              </w:rPr>
              <m:t>b(f)</m:t>
            </m:r>
          </m:e>
        </m:box>
      </m:oMath>
      <w:r>
        <w:t>表示根据改革前行业预先确定的固定效应分组，</w:t>
      </w:r>
      <m:oMath>
        <m:box>
          <m:boxPr>
            <m:noBreak m:val="1"/>
          </m:boxPr>
          <m:e>
            <m:sSub>
              <m:e>
                <m:r>
                  <w:rPr>
                    <w:rFonts w:ascii="Cambria Math" w:hAnsi="Cambria Math" w:eastAsia="宋体"/>
                    <w:sz w:val="24"/>
                  </w:rPr>
                  <m:t>r</m:t>
                </m:r>
              </m:e>
              <m:sub>
                <m:r>
                  <w:rPr>
                    <w:rFonts w:ascii="Cambria Math" w:hAnsi="Cambria Math" w:eastAsia="宋体"/>
                    <w:sz w:val="24"/>
                  </w:rPr>
                  <m:t>f0</m:t>
                </m:r>
              </m:sub>
            </m:sSub>
          </m:e>
        </m:box>
      </m:oMath>
      <w:r>
        <w:t>为改革前主要生产地区，模型为：</w:t>
      </w:r>
    </w:p>
    <w:p>
      <w:pPr>
        <w:pStyle w:val="Equation"/>
        <w:keepNext/>
      </w:pPr>
      <w:r>
        <w:tab/>
      </w:r>
      <m:oMath>
        <m:r>
          <w:rPr>
            <w:rFonts w:ascii="Cambria Math" w:hAnsi="Cambria Math" w:eastAsia="宋体"/>
            <w:sz w:val="23"/>
          </w:rPr>
          <m:rPr>
            <m:scr m:val="double-struck"/>
            <m:sty m:val="p"/>
          </m:rPr>
          <m:t>E</m:t>
        </m:r>
        <m:r>
          <w:rPr>
            <w:rFonts w:ascii="Cambria Math" w:hAnsi="Cambria Math" w:eastAsia="宋体"/>
            <w:sz w:val="23"/>
          </w:rPr>
          <m:t>[</m:t>
        </m:r>
        <m:sSub>
          <m:e>
            <m:r>
              <w:rPr>
                <w:rFonts w:ascii="Cambria Math" w:hAnsi="Cambria Math" w:eastAsia="宋体"/>
                <w:sz w:val="23"/>
              </w:rPr>
              <m:t>Q</m:t>
            </m:r>
          </m:e>
          <m:sub>
            <m:r>
              <w:rPr>
                <w:rFonts w:ascii="Cambria Math" w:hAnsi="Cambria Math" w:eastAsia="宋体"/>
                <w:sz w:val="23"/>
              </w:rPr>
              <m:t>ft</m:t>
            </m:r>
          </m:sub>
        </m:sSub>
        <m:r>
          <w:rPr>
            <w:rFonts w:ascii="Cambria Math" w:hAnsi="Cambria Math" w:eastAsia="宋体"/>
            <w:sz w:val="23"/>
          </w:rPr>
          <m:t>|</m:t>
        </m:r>
        <m:r>
          <w:rPr>
            <w:rFonts w:ascii="Cambria Math" w:hAnsi="Cambria Math" w:eastAsia="宋体"/>
            <w:sz w:val="23"/>
          </w:rPr>
          <m:rPr>
            <m:scr m:val="script"/>
          </m:rPr>
          <m:t>X</m:t>
        </m:r>
        <m:r>
          <w:rPr>
            <w:rFonts w:ascii="Cambria Math" w:hAnsi="Cambria Math" w:eastAsia="宋体"/>
            <w:sz w:val="23"/>
          </w:rPr>
          <m:t>]=</m:t>
        </m:r>
        <m:r>
          <w:rPr>
            <w:rFonts w:ascii="Cambria Math" w:hAnsi="Cambria Math" w:eastAsia="宋体"/>
            <w:sz w:val="23"/>
          </w:rPr>
          <m:rPr>
            <m:sty m:val="p"/>
          </m:rPr>
          <m:t>exp</m:t>
        </m:r>
        <m:r>
          <w:rPr>
            <w:rFonts w:ascii="Cambria Math" w:hAnsi="Cambria Math" w:eastAsia="宋体"/>
            <w:sz w:val="23"/>
          </w:rPr>
          <m:t>[</m:t>
        </m:r>
        <m:sSub>
          <m:e>
            <m:r>
              <w:rPr>
                <w:rFonts w:ascii="Cambria Math" w:hAnsi="Cambria Math" w:eastAsia="宋体"/>
                <w:sz w:val="23"/>
              </w:rPr>
              <m:t>α</m:t>
            </m:r>
          </m:e>
          <m:sub>
            <m:r>
              <w:rPr>
                <w:rFonts w:ascii="Cambria Math" w:hAnsi="Cambria Math" w:eastAsia="宋体"/>
                <w:sz w:val="23"/>
              </w:rPr>
              <m:t>f</m:t>
            </m:r>
          </m:sub>
        </m:sSub>
        <m:r>
          <w:rPr>
            <w:rFonts w:ascii="Cambria Math" w:hAnsi="Cambria Math" w:eastAsia="宋体"/>
            <w:sz w:val="23"/>
          </w:rPr>
          <m:t>+</m:t>
        </m:r>
        <m:sSub>
          <m:e>
            <m:r>
              <w:rPr>
                <w:rFonts w:ascii="Cambria Math" w:hAnsi="Cambria Math" w:eastAsia="宋体"/>
                <w:sz w:val="23"/>
              </w:rPr>
              <m:t>λ</m:t>
            </m:r>
          </m:e>
          <m:sub>
            <m:r>
              <w:rPr>
                <w:rFonts w:ascii="Cambria Math" w:hAnsi="Cambria Math" w:eastAsia="宋体"/>
                <w:sz w:val="23"/>
              </w:rPr>
              <m:t>b(f)t</m:t>
            </m:r>
          </m:sub>
        </m:sSub>
        <m:r>
          <w:rPr>
            <w:rFonts w:ascii="Cambria Math" w:hAnsi="Cambria Math" w:eastAsia="宋体"/>
            <w:sz w:val="23"/>
          </w:rPr>
          <m:t>+</m:t>
        </m:r>
        <m:sSub>
          <m:e>
            <m:r>
              <w:rPr>
                <w:rFonts w:ascii="Cambria Math" w:hAnsi="Cambria Math" w:eastAsia="宋体"/>
                <w:sz w:val="23"/>
              </w:rPr>
              <m:t>η</m:t>
            </m:r>
          </m:e>
          <m:sub>
            <m:sSub>
              <m:e>
                <m:r>
                  <w:rPr>
                    <w:rFonts w:ascii="Cambria Math" w:hAnsi="Cambria Math" w:eastAsia="宋体"/>
                    <w:sz w:val="23"/>
                  </w:rPr>
                  <m:t>r</m:t>
                </m:r>
              </m:e>
              <m:sub>
                <m:r>
                  <w:rPr>
                    <w:rFonts w:ascii="Cambria Math" w:hAnsi="Cambria Math" w:eastAsia="宋体"/>
                    <w:sz w:val="23"/>
                  </w:rPr>
                  <m:t>f0</m:t>
                </m:r>
              </m:sub>
            </m:sSub>
            <m:r>
              <w:rPr>
                <w:rFonts w:ascii="Cambria Math" w:hAnsi="Cambria Math" w:eastAsia="宋体"/>
                <w:sz w:val="23"/>
              </w:rPr>
              <m:t>t</m:t>
            </m:r>
          </m:sub>
        </m:sSub>
        <m:r>
          <w:rPr>
            <w:rFonts w:ascii="Cambria Math" w:hAnsi="Cambria Math" w:eastAsia="宋体"/>
            <w:sz w:val="23"/>
          </w:rPr>
          <m:t>+</m:t>
        </m:r>
        <m:sSub>
          <m:e>
            <m:r>
              <w:rPr>
                <w:rFonts w:ascii="Cambria Math" w:hAnsi="Cambria Math" w:eastAsia="宋体"/>
                <w:sz w:val="23"/>
              </w:rPr>
              <m:t>L</m:t>
            </m:r>
          </m:e>
          <m:sub>
            <m:r>
              <w:rPr>
                <w:rFonts w:ascii="Cambria Math" w:hAnsi="Cambria Math" w:eastAsia="宋体"/>
                <w:sz w:val="23"/>
              </w:rPr>
              <m:t>ft</m:t>
            </m:r>
          </m:sub>
        </m:sSub>
        <m:r>
          <w:rPr>
            <w:rFonts w:ascii="Cambria Math" w:hAnsi="Cambria Math" w:eastAsia="宋体"/>
            <w:sz w:val="23"/>
          </w:rPr>
          <m:t>].</m:t>
        </m:r>
      </m:oMath>
      <w:r>
        <w:tab/>
        <w:t>(A4)</w:t>
      </w:r>
    </w:p>
    <w:p>
      <w:pPr>
        <w:pStyle w:val="Equation"/>
        <w:keepNext/>
      </w:pPr>
      <w:r>
        <w:tab/>
      </w:r>
      <m:oMath>
        <m:sSub>
          <m:e>
            <m:r>
              <w:rPr>
                <w:rFonts w:ascii="Cambria Math" w:hAnsi="Cambria Math" w:eastAsia="宋体"/>
                <w:sz w:val="23"/>
              </w:rPr>
              <m:t>L</m:t>
            </m:r>
          </m:e>
          <m:sub>
            <m:r>
              <w:rPr>
                <w:rFonts w:ascii="Cambria Math" w:hAnsi="Cambria Math" w:eastAsia="宋体"/>
                <w:sz w:val="23"/>
              </w:rPr>
              <m:t>ft</m:t>
            </m:r>
          </m:sub>
        </m:sSub>
        <m:r>
          <w:rPr>
            <w:rFonts w:ascii="Cambria Math" w:hAnsi="Cambria Math" w:eastAsia="宋体"/>
            <w:sz w:val="23"/>
          </w:rPr>
          <m:t>=β</m:t>
        </m:r>
        <m:sSub>
          <m:e>
            <m:r>
              <w:rPr>
                <w:rFonts w:ascii="Cambria Math" w:hAnsi="Cambria Math" w:eastAsia="宋体"/>
                <w:sz w:val="23"/>
              </w:rPr>
              <m:rPr>
                <m:sty m:val="p"/>
              </m:rPr>
              <m:t>Treat</m:t>
            </m:r>
          </m:e>
          <m:sub>
            <m:r>
              <w:rPr>
                <w:rFonts w:ascii="Cambria Math" w:hAnsi="Cambria Math" w:eastAsia="宋体"/>
                <w:sz w:val="23"/>
              </w:rPr>
              <m:t>f</m:t>
            </m:r>
          </m:sub>
        </m:sSub>
        <m:r>
          <w:rPr>
            <w:rFonts w:ascii="Cambria Math" w:hAnsi="Cambria Math" w:eastAsia="宋体"/>
            <w:sz w:val="23"/>
          </w:rPr>
          <m:t>×</m:t>
        </m:r>
        <m:sSub>
          <m:e>
            <m:r>
              <w:rPr>
                <w:rFonts w:ascii="Cambria Math" w:hAnsi="Cambria Math" w:eastAsia="宋体"/>
                <w:sz w:val="23"/>
              </w:rPr>
              <m:rPr>
                <m:sty m:val="p"/>
              </m:rPr>
              <m:t>Post</m:t>
            </m:r>
          </m:e>
          <m:sub>
            <m:r>
              <w:rPr>
                <w:rFonts w:ascii="Cambria Math" w:hAnsi="Cambria Math" w:eastAsia="宋体"/>
                <w:sz w:val="23"/>
              </w:rPr>
              <m:t>t</m:t>
            </m:r>
          </m:sub>
        </m:sSub>
        <m:r>
          <w:rPr>
            <w:rFonts w:ascii="Cambria Math" w:hAnsi="Cambria Math" w:eastAsia="宋体"/>
            <w:sz w:val="23"/>
          </w:rPr>
          <m:t>.</m:t>
        </m:r>
      </m:oMath>
      <w:r>
        <w:tab/>
        <w:t>(A5)</w:t>
      </w:r>
    </w:p>
    <w:p>
      <w:pPr/>
      <w:r>
        <w:t>其中，</w:t>
      </w:r>
      <m:oMath>
        <m:box>
          <m:boxPr>
            <m:noBreak m:val="1"/>
          </m:boxPr>
          <m:e>
            <m:sSub>
              <m:e>
                <m:r>
                  <w:rPr>
                    <w:rFonts w:ascii="Cambria Math" w:hAnsi="Cambria Math" w:eastAsia="宋体"/>
                    <w:sz w:val="24"/>
                  </w:rPr>
                  <m:t>α</m:t>
                </m:r>
              </m:e>
              <m:sub>
                <m:r>
                  <w:rPr>
                    <w:rFonts w:ascii="Cambria Math" w:hAnsi="Cambria Math" w:eastAsia="宋体"/>
                    <w:sz w:val="24"/>
                  </w:rPr>
                  <m:t>f</m:t>
                </m:r>
              </m:sub>
            </m:sSub>
          </m:e>
        </m:box>
      </m:oMath>
      <w:r>
        <w:t>控制企业稳定特征，</w:t>
      </w:r>
      <m:oMath>
        <m:box>
          <m:boxPr>
            <m:noBreak m:val="1"/>
          </m:boxPr>
          <m:e>
            <m:r>
              <w:rPr>
                <w:rFonts w:ascii="Cambria Math" w:hAnsi="Cambria Math" w:eastAsia="宋体"/>
                <w:sz w:val="24"/>
              </w:rPr>
              <m:t>λ</m:t>
            </m:r>
          </m:e>
        </m:box>
      </m:oMath>
      <w:r>
        <w:t>和</w:t>
      </w:r>
      <m:oMath>
        <m:box>
          <m:boxPr>
            <m:noBreak m:val="1"/>
          </m:boxPr>
          <m:e>
            <m:r>
              <w:rPr>
                <w:rFonts w:ascii="Cambria Math" w:hAnsi="Cambria Math" w:eastAsia="宋体"/>
                <w:sz w:val="24"/>
              </w:rPr>
              <m:t>η</m:t>
            </m:r>
          </m:e>
        </m:box>
      </m:oMath>
      <w:r>
        <w:t>分别控制行业及地区的年度共同变化。同一四位小类内具有有效处理差异时，</w:t>
      </w:r>
      <m:oMath>
        <m:box>
          <m:boxPr>
            <m:noBreak m:val="1"/>
          </m:boxPr>
          <m:e>
            <m:r>
              <w:rPr>
                <w:rFonts w:ascii="Cambria Math" w:hAnsi="Cambria Math" w:eastAsia="宋体"/>
                <w:sz w:val="24"/>
              </w:rPr>
              <m:t>b(f)</m:t>
            </m:r>
          </m:e>
        </m:box>
      </m:oMath>
      <w:r>
        <w:t>可采用四位分类；改革完整覆盖该小类时，采用事先确定的较宽行业组，并说明行业间比较依据。补充控制使用改革前特征及其与年份的交互，行业层级和控制安排在估计前确定。</w:t>
      </w:r>
    </w:p>
    <w:p>
      <w:pPr/>
      <w:r>
        <w:t>因果解释以乘法平行趋势为前提，即没有本轮改革时，两组条件产出均值随时间按可比比例变化，并结合政策适用和溢出检验解释结果。式（A5）用一个系数概括观察窗口内的反应，</w:t>
      </w:r>
      <m:oMath>
        <m:box>
          <m:boxPr>
            <m:noBreak m:val="1"/>
          </m:boxPr>
          <m:e>
            <m:r>
              <w:rPr>
                <w:rFonts w:ascii="Cambria Math" w:hAnsi="Cambria Math" w:eastAsia="宋体"/>
                <w:sz w:val="24"/>
              </w:rPr>
              <m:rPr>
                <m:sty m:val="p"/>
              </m:rPr>
              <m:t>exp</m:t>
            </m:r>
            <m:r>
              <w:rPr>
                <w:rFonts w:ascii="Cambria Math" w:hAnsi="Cambria Math" w:eastAsia="宋体"/>
                <w:sz w:val="24"/>
              </w:rPr>
              <m:t>(β)-1</m:t>
            </m:r>
          </m:e>
        </m:box>
      </m:oMath>
      <w:r>
        <w:t>刻画所设条件均值中的产出差异；各后期年度的调整由动态规格分别估计，静态系数不作为年度效应的简单平均，也不解释为正式生效本身的独立效果。</w:t>
      </w:r>
    </w:p>
    <w:p>
      <w:pPr>
        <w:keepNext/>
      </w:pPr>
      <w:r>
        <w:t>动态分析以2011年为起点，用以下政策项替代式（A5）：</w:t>
      </w:r>
    </w:p>
    <w:p>
      <w:pPr>
        <w:pStyle w:val="Equation"/>
        <w:keepNext/>
      </w:pPr>
      <w:r>
        <w:tab/>
      </w:r>
      <m:oMath>
        <m:sSub>
          <m:e>
            <m:r>
              <w:rPr>
                <w:rFonts w:ascii="Cambria Math" w:hAnsi="Cambria Math" w:eastAsia="宋体"/>
                <w:sz w:val="23"/>
              </w:rPr>
              <m:t>L</m:t>
            </m:r>
          </m:e>
          <m:sub>
            <m:r>
              <w:rPr>
                <w:rFonts w:ascii="Cambria Math" w:hAnsi="Cambria Math" w:eastAsia="宋体"/>
                <w:sz w:val="23"/>
              </w:rPr>
              <m:t>ft</m:t>
            </m:r>
          </m:sub>
        </m:sSub>
        <m:r>
          <w:rPr>
            <w:rFonts w:ascii="Cambria Math" w:hAnsi="Cambria Math" w:eastAsia="宋体"/>
            <w:sz w:val="23"/>
          </w:rPr>
          <m:t>=</m:t>
        </m:r>
        <m:nary>
          <m:naryPr>
            <m:chr m:val="∑"/>
            <m:limLoc m:val="undOvr"/>
            <m:grow m:val="1"/>
            <m:subHide m:val="off"/>
            <m:supHide m:val="on"/>
          </m:naryPr>
          <m:sub>
            <m:r>
              <w:rPr>
                <w:rFonts w:ascii="Cambria Math" w:hAnsi="Cambria Math" w:eastAsia="宋体"/>
                <w:sz w:val="23"/>
              </w:rPr>
              <m:t>h∈</m:t>
            </m:r>
            <m:r>
              <w:rPr>
                <w:rFonts w:ascii="Cambria Math" w:hAnsi="Cambria Math" w:eastAsia="宋体"/>
                <w:sz w:val="23"/>
              </w:rPr>
              <m:rPr>
                <m:scr m:val="script"/>
              </m:rPr>
              <m:t>H</m:t>
            </m:r>
            <m:r>
              <w:rPr>
                <w:rFonts w:ascii="Cambria Math" w:hAnsi="Cambria Math" w:eastAsia="宋体"/>
                <w:sz w:val="23"/>
              </w:rPr>
              <m:t>,</m:t>
            </m:r>
            <m:r>
              <w:rPr>
                <w:rFonts w:ascii="Cambria Math" w:hAnsi="Cambria Math" w:eastAsia="宋体"/>
                <w:sz w:val="23"/>
              </w:rPr>
              <m:t>h≠-1</m:t>
            </m:r>
          </m:sub>
          <m:sup/>
          <m:e>
            <m:sSub>
              <m:e>
                <m:r>
                  <w:rPr>
                    <w:rFonts w:ascii="Cambria Math" w:hAnsi="Cambria Math" w:eastAsia="宋体"/>
                    <w:sz w:val="23"/>
                  </w:rPr>
                  <m:t>β</m:t>
                </m:r>
              </m:e>
              <m:sub>
                <m:r>
                  <w:rPr>
                    <w:rFonts w:ascii="Cambria Math" w:hAnsi="Cambria Math" w:eastAsia="宋体"/>
                    <w:sz w:val="23"/>
                  </w:rPr>
                  <m:t>h</m:t>
                </m:r>
              </m:sub>
            </m:sSub>
          </m:e>
        </m:nary>
        <m:sSub>
          <m:e>
            <m:r>
              <w:rPr>
                <w:rFonts w:ascii="Cambria Math" w:hAnsi="Cambria Math" w:eastAsia="宋体"/>
                <w:sz w:val="23"/>
              </w:rPr>
              <m:rPr>
                <m:sty m:val="p"/>
              </m:rPr>
              <m:t>Treat</m:t>
            </m:r>
          </m:e>
          <m:sub>
            <m:r>
              <w:rPr>
                <w:rFonts w:ascii="Cambria Math" w:hAnsi="Cambria Math" w:eastAsia="宋体"/>
                <w:sz w:val="23"/>
              </w:rPr>
              <m:t>f</m:t>
            </m:r>
          </m:sub>
        </m:sSub>
        <m:r>
          <w:rPr>
            <w:rFonts w:ascii="Cambria Math" w:hAnsi="Cambria Math" w:eastAsia="宋体"/>
            <w:sz w:val="23"/>
          </w:rPr>
          <m:rPr>
            <m:sty m:val="b"/>
          </m:rPr>
          <m:t>1</m:t>
        </m:r>
        <m:r>
          <w:rPr>
            <w:rFonts w:ascii="Cambria Math" w:hAnsi="Cambria Math" w:eastAsia="宋体"/>
            <w:sz w:val="23"/>
          </w:rPr>
          <m:t>(t-2011=h).</m:t>
        </m:r>
      </m:oMath>
      <w:r>
        <w:tab/>
        <w:t>(A6)</w:t>
      </w:r>
    </w:p>
    <w:p>
      <w:pPr/>
      <w:r>
        <w:t>其中，</w:t>
      </w:r>
      <m:oMath>
        <m:box>
          <m:boxPr>
            <m:noBreak m:val="1"/>
          </m:boxPr>
          <m:e>
            <m:r>
              <w:rPr>
                <w:rFonts w:ascii="Cambria Math" w:hAnsi="Cambria Math" w:eastAsia="宋体"/>
                <w:sz w:val="24"/>
              </w:rPr>
              <m:t>h=t-2011</m:t>
            </m:r>
          </m:e>
        </m:box>
      </m:oMath>
      <w:r>
        <w:t>，</w:t>
      </w:r>
      <m:oMath>
        <m:box>
          <m:boxPr>
            <m:noBreak m:val="1"/>
          </m:boxPr>
          <m:e>
            <m:r>
              <w:rPr>
                <w:rFonts w:ascii="Cambria Math" w:hAnsi="Cambria Math" w:eastAsia="宋体"/>
                <w:sz w:val="24"/>
              </w:rPr>
              <m:rPr>
                <m:scr m:val="script"/>
              </m:rPr>
              <m:t>H</m:t>
            </m:r>
            <m:r>
              <w:rPr>
                <w:rFonts w:ascii="Cambria Math" w:hAnsi="Cambria Math" w:eastAsia="宋体"/>
                <w:sz w:val="24"/>
              </w:rPr>
              <m:t>={-4,-3,-2,-1,0,1,2,3}</m:t>
            </m:r>
          </m:e>
        </m:box>
      </m:oMath>
      <w:r>
        <w:t>，参照期</w:t>
      </w:r>
      <m:oMath>
        <m:box>
          <m:boxPr>
            <m:noBreak m:val="1"/>
          </m:boxPr>
          <m:e>
            <m:r>
              <w:rPr>
                <w:rFonts w:ascii="Cambria Math" w:hAnsi="Cambria Math" w:eastAsia="宋体"/>
                <w:sz w:val="24"/>
              </w:rPr>
              <m:t>h=-1</m:t>
            </m:r>
          </m:e>
        </m:box>
      </m:oMath>
      <w:r>
        <w:t>对应2010年。分别估计2007、2008、2009、2011、2012、2013、2014年相对于2010年的变化。前期系数用于考察改革前走势，2011年系数反映信息公开当年的反应，2012年系数反映实施后的反应，2013—2014年系数反映后续调整。静态与动态作为替代规格报告。</w:t>
      </w:r>
    </w:p>
    <w:p>
      <w:pPr>
        <w:pStyle w:val="21"/>
      </w:pPr>
      <w:r>
        <w:t>A.3.2 企业行为与样本支持</w:t>
      </w:r>
    </w:p>
    <w:p>
      <w:pPr/>
      <w:r>
        <w:t>企业行为结果包括外资持股、外国控制、全外资、存续、投资和业务调整，估计方法按变量性质选择，沿用同一改革前处理分组。原有国内企业被外资收购计入控制权变化，新设企业另纳入行业统计。不同结果分别说明估计对象和样本范围。</w:t>
      </w:r>
    </w:p>
    <w:p>
      <w:pPr/>
      <w:r>
        <w:t>样本按表A3描述。失访、披露中断、统计门槛变化和企业标识变更分别记录；经核实停止生产的，按实际状态记录零产出并研究退出。企业标识变化通过原始记录衔接，避免误计退出和进入。两组保留各自符合定义的企业，不以数量相等为目的删减对照组。</w:t>
      </w:r>
    </w:p>
    <w:p>
      <w:pPr>
        <w:pStyle w:val="af7"/>
        <w:keepNext/>
      </w:pPr>
      <w:r>
        <w:t>表A3 样本描述与有效比较</w:t>
      </w:r>
    </w:p>
    <w:tbl>
      <w:tblPr>
        <w:tblW w:type="auto" w:w="0"/>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50" w:type="dxa"/>
          <w:bottom w:w="50" w:type="dxa"/>
          <w:left w:w="80" w:type="dxa"/>
          <w:right w:w="80" w:type="dxa"/>
        </w:tblCellMar>
      </w:tblPr>
      <w:tblGrid>
        <w:gridCol w:w="2434"/>
        <w:gridCol w:w="6926"/>
      </w:tblGrid>
      <w:tr>
        <w:trPr>
          <w:cantSplit/>
          <w:tblHeader/>
        </w:trPr>
        <w:tc>
          <w:tcPr>
            <w:tcW w:type="dxa" w:w="2434"/>
            <w:vAlign w:val="center"/>
            <w:tcBorders>
              <w:bottom w:val="single" w:sz="5" w:color="000000"/>
            </w:tcBorders>
          </w:tcPr>
          <w:p>
            <w:pPr>
              <w:pStyle w:val="TableText"/>
              <w:keepNext/>
            </w:pPr>
            <w:r>
              <w:rPr>
                <w:b/>
              </w:rPr>
              <w:t>描述内容</w:t>
            </w:r>
          </w:p>
        </w:tc>
        <w:tc>
          <w:tcPr>
            <w:tcW w:type="dxa" w:w="6926"/>
            <w:vAlign w:val="center"/>
            <w:tcBorders>
              <w:bottom w:val="single" w:sz="5" w:color="000000"/>
            </w:tcBorders>
          </w:tcPr>
          <w:p>
            <w:pPr>
              <w:pStyle w:val="TableText"/>
              <w:keepNext/>
            </w:pPr>
            <w:r>
              <w:rPr>
                <w:b/>
              </w:rPr>
              <w:t>具体安排</w:t>
            </w:r>
          </w:p>
        </w:tc>
      </w:tr>
      <w:tr>
        <w:trPr>
          <w:cantSplit/>
        </w:trPr>
        <w:tc>
          <w:tcPr>
            <w:tcW w:type="dxa" w:w="2434"/>
            <w:vAlign w:val="center"/>
          </w:tcPr>
          <w:p>
            <w:pPr>
              <w:pStyle w:val="TableText"/>
            </w:pPr>
            <w:r>
              <w:t>改革前入组</w:t>
            </w:r>
          </w:p>
        </w:tc>
        <w:tc>
          <w:tcPr>
            <w:tcW w:type="dxa" w:w="6926"/>
            <w:vAlign w:val="center"/>
          </w:tcPr>
          <w:p>
            <w:pPr>
              <w:pStyle w:val="TableText"/>
            </w:pPr>
            <w:r>
              <w:t>记录固定业务、地区、法律适用及原有企业名单</w:t>
            </w:r>
          </w:p>
        </w:tc>
      </w:tr>
      <w:tr>
        <w:trPr>
          <w:cantSplit/>
        </w:trPr>
        <w:tc>
          <w:tcPr>
            <w:tcW w:type="dxa" w:w="2434"/>
            <w:vAlign w:val="center"/>
          </w:tcPr>
          <w:p>
            <w:pPr>
              <w:pStyle w:val="TableText"/>
            </w:pPr>
            <w:r>
              <w:t>年度覆盖</w:t>
            </w:r>
          </w:p>
        </w:tc>
        <w:tc>
          <w:tcPr>
            <w:tcW w:type="dxa" w:w="6926"/>
            <w:vAlign w:val="center"/>
          </w:tcPr>
          <w:p>
            <w:pPr>
              <w:pStyle w:val="TableText"/>
            </w:pPr>
            <w:r>
              <w:t>逐年报告处理组、对照组企业数、产出覆盖、缺失和退出</w:t>
            </w:r>
          </w:p>
        </w:tc>
      </w:tr>
      <w:tr>
        <w:trPr>
          <w:cantSplit/>
        </w:trPr>
        <w:tc>
          <w:tcPr>
            <w:tcW w:type="dxa" w:w="2434"/>
            <w:vAlign w:val="center"/>
          </w:tcPr>
          <w:p>
            <w:pPr>
              <w:pStyle w:val="TableText"/>
            </w:pPr>
            <w:r>
              <w:t>比较来源</w:t>
            </w:r>
          </w:p>
        </w:tc>
        <w:tc>
          <w:tcPr>
            <w:tcW w:type="dxa" w:w="6926"/>
            <w:vAlign w:val="center"/>
          </w:tcPr>
          <w:p>
            <w:pPr>
              <w:pStyle w:val="TableText"/>
            </w:pPr>
            <w:r>
              <w:t>核对固定效应下的处理差异、行业分布和产出集中程度</w:t>
            </w:r>
          </w:p>
        </w:tc>
      </w:tr>
      <w:tr>
        <w:trPr>
          <w:cantSplit/>
        </w:trPr>
        <w:tc>
          <w:tcPr>
            <w:tcW w:type="dxa" w:w="2434"/>
            <w:vAlign w:val="center"/>
          </w:tcPr>
          <w:p>
            <w:pPr>
              <w:pStyle w:val="TableText"/>
            </w:pPr>
            <w:r>
              <w:t>估计与预测</w:t>
            </w:r>
          </w:p>
        </w:tc>
        <w:tc>
          <w:tcPr>
            <w:tcW w:type="dxa" w:w="6926"/>
            <w:vAlign w:val="center"/>
          </w:tcPr>
          <w:p>
            <w:pPr>
              <w:pStyle w:val="TableText"/>
            </w:pPr>
            <w:r>
              <w:t>分结果记录估计范围、样本剔除及预测覆盖</w:t>
            </w:r>
          </w:p>
        </w:tc>
      </w:tr>
      <w:tr>
        <w:trPr>
          <w:cantSplit/>
        </w:trPr>
        <w:tc>
          <w:tcPr>
            <w:tcW w:type="dxa" w:w="2434"/>
            <w:vAlign w:val="center"/>
          </w:tcPr>
          <w:p>
            <w:pPr>
              <w:pStyle w:val="TableText"/>
            </w:pPr>
            <w:r>
              <w:t>政策信息</w:t>
            </w:r>
          </w:p>
        </w:tc>
        <w:tc>
          <w:tcPr>
            <w:tcW w:type="dxa" w:w="6926"/>
            <w:vAlign w:val="center"/>
          </w:tcPr>
          <w:p>
            <w:pPr>
              <w:pStyle w:val="TableText"/>
            </w:pPr>
            <w:r>
              <w:t>根据赋值方式和共同决策识别政策组，并据此设置推断</w:t>
            </w:r>
          </w:p>
        </w:tc>
      </w:tr>
    </w:tbl>
    <w:p>
      <w:pPr>
        <w:spacing w:after="40" w:before="0" w:line="84" w:lineRule="auto"/>
      </w:pPr>
    </w:p>
    <w:p>
      <w:pPr/>
      <w:r>
        <w:t>一轮改革涉及的多项业务是否提供相对独立的信息，结合共同决策、实施安排和行业冲击判断。推断依据政策赋值及误差相关性设置聚类，报告有效政策组及比较来源；企业数和目录条目数不直接等于独立冲击数。小样本方法按其适用条件选用，不设置无依据的统一最低企业数。</w:t>
      </w:r>
    </w:p>
    <w:p>
      <w:pPr/>
      <w:r>
        <w:t>行业补充分析采用GB四位小类—地区—年份面板，以当期全部经营企业资料考察本轮改革中的新设企业和行业总体生产，时间安排与企业基准一致。仅部分业务受到放宽的行业标记为“包含本轮放宽业务的行业”，据此估计行业总体反应，保留行业内企业政策待遇的差异。行业分析另行说明对照范围及固定效应下的比较依据。</w:t>
      </w:r>
    </w:p>
    <w:p>
      <w:pPr>
        <w:pStyle w:val="21"/>
      </w:pPr>
      <w:r>
        <w:t>A.3.3 外国控制企业生产份额的构造</w:t>
      </w:r>
    </w:p>
    <w:p>
      <w:pPr/>
      <w:r>
        <w:t>生产份额依据当期实际生产价值计算。以最终控制主体所在地划分外国和国内控制企业，设</w:t>
      </w:r>
      <m:oMath>
        <m:box>
          <m:boxPr>
            <m:noBreak m:val="1"/>
          </m:boxPr>
          <m:e>
            <m:sSubSup>
              <m:e>
                <m:r>
                  <w:rPr>
                    <w:rFonts w:ascii="Cambria Math" w:hAnsi="Cambria Math" w:eastAsia="宋体"/>
                    <w:sz w:val="24"/>
                  </w:rPr>
                  <m:t>D</m:t>
                </m:r>
              </m:e>
              <m:sub>
                <m:r>
                  <w:rPr>
                    <w:rFonts w:ascii="Cambria Math" w:hAnsi="Cambria Math" w:eastAsia="宋体"/>
                    <w:sz w:val="24"/>
                  </w:rPr>
                  <m:t>ft</m:t>
                </m:r>
              </m:sub>
              <m:sup>
                <m:r>
                  <w:rPr>
                    <w:rFonts w:ascii="Cambria Math" w:hAnsi="Cambria Math" w:eastAsia="宋体"/>
                    <w:sz w:val="24"/>
                  </w:rPr>
                  <m:t>F</m:t>
                </m:r>
              </m:sup>
            </m:sSubSup>
          </m:e>
        </m:box>
      </m:oMath>
      <w:r>
        <w:t>为外国控制指示变量。对原有企业，分别以</w:t>
      </w:r>
      <m:oMath>
        <m:box>
          <m:boxPr>
            <m:noBreak m:val="1"/>
          </m:boxPr>
          <m:e>
            <m:sSubSup>
              <m:e>
                <m:r>
                  <w:rPr>
                    <w:rFonts w:ascii="Cambria Math" w:hAnsi="Cambria Math" w:eastAsia="宋体"/>
                    <w:sz w:val="24"/>
                  </w:rPr>
                  <m:t>D</m:t>
                </m:r>
              </m:e>
              <m:sub>
                <m:r>
                  <w:rPr>
                    <w:rFonts w:ascii="Cambria Math" w:hAnsi="Cambria Math" w:eastAsia="宋体"/>
                    <w:sz w:val="24"/>
                  </w:rPr>
                  <m:t>ft</m:t>
                </m:r>
              </m:sub>
              <m:sup>
                <m:r>
                  <w:rPr>
                    <w:rFonts w:ascii="Cambria Math" w:hAnsi="Cambria Math" w:eastAsia="宋体"/>
                    <w:sz w:val="24"/>
                  </w:rPr>
                  <m:t>F</m:t>
                </m:r>
              </m:sup>
            </m:sSubSup>
            <m:sSub>
              <m:e>
                <m:r>
                  <w:rPr>
                    <w:rFonts w:ascii="Cambria Math" w:hAnsi="Cambria Math" w:eastAsia="宋体"/>
                    <w:sz w:val="24"/>
                  </w:rPr>
                  <m:t>Q</m:t>
                </m:r>
              </m:e>
              <m:sub>
                <m:r>
                  <w:rPr>
                    <w:rFonts w:ascii="Cambria Math" w:hAnsi="Cambria Math" w:eastAsia="宋体"/>
                    <w:sz w:val="24"/>
                  </w:rPr>
                  <m:t>ft</m:t>
                </m:r>
              </m:sub>
            </m:sSub>
          </m:e>
        </m:box>
      </m:oMath>
      <w:r>
        <w:t>和</w:t>
      </w:r>
      <m:oMath>
        <m:box>
          <m:boxPr>
            <m:noBreak m:val="1"/>
          </m:boxPr>
          <m:e>
            <m:r>
              <w:rPr>
                <w:rFonts w:ascii="Cambria Math" w:hAnsi="Cambria Math" w:eastAsia="宋体"/>
                <w:sz w:val="24"/>
              </w:rPr>
              <m:t>(1-</m:t>
            </m:r>
            <m:sSubSup>
              <m:e>
                <m:r>
                  <w:rPr>
                    <w:rFonts w:ascii="Cambria Math" w:hAnsi="Cambria Math" w:eastAsia="宋体"/>
                    <w:sz w:val="24"/>
                  </w:rPr>
                  <m:t>D</m:t>
                </m:r>
              </m:e>
              <m:sub>
                <m:r>
                  <w:rPr>
                    <w:rFonts w:ascii="Cambria Math" w:hAnsi="Cambria Math" w:eastAsia="宋体"/>
                    <w:sz w:val="24"/>
                  </w:rPr>
                  <m:t>ft</m:t>
                </m:r>
              </m:sub>
              <m:sup>
                <m:r>
                  <w:rPr>
                    <w:rFonts w:ascii="Cambria Math" w:hAnsi="Cambria Math" w:eastAsia="宋体"/>
                    <w:sz w:val="24"/>
                  </w:rPr>
                  <m:t>F</m:t>
                </m:r>
              </m:sup>
            </m:sSubSup>
            <m:r>
              <w:rPr>
                <w:rFonts w:ascii="Cambria Math" w:hAnsi="Cambria Math" w:eastAsia="宋体"/>
                <w:sz w:val="24"/>
              </w:rPr>
              <m:t>)</m:t>
            </m:r>
            <m:sSub>
              <m:e>
                <m:r>
                  <w:rPr>
                    <w:rFonts w:ascii="Cambria Math" w:hAnsi="Cambria Math" w:eastAsia="宋体"/>
                    <w:sz w:val="24"/>
                  </w:rPr>
                  <m:t>Q</m:t>
                </m:r>
              </m:e>
              <m:sub>
                <m:r>
                  <w:rPr>
                    <w:rFonts w:ascii="Cambria Math" w:hAnsi="Cambria Math" w:eastAsia="宋体"/>
                    <w:sz w:val="24"/>
                  </w:rPr>
                  <m:t>ft</m:t>
                </m:r>
              </m:sub>
            </m:sSub>
          </m:e>
        </m:box>
      </m:oMath>
      <w:r>
        <w:t>作为式（A4）—（A6）的因变量，独立估计各自的固定效应和政策系数。控制权变化使相应产出在两组之间重新归属，原有企业集合保持不变。</w:t>
      </w:r>
    </w:p>
    <w:p>
      <w:pPr/>
      <w:r>
        <w:t>两套企业固定效应PPML可能因全零组和分离形成不同估计样本，取交集会倾向于保留观察期内发生控制权转换的企业。因此，两式分别报告剔除原因、估计覆盖和预测范围，不机械取估计或预测样本的交集，无法预测的产出也不填为零。部门共同生产范围事先确定，预测缺口按原定范围记录。</w:t>
      </w:r>
      <w:r>
        <w:t>⁠</w:t>
      </w:r>
      <w:r>
        <w:rPr>
          <w:rStyle w:val="FootnoteReference"/>
        </w:rPr>
        <w:footnoteReference w:id="3"/>
      </w:r>
    </w:p>
    <w:p>
      <w:pPr/>
      <w:r>
        <w:t>补充分析可按改革前行业、地区和处理身份固定企业组，再加总组内产出估计。该方法改变估计单位，需报告组内差异和覆盖情况，不能视为增加独立政策信息。企业、固定组和行业结果分别解释。</w:t>
      </w:r>
    </w:p>
    <w:p>
      <w:pPr/>
      <w:r>
        <w:t>行业统计纳入当期全部经营企业，包括新设企业。分业务产出按实际业务和生产地区归属；只有企业总产出时，采用能够核实且可与AMNE对应的企业行业分类。原有企业回归采用改革前行业；行业面板保持统计单元不变，将当期全部企业按实际业务归入，以反映进入和业务调整。</w:t>
      </w:r>
    </w:p>
    <w:p>
      <w:pPr>
        <w:keepNext/>
      </w:pPr>
      <w:r>
        <w:t>令</w:t>
      </w:r>
      <m:oMath>
        <m:box>
          <m:boxPr>
            <m:noBreak m:val="1"/>
          </m:boxPr>
          <m:e>
            <m:r>
              <w:rPr>
                <w:rFonts w:ascii="Cambria Math" w:hAnsi="Cambria Math" w:eastAsia="宋体"/>
                <w:sz w:val="24"/>
              </w:rPr>
              <m:t>ℓ</m:t>
            </m:r>
          </m:e>
        </m:box>
      </m:oMath>
      <w:r>
        <w:t>表示企业原始资料中可区分的业务记录，</w:t>
      </w:r>
      <m:oMath>
        <m:box>
          <m:boxPr>
            <m:noBreak m:val="1"/>
          </m:boxPr>
          <m:e>
            <m:sSub>
              <m:e>
                <m:r>
                  <w:rPr>
                    <w:rFonts w:ascii="Cambria Math" w:hAnsi="Cambria Math" w:eastAsia="宋体"/>
                    <w:sz w:val="24"/>
                  </w:rPr>
                  <m:t>Q</m:t>
                </m:r>
              </m:e>
              <m:sub>
                <m:r>
                  <w:rPr>
                    <w:rFonts w:ascii="Cambria Math" w:hAnsi="Cambria Math" w:eastAsia="宋体"/>
                    <w:sz w:val="24"/>
                  </w:rPr>
                  <m:t>fℓrt</m:t>
                </m:r>
              </m:sub>
            </m:sSub>
          </m:e>
        </m:box>
      </m:oMath>
      <w:r>
        <w:t>为相应当期生产价值，</w:t>
      </w:r>
      <m:oMath>
        <m:box>
          <m:boxPr>
            <m:noBreak m:val="1"/>
          </m:boxPr>
          <m:e>
            <m:sSub>
              <m:e>
                <m:r>
                  <w:rPr>
                    <w:rFonts w:ascii="Cambria Math" w:hAnsi="Cambria Math" w:eastAsia="宋体"/>
                    <w:sz w:val="24"/>
                  </w:rPr>
                  <m:rPr>
                    <m:scr m:val="script"/>
                  </m:rPr>
                  <m:t>B</m:t>
                </m:r>
              </m:e>
              <m:sub>
                <m:r>
                  <w:rPr>
                    <w:rFonts w:ascii="Cambria Math" w:hAnsi="Cambria Math" w:eastAsia="宋体"/>
                    <w:sz w:val="24"/>
                  </w:rPr>
                  <m:t>jt</m:t>
                </m:r>
              </m:sub>
            </m:sSub>
          </m:e>
        </m:box>
      </m:oMath>
      <w:r>
        <w:t>为唯一归入部门</w:t>
      </w:r>
      <m:oMath>
        <m:box>
          <m:boxPr>
            <m:noBreak m:val="1"/>
          </m:boxPr>
          <m:e>
            <m:r>
              <w:rPr>
                <w:rFonts w:ascii="Cambria Math" w:hAnsi="Cambria Math" w:eastAsia="宋体"/>
                <w:sz w:val="24"/>
              </w:rPr>
              <m:t>j</m:t>
            </m:r>
          </m:e>
        </m:box>
      </m:oMath>
      <w:r>
        <w:t>且控制关系已核实的企业业务—地区记录集合。各记录通过GB2017、ISIC Rev.4及模型部门对照确定归属，外国和国内控制生产分别为：</w:t>
      </w:r>
    </w:p>
    <w:p>
      <w:pPr>
        <w:pStyle w:val="Equation"/>
        <w:keepNext/>
      </w:pPr>
      <w:r>
        <w:tab/>
      </w:r>
      <m:oMath>
        <m:sSub>
          <m:e>
            <m:r>
              <w:rPr>
                <w:rFonts w:ascii="Cambria Math" w:hAnsi="Cambria Math" w:eastAsia="宋体"/>
                <w:sz w:val="23"/>
              </w:rPr>
              <m:t>F</m:t>
            </m:r>
          </m:e>
          <m:sub>
            <m:r>
              <w:rPr>
                <w:rFonts w:ascii="Cambria Math" w:hAnsi="Cambria Math" w:eastAsia="宋体"/>
                <w:sz w:val="23"/>
              </w:rPr>
              <m:t>jt</m:t>
            </m:r>
          </m:sub>
        </m:sSub>
        <m:r>
          <w:rPr>
            <w:rFonts w:ascii="Cambria Math" w:hAnsi="Cambria Math" w:eastAsia="宋体"/>
            <w:sz w:val="23"/>
          </w:rPr>
          <m:t>=</m:t>
        </m:r>
        <m:nary>
          <m:naryPr>
            <m:chr m:val="∑"/>
            <m:limLoc m:val="undOvr"/>
            <m:grow m:val="1"/>
            <m:subHide m:val="off"/>
            <m:supHide m:val="on"/>
          </m:naryPr>
          <m:sub>
            <m:r>
              <w:rPr>
                <w:rFonts w:ascii="Cambria Math" w:hAnsi="Cambria Math" w:eastAsia="宋体"/>
                <w:sz w:val="23"/>
              </w:rPr>
              <m:t>(f,ℓ,r)∈</m:t>
            </m:r>
            <m:sSub>
              <m:e>
                <m:r>
                  <w:rPr>
                    <w:rFonts w:ascii="Cambria Math" w:hAnsi="Cambria Math" w:eastAsia="宋体"/>
                    <w:sz w:val="23"/>
                  </w:rPr>
                  <m:rPr>
                    <m:scr m:val="script"/>
                  </m:rPr>
                  <m:t>B</m:t>
                </m:r>
              </m:e>
              <m:sub>
                <m:r>
                  <w:rPr>
                    <w:rFonts w:ascii="Cambria Math" w:hAnsi="Cambria Math" w:eastAsia="宋体"/>
                    <w:sz w:val="23"/>
                  </w:rPr>
                  <m:t>jt</m:t>
                </m:r>
              </m:sub>
            </m:sSub>
          </m:sub>
          <m:sup/>
          <m:e>
            <m:sSubSup>
              <m:e>
                <m:r>
                  <w:rPr>
                    <w:rFonts w:ascii="Cambria Math" w:hAnsi="Cambria Math" w:eastAsia="宋体"/>
                    <w:sz w:val="23"/>
                  </w:rPr>
                  <m:t>D</m:t>
                </m:r>
              </m:e>
              <m:sub>
                <m:r>
                  <w:rPr>
                    <w:rFonts w:ascii="Cambria Math" w:hAnsi="Cambria Math" w:eastAsia="宋体"/>
                    <w:sz w:val="23"/>
                  </w:rPr>
                  <m:t>ft</m:t>
                </m:r>
              </m:sub>
              <m:sup>
                <m:r>
                  <w:rPr>
                    <w:rFonts w:ascii="Cambria Math" w:hAnsi="Cambria Math" w:eastAsia="宋体"/>
                    <w:sz w:val="23"/>
                  </w:rPr>
                  <m:t>F</m:t>
                </m:r>
              </m:sup>
            </m:sSubSup>
          </m:e>
        </m:nary>
        <m:sSub>
          <m:e>
            <m:r>
              <w:rPr>
                <w:rFonts w:ascii="Cambria Math" w:hAnsi="Cambria Math" w:eastAsia="宋体"/>
                <w:sz w:val="23"/>
              </w:rPr>
              <m:t>Q</m:t>
            </m:r>
          </m:e>
          <m:sub>
            <m:r>
              <w:rPr>
                <w:rFonts w:ascii="Cambria Math" w:hAnsi="Cambria Math" w:eastAsia="宋体"/>
                <w:sz w:val="23"/>
              </w:rPr>
              <m:t>fℓrt</m:t>
            </m:r>
          </m:sub>
        </m:sSub>
        <m:r>
          <w:rPr>
            <w:rFonts w:ascii="Cambria Math" w:hAnsi="Cambria Math" w:eastAsia="宋体"/>
            <w:sz w:val="23"/>
          </w:rPr>
          <m:t>,</m:t>
        </m:r>
        <m:sSub>
          <m:e>
            <m:r>
              <w:rPr>
                <w:rFonts w:ascii="Cambria Math" w:hAnsi="Cambria Math" w:eastAsia="宋体"/>
                <w:sz w:val="23"/>
              </w:rPr>
              <m:t>D</m:t>
            </m:r>
          </m:e>
          <m:sub>
            <m:r>
              <w:rPr>
                <w:rFonts w:ascii="Cambria Math" w:hAnsi="Cambria Math" w:eastAsia="宋体"/>
                <w:sz w:val="23"/>
              </w:rPr>
              <m:t>jt</m:t>
            </m:r>
          </m:sub>
        </m:sSub>
        <m:r>
          <w:rPr>
            <w:rFonts w:ascii="Cambria Math" w:hAnsi="Cambria Math" w:eastAsia="宋体"/>
            <w:sz w:val="23"/>
          </w:rPr>
          <m:t>=</m:t>
        </m:r>
        <m:nary>
          <m:naryPr>
            <m:chr m:val="∑"/>
            <m:limLoc m:val="undOvr"/>
            <m:grow m:val="1"/>
            <m:subHide m:val="off"/>
            <m:supHide m:val="on"/>
          </m:naryPr>
          <m:sub>
            <m:r>
              <w:rPr>
                <w:rFonts w:ascii="Cambria Math" w:hAnsi="Cambria Math" w:eastAsia="宋体"/>
                <w:sz w:val="23"/>
              </w:rPr>
              <m:t>(f,ℓ,r)∈</m:t>
            </m:r>
            <m:sSub>
              <m:e>
                <m:r>
                  <w:rPr>
                    <w:rFonts w:ascii="Cambria Math" w:hAnsi="Cambria Math" w:eastAsia="宋体"/>
                    <w:sz w:val="23"/>
                  </w:rPr>
                  <m:rPr>
                    <m:scr m:val="script"/>
                  </m:rPr>
                  <m:t>B</m:t>
                </m:r>
              </m:e>
              <m:sub>
                <m:r>
                  <w:rPr>
                    <w:rFonts w:ascii="Cambria Math" w:hAnsi="Cambria Math" w:eastAsia="宋体"/>
                    <w:sz w:val="23"/>
                  </w:rPr>
                  <m:t>jt</m:t>
                </m:r>
              </m:sub>
            </m:sSub>
          </m:sub>
          <m:sup/>
          <m:e>
            <m:r>
              <w:rPr>
                <w:rFonts w:ascii="Cambria Math" w:hAnsi="Cambria Math" w:eastAsia="宋体"/>
                <w:sz w:val="23"/>
              </w:rPr>
              <m:t>(1-</m:t>
            </m:r>
          </m:e>
        </m:nary>
        <m:sSubSup>
          <m:e>
            <m:r>
              <w:rPr>
                <w:rFonts w:ascii="Cambria Math" w:hAnsi="Cambria Math" w:eastAsia="宋体"/>
                <w:sz w:val="23"/>
              </w:rPr>
              <m:t>D</m:t>
            </m:r>
          </m:e>
          <m:sub>
            <m:r>
              <w:rPr>
                <w:rFonts w:ascii="Cambria Math" w:hAnsi="Cambria Math" w:eastAsia="宋体"/>
                <w:sz w:val="23"/>
              </w:rPr>
              <m:t>ft</m:t>
            </m:r>
          </m:sub>
          <m:sup>
            <m:r>
              <w:rPr>
                <w:rFonts w:ascii="Cambria Math" w:hAnsi="Cambria Math" w:eastAsia="宋体"/>
                <w:sz w:val="23"/>
              </w:rPr>
              <m:t>F</m:t>
            </m:r>
          </m:sup>
        </m:sSubSup>
        <m:r>
          <w:rPr>
            <w:rFonts w:ascii="Cambria Math" w:hAnsi="Cambria Math" w:eastAsia="宋体"/>
            <w:sz w:val="23"/>
          </w:rPr>
          <m:t>)</m:t>
        </m:r>
        <m:sSub>
          <m:e>
            <m:r>
              <w:rPr>
                <w:rFonts w:ascii="Cambria Math" w:hAnsi="Cambria Math" w:eastAsia="宋体"/>
                <w:sz w:val="23"/>
              </w:rPr>
              <m:t>Q</m:t>
            </m:r>
          </m:e>
          <m:sub>
            <m:r>
              <w:rPr>
                <w:rFonts w:ascii="Cambria Math" w:hAnsi="Cambria Math" w:eastAsia="宋体"/>
                <w:sz w:val="23"/>
              </w:rPr>
              <m:t>fℓrt</m:t>
            </m:r>
          </m:sub>
        </m:sSub>
        <m:r>
          <w:rPr>
            <w:rFonts w:ascii="Cambria Math" w:hAnsi="Cambria Math" w:eastAsia="宋体"/>
            <w:sz w:val="23"/>
          </w:rPr>
          <m:t>.</m:t>
        </m:r>
      </m:oMath>
      <w:r>
        <w:tab/>
        <w:t>(A7)</w:t>
      </w:r>
    </w:p>
    <w:p>
      <w:pPr>
        <w:keepNext/>
      </w:pPr>
      <w:r>
        <w:t>两组生产使用相同币值、价格年份和估值口径。多个小类归入同一部门时，先加总生产价值，再计算外国控制生产份额：</w:t>
      </w:r>
    </w:p>
    <w:p>
      <w:pPr>
        <w:pStyle w:val="Equation"/>
        <w:keepNext/>
      </w:pPr>
      <w:r>
        <w:tab/>
      </w:r>
      <m:oMath>
        <m:sSubSup>
          <m:e>
            <m:r>
              <w:rPr>
                <w:rFonts w:ascii="Cambria Math" w:hAnsi="Cambria Math" w:eastAsia="宋体"/>
                <w:sz w:val="23"/>
              </w:rPr>
              <m:t>M</m:t>
            </m:r>
          </m:e>
          <m:sub>
            <m:r>
              <w:rPr>
                <w:rFonts w:ascii="Cambria Math" w:hAnsi="Cambria Math" w:eastAsia="宋体"/>
                <w:sz w:val="23"/>
              </w:rPr>
              <m:t>jt</m:t>
            </m:r>
          </m:sub>
          <m:sup>
            <m:r>
              <w:rPr>
                <w:rFonts w:ascii="Cambria Math" w:hAnsi="Cambria Math" w:eastAsia="宋体"/>
                <w:sz w:val="23"/>
              </w:rPr>
              <m:rPr>
                <m:sty m:val="p"/>
              </m:rPr>
              <m:t>obs</m:t>
            </m:r>
          </m:sup>
        </m:sSubSup>
        <m:r>
          <w:rPr>
            <w:rFonts w:ascii="Cambria Math" w:hAnsi="Cambria Math" w:eastAsia="宋体"/>
            <w:sz w:val="23"/>
          </w:rPr>
          <m:t>=</m:t>
        </m:r>
        <m:f>
          <m:fPr>
            <m:type m:val="bar"/>
          </m:fPr>
          <m:num>
            <m:sSub>
              <m:e>
                <m:r>
                  <w:rPr>
                    <w:rFonts w:ascii="Cambria Math" w:hAnsi="Cambria Math" w:eastAsia="宋体"/>
                    <w:sz w:val="23"/>
                  </w:rPr>
                  <m:t>F</m:t>
                </m:r>
              </m:e>
              <m:sub>
                <m:r>
                  <w:rPr>
                    <w:rFonts w:ascii="Cambria Math" w:hAnsi="Cambria Math" w:eastAsia="宋体"/>
                    <w:sz w:val="23"/>
                  </w:rPr>
                  <m:t>jt</m:t>
                </m:r>
              </m:sub>
            </m:sSub>
          </m:num>
          <m:den>
            <m:sSub>
              <m:e>
                <m:r>
                  <w:rPr>
                    <w:rFonts w:ascii="Cambria Math" w:hAnsi="Cambria Math" w:eastAsia="宋体"/>
                    <w:sz w:val="23"/>
                  </w:rPr>
                  <m:t>F</m:t>
                </m:r>
              </m:e>
              <m:sub>
                <m:r>
                  <w:rPr>
                    <w:rFonts w:ascii="Cambria Math" w:hAnsi="Cambria Math" w:eastAsia="宋体"/>
                    <w:sz w:val="23"/>
                  </w:rPr>
                  <m:t>jt</m:t>
                </m:r>
              </m:sub>
            </m:sSub>
            <m:r>
              <w:rPr>
                <w:rFonts w:ascii="Cambria Math" w:hAnsi="Cambria Math" w:eastAsia="宋体"/>
                <w:sz w:val="23"/>
              </w:rPr>
              <m:t>+</m:t>
            </m:r>
            <m:sSub>
              <m:e>
                <m:r>
                  <w:rPr>
                    <w:rFonts w:ascii="Cambria Math" w:hAnsi="Cambria Math" w:eastAsia="宋体"/>
                    <w:sz w:val="23"/>
                  </w:rPr>
                  <m:t>D</m:t>
                </m:r>
              </m:e>
              <m:sub>
                <m:r>
                  <w:rPr>
                    <w:rFonts w:ascii="Cambria Math" w:hAnsi="Cambria Math" w:eastAsia="宋体"/>
                    <w:sz w:val="23"/>
                  </w:rPr>
                  <m:t>jt</m:t>
                </m:r>
              </m:sub>
            </m:sSub>
          </m:den>
        </m:f>
        <m:r>
          <w:rPr>
            <w:rFonts w:ascii="Cambria Math" w:hAnsi="Cambria Math" w:eastAsia="宋体"/>
            <w:sz w:val="23"/>
          </w:rPr>
          <m:t>.</m:t>
        </m:r>
      </m:oMath>
      <w:r>
        <w:tab/>
        <w:t>(A8)</w:t>
      </w:r>
    </w:p>
    <w:p>
      <w:pPr/>
      <w:r>
        <w:t>控制关系或部门归属未确定的产出单列，说明其对覆盖的影响；分母为零时份额未定义。跨部门份额同样先加总产出再求比例，每笔产出计入一次。</w:t>
      </w:r>
    </w:p>
    <w:p>
      <w:pPr>
        <w:keepNext/>
      </w:pPr>
      <w:r>
        <w:t>为识别本轮改革的生产变化，分别预测有改革和无改革的外国、国内控制产出。两种情景采用相同范围和其他条件，改变式（A5）或式（A6）的政策项。以</w:t>
      </w:r>
      <m:oMath>
        <m:box>
          <m:boxPr>
            <m:noBreak m:val="1"/>
          </m:boxPr>
          <m:e>
            <m:r>
              <w:rPr>
                <w:rFonts w:ascii="Cambria Math" w:hAnsi="Cambria Math" w:eastAsia="宋体"/>
                <w:sz w:val="24"/>
              </w:rPr>
              <m:t>a=1</m:t>
            </m:r>
          </m:e>
        </m:box>
      </m:oMath>
      <w:r>
        <w:t>和</w:t>
      </w:r>
      <m:oMath>
        <m:box>
          <m:boxPr>
            <m:noBreak m:val="1"/>
          </m:boxPr>
          <m:e>
            <m:r>
              <w:rPr>
                <w:rFonts w:ascii="Cambria Math" w:hAnsi="Cambria Math" w:eastAsia="宋体"/>
                <w:sz w:val="24"/>
              </w:rPr>
              <m:t>a=0</m:t>
            </m:r>
          </m:e>
        </m:box>
      </m:oMath>
      <w:r>
        <w:t>表示两种情景，</w:t>
      </w:r>
      <m:oMath>
        <m:box>
          <m:boxPr>
            <m:noBreak m:val="1"/>
          </m:boxPr>
          <m:e>
            <m:r>
              <w:rPr>
                <w:rFonts w:ascii="Cambria Math" w:hAnsi="Cambria Math" w:eastAsia="宋体"/>
                <w:sz w:val="24"/>
              </w:rPr>
              <m:t>g</m:t>
            </m:r>
          </m:e>
        </m:box>
      </m:oMath>
      <w:r>
        <w:t>为相应规格中的产出单元，</w:t>
      </w:r>
      <m:oMath>
        <m:box>
          <m:boxPr>
            <m:noBreak m:val="1"/>
          </m:boxPr>
          <m:e>
            <m:sSub>
              <m:e>
                <m:r>
                  <w:rPr>
                    <w:rFonts w:ascii="Cambria Math" w:hAnsi="Cambria Math" w:eastAsia="宋体"/>
                    <w:sz w:val="24"/>
                  </w:rPr>
                  <m:rPr>
                    <m:scr m:val="script"/>
                  </m:rPr>
                  <m:t>S</m:t>
                </m:r>
              </m:e>
              <m:sub>
                <m:r>
                  <w:rPr>
                    <w:rFonts w:ascii="Cambria Math" w:hAnsi="Cambria Math" w:eastAsia="宋体"/>
                    <w:sz w:val="24"/>
                  </w:rPr>
                  <m:t>j</m:t>
                </m:r>
              </m:sub>
            </m:sSub>
          </m:e>
        </m:box>
      </m:oMath>
      <w:r>
        <w:t>为事先确定的部门</w:t>
      </w:r>
      <m:oMath>
        <m:box>
          <m:boxPr>
            <m:noBreak m:val="1"/>
          </m:boxPr>
          <m:e>
            <m:r>
              <w:rPr>
                <w:rFonts w:ascii="Cambria Math" w:hAnsi="Cambria Math" w:eastAsia="宋体"/>
                <w:sz w:val="24"/>
              </w:rPr>
              <m:t>j</m:t>
            </m:r>
          </m:e>
        </m:box>
      </m:oMath>
      <w:r>
        <w:t>的共同生产范围。在该范围内形成完整且有依据的两组预测后，计算：</w:t>
      </w:r>
    </w:p>
    <w:p>
      <w:pPr>
        <w:pStyle w:val="Equation"/>
        <w:keepNext/>
      </w:pPr>
      <w:r>
        <w:tab/>
      </w:r>
      <m:oMath>
        <m:sSubSup>
          <m:e>
            <m:acc>
              <m:accPr>
                <m:chr m:val="̂"/>
              </m:accPr>
              <m:e>
                <m:r>
                  <w:rPr>
                    <w:rFonts w:ascii="Cambria Math" w:hAnsi="Cambria Math" w:eastAsia="宋体"/>
                    <w:sz w:val="23"/>
                  </w:rPr>
                  <m:t>M</m:t>
                </m:r>
              </m:e>
            </m:acc>
          </m:e>
          <m:sub>
            <m:r>
              <w:rPr>
                <w:rFonts w:ascii="Cambria Math" w:hAnsi="Cambria Math" w:eastAsia="宋体"/>
                <w:sz w:val="23"/>
              </w:rPr>
              <m:t>jt</m:t>
            </m:r>
          </m:sub>
          <m:sup>
            <m:r>
              <w:rPr>
                <w:rFonts w:ascii="Cambria Math" w:hAnsi="Cambria Math" w:eastAsia="宋体"/>
                <w:sz w:val="23"/>
              </w:rPr>
              <m:t>a</m:t>
            </m:r>
          </m:sup>
        </m:sSubSup>
        <m:r>
          <w:rPr>
            <w:rFonts w:ascii="Cambria Math" w:hAnsi="Cambria Math" w:eastAsia="宋体"/>
            <w:sz w:val="23"/>
          </w:rPr>
          <m:t>=</m:t>
        </m:r>
        <m:f>
          <m:fPr>
            <m:type m:val="bar"/>
          </m:fPr>
          <m:num>
            <m:nary>
              <m:naryPr>
                <m:chr m:val="∑"/>
                <m:limLoc m:val="undOvr"/>
                <m:grow m:val="1"/>
                <m:subHide m:val="off"/>
                <m:supHide m:val="on"/>
              </m:naryPr>
              <m:sub>
                <m:r>
                  <w:rPr>
                    <w:rFonts w:ascii="Cambria Math" w:hAnsi="Cambria Math" w:eastAsia="宋体"/>
                    <w:sz w:val="23"/>
                  </w:rPr>
                  <m:t>g∈</m:t>
                </m:r>
                <m:sSub>
                  <m:e>
                    <m:r>
                      <w:rPr>
                        <w:rFonts w:ascii="Cambria Math" w:hAnsi="Cambria Math" w:eastAsia="宋体"/>
                        <w:sz w:val="23"/>
                      </w:rPr>
                      <m:rPr>
                        <m:scr m:val="script"/>
                      </m:rPr>
                      <m:t>S</m:t>
                    </m:r>
                  </m:e>
                  <m:sub>
                    <m:r>
                      <w:rPr>
                        <w:rFonts w:ascii="Cambria Math" w:hAnsi="Cambria Math" w:eastAsia="宋体"/>
                        <w:sz w:val="23"/>
                      </w:rPr>
                      <m:t>j</m:t>
                    </m:r>
                  </m:sub>
                </m:sSub>
              </m:sub>
              <m:sup/>
              <m:e>
                <m:sSubSup>
                  <m:e>
                    <m:acc>
                      <m:accPr>
                        <m:chr m:val="̂"/>
                      </m:accPr>
                      <m:e>
                        <m:r>
                          <w:rPr>
                            <w:rFonts w:ascii="Cambria Math" w:hAnsi="Cambria Math" w:eastAsia="宋体"/>
                            <w:sz w:val="23"/>
                          </w:rPr>
                          <m:t>F</m:t>
                        </m:r>
                      </m:e>
                    </m:acc>
                  </m:e>
                  <m:sub>
                    <m:r>
                      <w:rPr>
                        <w:rFonts w:ascii="Cambria Math" w:hAnsi="Cambria Math" w:eastAsia="宋体"/>
                        <w:sz w:val="23"/>
                      </w:rPr>
                      <m:t>gt</m:t>
                    </m:r>
                  </m:sub>
                  <m:sup>
                    <m:r>
                      <w:rPr>
                        <w:rFonts w:ascii="Cambria Math" w:hAnsi="Cambria Math" w:eastAsia="宋体"/>
                        <w:sz w:val="23"/>
                      </w:rPr>
                      <m:t>a</m:t>
                    </m:r>
                  </m:sup>
                </m:sSubSup>
              </m:e>
            </m:nary>
          </m:num>
          <m:den>
            <m:nary>
              <m:naryPr>
                <m:chr m:val="∑"/>
                <m:limLoc m:val="undOvr"/>
                <m:grow m:val="1"/>
                <m:subHide m:val="off"/>
                <m:supHide m:val="on"/>
              </m:naryPr>
              <m:sub>
                <m:r>
                  <w:rPr>
                    <w:rFonts w:ascii="Cambria Math" w:hAnsi="Cambria Math" w:eastAsia="宋体"/>
                    <w:sz w:val="23"/>
                  </w:rPr>
                  <m:t>g∈</m:t>
                </m:r>
                <m:sSub>
                  <m:e>
                    <m:r>
                      <w:rPr>
                        <w:rFonts w:ascii="Cambria Math" w:hAnsi="Cambria Math" w:eastAsia="宋体"/>
                        <w:sz w:val="23"/>
                      </w:rPr>
                      <m:rPr>
                        <m:scr m:val="script"/>
                      </m:rPr>
                      <m:t>S</m:t>
                    </m:r>
                  </m:e>
                  <m:sub>
                    <m:r>
                      <w:rPr>
                        <w:rFonts w:ascii="Cambria Math" w:hAnsi="Cambria Math" w:eastAsia="宋体"/>
                        <w:sz w:val="23"/>
                      </w:rPr>
                      <m:t>j</m:t>
                    </m:r>
                  </m:sub>
                </m:sSub>
              </m:sub>
              <m:sup/>
              <m:e>
                <m:r>
                  <w:rPr>
                    <w:rFonts w:ascii="Cambria Math" w:hAnsi="Cambria Math" w:eastAsia="宋体"/>
                    <w:sz w:val="23"/>
                  </w:rPr>
                  <m:t>(</m:t>
                </m:r>
              </m:e>
            </m:nary>
            <m:sSubSup>
              <m:e>
                <m:acc>
                  <m:accPr>
                    <m:chr m:val="̂"/>
                  </m:accPr>
                  <m:e>
                    <m:r>
                      <w:rPr>
                        <w:rFonts w:ascii="Cambria Math" w:hAnsi="Cambria Math" w:eastAsia="宋体"/>
                        <w:sz w:val="23"/>
                      </w:rPr>
                      <m:t>F</m:t>
                    </m:r>
                  </m:e>
                </m:acc>
              </m:e>
              <m:sub>
                <m:r>
                  <w:rPr>
                    <w:rFonts w:ascii="Cambria Math" w:hAnsi="Cambria Math" w:eastAsia="宋体"/>
                    <w:sz w:val="23"/>
                  </w:rPr>
                  <m:t>gt</m:t>
                </m:r>
              </m:sub>
              <m:sup>
                <m:r>
                  <w:rPr>
                    <w:rFonts w:ascii="Cambria Math" w:hAnsi="Cambria Math" w:eastAsia="宋体"/>
                    <w:sz w:val="23"/>
                  </w:rPr>
                  <m:t>a</m:t>
                </m:r>
              </m:sup>
            </m:sSubSup>
            <m:r>
              <w:rPr>
                <w:rFonts w:ascii="Cambria Math" w:hAnsi="Cambria Math" w:eastAsia="宋体"/>
                <w:sz w:val="23"/>
              </w:rPr>
              <m:t>+</m:t>
            </m:r>
            <m:sSubSup>
              <m:e>
                <m:acc>
                  <m:accPr>
                    <m:chr m:val="̂"/>
                  </m:accPr>
                  <m:e>
                    <m:r>
                      <w:rPr>
                        <w:rFonts w:ascii="Cambria Math" w:hAnsi="Cambria Math" w:eastAsia="宋体"/>
                        <w:sz w:val="23"/>
                      </w:rPr>
                      <m:t>D</m:t>
                    </m:r>
                  </m:e>
                </m:acc>
              </m:e>
              <m:sub>
                <m:r>
                  <w:rPr>
                    <w:rFonts w:ascii="Cambria Math" w:hAnsi="Cambria Math" w:eastAsia="宋体"/>
                    <w:sz w:val="23"/>
                  </w:rPr>
                  <m:t>gt</m:t>
                </m:r>
              </m:sub>
              <m:sup>
                <m:r>
                  <w:rPr>
                    <w:rFonts w:ascii="Cambria Math" w:hAnsi="Cambria Math" w:eastAsia="宋体"/>
                    <w:sz w:val="23"/>
                  </w:rPr>
                  <m:t>a</m:t>
                </m:r>
              </m:sup>
            </m:sSubSup>
            <m:r>
              <w:rPr>
                <w:rFonts w:ascii="Cambria Math" w:hAnsi="Cambria Math" w:eastAsia="宋体"/>
                <w:sz w:val="23"/>
              </w:rPr>
              <m:t>)</m:t>
            </m:r>
          </m:den>
        </m:f>
        <m:r>
          <w:rPr>
            <w:rFonts w:ascii="Cambria Math" w:hAnsi="Cambria Math" w:eastAsia="宋体"/>
            <w:sz w:val="23"/>
          </w:rPr>
          <m:t>,</m:t>
        </m:r>
        <m:r>
          <w:rPr>
            <w:rFonts w:ascii="Cambria Math" w:hAnsi="Cambria Math" w:eastAsia="宋体"/>
            <w:sz w:val="23"/>
          </w:rPr>
          <m:t>a∈{0,1}.</m:t>
        </m:r>
      </m:oMath>
      <w:r>
        <w:tab/>
        <w:t>(A9)</w:t>
      </w:r>
    </w:p>
    <w:p>
      <w:pPr/>
      <w:r>
        <w:t>行业总生产已包含原有企业生产，两类结果不直接相加。部门目标使用完整部门范围；企业或部分行业估计之外的产出，依据完整行业资料补充，并说明相应假设。例如，将未覆盖产出在两种情景下保持不变，是一项额外假设。完整目标缺乏依据的部门保留微观及行业结果。图A1概括这一衔接。</w:t>
      </w:r>
    </w:p>
    <w:tbl>
      <w:tblPr>
        <w:tblW w:type="auto" w:w="0"/>
        <w:jc w:val="center"/>
        <w:tblLayout w:type="fixed"/>
        <w:tblLook w:firstColumn="1" w:firstRow="1" w:lastColumn="0" w:lastRow="0" w:noHBand="0" w:noVBand="1" w:val="04A0"/>
      </w:tblPr>
      <w:tblGrid>
        <w:gridCol w:w="4680"/>
        <w:gridCol w:w="4680"/>
      </w:tblGrid>
      <w:tr>
        <w:trPr>
          <w:cantSplit/>
        </w:trPr>
        <w:tc>
          <w:tcPr>
            <w:tcW w:type="dxa" w:w="9360"/>
            <w:vAlign w:val="center"/>
            <w:gridSpan w:val="2"/>
            <w:tcMar>
              <w:top w:w="65" w:type="dxa"/>
              <w:bottom w:w="65" w:type="dxa"/>
              <w:left w:w="95" w:type="dxa"/>
              <w:right w:w="95" w:type="dxa"/>
            </w:tcMar>
            <w:tcBorders>
              <w:top w:val="single" w:sz="5" w:color="8497AB"/>
              <w:left w:val="single" w:sz="5" w:color="8497AB"/>
              <w:bottom w:val="single" w:sz="5" w:color="8497AB"/>
              <w:right w:val="single" w:sz="5" w:color="8497AB"/>
            </w:tcBorders>
            <w:shd w:fill="EEF2F6"/>
          </w:tcPr>
          <w:p>
            <w:pPr>
              <w:keepNext/>
              <w:keepLines/>
              <w:spacing w:line="264" w:lineRule="auto" w:before="0" w:after="0"/>
              <w:ind w:firstLine="0"/>
              <w:jc w:val="center"/>
            </w:pPr>
            <w:r>
              <w:rPr>
                <w:sz w:val="21"/>
              </w:rPr>
              <w:t>2007版、2011年草案与正式目录分别编码</w:t>
              <w:br/>
              <w:t>政策文本 → GB2017 → 业务适用判断</w:t>
            </w:r>
          </w:p>
        </w:tc>
      </w:tr>
      <w:tr>
        <w:trPr>
          <w:cantSplit/>
        </w:trPr>
        <w:tc>
          <w:tcPr>
            <w:tcW w:type="dxa" w:w="9360"/>
            <w:vAlign w:val="center"/>
            <w:gridSpan w:val="2"/>
            <w:tcMar>
              <w:top w:w="65" w:type="dxa"/>
              <w:bottom w:w="65" w:type="dxa"/>
              <w:left w:w="95" w:type="dxa"/>
              <w:right w:w="95" w:type="dxa"/>
            </w:tcMar>
          </w:tcPr>
          <w:p>
            <w:pPr>
              <w:keepNext/>
              <w:keepLines/>
              <w:spacing w:line="264" w:lineRule="auto" w:before="0" w:after="0"/>
              <w:ind w:firstLine="0"/>
              <w:jc w:val="center"/>
            </w:pPr>
            <w:r>
              <w:rPr>
                <w:sz w:val="21"/>
              </w:rPr>
              <w:t>↓</w:t>
            </w:r>
          </w:p>
        </w:tc>
      </w:tr>
      <w:tr>
        <w:trPr>
          <w:cantSplit/>
        </w:trPr>
        <w:tc>
          <w:tcPr>
            <w:tcW w:type="dxa" w:w="9360"/>
            <w:vAlign w:val="center"/>
            <w:gridSpan w:val="2"/>
            <w:tcMar>
              <w:top w:w="65" w:type="dxa"/>
              <w:bottom w:w="65" w:type="dxa"/>
              <w:left w:w="95" w:type="dxa"/>
              <w:right w:w="95" w:type="dxa"/>
            </w:tcMar>
            <w:tcBorders>
              <w:top w:val="single" w:sz="5" w:color="8497AB"/>
              <w:left w:val="single" w:sz="5" w:color="8497AB"/>
              <w:bottom w:val="single" w:sz="5" w:color="8497AB"/>
              <w:right w:val="single" w:sz="5" w:color="8497AB"/>
            </w:tcBorders>
            <w:shd w:fill="EEF2F6"/>
          </w:tcPr>
          <w:p>
            <w:pPr>
              <w:keepNext/>
              <w:keepLines/>
              <w:spacing w:line="264" w:lineRule="auto" w:before="0" w:after="0"/>
              <w:ind w:firstLine="0"/>
              <w:jc w:val="center"/>
            </w:pPr>
            <w:r>
              <w:rPr>
                <w:sz w:val="21"/>
              </w:rPr>
              <w:t>固定2010年或更早的企业业务及适用条件</w:t>
              <w:br/>
              <w:t>确定处理身份和2007—2014年观察窗口</w:t>
            </w:r>
          </w:p>
        </w:tc>
      </w:tr>
      <w:tr>
        <w:trPr>
          <w:cantSplit/>
        </w:trPr>
        <w:tc>
          <w:tcPr>
            <w:tcW w:type="dxa" w:w="9360"/>
            <w:vAlign w:val="center"/>
            <w:gridSpan w:val="2"/>
            <w:tcMar>
              <w:top w:w="65" w:type="dxa"/>
              <w:bottom w:w="65" w:type="dxa"/>
              <w:left w:w="95" w:type="dxa"/>
              <w:right w:w="95" w:type="dxa"/>
            </w:tcMar>
          </w:tcPr>
          <w:p>
            <w:pPr>
              <w:keepNext/>
              <w:keepLines/>
              <w:spacing w:line="264" w:lineRule="auto" w:before="0" w:after="0"/>
              <w:ind w:firstLine="0"/>
              <w:jc w:val="center"/>
            </w:pPr>
            <w:r>
              <w:rPr>
                <w:sz w:val="21"/>
              </w:rPr>
              <w:t>↓</w:t>
            </w:r>
          </w:p>
        </w:tc>
      </w:tr>
      <w:tr>
        <w:trPr>
          <w:cantSplit/>
        </w:trPr>
        <w:tc>
          <w:tcPr>
            <w:tcW w:type="dxa" w:w="4680"/>
            <w:vAlign w:val="center"/>
            <w:tcMar>
              <w:top w:w="65" w:type="dxa"/>
              <w:bottom w:w="65" w:type="dxa"/>
              <w:left w:w="95" w:type="dxa"/>
              <w:right w:w="95" w:type="dxa"/>
            </w:tcMar>
            <w:tcBorders>
              <w:top w:val="single" w:sz="5" w:color="8497AB"/>
              <w:left w:val="single" w:sz="5" w:color="8497AB"/>
              <w:bottom w:val="single" w:sz="5" w:color="8497AB"/>
              <w:right w:val="single" w:sz="5" w:color="8497AB"/>
            </w:tcBorders>
            <w:shd w:fill="FFFFFF"/>
          </w:tcPr>
          <w:p>
            <w:pPr>
              <w:keepNext/>
              <w:keepLines/>
              <w:spacing w:line="264" w:lineRule="auto" w:before="0" w:after="0"/>
              <w:ind w:firstLine="0"/>
              <w:jc w:val="center"/>
            </w:pPr>
            <w:r>
              <w:rPr>
                <w:sz w:val="21"/>
              </w:rPr>
              <w:t>企业—年份DID与年度动态</w:t>
              <w:br/>
              <w:t>2011年信息起点，2010年动态参照</w:t>
            </w:r>
          </w:p>
        </w:tc>
        <w:tc>
          <w:tcPr>
            <w:tcW w:type="dxa" w:w="4680"/>
            <w:vAlign w:val="center"/>
            <w:tcMar>
              <w:top w:w="65" w:type="dxa"/>
              <w:bottom w:w="65" w:type="dxa"/>
              <w:left w:w="95" w:type="dxa"/>
              <w:right w:w="95" w:type="dxa"/>
            </w:tcMar>
            <w:tcBorders>
              <w:top w:val="single" w:sz="5" w:color="8497AB"/>
              <w:left w:val="single" w:sz="5" w:color="8497AB"/>
              <w:bottom w:val="single" w:sz="5" w:color="8497AB"/>
              <w:right w:val="single" w:sz="5" w:color="8497AB"/>
            </w:tcBorders>
            <w:shd w:fill="FFFFFF"/>
          </w:tcPr>
          <w:p>
            <w:pPr>
              <w:keepNext/>
              <w:keepLines/>
              <w:spacing w:line="264" w:lineRule="auto" w:before="0" w:after="0"/>
              <w:ind w:firstLine="0"/>
              <w:jc w:val="center"/>
            </w:pPr>
            <w:r>
              <w:rPr>
                <w:sz w:val="21"/>
              </w:rPr>
              <w:t>行业补充分析</w:t>
              <w:br/>
              <w:t>当期全部经营企业，包括新设企业</w:t>
            </w:r>
          </w:p>
        </w:tc>
      </w:tr>
      <w:tr>
        <w:trPr>
          <w:cantSplit/>
        </w:trPr>
        <w:tc>
          <w:tcPr>
            <w:tcW w:type="dxa" w:w="4680"/>
            <w:vAlign w:val="center"/>
            <w:tcMar>
              <w:top w:w="65" w:type="dxa"/>
              <w:bottom w:w="65" w:type="dxa"/>
              <w:left w:w="95" w:type="dxa"/>
              <w:right w:w="95" w:type="dxa"/>
            </w:tcMar>
            <w:tcBorders>
              <w:top w:val="single" w:sz="5" w:color="8497AB"/>
              <w:left w:val="single" w:sz="5" w:color="8497AB"/>
              <w:bottom w:val="single" w:sz="5" w:color="8497AB"/>
              <w:right w:val="single" w:sz="5" w:color="8497AB"/>
            </w:tcBorders>
            <w:shd w:fill="FFFFFF"/>
          </w:tcPr>
          <w:p>
            <w:pPr>
              <w:keepNext/>
              <w:keepLines/>
              <w:spacing w:line="264" w:lineRule="auto" w:before="0" w:after="0"/>
              <w:ind w:firstLine="0"/>
              <w:jc w:val="center"/>
            </w:pPr>
            <w:r>
              <w:rPr>
                <w:sz w:val="21"/>
              </w:rPr>
              <w:t>原有企业的生产、投资和控制权</w:t>
              <w:br/>
              <w:t>外国与国内生产分别估计和预测</w:t>
            </w:r>
          </w:p>
        </w:tc>
        <w:tc>
          <w:tcPr>
            <w:tcW w:type="dxa" w:w="4680"/>
            <w:vAlign w:val="center"/>
            <w:tcMar>
              <w:top w:w="65" w:type="dxa"/>
              <w:bottom w:w="65" w:type="dxa"/>
              <w:left w:w="95" w:type="dxa"/>
              <w:right w:w="95" w:type="dxa"/>
            </w:tcMar>
            <w:tcBorders>
              <w:top w:val="single" w:sz="5" w:color="8497AB"/>
              <w:left w:val="single" w:sz="5" w:color="8497AB"/>
              <w:bottom w:val="single" w:sz="5" w:color="8497AB"/>
              <w:right w:val="single" w:sz="5" w:color="8497AB"/>
            </w:tcBorders>
            <w:shd w:fill="FFFFFF"/>
          </w:tcPr>
          <w:p>
            <w:pPr>
              <w:keepNext/>
              <w:keepLines/>
              <w:spacing w:line="264" w:lineRule="auto" w:before="0" w:after="0"/>
              <w:ind w:firstLine="0"/>
              <w:jc w:val="center"/>
            </w:pPr>
            <w:r>
              <w:rPr>
                <w:sz w:val="21"/>
              </w:rPr>
              <w:t>行业总生产与份额</w:t>
              <w:br/>
              <w:t>依据实际业务归入模型部门</w:t>
            </w:r>
          </w:p>
        </w:tc>
      </w:tr>
      <w:tr>
        <w:trPr>
          <w:cantSplit/>
        </w:trPr>
        <w:tc>
          <w:tcPr>
            <w:tcW w:type="dxa" w:w="9360"/>
            <w:vAlign w:val="center"/>
            <w:gridSpan w:val="2"/>
            <w:tcMar>
              <w:top w:w="65" w:type="dxa"/>
              <w:bottom w:w="65" w:type="dxa"/>
              <w:left w:w="95" w:type="dxa"/>
              <w:right w:w="95" w:type="dxa"/>
            </w:tcMar>
            <w:tcBorders>
              <w:top w:val="single" w:sz="5" w:color="8497AB"/>
              <w:left w:val="single" w:sz="5" w:color="8497AB"/>
              <w:bottom w:val="single" w:sz="5" w:color="8497AB"/>
              <w:right w:val="single" w:sz="5" w:color="8497AB"/>
            </w:tcBorders>
            <w:shd w:fill="EEF2F6"/>
          </w:tcPr>
          <w:p>
            <w:pPr>
              <w:keepNext/>
              <w:keepLines/>
              <w:spacing w:line="264" w:lineRule="auto" w:before="0" w:after="0"/>
              <w:ind w:firstLine="0"/>
              <w:jc w:val="center"/>
            </w:pPr>
            <w:r>
              <w:rPr>
                <w:sz w:val="21"/>
              </w:rPr>
              <w:t>统一2014年部门生产目标及模型口径</w:t>
              <w:br/>
              <w:t>核对产出覆盖和均衡条件</w:t>
            </w:r>
          </w:p>
        </w:tc>
      </w:tr>
      <w:tr>
        <w:trPr>
          <w:cantSplit/>
        </w:trPr>
        <w:tc>
          <w:tcPr>
            <w:tcW w:type="dxa" w:w="9360"/>
            <w:vAlign w:val="center"/>
            <w:gridSpan w:val="2"/>
            <w:tcMar>
              <w:top w:w="65" w:type="dxa"/>
              <w:bottom w:w="65" w:type="dxa"/>
              <w:left w:w="95" w:type="dxa"/>
              <w:right w:w="95" w:type="dxa"/>
            </w:tcMar>
            <w:tcBorders>
              <w:top w:val="single" w:sz="5" w:color="8497AB"/>
              <w:left w:val="single" w:sz="5" w:color="8497AB"/>
              <w:bottom w:val="single" w:sz="5" w:color="8497AB"/>
              <w:right w:val="single" w:sz="5" w:color="8497AB"/>
            </w:tcBorders>
            <w:shd w:fill="FFFFFF"/>
          </w:tcPr>
          <w:p>
            <w:pPr>
              <w:keepNext/>
              <w:keepLines/>
              <w:spacing w:line="264" w:lineRule="auto" w:before="0" w:after="0"/>
              <w:ind w:firstLine="0"/>
              <w:jc w:val="center"/>
            </w:pPr>
            <w:r>
              <w:rPr>
                <w:sz w:val="21"/>
              </w:rPr>
              <w:t>↓</w:t>
              <w:br/>
              <w:t>部门MP成本反演 → 本轮改革有无的一般均衡比较</w:t>
            </w:r>
          </w:p>
        </w:tc>
      </w:tr>
    </w:tbl>
    <w:p>
      <w:pPr>
        <w:pStyle w:val="af7"/>
        <w:keepNext w:val="0"/>
        <w:spacing w:before="80" w:after="140"/>
        <w:jc w:val="center"/>
      </w:pPr>
      <w:r>
        <w:t>图A1 单轮改革识别与部门成本反演</w:t>
      </w:r>
    </w:p>
    <w:p>
      <w:pPr/>
      <w:r>
        <w:t>同时保存外国生产、国内生产和总生产的变化，区分份额上升来自外国生产扩张、国内生产下降还是控制权转换，并报告进入退出和规模调整的作用。固定基期产出权重的控制身份指标作为辅助结果，实际生产份额按当期产出计算。</w:t>
      </w:r>
    </w:p>
    <w:p>
      <w:pPr>
        <w:pStyle w:val="21"/>
      </w:pPr>
      <w:r>
        <w:t>A.3.4 由生产变化反演跨国生产成本</w:t>
      </w:r>
    </w:p>
    <w:p>
      <w:pPr/>
      <w:r>
        <w:t>本节将本轮改革的生产结果统一到模型部门和计价口径，再调整外国企业在华生产成本，使模型变化与实证目标相符。以</w:t>
      </w:r>
      <m:oMath>
        <m:box>
          <m:boxPr>
            <m:noBreak m:val="1"/>
          </m:boxPr>
          <m:e>
            <m:sSub>
              <m:e>
                <m:r>
                  <w:rPr>
                    <w:rFonts w:ascii="Cambria Math" w:hAnsi="Cambria Math" w:eastAsia="宋体"/>
                    <w:sz w:val="24"/>
                  </w:rPr>
                  <m:t>δ</m:t>
                </m:r>
              </m:e>
              <m:sub>
                <m:r>
                  <w:rPr>
                    <w:rFonts w:ascii="Cambria Math" w:hAnsi="Cambria Math" w:eastAsia="宋体"/>
                    <w:sz w:val="24"/>
                  </w:rPr>
                  <m:t>j</m:t>
                </m:r>
              </m:sub>
            </m:sSub>
          </m:e>
        </m:box>
      </m:oMath>
      <w:r>
        <w:t>表示同一2014年条件下有改革相对于无改革的成本对数变化，负值表示下降；无改革参照状态的成本水平由模型数据和校准确定。</w:t>
      </w:r>
    </w:p>
    <w:p>
      <w:pPr>
        <w:keepNext/>
      </w:pPr>
      <w:r>
        <w:t>以2014年为主要比较年份，采用该年度动态系数分别预测有改革与无改革的部门生产份额，构成目标：</w:t>
      </w:r>
    </w:p>
    <w:p>
      <w:pPr>
        <w:pStyle w:val="Equation"/>
        <w:keepNext/>
      </w:pPr>
      <w:r>
        <w:tab/>
      </w:r>
      <m:oMath>
        <m:sSub>
          <m:e>
            <m:acc>
              <m:accPr>
                <m:chr m:val="̂"/>
              </m:accPr>
              <m:e>
                <m:r>
                  <w:rPr>
                    <w:rFonts w:ascii="Cambria Math" w:hAnsi="Cambria Math" w:eastAsia="宋体"/>
                    <w:sz w:val="23"/>
                  </w:rPr>
                  <m:t>μ</m:t>
                </m:r>
              </m:e>
            </m:acc>
          </m:e>
          <m:sub>
            <m:r>
              <w:rPr>
                <w:rFonts w:ascii="Cambria Math" w:hAnsi="Cambria Math" w:eastAsia="宋体"/>
                <w:sz w:val="23"/>
              </w:rPr>
              <m:t>j</m:t>
            </m:r>
          </m:sub>
        </m:sSub>
        <m:r>
          <w:rPr>
            <w:rFonts w:ascii="Cambria Math" w:hAnsi="Cambria Math" w:eastAsia="宋体"/>
            <w:sz w:val="23"/>
          </w:rPr>
          <m:t>=</m:t>
        </m:r>
        <m:sSubSup>
          <m:e>
            <m:acc>
              <m:accPr>
                <m:chr m:val="̂"/>
              </m:accPr>
              <m:e>
                <m:r>
                  <w:rPr>
                    <w:rFonts w:ascii="Cambria Math" w:hAnsi="Cambria Math" w:eastAsia="宋体"/>
                    <w:sz w:val="23"/>
                  </w:rPr>
                  <m:t>M</m:t>
                </m:r>
              </m:e>
            </m:acc>
          </m:e>
          <m:sub>
            <m:r>
              <w:rPr>
                <w:rFonts w:ascii="Cambria Math" w:hAnsi="Cambria Math" w:eastAsia="宋体"/>
                <w:sz w:val="23"/>
              </w:rPr>
              <m:t>j,2014</m:t>
            </m:r>
          </m:sub>
          <m:sup>
            <m:r>
              <w:rPr>
                <w:rFonts w:ascii="Cambria Math" w:hAnsi="Cambria Math" w:eastAsia="宋体"/>
                <w:sz w:val="23"/>
              </w:rPr>
              <m:t>1</m:t>
            </m:r>
          </m:sup>
        </m:sSubSup>
        <m:r>
          <w:rPr>
            <w:rFonts w:ascii="Cambria Math" w:hAnsi="Cambria Math" w:eastAsia="宋体"/>
            <w:sz w:val="23"/>
          </w:rPr>
          <m:t>-</m:t>
        </m:r>
        <m:sSubSup>
          <m:e>
            <m:acc>
              <m:accPr>
                <m:chr m:val="̂"/>
              </m:accPr>
              <m:e>
                <m:r>
                  <w:rPr>
                    <w:rFonts w:ascii="Cambria Math" w:hAnsi="Cambria Math" w:eastAsia="宋体"/>
                    <w:sz w:val="23"/>
                  </w:rPr>
                  <m:t>M</m:t>
                </m:r>
              </m:e>
            </m:acc>
          </m:e>
          <m:sub>
            <m:r>
              <w:rPr>
                <w:rFonts w:ascii="Cambria Math" w:hAnsi="Cambria Math" w:eastAsia="宋体"/>
                <w:sz w:val="23"/>
              </w:rPr>
              <m:t>j,2014</m:t>
            </m:r>
          </m:sub>
          <m:sup>
            <m:r>
              <w:rPr>
                <w:rFonts w:ascii="Cambria Math" w:hAnsi="Cambria Math" w:eastAsia="宋体"/>
                <w:sz w:val="23"/>
              </w:rPr>
              <m:t>0</m:t>
            </m:r>
          </m:sup>
        </m:sSubSup>
        <m:r>
          <w:rPr>
            <w:rFonts w:ascii="Cambria Math" w:hAnsi="Cambria Math" w:eastAsia="宋体"/>
            <w:sz w:val="23"/>
          </w:rPr>
          <m:t>.</m:t>
        </m:r>
      </m:oMath>
      <w:r>
        <w:tab/>
        <w:t>(A10)</w:t>
      </w:r>
    </w:p>
    <w:p>
      <w:pPr/>
      <w:r>
        <w:t>各部门目标组成向量</w:t>
      </w:r>
      <m:oMath>
        <m:box>
          <m:boxPr>
            <m:noBreak m:val="1"/>
          </m:boxPr>
          <m:e>
            <m:acc>
              <m:accPr>
                <m:chr m:val="̂"/>
              </m:accPr>
              <m:e>
                <m:r>
                  <w:rPr>
                    <w:rFonts w:ascii="Cambria Math" w:hAnsi="Cambria Math" w:eastAsia="宋体"/>
                    <w:sz w:val="24"/>
                  </w:rPr>
                  <m:rPr>
                    <m:sty m:val="bi"/>
                  </m:rPr>
                  <m:t>μ</m:t>
                </m:r>
              </m:e>
            </m:acc>
          </m:e>
        </m:box>
      </m:oMath>
      <w:r>
        <w:t>。份额以0至1计量，差值乘以100表示百分点变化。2011—2013年的生产反应用于分析调整过程，各年动态系数分别解释，不累加至2014年目标。目标、模型参照状态和成本变化均对应本轮改革在窗口末年的生产反应。</w:t>
      </w:r>
    </w:p>
    <w:p>
      <w:pPr>
        <w:keepNext/>
      </w:pPr>
      <w:r>
        <w:t>模型按生产国、母国和销售目的国记录流量，企业资料记录生产价值，二者先统一计价口径。令</w:t>
      </w:r>
      <m:oMath>
        <m:box>
          <m:boxPr>
            <m:noBreak m:val="1"/>
          </m:boxPr>
          <m:e>
            <m:sSub>
              <m:e>
                <m:r>
                  <w:rPr>
                    <w:rFonts w:ascii="Cambria Math" w:hAnsi="Cambria Math" w:eastAsia="宋体"/>
                    <w:sz w:val="24"/>
                  </w:rPr>
                  <m:t>V</m:t>
                </m:r>
              </m:e>
              <m:sub>
                <m:r>
                  <w:rPr>
                    <w:rFonts w:ascii="Cambria Math" w:hAnsi="Cambria Math" w:eastAsia="宋体"/>
                    <w:sz w:val="24"/>
                  </w:rPr>
                  <m:t>j</m:t>
                </m:r>
              </m:sub>
            </m:sSub>
          </m:e>
        </m:box>
      </m:oMath>
      <w:r>
        <w:t>为依据价格、货币和贸易成本进行换算的函数，</w:t>
      </w:r>
      <m:oMath>
        <m:box>
          <m:boxPr>
            <m:noBreak m:val="1"/>
          </m:boxPr>
          <m:e>
            <m:sSub>
              <m:e>
                <m:r>
                  <w:rPr>
                    <w:rFonts w:ascii="Cambria Math" w:hAnsi="Cambria Math" w:eastAsia="宋体"/>
                    <w:sz w:val="24"/>
                  </w:rPr>
                  <m:t>τ</m:t>
                </m:r>
              </m:e>
              <m:sub>
                <m:r>
                  <w:rPr>
                    <w:rFonts w:ascii="Cambria Math" w:hAnsi="Cambria Math" w:eastAsia="宋体"/>
                    <w:sz w:val="24"/>
                  </w:rPr>
                  <m:t>nCj</m:t>
                </m:r>
              </m:sub>
            </m:sSub>
          </m:e>
        </m:box>
      </m:oMath>
      <w:r>
        <w:t>为中国至目的国</w:t>
      </w:r>
      <m:oMath>
        <m:box>
          <m:boxPr>
            <m:noBreak m:val="1"/>
          </m:boxPr>
          <m:e>
            <m:r>
              <w:rPr>
                <w:rFonts w:ascii="Cambria Math" w:hAnsi="Cambria Math" w:eastAsia="宋体"/>
                <w:sz w:val="24"/>
              </w:rPr>
              <m:t>n</m:t>
            </m:r>
          </m:e>
        </m:box>
      </m:oMath>
      <w:r>
        <w:t>的贸易成本，</w:t>
      </w:r>
      <m:oMath>
        <m:box>
          <m:boxPr>
            <m:noBreak m:val="1"/>
          </m:boxPr>
          <m:e>
            <m:r>
              <w:rPr>
                <w:rFonts w:ascii="Cambria Math" w:hAnsi="Cambria Math" w:eastAsia="宋体"/>
                <w:sz w:val="24"/>
              </w:rPr>
              <m:rPr>
                <m:sty m:val="bi"/>
              </m:rPr>
              <m:t>P</m:t>
            </m:r>
          </m:e>
        </m:box>
      </m:oMath>
      <w:r>
        <w:t>为相应价格向量。母国</w:t>
      </w:r>
      <m:oMath>
        <m:box>
          <m:boxPr>
            <m:noBreak m:val="1"/>
          </m:boxPr>
          <m:e>
            <m:r>
              <w:rPr>
                <w:rFonts w:ascii="Cambria Math" w:hAnsi="Cambria Math" w:eastAsia="宋体"/>
                <w:sz w:val="24"/>
              </w:rPr>
              <m:t>m</m:t>
            </m:r>
          </m:e>
        </m:box>
      </m:oMath>
      <w:r>
        <w:t>企业在中国的生产及外国控制份额为：</w:t>
      </w:r>
    </w:p>
    <w:p>
      <w:pPr>
        <w:pStyle w:val="Equation"/>
        <w:keepNext/>
      </w:pPr>
      <w:r>
        <w:tab/>
      </w:r>
      <m:oMath>
        <m:sSub>
          <m:e>
            <m:r>
              <w:rPr>
                <w:rFonts w:ascii="Cambria Math" w:hAnsi="Cambria Math" w:eastAsia="宋体"/>
                <w:sz w:val="23"/>
              </w:rPr>
              <m:t>Q</m:t>
            </m:r>
          </m:e>
          <m:sub>
            <m:r>
              <w:rPr>
                <w:rFonts w:ascii="Cambria Math" w:hAnsi="Cambria Math" w:eastAsia="宋体"/>
                <w:sz w:val="23"/>
              </w:rPr>
              <m:t>Cmj</m:t>
            </m:r>
          </m:sub>
        </m:sSub>
        <m:r>
          <w:rPr>
            <w:rFonts w:ascii="Cambria Math" w:hAnsi="Cambria Math" w:eastAsia="宋体"/>
            <w:sz w:val="23"/>
          </w:rPr>
          <m:t>=</m:t>
        </m:r>
        <m:nary>
          <m:naryPr>
            <m:chr m:val="∑"/>
            <m:limLoc m:val="undOvr"/>
            <m:grow m:val="1"/>
            <m:subHide m:val="off"/>
            <m:supHide m:val="on"/>
          </m:naryPr>
          <m:sub>
            <m:r>
              <w:rPr>
                <w:rFonts w:ascii="Cambria Math" w:hAnsi="Cambria Math" w:eastAsia="宋体"/>
                <w:sz w:val="23"/>
              </w:rPr>
              <m:t>n</m:t>
            </m:r>
          </m:sub>
          <m:sup/>
          <m:e>
            <m:sSub>
              <m:e>
                <m:r>
                  <w:rPr>
                    <w:rFonts w:ascii="Cambria Math" w:hAnsi="Cambria Math" w:eastAsia="宋体"/>
                    <w:sz w:val="23"/>
                  </w:rPr>
                  <m:t>V</m:t>
                </m:r>
              </m:e>
              <m:sub>
                <m:r>
                  <w:rPr>
                    <w:rFonts w:ascii="Cambria Math" w:hAnsi="Cambria Math" w:eastAsia="宋体"/>
                    <w:sz w:val="23"/>
                  </w:rPr>
                  <m:t>j</m:t>
                </m:r>
              </m:sub>
            </m:sSub>
          </m:e>
        </m:nary>
        <m:r>
          <w:rPr>
            <w:rFonts w:ascii="Cambria Math" w:hAnsi="Cambria Math" w:eastAsia="宋体"/>
            <w:sz w:val="23"/>
          </w:rPr>
          <m:t>(</m:t>
        </m:r>
        <m:sSub>
          <m:e>
            <m:r>
              <w:rPr>
                <w:rFonts w:ascii="Cambria Math" w:hAnsi="Cambria Math" w:eastAsia="宋体"/>
                <w:sz w:val="23"/>
              </w:rPr>
              <m:t>X</m:t>
            </m:r>
          </m:e>
          <m:sub>
            <m:r>
              <w:rPr>
                <w:rFonts w:ascii="Cambria Math" w:hAnsi="Cambria Math" w:eastAsia="宋体"/>
                <w:sz w:val="23"/>
              </w:rPr>
              <m:t>nCmj</m:t>
            </m:r>
          </m:sub>
        </m:sSub>
        <m:r>
          <w:rPr>
            <w:rFonts w:ascii="Cambria Math" w:hAnsi="Cambria Math" w:eastAsia="宋体"/>
            <w:sz w:val="23"/>
          </w:rPr>
          <m:t>,</m:t>
        </m:r>
        <m:sSub>
          <m:e>
            <m:r>
              <w:rPr>
                <w:rFonts w:ascii="Cambria Math" w:hAnsi="Cambria Math" w:eastAsia="宋体"/>
                <w:sz w:val="23"/>
              </w:rPr>
              <m:t>τ</m:t>
            </m:r>
          </m:e>
          <m:sub>
            <m:r>
              <w:rPr>
                <w:rFonts w:ascii="Cambria Math" w:hAnsi="Cambria Math" w:eastAsia="宋体"/>
                <w:sz w:val="23"/>
              </w:rPr>
              <m:t>nCj</m:t>
            </m:r>
          </m:sub>
        </m:sSub>
        <m:r>
          <w:rPr>
            <w:rFonts w:ascii="Cambria Math" w:hAnsi="Cambria Math" w:eastAsia="宋体"/>
            <w:sz w:val="23"/>
          </w:rPr>
          <m:t>,</m:t>
        </m:r>
        <m:r>
          <w:rPr>
            <w:rFonts w:ascii="Cambria Math" w:hAnsi="Cambria Math" w:eastAsia="宋体"/>
            <w:sz w:val="23"/>
          </w:rPr>
          <m:rPr>
            <m:sty m:val="bi"/>
          </m:rPr>
          <m:t>P</m:t>
        </m:r>
        <m:r>
          <w:rPr>
            <w:rFonts w:ascii="Cambria Math" w:hAnsi="Cambria Math" w:eastAsia="宋体"/>
            <w:sz w:val="23"/>
          </w:rPr>
          <m:t>),</m:t>
        </m:r>
        <m:sSub>
          <m:e>
            <m:r>
              <w:rPr>
                <w:rFonts w:ascii="Cambria Math" w:hAnsi="Cambria Math" w:eastAsia="宋体"/>
                <w:sz w:val="23"/>
              </w:rPr>
              <m:t>M</m:t>
            </m:r>
          </m:e>
          <m:sub>
            <m:r>
              <w:rPr>
                <w:rFonts w:ascii="Cambria Math" w:hAnsi="Cambria Math" w:eastAsia="宋体"/>
                <w:sz w:val="23"/>
              </w:rPr>
              <m:t>Cj</m:t>
            </m:r>
          </m:sub>
        </m:sSub>
        <m:r>
          <w:rPr>
            <w:rFonts w:ascii="Cambria Math" w:hAnsi="Cambria Math" w:eastAsia="宋体"/>
            <w:sz w:val="23"/>
          </w:rPr>
          <m:t>=</m:t>
        </m:r>
        <m:f>
          <m:fPr>
            <m:type m:val="bar"/>
          </m:fPr>
          <m:num>
            <m:nary>
              <m:naryPr>
                <m:chr m:val="∑"/>
                <m:limLoc m:val="undOvr"/>
                <m:grow m:val="1"/>
                <m:subHide m:val="off"/>
                <m:supHide m:val="on"/>
              </m:naryPr>
              <m:sub>
                <m:r>
                  <w:rPr>
                    <w:rFonts w:ascii="Cambria Math" w:hAnsi="Cambria Math" w:eastAsia="宋体"/>
                    <w:sz w:val="23"/>
                  </w:rPr>
                  <m:t>m≠C</m:t>
                </m:r>
              </m:sub>
              <m:sup/>
              <m:e>
                <m:sSub>
                  <m:e>
                    <m:r>
                      <w:rPr>
                        <w:rFonts w:ascii="Cambria Math" w:hAnsi="Cambria Math" w:eastAsia="宋体"/>
                        <w:sz w:val="23"/>
                      </w:rPr>
                      <m:t>Q</m:t>
                    </m:r>
                  </m:e>
                  <m:sub>
                    <m:r>
                      <w:rPr>
                        <w:rFonts w:ascii="Cambria Math" w:hAnsi="Cambria Math" w:eastAsia="宋体"/>
                        <w:sz w:val="23"/>
                      </w:rPr>
                      <m:t>Cmj</m:t>
                    </m:r>
                  </m:sub>
                </m:sSub>
              </m:e>
            </m:nary>
          </m:num>
          <m:den>
            <m:nary>
              <m:naryPr>
                <m:chr m:val="∑"/>
                <m:limLoc m:val="undOvr"/>
                <m:grow m:val="1"/>
                <m:subHide m:val="off"/>
                <m:supHide m:val="on"/>
              </m:naryPr>
              <m:sub>
                <m:r>
                  <w:rPr>
                    <w:rFonts w:ascii="Cambria Math" w:hAnsi="Cambria Math" w:eastAsia="宋体"/>
                    <w:sz w:val="23"/>
                  </w:rPr>
                  <m:t>m</m:t>
                </m:r>
              </m:sub>
              <m:sup/>
              <m:e>
                <m:sSub>
                  <m:e>
                    <m:r>
                      <w:rPr>
                        <w:rFonts w:ascii="Cambria Math" w:hAnsi="Cambria Math" w:eastAsia="宋体"/>
                        <w:sz w:val="23"/>
                      </w:rPr>
                      <m:t>Q</m:t>
                    </m:r>
                  </m:e>
                  <m:sub>
                    <m:r>
                      <w:rPr>
                        <w:rFonts w:ascii="Cambria Math" w:hAnsi="Cambria Math" w:eastAsia="宋体"/>
                        <w:sz w:val="23"/>
                      </w:rPr>
                      <m:t>Cmj</m:t>
                    </m:r>
                  </m:sub>
                </m:sSub>
              </m:e>
            </m:nary>
          </m:den>
        </m:f>
        <m:r>
          <w:rPr>
            <w:rFonts w:ascii="Cambria Math" w:hAnsi="Cambria Math" w:eastAsia="宋体"/>
            <w:sz w:val="23"/>
          </w:rPr>
          <m:t>.</m:t>
        </m:r>
      </m:oMath>
      <w:r>
        <w:tab/>
        <w:t>(A11)</w:t>
      </w:r>
    </w:p>
    <w:p>
      <w:pPr>
        <w:keepNext/>
      </w:pPr>
      <w:r>
        <w:t>采用原模型的生产者收入时，按相应</w:t>
      </w:r>
      <m:oMath>
        <m:box>
          <m:boxPr>
            <m:noBreak m:val="1"/>
          </m:boxPr>
          <m:e>
            <m:f>
              <m:fPr>
                <m:type m:val="lin"/>
              </m:fPr>
              <m:num>
                <m:r>
                  <w:rPr>
                    <w:rFonts w:ascii="Cambria Math" w:hAnsi="Cambria Math" w:eastAsia="宋体"/>
                    <w:sz w:val="24"/>
                  </w:rPr>
                  <m:t>X</m:t>
                </m:r>
              </m:num>
              <m:den>
                <m:r>
                  <w:rPr>
                    <w:rFonts w:ascii="Cambria Math" w:hAnsi="Cambria Math" w:eastAsia="宋体"/>
                    <w:sz w:val="24"/>
                  </w:rPr>
                  <m:t>τ</m:t>
                </m:r>
              </m:den>
            </m:f>
          </m:e>
        </m:box>
      </m:oMath>
      <w:r>
        <w:t>关系换算。令</w:t>
      </w:r>
      <m:oMath>
        <m:box>
          <m:boxPr>
            <m:noBreak m:val="1"/>
          </m:boxPr>
          <m:e>
            <m:sSup>
              <m:e>
                <m:r>
                  <w:rPr>
                    <w:rFonts w:ascii="Cambria Math" w:hAnsi="Cambria Math" w:eastAsia="宋体"/>
                    <w:sz w:val="24"/>
                  </w:rPr>
                  <m:t>G</m:t>
                </m:r>
              </m:e>
              <m:sup>
                <m:r>
                  <w:rPr>
                    <w:rFonts w:ascii="Cambria Math" w:hAnsi="Cambria Math" w:eastAsia="宋体"/>
                    <w:sz w:val="24"/>
                  </w:rPr>
                  <m:t>χ</m:t>
                </m:r>
              </m:sup>
            </m:sSup>
            <m:r>
              <w:rPr>
                <w:rFonts w:ascii="Cambria Math" w:hAnsi="Cambria Math" w:eastAsia="宋体"/>
                <w:sz w:val="24"/>
              </w:rPr>
              <m:t>(</m:t>
            </m:r>
            <m:r>
              <w:rPr>
                <w:rFonts w:ascii="Cambria Math" w:hAnsi="Cambria Math" w:eastAsia="宋体"/>
                <w:sz w:val="24"/>
              </w:rPr>
              <m:rPr>
                <m:sty m:val="bi"/>
              </m:rPr>
              <m:t>δ</m:t>
            </m:r>
            <m:r>
              <w:rPr>
                <w:rFonts w:ascii="Cambria Math" w:hAnsi="Cambria Math" w:eastAsia="宋体"/>
                <w:sz w:val="24"/>
              </w:rPr>
              <m:t>)</m:t>
            </m:r>
          </m:e>
        </m:box>
      </m:oMath>
      <w:r>
        <w:t>为给定成本变化后的模型解，</w:t>
      </w:r>
      <m:oMath>
        <m:box>
          <m:boxPr>
            <m:noBreak m:val="1"/>
          </m:boxPr>
          <m:e>
            <m:r>
              <w:rPr>
                <w:rFonts w:ascii="Cambria Math" w:hAnsi="Cambria Math" w:eastAsia="宋体"/>
                <w:sz w:val="24"/>
              </w:rPr>
              <m:t>χ∈{</m:t>
            </m:r>
            <m:r>
              <w:rPr>
                <w:rFonts w:ascii="Cambria Math" w:hAnsi="Cambria Math" w:eastAsia="宋体"/>
                <w:sz w:val="24"/>
              </w:rPr>
              <m:rPr>
                <m:sty m:val="p"/>
              </m:rPr>
              <m:t>PE</m:t>
            </m:r>
            <m:r>
              <w:rPr>
                <w:rFonts w:ascii="Cambria Math" w:hAnsi="Cambria Math" w:eastAsia="宋体"/>
                <w:sz w:val="24"/>
              </w:rPr>
              <m:t>,</m:t>
            </m:r>
            <m:r>
              <w:rPr>
                <w:rFonts w:ascii="Cambria Math" w:hAnsi="Cambria Math" w:eastAsia="宋体"/>
                <w:sz w:val="24"/>
              </w:rPr>
              <m:rPr>
                <m:sty m:val="p"/>
              </m:rPr>
              <m:t>GE</m:t>
            </m:r>
            <m:r>
              <w:rPr>
                <w:rFonts w:ascii="Cambria Math" w:hAnsi="Cambria Math" w:eastAsia="宋体"/>
                <w:sz w:val="24"/>
              </w:rPr>
              <m:t>}</m:t>
            </m:r>
          </m:e>
        </m:box>
      </m:oMath>
      <w:r>
        <w:t>分别表示局部均衡和一般均衡；函数</w:t>
      </w:r>
      <m:oMath>
        <m:box>
          <m:boxPr>
            <m:noBreak m:val="1"/>
          </m:boxPr>
          <m:e>
            <m:r>
              <w:rPr>
                <w:rFonts w:ascii="Cambria Math" w:hAnsi="Cambria Math" w:eastAsia="宋体"/>
                <w:sz w:val="24"/>
              </w:rPr>
              <m:t>O</m:t>
            </m:r>
          </m:e>
        </m:box>
      </m:oMath>
      <w:r>
        <w:t>按实证口径计算模型结果，使部门、生产范围和比较期限相对应。拟合偏差及成本估计为：</w:t>
      </w:r>
    </w:p>
    <w:p>
      <w:pPr>
        <w:pStyle w:val="Equation"/>
        <w:keepNext/>
      </w:pPr>
      <w:r>
        <w:tab/>
      </w:r>
      <m:oMath>
        <m:r>
          <w:rPr>
            <w:rFonts w:ascii="Cambria Math" w:hAnsi="Cambria Math" w:eastAsia="宋体"/>
            <w:sz w:val="23"/>
          </w:rPr>
          <m:rPr>
            <m:sty m:val="bi"/>
          </m:rPr>
          <m:t>ε</m:t>
        </m:r>
        <m:r>
          <w:rPr>
            <w:rFonts w:ascii="Cambria Math" w:hAnsi="Cambria Math" w:eastAsia="宋体"/>
            <w:sz w:val="23"/>
          </w:rPr>
          <m:t>(</m:t>
        </m:r>
        <m:r>
          <w:rPr>
            <w:rFonts w:ascii="Cambria Math" w:hAnsi="Cambria Math" w:eastAsia="宋体"/>
            <w:sz w:val="23"/>
          </w:rPr>
          <m:rPr>
            <m:sty m:val="bi"/>
          </m:rPr>
          <m:t>δ</m:t>
        </m:r>
        <m:r>
          <w:rPr>
            <w:rFonts w:ascii="Cambria Math" w:hAnsi="Cambria Math" w:eastAsia="宋体"/>
            <w:sz w:val="23"/>
          </w:rPr>
          <m:t>)=ΔO(</m:t>
        </m:r>
        <m:sSup>
          <m:e>
            <m:r>
              <w:rPr>
                <w:rFonts w:ascii="Cambria Math" w:hAnsi="Cambria Math" w:eastAsia="宋体"/>
                <w:sz w:val="23"/>
              </w:rPr>
              <m:t>G</m:t>
            </m:r>
          </m:e>
          <m:sup>
            <m:r>
              <w:rPr>
                <w:rFonts w:ascii="Cambria Math" w:hAnsi="Cambria Math" w:eastAsia="宋体"/>
                <w:sz w:val="23"/>
              </w:rPr>
              <m:t>χ</m:t>
            </m:r>
          </m:sup>
        </m:sSup>
        <m:r>
          <w:rPr>
            <w:rFonts w:ascii="Cambria Math" w:hAnsi="Cambria Math" w:eastAsia="宋体"/>
            <w:sz w:val="23"/>
          </w:rPr>
          <m:t>(</m:t>
        </m:r>
        <m:r>
          <w:rPr>
            <w:rFonts w:ascii="Cambria Math" w:hAnsi="Cambria Math" w:eastAsia="宋体"/>
            <w:sz w:val="23"/>
          </w:rPr>
          <m:rPr>
            <m:sty m:val="bi"/>
          </m:rPr>
          <m:t>δ</m:t>
        </m:r>
        <m:r>
          <w:rPr>
            <w:rFonts w:ascii="Cambria Math" w:hAnsi="Cambria Math" w:eastAsia="宋体"/>
            <w:sz w:val="23"/>
          </w:rPr>
          <m:t>))-</m:t>
        </m:r>
        <m:acc>
          <m:accPr>
            <m:chr m:val="̂"/>
          </m:accPr>
          <m:e>
            <m:r>
              <w:rPr>
                <w:rFonts w:ascii="Cambria Math" w:hAnsi="Cambria Math" w:eastAsia="宋体"/>
                <w:sz w:val="23"/>
              </w:rPr>
              <m:rPr>
                <m:sty m:val="bi"/>
              </m:rPr>
              <m:t>μ</m:t>
            </m:r>
          </m:e>
        </m:acc>
        <m:r>
          <w:rPr>
            <w:rFonts w:ascii="Cambria Math" w:hAnsi="Cambria Math" w:eastAsia="宋体"/>
            <w:sz w:val="23"/>
          </w:rPr>
          <m:t>.</m:t>
        </m:r>
      </m:oMath>
      <w:r>
        <w:tab/>
        <w:t>(A12)</w:t>
      </w:r>
    </w:p>
    <w:p>
      <w:pPr>
        <w:pStyle w:val="Equation"/>
        <w:keepNext/>
      </w:pPr>
      <w:r>
        <w:tab/>
      </w:r>
      <m:oMath>
        <m:acc>
          <m:accPr>
            <m:chr m:val="̂"/>
          </m:accPr>
          <m:e>
            <m:r>
              <w:rPr>
                <w:rFonts w:ascii="Cambria Math" w:hAnsi="Cambria Math" w:eastAsia="宋体"/>
                <w:sz w:val="23"/>
              </w:rPr>
              <m:rPr>
                <m:sty m:val="bi"/>
              </m:rPr>
              <m:t>δ</m:t>
            </m:r>
          </m:e>
        </m:acc>
        <m:r>
          <w:rPr>
            <w:rFonts w:ascii="Cambria Math" w:hAnsi="Cambria Math" w:eastAsia="宋体"/>
            <w:sz w:val="23"/>
          </w:rPr>
          <m:t>=</m:t>
        </m:r>
        <m:limLow>
          <m:e>
            <m:r>
              <w:rPr>
                <w:rFonts w:ascii="Cambria Math" w:hAnsi="Cambria Math" w:eastAsia="宋体"/>
                <w:sz w:val="23"/>
              </w:rPr>
              <m:rPr>
                <m:sty m:val="p"/>
              </m:rPr>
              <m:t>argmin</m:t>
            </m:r>
          </m:e>
          <m:lim>
            <m:r>
              <w:rPr>
                <w:rFonts w:ascii="Cambria Math" w:hAnsi="Cambria Math" w:eastAsia="宋体"/>
                <w:sz w:val="23"/>
              </w:rPr>
              <m:rPr>
                <m:sty m:val="bi"/>
              </m:rPr>
              <m:t>δ</m:t>
            </m:r>
            <m:r>
              <w:rPr>
                <w:rFonts w:ascii="Cambria Math" w:hAnsi="Cambria Math" w:eastAsia="宋体"/>
                <w:sz w:val="23"/>
              </w:rPr>
              <m:t>∈</m:t>
            </m:r>
            <m:r>
              <w:rPr>
                <w:rFonts w:ascii="Cambria Math" w:hAnsi="Cambria Math" w:eastAsia="宋体"/>
                <w:sz w:val="23"/>
              </w:rPr>
              <m:rPr>
                <m:scr m:val="script"/>
              </m:rPr>
              <m:t>D</m:t>
            </m:r>
          </m:lim>
        </m:limLow>
        <m:r>
          <w:rPr>
            <w:rFonts w:ascii="Cambria Math" w:hAnsi="Cambria Math" w:eastAsia="宋体"/>
            <w:sz w:val="23"/>
          </w:rPr>
          <m:rPr>
            <m:sty m:val="bi"/>
          </m:rPr>
          <m:t>ε</m:t>
        </m:r>
        <m:r>
          <w:rPr>
            <w:rFonts w:ascii="Cambria Math" w:hAnsi="Cambria Math" w:eastAsia="宋体"/>
            <w:sz w:val="23"/>
          </w:rPr>
          <m:t>(</m:t>
        </m:r>
        <m:r>
          <w:rPr>
            <w:rFonts w:ascii="Cambria Math" w:hAnsi="Cambria Math" w:eastAsia="宋体"/>
            <w:sz w:val="23"/>
          </w:rPr>
          <m:rPr>
            <m:sty m:val="bi"/>
          </m:rPr>
          <m:t>δ</m:t>
        </m:r>
        <m:sSup>
          <m:e>
            <m:r>
              <w:rPr>
                <w:rFonts w:ascii="Cambria Math" w:hAnsi="Cambria Math" w:eastAsia="宋体"/>
                <w:sz w:val="23"/>
              </w:rPr>
              <m:t>)</m:t>
            </m:r>
          </m:e>
          <m:sup>
            <m:r>
              <w:rPr>
                <w:rFonts w:ascii="Cambria Math" w:hAnsi="Cambria Math" w:eastAsia="宋体"/>
                <w:sz w:val="23"/>
              </w:rPr>
              <m:t>′</m:t>
            </m:r>
          </m:sup>
        </m:sSup>
        <m:r>
          <w:rPr>
            <w:rFonts w:ascii="Cambria Math" w:hAnsi="Cambria Math" w:eastAsia="宋体"/>
            <w:sz w:val="23"/>
          </w:rPr>
          <m:rPr>
            <m:sty m:val="bi"/>
          </m:rPr>
          <m:t>W</m:t>
        </m:r>
        <m:r>
          <w:rPr>
            <w:rFonts w:ascii="Cambria Math" w:hAnsi="Cambria Math" w:eastAsia="宋体"/>
            <w:sz w:val="23"/>
          </w:rPr>
          <m:rPr>
            <m:sty m:val="bi"/>
          </m:rPr>
          <m:t>ε</m:t>
        </m:r>
        <m:r>
          <w:rPr>
            <w:rFonts w:ascii="Cambria Math" w:hAnsi="Cambria Math" w:eastAsia="宋体"/>
            <w:sz w:val="23"/>
          </w:rPr>
          <m:t>(</m:t>
        </m:r>
        <m:r>
          <w:rPr>
            <w:rFonts w:ascii="Cambria Math" w:hAnsi="Cambria Math" w:eastAsia="宋体"/>
            <w:sz w:val="23"/>
          </w:rPr>
          <m:rPr>
            <m:sty m:val="bi"/>
          </m:rPr>
          <m:t>δ</m:t>
        </m:r>
        <m:r>
          <w:rPr>
            <w:rFonts w:ascii="Cambria Math" w:hAnsi="Cambria Math" w:eastAsia="宋体"/>
            <w:sz w:val="23"/>
          </w:rPr>
          <m:t>).</m:t>
        </m:r>
      </m:oMath>
      <w:r>
        <w:tab/>
        <w:t>(A13)</w:t>
      </w:r>
    </w:p>
    <w:p>
      <w:pPr/>
      <w:r>
        <w:t>其中，</w:t>
      </w:r>
      <m:oMath>
        <m:box>
          <m:boxPr>
            <m:noBreak m:val="1"/>
          </m:boxPr>
          <m:e>
            <m:r>
              <w:rPr>
                <w:rFonts w:ascii="Cambria Math" w:hAnsi="Cambria Math" w:eastAsia="宋体"/>
                <w:sz w:val="24"/>
              </w:rPr>
              <m:t>ΔO</m:t>
            </m:r>
          </m:e>
        </m:box>
      </m:oMath>
      <w:r>
        <w:t>比较本轮改革有无两种状态，</w:t>
      </w:r>
      <m:oMath>
        <m:box>
          <m:boxPr>
            <m:noBreak m:val="1"/>
          </m:boxPr>
          <m:e>
            <m:r>
              <w:rPr>
                <w:rFonts w:ascii="Cambria Math" w:hAnsi="Cambria Math" w:eastAsia="宋体"/>
                <w:sz w:val="24"/>
              </w:rPr>
              <m:rPr>
                <m:scr m:val="script"/>
              </m:rPr>
              <m:t>D</m:t>
            </m:r>
          </m:e>
        </m:box>
      </m:oMath>
      <w:r>
        <w:t>为依据模型及政策确定的参数范围，</w:t>
      </w:r>
      <m:oMath>
        <m:box>
          <m:boxPr>
            <m:noBreak m:val="1"/>
          </m:boxPr>
          <m:e>
            <m:r>
              <w:rPr>
                <w:rFonts w:ascii="Cambria Math" w:hAnsi="Cambria Math" w:eastAsia="宋体"/>
                <w:sz w:val="24"/>
              </w:rPr>
              <m:rPr>
                <m:sty m:val="bi"/>
              </m:rPr>
              <m:t>W</m:t>
            </m:r>
          </m:e>
        </m:box>
      </m:oMath>
      <w:r>
        <w:t>按目标协方差或统一量纲预先设定。基准拟合外国控制生产份额，外国和国内生产价值用于检验；联合拟合指标在估计前确定。总生产等于两组生产之和，不另计为独立目标。</w:t>
      </w:r>
    </w:p>
    <w:p>
      <w:pPr/>
      <w:r>
        <w:t>现有模型采用较宽部门，微观处理与对照的差异通过完整部门生产目标衔接，产出补充及覆盖假设依A.3.3说明。2014年目标反映截至窗口末的调整状态，其与模型均衡的对应在反演中明确：PE使用工资、价格和需求给定的目标，GE使用包含均衡调整且由模型表示的目标。2014年并不因处于窗口末端就被视为长期均衡。PE成本用于GE时，报告新生产结果与原目标的差异；弹性近似从同一模型和生产指标推导。</w:t>
      </w:r>
    </w:p>
    <w:p>
      <w:pPr>
        <w:pStyle w:val="1"/>
      </w:pPr>
      <w:r>
        <w:t>A.4 禁止准入的处理</w:t>
      </w:r>
    </w:p>
    <w:p>
      <w:pPr/>
      <w:r>
        <w:t>本轮如涉及禁止转为允许的业务，按有效规则单列，考察进入、原有企业控制权及生产变化，并与原先允许进入、此次进一步放宽条件的业务分别解释。改革前已有外资企业的，核对例外、过渡安排和实际业务范围。</w:t>
      </w:r>
    </w:p>
    <w:p>
      <w:pPr/>
      <w:r>
        <w:t>基期外资生产为零时，精确帽子代数用零份额乘以有限变化倍数，无法表示从无到有的外资进入。这类业务报告微观及行业结果，不以任意小值代替零份额进行成本反演。原模型中的</w:t>
      </w:r>
      <m:oMath>
        <m:box>
          <m:boxPr>
            <m:noBreak m:val="1"/>
          </m:boxPr>
          <m:e>
            <m:sSub>
              <m:e>
                <m:r>
                  <w:rPr>
                    <w:rFonts w:ascii="Cambria Math" w:hAnsi="Cambria Math" w:eastAsia="宋体"/>
                    <w:sz w:val="24"/>
                  </w:rPr>
                  <m:t>F</m:t>
                </m:r>
              </m:e>
              <m:sub>
                <m:r>
                  <w:rPr>
                    <w:rFonts w:ascii="Cambria Math" w:hAnsi="Cambria Math" w:eastAsia="宋体"/>
                    <w:sz w:val="24"/>
                  </w:rPr>
                  <m:t>nj</m:t>
                </m:r>
              </m:sub>
            </m:sSub>
          </m:e>
        </m:box>
      </m:oMath>
      <w:r>
        <w:t>是进入消费市场</w:t>
      </w:r>
      <m:oMath>
        <m:box>
          <m:boxPr>
            <m:noBreak m:val="1"/>
          </m:boxPr>
          <m:e>
            <m:r>
              <w:rPr>
                <w:rFonts w:ascii="Cambria Math" w:hAnsi="Cambria Math" w:eastAsia="宋体"/>
                <w:sz w:val="24"/>
              </w:rPr>
              <m:t>n</m:t>
            </m:r>
          </m:e>
        </m:box>
      </m:oMath>
      <w:r>
        <w:t>的固定营销成本，新增在华企业的设立机制需另有模型和数据依据。</w:t>
      </w:r>
    </w:p>
    <w:p>
      <w:pPr>
        <w:pStyle w:val="1"/>
      </w:pPr>
      <w:r>
        <w:t>A.5 从制度型MP成本变化到结构模型冲击</w:t>
      </w:r>
    </w:p>
    <w:p>
      <w:pPr>
        <w:pStyle w:val="21"/>
      </w:pPr>
      <w:r>
        <w:t>A.5.1 反演成本与结构效率项</w:t>
      </w:r>
    </w:p>
    <w:p>
      <w:pPr>
        <w:keepNext/>
      </w:pPr>
      <w:r>
        <w:t>模型以</w:t>
      </w:r>
      <m:oMath>
        <m:box>
          <m:boxPr>
            <m:noBreak m:val="1"/>
          </m:boxPr>
          <m:e>
            <m:sSub>
              <m:e>
                <m:r>
                  <w:rPr>
                    <w:rFonts w:ascii="Cambria Math" w:hAnsi="Cambria Math" w:eastAsia="宋体"/>
                    <w:sz w:val="24"/>
                  </w:rPr>
                  <m:t>ξ</m:t>
                </m:r>
              </m:e>
              <m:sub>
                <m:r>
                  <w:rPr>
                    <w:rFonts w:ascii="Cambria Math" w:hAnsi="Cambria Math" w:eastAsia="宋体"/>
                    <w:sz w:val="24"/>
                  </w:rPr>
                  <m:t>imj</m:t>
                </m:r>
              </m:sub>
            </m:sSub>
          </m:e>
        </m:box>
      </m:oMath>
      <w:r>
        <w:t>表示母国</w:t>
      </w:r>
      <m:oMath>
        <m:box>
          <m:boxPr>
            <m:noBreak m:val="1"/>
          </m:boxPr>
          <m:e>
            <m:r>
              <w:rPr>
                <w:rFonts w:ascii="Cambria Math" w:hAnsi="Cambria Math" w:eastAsia="宋体"/>
                <w:sz w:val="24"/>
              </w:rPr>
              <m:t>m</m:t>
            </m:r>
          </m:e>
        </m:box>
      </m:oMath>
      <w:r>
        <w:t>企业在生产国</w:t>
      </w:r>
      <m:oMath>
        <m:box>
          <m:boxPr>
            <m:noBreak m:val="1"/>
          </m:boxPr>
          <m:e>
            <m:r>
              <w:rPr>
                <w:rFonts w:ascii="Cambria Math" w:hAnsi="Cambria Math" w:eastAsia="宋体"/>
                <w:sz w:val="24"/>
              </w:rPr>
              <m:t>i</m:t>
            </m:r>
          </m:e>
        </m:box>
      </m:oMath>
      <w:r>
        <w:t>、部门</w:t>
      </w:r>
      <m:oMath>
        <m:box>
          <m:boxPr>
            <m:noBreak m:val="1"/>
          </m:boxPr>
          <m:e>
            <m:r>
              <w:rPr>
                <w:rFonts w:ascii="Cambria Math" w:hAnsi="Cambria Math" w:eastAsia="宋体"/>
                <w:sz w:val="24"/>
              </w:rPr>
              <m:t>j</m:t>
            </m:r>
          </m:e>
        </m:box>
      </m:oMath>
      <w:r>
        <w:t>的跨国生产效率。效率提高意味着单位生产成本下降，成本楔子定义为：</w:t>
      </w:r>
    </w:p>
    <w:p>
      <w:pPr>
        <w:pStyle w:val="Equation"/>
        <w:keepNext/>
      </w:pPr>
      <w:r>
        <w:tab/>
      </w:r>
      <m:oMath>
        <m:sSubSup>
          <m:e>
            <m:r>
              <w:rPr>
                <w:rFonts w:ascii="Cambria Math" w:hAnsi="Cambria Math" w:eastAsia="宋体"/>
                <w:sz w:val="23"/>
              </w:rPr>
              <m:t>d</m:t>
            </m:r>
          </m:e>
          <m:sub>
            <m:r>
              <w:rPr>
                <w:rFonts w:ascii="Cambria Math" w:hAnsi="Cambria Math" w:eastAsia="宋体"/>
                <w:sz w:val="23"/>
              </w:rPr>
              <m:t>imj</m:t>
            </m:r>
          </m:sub>
          <m:sup>
            <m:r>
              <w:rPr>
                <w:rFonts w:ascii="Cambria Math" w:hAnsi="Cambria Math" w:eastAsia="宋体"/>
                <w:sz w:val="23"/>
              </w:rPr>
              <m:rPr>
                <m:sty m:val="p"/>
              </m:rPr>
              <m:t>MP</m:t>
            </m:r>
          </m:sup>
        </m:sSubSup>
        <m:r>
          <w:rPr>
            <w:rFonts w:ascii="Cambria Math" w:hAnsi="Cambria Math" w:eastAsia="宋体"/>
            <w:sz w:val="23"/>
          </w:rPr>
          <m:t>=</m:t>
        </m:r>
        <m:f>
          <m:fPr>
            <m:type m:val="bar"/>
          </m:fPr>
          <m:num>
            <m:r>
              <w:rPr>
                <w:rFonts w:ascii="Cambria Math" w:hAnsi="Cambria Math" w:eastAsia="宋体"/>
                <w:sz w:val="23"/>
              </w:rPr>
              <m:t>1</m:t>
            </m:r>
          </m:num>
          <m:den>
            <m:sSub>
              <m:e>
                <m:r>
                  <w:rPr>
                    <w:rFonts w:ascii="Cambria Math" w:hAnsi="Cambria Math" w:eastAsia="宋体"/>
                    <w:sz w:val="23"/>
                  </w:rPr>
                  <m:t>ξ</m:t>
                </m:r>
              </m:e>
              <m:sub>
                <m:r>
                  <w:rPr>
                    <w:rFonts w:ascii="Cambria Math" w:hAnsi="Cambria Math" w:eastAsia="宋体"/>
                    <w:sz w:val="23"/>
                  </w:rPr>
                  <m:t>imj</m:t>
                </m:r>
              </m:sub>
            </m:sSub>
          </m:den>
        </m:f>
        <m:r>
          <w:rPr>
            <w:rFonts w:ascii="Cambria Math" w:hAnsi="Cambria Math" w:eastAsia="宋体"/>
            <w:sz w:val="23"/>
          </w:rPr>
          <m:t>.</m:t>
        </m:r>
      </m:oMath>
      <w:r>
        <w:tab/>
        <w:t>(A14)</w:t>
      </w:r>
    </w:p>
    <w:p>
      <w:pPr>
        <w:keepNext/>
      </w:pPr>
      <w:r>
        <w:t>反演得到的</w:t>
      </w:r>
      <m:oMath>
        <m:box>
          <m:boxPr>
            <m:noBreak m:val="1"/>
          </m:boxPr>
          <m:e>
            <m:sSub>
              <m:e>
                <m:acc>
                  <m:accPr>
                    <m:chr m:val="̂"/>
                  </m:accPr>
                  <m:e>
                    <m:r>
                      <w:rPr>
                        <w:rFonts w:ascii="Cambria Math" w:hAnsi="Cambria Math" w:eastAsia="宋体"/>
                        <w:sz w:val="24"/>
                      </w:rPr>
                      <m:t>δ</m:t>
                    </m:r>
                  </m:e>
                </m:acc>
              </m:e>
              <m:sub>
                <m:r>
                  <w:rPr>
                    <w:rFonts w:ascii="Cambria Math" w:hAnsi="Cambria Math" w:eastAsia="宋体"/>
                    <w:sz w:val="24"/>
                  </w:rPr>
                  <m:t>j</m:t>
                </m:r>
              </m:sub>
            </m:sSub>
          </m:e>
        </m:box>
      </m:oMath>
      <w:r>
        <w:t>对应本轮改革的外国企业在华成本对数变化，成本和效率变化倍数分别为：</w:t>
      </w:r>
    </w:p>
    <w:p>
      <w:pPr>
        <w:pStyle w:val="Equation"/>
        <w:keepNext/>
      </w:pPr>
      <w:r>
        <w:tab/>
      </w:r>
      <m:oMath>
        <m:sSubSup>
          <m:e>
            <m:acc>
              <m:accPr>
                <m:chr m:val="̂"/>
              </m:accPr>
              <m:e>
                <m:r>
                  <w:rPr>
                    <w:rFonts w:ascii="Cambria Math" w:hAnsi="Cambria Math" w:eastAsia="宋体"/>
                    <w:sz w:val="23"/>
                  </w:rPr>
                  <m:t>d</m:t>
                </m:r>
              </m:e>
            </m:acc>
          </m:e>
          <m:sub>
            <m:r>
              <w:rPr>
                <w:rFonts w:ascii="Cambria Math" w:hAnsi="Cambria Math" w:eastAsia="宋体"/>
                <w:sz w:val="23"/>
              </w:rPr>
              <m:t>Cmj</m:t>
            </m:r>
          </m:sub>
          <m:sup>
            <m:r>
              <w:rPr>
                <w:rFonts w:ascii="Cambria Math" w:hAnsi="Cambria Math" w:eastAsia="宋体"/>
                <w:sz w:val="23"/>
              </w:rPr>
              <m:rPr>
                <m:sty m:val="p"/>
              </m:rPr>
              <m:t>MP</m:t>
            </m:r>
          </m:sup>
        </m:sSubSup>
        <m:r>
          <w:rPr>
            <w:rFonts w:ascii="Cambria Math" w:hAnsi="Cambria Math" w:eastAsia="宋体"/>
            <w:sz w:val="23"/>
          </w:rPr>
          <m:t>=</m:t>
        </m:r>
        <m:r>
          <w:rPr>
            <w:rFonts w:ascii="Cambria Math" w:hAnsi="Cambria Math" w:eastAsia="宋体"/>
            <w:sz w:val="23"/>
          </w:rPr>
          <m:rPr>
            <m:sty m:val="p"/>
          </m:rPr>
          <m:t>exp</m:t>
        </m:r>
        <m:r>
          <w:rPr>
            <w:rFonts w:ascii="Cambria Math" w:hAnsi="Cambria Math" w:eastAsia="宋体"/>
            <w:sz w:val="23"/>
          </w:rPr>
          <m:t>(</m:t>
        </m:r>
        <m:sSub>
          <m:e>
            <m:acc>
              <m:accPr>
                <m:chr m:val="̂"/>
              </m:accPr>
              <m:e>
                <m:r>
                  <w:rPr>
                    <w:rFonts w:ascii="Cambria Math" w:hAnsi="Cambria Math" w:eastAsia="宋体"/>
                    <w:sz w:val="23"/>
                  </w:rPr>
                  <m:t>δ</m:t>
                </m:r>
              </m:e>
            </m:acc>
          </m:e>
          <m:sub>
            <m:r>
              <w:rPr>
                <w:rFonts w:ascii="Cambria Math" w:hAnsi="Cambria Math" w:eastAsia="宋体"/>
                <w:sz w:val="23"/>
              </w:rPr>
              <m:t>j</m:t>
            </m:r>
          </m:sub>
        </m:sSub>
        <m:r>
          <w:rPr>
            <w:rFonts w:ascii="Cambria Math" w:hAnsi="Cambria Math" w:eastAsia="宋体"/>
            <w:sz w:val="23"/>
          </w:rPr>
          <m:t>),</m:t>
        </m:r>
        <m:sSub>
          <m:e>
            <m:acc>
              <m:accPr>
                <m:chr m:val="̂"/>
              </m:accPr>
              <m:e>
                <m:r>
                  <w:rPr>
                    <w:rFonts w:ascii="Cambria Math" w:hAnsi="Cambria Math" w:eastAsia="宋体"/>
                    <w:sz w:val="23"/>
                  </w:rPr>
                  <m:t>ξ</m:t>
                </m:r>
              </m:e>
            </m:acc>
          </m:e>
          <m:sub>
            <m:r>
              <w:rPr>
                <w:rFonts w:ascii="Cambria Math" w:hAnsi="Cambria Math" w:eastAsia="宋体"/>
                <w:sz w:val="23"/>
              </w:rPr>
              <m:t>Cmj</m:t>
            </m:r>
          </m:sub>
        </m:sSub>
        <m:r>
          <w:rPr>
            <w:rFonts w:ascii="Cambria Math" w:hAnsi="Cambria Math" w:eastAsia="宋体"/>
            <w:sz w:val="23"/>
          </w:rPr>
          <m:t>=</m:t>
        </m:r>
        <m:r>
          <w:rPr>
            <w:rFonts w:ascii="Cambria Math" w:hAnsi="Cambria Math" w:eastAsia="宋体"/>
            <w:sz w:val="23"/>
          </w:rPr>
          <m:rPr>
            <m:sty m:val="p"/>
          </m:rPr>
          <m:t>exp</m:t>
        </m:r>
        <m:r>
          <w:rPr>
            <w:rFonts w:ascii="Cambria Math" w:hAnsi="Cambria Math" w:eastAsia="宋体"/>
            <w:sz w:val="23"/>
          </w:rPr>
          <m:t>(-</m:t>
        </m:r>
        <m:sSub>
          <m:e>
            <m:acc>
              <m:accPr>
                <m:chr m:val="̂"/>
              </m:accPr>
              <m:e>
                <m:r>
                  <w:rPr>
                    <w:rFonts w:ascii="Cambria Math" w:hAnsi="Cambria Math" w:eastAsia="宋体"/>
                    <w:sz w:val="23"/>
                  </w:rPr>
                  <m:t>δ</m:t>
                </m:r>
              </m:e>
            </m:acc>
          </m:e>
          <m:sub>
            <m:r>
              <w:rPr>
                <w:rFonts w:ascii="Cambria Math" w:hAnsi="Cambria Math" w:eastAsia="宋体"/>
                <w:sz w:val="23"/>
              </w:rPr>
              <m:t>j</m:t>
            </m:r>
          </m:sub>
        </m:sSub>
        <m:r>
          <w:rPr>
            <w:rFonts w:ascii="Cambria Math" w:hAnsi="Cambria Math" w:eastAsia="宋体"/>
            <w:sz w:val="23"/>
          </w:rPr>
          <m:t>),</m:t>
        </m:r>
        <m:r>
          <w:rPr>
            <w:rFonts w:ascii="Cambria Math" w:hAnsi="Cambria Math" w:eastAsia="宋体"/>
            <w:sz w:val="23"/>
          </w:rPr>
          <m:t>m≠C.</m:t>
        </m:r>
      </m:oMath>
      <w:r>
        <w:tab/>
        <w:t>(A15)</w:t>
      </w:r>
    </w:p>
    <w:p>
      <w:pPr/>
      <w:r>
        <w:t>基准对同一部门各外国母国采用共同成本变化，由部门生产目标识别</w:t>
      </w:r>
      <m:oMath>
        <m:box>
          <m:boxPr>
            <m:noBreak m:val="1"/>
          </m:boxPr>
          <m:e>
            <m:sSub>
              <m:e>
                <m:r>
                  <w:rPr>
                    <w:rFonts w:ascii="Cambria Math" w:hAnsi="Cambria Math" w:eastAsia="宋体"/>
                    <w:sz w:val="24"/>
                  </w:rPr>
                  <m:t>δ</m:t>
                </m:r>
              </m:e>
              <m:sub>
                <m:r>
                  <w:rPr>
                    <w:rFonts w:ascii="Cambria Math" w:hAnsi="Cambria Math" w:eastAsia="宋体"/>
                    <w:sz w:val="24"/>
                  </w:rPr>
                  <m:t>j</m:t>
                </m:r>
              </m:sub>
            </m:sSub>
          </m:e>
        </m:box>
      </m:oMath>
      <w:r>
        <w:t>；母国别成本需要相应独立目标。式（A15）沿用既有模型的成本与效率关系，企业处理身份用于DID，结构成本由式（A10）—（A15）反演，不以处理变量取值直接赋予成本。</w:t>
      </w:r>
    </w:p>
    <w:p>
      <w:pPr>
        <w:pStyle w:val="21"/>
      </w:pPr>
      <w:r>
        <w:t>A.5.2 仅调整跨国生产成本的一般均衡反事实</w:t>
      </w:r>
    </w:p>
    <w:p>
      <w:pPr>
        <w:keepNext/>
      </w:pPr>
      <w:r>
        <w:t>设</w:t>
      </w:r>
      <m:oMath>
        <m:box>
          <m:boxPr>
            <m:noBreak m:val="1"/>
          </m:boxPr>
          <m:e>
            <m:sSub>
              <m:e>
                <m:r>
                  <w:rPr>
                    <w:rFonts w:ascii="Cambria Math" w:hAnsi="Cambria Math" w:eastAsia="宋体"/>
                    <w:sz w:val="24"/>
                  </w:rPr>
                  <m:rPr>
                    <m:scr m:val="script"/>
                  </m:rPr>
                  <m:t>J</m:t>
                </m:r>
              </m:e>
              <m:sub>
                <m:r>
                  <w:rPr>
                    <w:rFonts w:ascii="Cambria Math" w:hAnsi="Cambria Math" w:eastAsia="宋体"/>
                    <w:sz w:val="24"/>
                  </w:rPr>
                  <m:t>R</m:t>
                </m:r>
              </m:sub>
            </m:sSub>
          </m:e>
        </m:box>
      </m:oMath>
      <w:r>
        <w:t>为本轮改革对应且获得成本估计的部门集合。在贸易成本给定的条件下，仅调整外国企业在中国生产的跨国生产成本（MP-only），效率冲击为：</w:t>
      </w:r>
    </w:p>
    <w:p>
      <w:pPr>
        <w:pStyle w:val="Equation"/>
        <w:keepNext/>
      </w:pPr>
      <w:r>
        <w:tab/>
      </w:r>
      <m:oMath>
        <m:sSub>
          <m:e>
            <m:acc>
              <m:accPr>
                <m:chr m:val="̂"/>
              </m:accPr>
              <m:e>
                <m:r>
                  <w:rPr>
                    <w:rFonts w:ascii="Cambria Math" w:hAnsi="Cambria Math" w:eastAsia="宋体"/>
                    <w:sz w:val="23"/>
                  </w:rPr>
                  <m:t>ξ</m:t>
                </m:r>
              </m:e>
            </m:acc>
          </m:e>
          <m:sub>
            <m:r>
              <w:rPr>
                <w:rFonts w:ascii="Cambria Math" w:hAnsi="Cambria Math" w:eastAsia="宋体"/>
                <w:sz w:val="23"/>
              </w:rPr>
              <m:t>imj</m:t>
            </m:r>
          </m:sub>
        </m:sSub>
        <m:r>
          <w:rPr>
            <w:rFonts w:ascii="Cambria Math" w:hAnsi="Cambria Math" w:eastAsia="宋体"/>
            <w:sz w:val="23"/>
          </w:rPr>
          <m:t>=</m:t>
        </m:r>
        <m:d>
          <m:dPr>
            <m:begChr m:val="{"/>
            <m:sepChr m:val=","/>
            <m:endChr m:val=""/>
          </m:dPr>
          <m:e>
            <m:m>
              <m:mPr>
                <m:baseJc m:val="center"/>
                <m:plcHide m:val="on"/>
                <m:mcs>
                  <m:mc>
                    <m:mcPr>
                      <m:count m:val="2"/>
                      <m:mcJc m:val="center"/>
                    </m:mcPr>
                  </m:mc>
                </m:mcs>
              </m:mPr>
              <m:mr>
                <m:e>
                  <m:r>
                    <w:rPr>
                      <w:rFonts w:ascii="Cambria Math" w:hAnsi="Cambria Math" w:eastAsia="宋体"/>
                      <w:sz w:val="23"/>
                    </w:rPr>
                    <m:rPr>
                      <m:sty m:val="p"/>
                    </m:rPr>
                    <m:t>exp</m:t>
                  </m:r>
                  <m:r>
                    <w:rPr>
                      <w:rFonts w:ascii="Cambria Math" w:hAnsi="Cambria Math" w:eastAsia="宋体"/>
                      <w:sz w:val="23"/>
                    </w:rPr>
                    <m:t>(-</m:t>
                  </m:r>
                  <m:sSub>
                    <m:e>
                      <m:acc>
                        <m:accPr>
                          <m:chr m:val="̂"/>
                        </m:accPr>
                        <m:e>
                          <m:r>
                            <w:rPr>
                              <w:rFonts w:ascii="Cambria Math" w:hAnsi="Cambria Math" w:eastAsia="宋体"/>
                              <w:sz w:val="23"/>
                            </w:rPr>
                            <m:t>δ</m:t>
                          </m:r>
                        </m:e>
                      </m:acc>
                    </m:e>
                    <m:sub>
                      <m:r>
                        <w:rPr>
                          <w:rFonts w:ascii="Cambria Math" w:hAnsi="Cambria Math" w:eastAsia="宋体"/>
                          <w:sz w:val="23"/>
                        </w:rPr>
                        <m:t>j</m:t>
                      </m:r>
                    </m:sub>
                  </m:sSub>
                  <m:r>
                    <w:rPr>
                      <w:rFonts w:ascii="Cambria Math" w:hAnsi="Cambria Math" w:eastAsia="宋体"/>
                      <w:sz w:val="23"/>
                    </w:rPr>
                    <m:t>),</m:t>
                  </m:r>
                </m:e>
                <m:e>
                  <m:r>
                    <w:rPr>
                      <w:rFonts w:ascii="Cambria Math" w:hAnsi="Cambria Math" w:eastAsia="宋体"/>
                      <w:sz w:val="23"/>
                    </w:rPr>
                    <m:t>i=C,</m:t>
                  </m:r>
                  <m:r>
                    <w:rPr>
                      <w:rFonts w:ascii="Cambria Math" w:hAnsi="Cambria Math" w:eastAsia="宋体"/>
                      <w:sz w:val="23"/>
                    </w:rPr>
                    <m:t>m≠C,</m:t>
                  </m:r>
                  <m:r>
                    <w:rPr>
                      <w:rFonts w:ascii="Cambria Math" w:hAnsi="Cambria Math" w:eastAsia="宋体"/>
                      <w:sz w:val="23"/>
                    </w:rPr>
                    <m:t>j∈</m:t>
                  </m:r>
                  <m:sSub>
                    <m:e>
                      <m:r>
                        <w:rPr>
                          <w:rFonts w:ascii="Cambria Math" w:hAnsi="Cambria Math" w:eastAsia="宋体"/>
                          <w:sz w:val="23"/>
                        </w:rPr>
                        <m:rPr>
                          <m:scr m:val="script"/>
                        </m:rPr>
                        <m:t>J</m:t>
                      </m:r>
                    </m:e>
                    <m:sub>
                      <m:r>
                        <w:rPr>
                          <w:rFonts w:ascii="Cambria Math" w:hAnsi="Cambria Math" w:eastAsia="宋体"/>
                          <w:sz w:val="23"/>
                        </w:rPr>
                        <m:t>R</m:t>
                      </m:r>
                    </m:sub>
                  </m:sSub>
                  <m:r>
                    <w:rPr>
                      <w:rFonts w:ascii="Cambria Math" w:hAnsi="Cambria Math" w:eastAsia="宋体"/>
                      <w:sz w:val="23"/>
                    </w:rPr>
                    <m:t>,</m:t>
                  </m:r>
                </m:e>
              </m:mr>
              <m:mr>
                <m:e>
                  <m:r>
                    <w:rPr>
                      <w:rFonts w:ascii="Cambria Math" w:hAnsi="Cambria Math" w:eastAsia="宋体"/>
                      <w:sz w:val="23"/>
                    </w:rPr>
                    <m:t>1,</m:t>
                  </m:r>
                </m:e>
                <m:e>
                  <m:r>
                    <w:rPr>
                      <w:rFonts w:ascii="Cambria Math" w:hAnsi="Cambria Math" w:eastAsia="宋体"/>
                      <w:sz w:val="23"/>
                    </w:rPr>
                    <m:rPr>
                      <m:nor/>
                    </m:rPr>
                    <m:t>其他关系</m:t>
                  </m:r>
                  <m:r>
                    <w:rPr>
                      <w:rFonts w:ascii="Cambria Math" w:hAnsi="Cambria Math" w:eastAsia="宋体"/>
                      <w:sz w:val="23"/>
                    </w:rPr>
                    <m:t>.</m:t>
                  </m:r>
                </m:e>
              </m:mr>
            </m:m>
          </m:e>
        </m:d>
      </m:oMath>
      <w:r>
        <w:tab/>
        <w:t>(A16)</w:t>
      </w:r>
    </w:p>
    <w:p>
      <w:pPr/>
      <w:r>
        <w:t>一般均衡求解允许生产地选择、三边销售、投入需求、价格、工资、利润、创新和福利随之调整。其他部门及中国企业境外生产可通过投入产出联系、需求和要素价格受到间接影响。部门仅部分业务放宽时，反演成本对应整个部门的生产目标，具体业务的法律适用仍按A.2判断。</w:t>
      </w:r>
    </w:p>
    <w:p>
      <w:pPr>
        <w:pStyle w:val="1"/>
      </w:pPr>
      <w:r>
        <w:t>A.6 一般均衡结果的组织与反事实设计</w:t>
      </w:r>
    </w:p>
    <w:p>
      <w:pPr>
        <w:pStyle w:val="21"/>
      </w:pPr>
      <w:r>
        <w:t>A.6.1 三边生产网络</w:t>
      </w:r>
    </w:p>
    <w:p>
      <w:pPr>
        <w:keepNext/>
      </w:pPr>
      <w:r>
        <w:t>针对本轮外国企业在华生产的准入改革，固定生产国</w:t>
      </w:r>
      <m:oMath>
        <m:box>
          <m:boxPr>
            <m:noBreak m:val="1"/>
          </m:boxPr>
          <m:e>
            <m:r>
              <w:rPr>
                <w:rFonts w:ascii="Cambria Math" w:hAnsi="Cambria Math" w:eastAsia="宋体"/>
                <w:sz w:val="24"/>
              </w:rPr>
              <m:t>i=C</m:t>
            </m:r>
          </m:e>
        </m:box>
      </m:oMath>
      <w:r>
        <w:t>，保留母国</w:t>
      </w:r>
      <m:oMath>
        <m:box>
          <m:boxPr>
            <m:noBreak m:val="1"/>
          </m:boxPr>
          <m:e>
            <m:r>
              <w:rPr>
                <w:rFonts w:ascii="Cambria Math" w:hAnsi="Cambria Math" w:eastAsia="宋体"/>
                <w:sz w:val="24"/>
              </w:rPr>
              <m:t>m</m:t>
            </m:r>
          </m:e>
        </m:box>
      </m:oMath>
      <w:r>
        <w:t>和销售目的国</w:t>
      </w:r>
      <m:oMath>
        <m:box>
          <m:boxPr>
            <m:noBreak m:val="1"/>
          </m:boxPr>
          <m:e>
            <m:r>
              <w:rPr>
                <w:rFonts w:ascii="Cambria Math" w:hAnsi="Cambria Math" w:eastAsia="宋体"/>
                <w:sz w:val="24"/>
              </w:rPr>
              <m:t>n</m:t>
            </m:r>
          </m:e>
        </m:box>
      </m:oMath>
      <w:r>
        <w:t>，计算部门流量变化：</w:t>
      </w:r>
    </w:p>
    <w:p>
      <w:pPr>
        <w:pStyle w:val="Equation"/>
        <w:keepNext/>
      </w:pPr>
      <w:r>
        <w:tab/>
      </w:r>
      <m:oMath>
        <m:r>
          <w:rPr>
            <w:rFonts w:ascii="Cambria Math" w:hAnsi="Cambria Math" w:eastAsia="宋体"/>
            <w:sz w:val="23"/>
          </w:rPr>
          <m:t>Δ</m:t>
        </m:r>
        <m:sSub>
          <m:e>
            <m:r>
              <w:rPr>
                <w:rFonts w:ascii="Cambria Math" w:hAnsi="Cambria Math" w:eastAsia="宋体"/>
                <w:sz w:val="23"/>
              </w:rPr>
              <m:t>X</m:t>
            </m:r>
          </m:e>
          <m:sub>
            <m:r>
              <w:rPr>
                <w:rFonts w:ascii="Cambria Math" w:hAnsi="Cambria Math" w:eastAsia="宋体"/>
                <w:sz w:val="23"/>
              </w:rPr>
              <m:t>nCmj</m:t>
            </m:r>
          </m:sub>
        </m:sSub>
        <m:r>
          <w:rPr>
            <w:rFonts w:ascii="Cambria Math" w:hAnsi="Cambria Math" w:eastAsia="宋体"/>
            <w:sz w:val="23"/>
          </w:rPr>
          <m:t>=</m:t>
        </m:r>
        <m:sSubSup>
          <m:e>
            <m:r>
              <w:rPr>
                <w:rFonts w:ascii="Cambria Math" w:hAnsi="Cambria Math" w:eastAsia="宋体"/>
                <w:sz w:val="23"/>
              </w:rPr>
              <m:t>X</m:t>
            </m:r>
          </m:e>
          <m:sub>
            <m:r>
              <w:rPr>
                <w:rFonts w:ascii="Cambria Math" w:hAnsi="Cambria Math" w:eastAsia="宋体"/>
                <w:sz w:val="23"/>
              </w:rPr>
              <m:t>nCmj</m:t>
            </m:r>
          </m:sub>
          <m:sup>
            <m:r>
              <w:rPr>
                <w:rFonts w:ascii="Cambria Math" w:hAnsi="Cambria Math" w:eastAsia="宋体"/>
                <w:sz w:val="23"/>
              </w:rPr>
              <m:rPr>
                <m:sty m:val="p"/>
              </m:rPr>
              <m:t>cf</m:t>
            </m:r>
          </m:sup>
        </m:sSubSup>
        <m:r>
          <w:rPr>
            <w:rFonts w:ascii="Cambria Math" w:hAnsi="Cambria Math" w:eastAsia="宋体"/>
            <w:sz w:val="23"/>
          </w:rPr>
          <m:t>-</m:t>
        </m:r>
        <m:sSubSup>
          <m:e>
            <m:r>
              <w:rPr>
                <w:rFonts w:ascii="Cambria Math" w:hAnsi="Cambria Math" w:eastAsia="宋体"/>
                <w:sz w:val="23"/>
              </w:rPr>
              <m:t>X</m:t>
            </m:r>
          </m:e>
          <m:sub>
            <m:r>
              <w:rPr>
                <w:rFonts w:ascii="Cambria Math" w:hAnsi="Cambria Math" w:eastAsia="宋体"/>
                <w:sz w:val="23"/>
              </w:rPr>
              <m:t>nCmj</m:t>
            </m:r>
          </m:sub>
          <m:sup>
            <m:r>
              <w:rPr>
                <w:rFonts w:ascii="Cambria Math" w:hAnsi="Cambria Math" w:eastAsia="宋体"/>
                <w:sz w:val="23"/>
              </w:rPr>
              <m:t>0</m:t>
            </m:r>
          </m:sup>
        </m:sSubSup>
        <m:r>
          <w:rPr>
            <w:rFonts w:ascii="Cambria Math" w:hAnsi="Cambria Math" w:eastAsia="宋体"/>
            <w:sz w:val="23"/>
          </w:rPr>
          <m:t>.</m:t>
        </m:r>
      </m:oMath>
      <w:r>
        <w:tab/>
        <w:t>(A17)</w:t>
      </w:r>
    </w:p>
    <w:p>
      <w:pPr/>
      <w:r>
        <w:t>其中，上标</w:t>
      </w:r>
      <m:oMath>
        <m:box>
          <m:boxPr>
            <m:noBreak m:val="1"/>
          </m:boxPr>
          <m:e>
            <m:r>
              <w:rPr>
                <w:rFonts w:ascii="Cambria Math" w:hAnsi="Cambria Math" w:eastAsia="宋体"/>
                <w:sz w:val="24"/>
              </w:rPr>
              <m:t>0</m:t>
            </m:r>
          </m:e>
        </m:box>
      </m:oMath>
      <w:r>
        <w:t>表示无本轮改革情景，上标</w:t>
      </w:r>
      <m:oMath>
        <m:box>
          <m:boxPr>
            <m:noBreak m:val="1"/>
          </m:boxPr>
          <m:e>
            <m:r>
              <w:rPr>
                <w:rFonts w:ascii="Cambria Math" w:hAnsi="Cambria Math" w:eastAsia="宋体"/>
                <w:sz w:val="24"/>
              </w:rPr>
              <m:rPr>
                <m:sty m:val="p"/>
              </m:rPr>
              <m:t>cf</m:t>
            </m:r>
          </m:e>
        </m:box>
      </m:oMath>
      <w:r>
        <w:t>表示施加式（A16）冲击后的有改革情景。按母国、目的国和部门加总，考察在华生产面向中国及其他市场的变化，以及不同母国企业的调整。</w:t>
      </w:r>
    </w:p>
    <w:p>
      <w:pPr>
        <w:pStyle w:val="21"/>
      </w:pPr>
      <w:r>
        <w:t>A.6.2 有改革与无改革的比较</w:t>
      </w:r>
    </w:p>
    <w:p>
      <w:pPr/>
      <w:r>
        <w:t>反事实比较本轮改革有无两种情景，以2014年其他外生条件为共同参照。无改革情景对应原有准入条件，有改革情景施加部门成本变化，模型基准与实证无改革预测保持一致。使用已包含改革的实际资料校准时，先求出相应无改革状态，再比较两者，避免重复施加改革。</w:t>
      </w:r>
    </w:p>
    <w:p>
      <w:pPr/>
      <w:r>
        <w:t>成本冲击仅施加于</w:t>
      </w:r>
      <m:oMath>
        <m:box>
          <m:boxPr>
            <m:noBreak m:val="1"/>
          </m:boxPr>
          <m:e>
            <m:sSub>
              <m:e>
                <m:r>
                  <w:rPr>
                    <w:rFonts w:ascii="Cambria Math" w:hAnsi="Cambria Math" w:eastAsia="宋体"/>
                    <w:sz w:val="24"/>
                  </w:rPr>
                  <m:rPr>
                    <m:scr m:val="script"/>
                  </m:rPr>
                  <m:t>J</m:t>
                </m:r>
              </m:e>
              <m:sub>
                <m:r>
                  <w:rPr>
                    <w:rFonts w:ascii="Cambria Math" w:hAnsi="Cambria Math" w:eastAsia="宋体"/>
                    <w:sz w:val="24"/>
                  </w:rPr>
                  <m:t>R</m:t>
                </m:r>
              </m:sub>
            </m:sSub>
          </m:e>
        </m:box>
      </m:oMath>
      <w:r>
        <w:t>，结果同时报告部门覆盖，不向缺乏对应成本估计的部门补入全国平均冲击。其他年份和放宽方式作为简短扩展，按其政策及样本重新定义比较，不纳入本轮共同估计。</w:t>
      </w:r>
    </w:p>
    <w:p>
      <w:pPr>
        <w:pStyle w:val="21"/>
      </w:pPr>
      <w:r>
        <w:t>A.6.3 结果变量与福利</w:t>
      </w:r>
    </w:p>
    <w:p>
      <w:pPr/>
      <w:r>
        <w:t>结果包括外国企业在华生产价值及份额、部门产出与价格、三边流量、工资、利润、研发劳动、产品种类和实际收入。先报告部门及母国差异，再按具有明确经济含义的权重加总。</w:t>
      </w:r>
    </w:p>
    <w:p>
      <w:pPr/>
      <w:r>
        <w:t>福利计算及分解遵循既有模型，结合本轮生产目标解释生产和收入调整。结果注明比较年度、部门范围、产出补充假设和均衡条件，反映部门MP成本变化在模型中的传导。</w:t>
      </w:r>
    </w:p>
    <w:p>
      <w:pPr>
        <w:pStyle w:val="1"/>
      </w:pPr>
      <w:r>
        <w:t>A.7 样本检验与稳健性分析</w:t>
      </w:r>
    </w:p>
    <w:p>
      <w:pPr/>
      <w:r>
        <w:t>样本检验报告2007—2014年处理组和对照组的企业数量、产出及控制权分布，核对行业、地区、缺失和退出。政策文本与企业业务匹配采用独立人工样本检验，比较合理候选、部分覆盖及不同匹配范围下的结果，并分别核对外国、国内生产两式的估计及预测覆盖。</w:t>
      </w:r>
    </w:p>
    <w:p>
      <w:pPr/>
      <w:r>
        <w:t>实证检验以2007—2009年相对于2010年的动态系数考察改革前走势，分别报告2011年信息公开当年的反应、2012年的实施反应及随后调整。比较事先确定的对照范围、行业固定效应和完整业务样本，检验草案与正式目录放宽内容一致的样本，考察产出集中、企业关联及竞争和供应链溢出。聚类层级依据实际赋值与误差相关性设置，报告有效政策组的信息及小样本推断的适用范围。</w:t>
      </w:r>
    </w:p>
    <w:p>
      <w:pPr/>
      <w:r>
        <w:t>同期政策在既定窗口内集中核查。标出2007年目录更替已改变准入的业务，检验排除交叠业务后的结果；改革后核对2012年证券专项调整、2013—2014年上海自贸试验区、期间CEPA安排及项目管理变化。将改革前业务、地址与资格资料对应当年条款及法定边界，识别政策覆盖并比较排除交叠范围后的结果，处理身份始终按本轮改革固定。鼓励待遇等伴随变化另作检验，结果解释结合相应政策范围。</w:t>
      </w:r>
      <w:r>
        <w:t>⁠</w:t>
      </w:r>
      <w:r>
        <w:rPr>
          <w:rStyle w:val="FootnoteReference"/>
        </w:rPr>
        <w:footnoteReference w:id="4"/>
      </w:r>
    </w:p>
    <w:p>
      <w:pPr/>
      <w:r>
        <w:t>生产分析同时报告外国、国内及总生产，考察控制权转换、进入退出和规模调整的作用。结构检验报告经验目标与模型结果的拟合、成本参数的区分能力、雅可比矩阵的秩及解的稳定性，核对边界解和多解。围绕生产覆盖、结构参数和PE、GE条件开展敏感性分析，按适用的聚类或重抽样贯穿生产估计、成本反演和均衡求解，并记录未收敛或无法反演的情况。结构参数采用有来源的校准值或区间。</w:t>
      </w:r>
    </w:p>
    <w:p>
      <w:pPr>
        <w:pStyle w:val="1"/>
        <w:pageBreakBefore/>
      </w:pPr>
      <w:r>
        <w:t>参考文献与政策资料</w:t>
      </w:r>
    </w:p>
    <w:p>
      <w:pPr>
        <w:pStyle w:val="Reference"/>
      </w:pPr>
      <w:r>
        <w:t>Eppinger, P., and H. Ma. 2023. Optimal Ownership and Firm Performance: An Analysis of China’s FDI Liberalization. CESifo Working Paper No. 10551.</w:t>
      </w:r>
    </w:p>
    <w:p>
      <w:pPr>
        <w:pStyle w:val="Reference"/>
      </w:pPr>
      <w:r>
        <w:t>Santos Silva, J. M. C., and S. Tenreyro. 2006. The Log of Gravity. Review of Economics and Statistics, 88(4), 641–658.</w:t>
      </w:r>
    </w:p>
    <w:p>
      <w:pPr>
        <w:pStyle w:val="Reference"/>
      </w:pPr>
      <w:r>
        <w:t xml:space="preserve">Correia, S., P. Guimarães, and T. Zylkin. 2020. Fast Poisson Estimation with High-Dimensional Fixed Effects. The Stata Journal, 20(1), 95–115. </w:t>
      </w:r>
      <w:hyperlink r:id="rId8">
        <w:r>
          <w:rPr>
            <w:color w:val="000000"/>
            <w:u w:val="single"/>
          </w:rPr>
          <w:t>作者文档</w:t>
        </w:r>
      </w:hyperlink>
      <w:r>
        <w:t>。</w:t>
      </w:r>
    </w:p>
    <w:p>
      <w:pPr>
        <w:pStyle w:val="Reference"/>
      </w:pPr>
      <w:r>
        <w:t>国家统计局：GB/T 4754—2017及第1号修改单、《2017年国民经济行业分类注释》。</w:t>
      </w:r>
      <w:hyperlink r:id="rId9">
        <w:r>
          <w:rPr>
            <w:color w:val="000000"/>
            <w:u w:val="single"/>
          </w:rPr>
          <w:t>行业标准</w:t>
        </w:r>
      </w:hyperlink>
      <w:r>
        <w:t>，</w:t>
      </w:r>
      <w:hyperlink r:id="rId10">
        <w:r>
          <w:rPr>
            <w:color w:val="000000"/>
            <w:u w:val="single"/>
          </w:rPr>
          <w:t>修改单</w:t>
        </w:r>
      </w:hyperlink>
      <w:r>
        <w:t>，</w:t>
      </w:r>
      <w:hyperlink r:id="rId11">
        <w:r>
          <w:rPr>
            <w:color w:val="000000"/>
            <w:u w:val="single"/>
          </w:rPr>
          <w:t>行业注释</w:t>
        </w:r>
      </w:hyperlink>
      <w:r>
        <w:t>。</w:t>
      </w:r>
    </w:p>
    <w:p>
      <w:pPr>
        <w:pStyle w:val="Reference"/>
      </w:pPr>
      <w:r>
        <w:t>国家发展改革委、商务部：《外商投资产业指导目录》</w:t>
      </w:r>
      <w:hyperlink r:id="rId26">
        <w:r>
          <w:rPr>
            <w:color w:val="000000"/>
            <w:u w:val="single"/>
          </w:rPr>
          <w:t>2007年原文</w:t>
        </w:r>
      </w:hyperlink>
      <w:r>
        <w:t>、</w:t>
      </w:r>
      <w:hyperlink r:id="rId27">
        <w:r>
          <w:rPr>
            <w:color w:val="000000"/>
            <w:u w:val="single"/>
          </w:rPr>
          <w:t>2011年修订草案</w:t>
        </w:r>
      </w:hyperlink>
      <w:r>
        <w:t>、</w:t>
      </w:r>
      <w:hyperlink r:id="rId12">
        <w:r>
          <w:rPr>
            <w:color w:val="000000"/>
            <w:u w:val="single"/>
          </w:rPr>
          <w:t>2011年原文</w:t>
        </w:r>
      </w:hyperlink>
      <w:r>
        <w:t>及</w:t>
      </w:r>
      <w:hyperlink r:id="rId28">
        <w:r>
          <w:rPr>
            <w:color w:val="000000"/>
            <w:u w:val="single"/>
          </w:rPr>
          <w:t>修订答记者问</w:t>
        </w:r>
      </w:hyperlink>
      <w:r>
        <w:t>。</w:t>
      </w:r>
    </w:p>
    <w:p>
      <w:pPr>
        <w:pStyle w:val="Reference"/>
      </w:pPr>
      <w:r>
        <w:t>项目及交易规则：</w:t>
      </w:r>
      <w:hyperlink r:id="rId29">
        <w:r>
          <w:rPr>
            <w:color w:val="000000"/>
            <w:u w:val="single"/>
          </w:rPr>
          <w:t>2004年外商投资项目核准暂行管理办法</w:t>
        </w:r>
      </w:hyperlink>
      <w:r>
        <w:t>、</w:t>
      </w:r>
      <w:hyperlink r:id="rId30">
        <w:r>
          <w:rPr>
            <w:color w:val="000000"/>
            <w:u w:val="single"/>
          </w:rPr>
          <w:t>2009年外国投资者并购境内企业的规定</w:t>
        </w:r>
      </w:hyperlink>
      <w:r>
        <w:t>、</w:t>
      </w:r>
      <w:hyperlink r:id="rId31">
        <w:r>
          <w:rPr>
            <w:color w:val="000000"/>
            <w:u w:val="single"/>
          </w:rPr>
          <w:t>2014年外商投资项目核准和备案管理办法</w:t>
        </w:r>
      </w:hyperlink>
      <w:r>
        <w:t>。</w:t>
      </w:r>
    </w:p>
    <w:p>
      <w:pPr>
        <w:pStyle w:val="Reference"/>
      </w:pPr>
      <w:r>
        <w:t>《中国高水平制度型开放与全球产业链网络重塑》及模型完整推导附录，研究稿；《审稿人回复》，制度型开放测度及流量与成本映射部分；《报告_重点标红版》，成本映射及参数说明。结构定义沿用研究稿，参数数值在校准时核实。</w:t>
      </w:r>
    </w:p>
    <w:sectPr w:rsidR="002D7E2C" w:rsidSect="00034616">
      <w:footerReference w:type="default" r:id="rId23"/>
      <w:pgSz w:w="12240" w:h="15840"/>
      <w:pgMar w:top="1440" w:right="1440" w:bottom="1440" w:left="1440" w:header="720"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D5190" w14:textId="77777777" w:rsidR="00945DDB" w:rsidRDefault="00945DDB">
      <w:pPr>
        <w:spacing w:after="0" w:line="240" w:lineRule="auto"/>
      </w:pPr>
      <w:r>
        <w:separator/>
      </w:r>
    </w:p>
  </w:endnote>
  <w:endnote w:type="continuationSeparator" w:id="0">
    <w:p w14:paraId="0F236390" w14:textId="77777777" w:rsidR="00945DDB" w:rsidRDefault="00945D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13898" w14:textId="77777777" w:rsidR="002C0540" w:rsidRDefault="00FE1083">
    <w:pPr>
      <w:pStyle w:val="a7"/>
      <w:jc w:val="center"/>
    </w:pPr>
    <w:r>
      <w:fldChar w:fldCharType="begin"/>
    </w:r>
    <w:r>
      <w:instrText>PAGE</w:instrText>
    </w:r>
    <w:r>
      <w:fldChar w:fldCharType="separate"/>
    </w:r>
    <w:r>
      <w:t>1</w:t>
    </w:r>
    <w:r>
      <w:fldChar w:fldCharType="end"/>
    </w:r>
  </w:p>
</w:ftr>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pPr>
      <w:r>
        <w:rPr>
          <w:rStyle w:val="FootnoteReference"/>
        </w:rPr>
        <w:footnoteRef/>
      </w:r>
      <w:r>
        <w:t xml:space="preserve"> 信息公开依据国家发展改革委</w:t>
      </w:r>
      <w:hyperlink r:id="rId1">
        <w:r>
          <w:rPr>
            <w:color w:val="000000"/>
            <w:u w:val="single"/>
          </w:rPr>
          <w:t>2011年征求意见通知</w:t>
        </w:r>
      </w:hyperlink>
      <w:r>
        <w:t>，通知署期4月1日、网页4月2日发布，截止4月30日。正式目录参见</w:t>
      </w:r>
      <w:hyperlink r:id="rId2">
        <w:r>
          <w:rPr>
            <w:color w:val="000000"/>
            <w:u w:val="single"/>
          </w:rPr>
          <w:t>第12号令</w:t>
        </w:r>
      </w:hyperlink>
      <w:r>
        <w:t>；2007版参见</w:t>
      </w:r>
      <w:hyperlink r:id="rId3">
        <w:r>
          <w:rPr>
            <w:color w:val="000000"/>
            <w:u w:val="single"/>
          </w:rPr>
          <w:t>第57号令</w:t>
        </w:r>
      </w:hyperlink>
      <w:r>
        <w:t>。</w:t>
      </w:r>
    </w:p>
  </w:footnote>
  <w:footnote w:id="2">
    <w:p>
      <w:pPr>
        <w:pStyle w:val="FootnoteText"/>
      </w:pPr>
      <w:r>
        <w:rPr>
          <w:rStyle w:val="FootnoteReference"/>
        </w:rPr>
        <w:footnoteRef/>
      </w:r>
      <w:r>
        <w:t xml:space="preserve"> </w:t>
      </w:r>
      <w:hyperlink r:id="rId4">
        <w:r>
          <w:rPr>
            <w:color w:val="000000"/>
            <w:u w:val="single"/>
          </w:rPr>
          <w:t>2011年官方答记者问</w:t>
        </w:r>
      </w:hyperlink>
      <w:r>
        <w:t>按新目录生效前后的项目核准时间明确衔接；其中对新目录增设限制条件的项目，另行说明原有经营与增资、股权转让等事项的区别。项目管理参见</w:t>
      </w:r>
      <w:hyperlink r:id="rId5">
        <w:r>
          <w:rPr>
            <w:color w:val="000000"/>
            <w:u w:val="single"/>
          </w:rPr>
          <w:t>2004年暂行办法</w:t>
        </w:r>
      </w:hyperlink>
      <w:r>
        <w:t>，并购参见</w:t>
      </w:r>
      <w:hyperlink r:id="rId6">
        <w:r>
          <w:rPr>
            <w:color w:val="000000"/>
            <w:u w:val="single"/>
          </w:rPr>
          <w:t>2009年规定</w:t>
        </w:r>
      </w:hyperlink>
      <w:r>
        <w:t>。</w:t>
      </w:r>
    </w:p>
  </w:footnote>
  <w:footnote w:id="3">
    <w:p>
      <w:pPr>
        <w:pStyle w:val="FootnoteText"/>
      </w:pPr>
      <w:r>
        <w:rPr>
          <w:rStyle w:val="FootnoteReference"/>
        </w:rPr>
        <w:footnoteRef/>
      </w:r>
      <w:r>
        <w:t xml:space="preserve"> PPMLHDFE对全零组、分离观测及单例组的处理参见</w:t>
      </w:r>
      <w:hyperlink r:id="rId7">
        <w:r>
          <w:rPr>
            <w:color w:val="000000"/>
            <w:u w:val="single"/>
          </w:rPr>
          <w:t>作者文档</w:t>
        </w:r>
      </w:hyperlink>
      <w:r>
        <w:t>。外国和国内生产两式分别记录估计样本及预测覆盖。</w:t>
      </w:r>
    </w:p>
  </w:footnote>
  <w:footnote w:id="4">
    <w:p>
      <w:pPr>
        <w:pStyle w:val="FootnoteText"/>
      </w:pPr>
      <w:r>
        <w:rPr>
          <w:rStyle w:val="FootnoteReference"/>
        </w:rPr>
        <w:footnoteRef/>
      </w:r>
      <w:r>
        <w:t xml:space="preserve"> 同期核查依据包括证监会</w:t>
      </w:r>
      <w:hyperlink r:id="rId8">
        <w:r>
          <w:rPr>
            <w:color w:val="000000"/>
            <w:u w:val="single"/>
          </w:rPr>
          <w:t>2012年第86号令</w:t>
        </w:r>
      </w:hyperlink>
      <w:r>
        <w:t>、上海市政府</w:t>
      </w:r>
      <w:hyperlink r:id="rId9">
        <w:r>
          <w:rPr>
            <w:color w:val="000000"/>
            <w:u w:val="single"/>
          </w:rPr>
          <w:t>2013年负面清单</w:t>
        </w:r>
      </w:hyperlink>
      <w:r>
        <w:t>及</w:t>
      </w:r>
      <w:hyperlink r:id="rId10">
        <w:r>
          <w:rPr>
            <w:color w:val="000000"/>
            <w:u w:val="single"/>
          </w:rPr>
          <w:t>2014年说明</w:t>
        </w:r>
      </w:hyperlink>
      <w:r>
        <w:t>、商务部</w:t>
      </w:r>
      <w:hyperlink r:id="rId11">
        <w:r>
          <w:rPr>
            <w:color w:val="000000"/>
            <w:u w:val="single"/>
          </w:rPr>
          <w:t>CEPA法律文本</w:t>
        </w:r>
      </w:hyperlink>
      <w:r>
        <w:t>，以及2014年项目管理办法。相关业务的具体适用日期和范围分别核对。</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87836803">
    <w:abstractNumId w:val="8"/>
  </w:num>
  <w:num w:numId="2" w16cid:durableId="521016866">
    <w:abstractNumId w:val="6"/>
  </w:num>
  <w:num w:numId="3" w16cid:durableId="633095668">
    <w:abstractNumId w:val="5"/>
  </w:num>
  <w:num w:numId="4" w16cid:durableId="403798814">
    <w:abstractNumId w:val="4"/>
  </w:num>
  <w:num w:numId="5" w16cid:durableId="530538523">
    <w:abstractNumId w:val="7"/>
  </w:num>
  <w:num w:numId="6" w16cid:durableId="527375847">
    <w:abstractNumId w:val="3"/>
  </w:num>
  <w:num w:numId="7" w16cid:durableId="470945582">
    <w:abstractNumId w:val="2"/>
  </w:num>
  <w:num w:numId="8" w16cid:durableId="1295403094">
    <w:abstractNumId w:val="1"/>
  </w:num>
  <w:num w:numId="9" w16cid:durableId="666710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49C9"/>
    <w:rsid w:val="000B2488"/>
    <w:rsid w:val="0015074B"/>
    <w:rsid w:val="001D0945"/>
    <w:rsid w:val="0029639D"/>
    <w:rsid w:val="002C0540"/>
    <w:rsid w:val="002D7E2C"/>
    <w:rsid w:val="003268CE"/>
    <w:rsid w:val="00326F90"/>
    <w:rsid w:val="003A1012"/>
    <w:rsid w:val="004B1FF2"/>
    <w:rsid w:val="004F26D2"/>
    <w:rsid w:val="00516F93"/>
    <w:rsid w:val="00553CE8"/>
    <w:rsid w:val="005C3041"/>
    <w:rsid w:val="005D0D22"/>
    <w:rsid w:val="006C781C"/>
    <w:rsid w:val="007B166D"/>
    <w:rsid w:val="008B3F46"/>
    <w:rsid w:val="00945DDB"/>
    <w:rsid w:val="00951741"/>
    <w:rsid w:val="00954789"/>
    <w:rsid w:val="00A4575E"/>
    <w:rsid w:val="00AA1D8D"/>
    <w:rsid w:val="00B44021"/>
    <w:rsid w:val="00B47730"/>
    <w:rsid w:val="00B729EE"/>
    <w:rsid w:val="00CB0664"/>
    <w:rsid w:val="00D56FD2"/>
    <w:rsid w:val="00DB72B7"/>
    <w:rsid w:val="00E9731A"/>
    <w:rsid w:val="00F23695"/>
    <w:rsid w:val="00F94B57"/>
    <w:rsid w:val="00FC693F"/>
    <w:rsid w:val="00FE1083"/>
    <w:rsid w:val="00FF64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938F67"/>
  <w14:defaultImageDpi w14:val="300"/>
  <w15:docId w15:val="{7ACFBFEA-6D3A-409A-8A60-E45C1D405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336" w:lineRule="auto"/>
    </w:pPr>
    <w:rPr>
      <w:rFonts w:ascii="Times New Roman" w:eastAsia="宋体" w:hAnsi="Times New Roman"/>
      <w:color w:val="000000"/>
      <w:sz w:val="24"/>
    </w:rPr>
  </w:style>
  <w:style w:type="paragraph" w:styleId="1">
    <w:name w:val="heading 1"/>
    <w:basedOn w:val="a1"/>
    <w:next w:val="a1"/>
    <w:link w:val="10"/>
    <w:uiPriority w:val="9"/>
    <w:qFormat/>
    <w:rsid w:val="00FC693F"/>
    <w:pPr>
      <w:keepNext/>
      <w:keepLines/>
      <w:spacing w:before="220"/>
      <w:outlineLvl w:val="0"/>
    </w:pPr>
    <w:rPr>
      <w:rFonts w:eastAsia="黑体"/>
      <w:bCs/>
      <w:color w:val="000000"/>
      <w:sz w:val="28"/>
      <w:szCs w:val="28"/>
    </w:rPr>
  </w:style>
  <w:style w:type="paragraph" w:styleId="21">
    <w:name w:val="heading 2"/>
    <w:basedOn w:val="a1"/>
    <w:next w:val="a1"/>
    <w:link w:val="22"/>
    <w:uiPriority w:val="9"/>
    <w:unhideWhenUsed/>
    <w:qFormat/>
    <w:rsid w:val="00FC693F"/>
    <w:pPr>
      <w:keepNext/>
      <w:keepLines/>
      <w:spacing w:before="140"/>
      <w:outlineLvl w:val="1"/>
    </w:pPr>
    <w:rPr>
      <w:rFonts w:eastAsia="黑体"/>
      <w:bCs/>
      <w:color w:val="000000"/>
      <w:sz w:val="25"/>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spacing w:after="180" w:line="240" w:lineRule="auto"/>
      <w:contextualSpacing/>
    </w:pPr>
    <w:rPr>
      <w:rFonts w:eastAsia="黑体"/>
      <w:color w:val="000000"/>
      <w:spacing w:val="5"/>
      <w:kern w:val="28"/>
      <w:sz w:val="3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keepNext/>
      <w:spacing w:before="120" w:after="80" w:line="240" w:lineRule="auto"/>
    </w:pPr>
    <w:rPr>
      <w:bCs/>
      <w:sz w:val="2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20"/>
    </w:pPr>
    <w:rPr>
      <w:rFonts w:ascii="Times New Roman" w:eastAsia="宋体" w:hAnsi="Times New Roman"/>
      <w:color w:val="000000"/>
      <w:sz w:val="21"/>
    </w:rPr>
  </w:style>
  <w:style w:type="paragraph" w:customStyle="1" w:styleId="Equation">
    <w:name w:val="Equation"/>
    <w:pPr>
      <w:keepLines/>
      <w:tabs>
        <w:tab w:pos="4349" w:val="center"/>
        <w:tab w:pos="9360" w:val="right"/>
      </w:tabs>
      <w:spacing w:before="80" w:after="140" w:line="264" w:lineRule="auto"/>
    </w:pPr>
    <w:rPr>
      <w:rFonts w:ascii="Times New Roman" w:eastAsia="宋体" w:hAnsi="Times New Roman"/>
      <w:color w:val="000000"/>
      <w:sz w:val="23"/>
    </w:rPr>
  </w:style>
  <w:style w:type="paragraph" w:customStyle="1" w:styleId="Reference">
    <w:name w:val="Reference"/>
    <w:pPr>
      <w:spacing w:after="100" w:line="288" w:lineRule="auto"/>
    </w:pPr>
    <w:rPr>
      <w:rFonts w:ascii="Times New Roman" w:eastAsia="宋体" w:hAnsi="Times New Roman"/>
      <w:color w:val="000000"/>
      <w:sz w:val="21"/>
    </w:rPr>
  </w:style>
  <w:style w:type="paragraph" w:customStyle="1" w:styleId="DateLine">
    <w:name w:val="Date Line"/>
    <w:rPr>
      <w:rFonts w:ascii="Times New Roman" w:eastAsia="宋体" w:hAnsi="Times New Roman"/>
      <w:color w:val="000000"/>
      <w:sz w:val="21"/>
    </w:rPr>
  </w:style>
  <w:style w:type="paragraph" w:customStyle="1" w:styleId="14">
    <w:name w:val="脚注文本1"/>
    <w:pPr>
      <w:keepLines/>
      <w:spacing w:after="20" w:line="240" w:lineRule="auto"/>
    </w:pPr>
    <w:rPr>
      <w:rFonts w:ascii="Times New Roman" w:eastAsia="宋体" w:hAnsi="Times New Roman"/>
      <w:color w:val="000000"/>
      <w:sz w:val="19"/>
    </w:rPr>
  </w:style>
  <w:style w:type="character" w:customStyle="1" w:styleId="15">
    <w:name w:val="脚注引用1"/>
    <w:rPr>
      <w:vertAlign w:val="superscript"/>
    </w:rPr>
  </w:style>
  <w:style w:type="paragraph" w:customStyle="1" w:styleId="FootnoteText">
    <w:name w:val="Footnote Text"/>
    <w:pPr>
      <w:keepLines/>
      <w:spacing w:line="240" w:lineRule="auto" w:after="20"/>
      <w:ind w:firstLine="0"/>
    </w:pPr>
    <w:rPr>
      <w:rFonts w:ascii="Times New Roman" w:hAnsi="Times New Roman" w:eastAsia="宋体"/>
      <w:b w:val="0"/>
      <w:color w:val="000000"/>
      <w:sz w:val="19"/>
    </w:rPr>
  </w:style>
  <w:style w:type="character" w:customStyle="1" w:styleId="FootnoteReference">
    <w:name w:val="Footnote Referenc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orreia.com/help/ppmlhdfe.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ndrc.gov.cn/xxgk/zcfb/fzggwl/201112/W020190905494803398094.pdf" TargetMode="External"/><Relationship Id="rId25"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tats.gov.cn/sj/tjbz/gmjjhyfl/202302/t20230213_1902780.html" TargetMode="External"/><Relationship Id="rId24" Type="http://schemas.openxmlformats.org/officeDocument/2006/relationships/fontTable" Target="fontTable.xml"/><Relationship Id="rId5" Type="http://schemas.openxmlformats.org/officeDocument/2006/relationships/webSettings" Target="webSettings.xml"/><Relationship Id="rId23" Type="http://schemas.openxmlformats.org/officeDocument/2006/relationships/footer" Target="footer1.xml"/><Relationship Id="rId10" Type="http://schemas.openxmlformats.org/officeDocument/2006/relationships/hyperlink" Target="https://www.stats.gov.cn/sj/tjbz/gjtjbz/202302/t20230213_1902779.html" TargetMode="External"/><Relationship Id="rId4" Type="http://schemas.openxmlformats.org/officeDocument/2006/relationships/settings" Target="settings.xml"/><Relationship Id="rId9" Type="http://schemas.openxmlformats.org/officeDocument/2006/relationships/hyperlink" Target="https://www.stats.gov.cn/xxgk/tjbz/gjtjbz/202008/P020200811606493723477.pdf" TargetMode="External"/><Relationship Id="rId26" Type="http://schemas.openxmlformats.org/officeDocument/2006/relationships/hyperlink" Target="https://www.mofcom.gov.cn/zcfb/wgtzgl/art/2007/art_c2780ab6fee34931808471ffabfe98c3.html" TargetMode="External"/><Relationship Id="rId27" Type="http://schemas.openxmlformats.org/officeDocument/2006/relationships/hyperlink" Target="https://www.ndrc.gov.cn/hdjl/yjzq/201104/t20110402_1165882.html" TargetMode="External"/><Relationship Id="rId28" Type="http://schemas.openxmlformats.org/officeDocument/2006/relationships/hyperlink" Target="https://www.ndrc.gov.cn/xxgk/jd/jd/201112/t20111231_1183135.html" TargetMode="External"/><Relationship Id="rId29" Type="http://schemas.openxmlformats.org/officeDocument/2006/relationships/hyperlink" Target="https://new.tzxm.gov.cn/zckd/flfg/201802/t20180208_1262271.shtml" TargetMode="External"/><Relationship Id="rId30" Type="http://schemas.openxmlformats.org/officeDocument/2006/relationships/hyperlink" Target="https://kmtb.mofcom.gov.cn/zcfg/wgtzgl/art/2009/art_58002982f74142a584b0f0ceee629dd4.html" TargetMode="External"/><Relationship Id="rId31" Type="http://schemas.openxmlformats.org/officeDocument/2006/relationships/hyperlink" Target="https://www.ndrc.gov.cn/xxgk/zcfb/fzggwl/201405/t20140520_960779.html"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ndrc.gov.cn/hdjl/yjzq/201104/t20110402_1165882.html" TargetMode="External"/><Relationship Id="rId2" Type="http://schemas.openxmlformats.org/officeDocument/2006/relationships/hyperlink" Target="https://www.ndrc.gov.cn/xxgk/zcfb/fzggwl/201112/t20111229_960737.html" TargetMode="External"/><Relationship Id="rId3" Type="http://schemas.openxmlformats.org/officeDocument/2006/relationships/hyperlink" Target="https://www.mofcom.gov.cn/zcfb/wgtzgl/art/2007/art_c2780ab6fee34931808471ffabfe98c3.html" TargetMode="External"/><Relationship Id="rId4" Type="http://schemas.openxmlformats.org/officeDocument/2006/relationships/hyperlink" Target="https://www.ndrc.gov.cn/xxgk/jd/jd/201112/t20111231_1183135.html" TargetMode="External"/><Relationship Id="rId5" Type="http://schemas.openxmlformats.org/officeDocument/2006/relationships/hyperlink" Target="https://new.tzxm.gov.cn/zckd/flfg/201802/t20180208_1262271.shtml" TargetMode="External"/><Relationship Id="rId6" Type="http://schemas.openxmlformats.org/officeDocument/2006/relationships/hyperlink" Target="https://kmtb.mofcom.gov.cn/zcfg/wgtzgl/art/2009/art_58002982f74142a584b0f0ceee629dd4.html" TargetMode="External"/><Relationship Id="rId7" Type="http://schemas.openxmlformats.org/officeDocument/2006/relationships/hyperlink" Target="https://scorreia.com/help/ppmlhdfe.html" TargetMode="External"/><Relationship Id="rId8" Type="http://schemas.openxmlformats.org/officeDocument/2006/relationships/hyperlink" Target="https://www.csrc.gov.cn/csrc/c100024/c1492226/1492226/files/5f2288e304bf41bc9238c19bcfbdd0af.pdf" TargetMode="External"/><Relationship Id="rId9" Type="http://schemas.openxmlformats.org/officeDocument/2006/relationships/hyperlink" Target="https://www.shanghai.gov.cn/nw30984/20200820/0001-30984_37036.html" TargetMode="External"/><Relationship Id="rId10" Type="http://schemas.openxmlformats.org/officeDocument/2006/relationships/hyperlink" Target="https://www.shanghai.gov.cn/nw12344/20200814/0001-12344_39507.html" TargetMode="External"/><Relationship Id="rId11" Type="http://schemas.openxmlformats.org/officeDocument/2006/relationships/hyperlink" Target="https://tga.mofcom.gov.cn/ndygagyjlgjmjmgxdapCEPA/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329</TotalTime>
  <Pages>16</Pages>
  <Words>2224</Words>
  <Characters>12682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附录A 外资准入改革的企业效应、跨国生产成本识别与一般均衡反事实</dc:title>
  <dc:subject/>
  <dc:creator/>
  <cp:keywords/>
  <dc:description/>
  <cp:lastModifiedBy/>
  <cp:revision>12</cp:revision>
  <dcterms:created xsi:type="dcterms:W3CDTF">2013-12-23T23:15:00Z</dcterms:created>
  <dcterms:modified xsi:type="dcterms:W3CDTF">2026-10-12T02:18:00Z</dcterms:modified>
  <cp:category/>
</cp:coreProperties>
</file>