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7D09" w14:textId="77777777" w:rsidR="004E1393" w:rsidRDefault="00EB4DE5">
      <w:pPr>
        <w:pStyle w:val="aa"/>
        <w:spacing w:after="200"/>
        <w:jc w:val="center"/>
        <w:rPr>
          <w:lang w:eastAsia="zh-CN"/>
        </w:rPr>
      </w:pPr>
      <w:r>
        <w:rPr>
          <w:rFonts w:ascii="Times New Roman" w:eastAsia="宋体" w:hAnsi="Times New Roman" w:cs="Times New Roman"/>
          <w:lang w:eastAsia="zh-CN"/>
        </w:rPr>
        <w:t xml:space="preserve">年度外资准入限制暴露与企业经营表现及部门成本分析</w:t>
      </w:r>
    </w:p>
    <w:p w14:paraId="5F8EA782" w14:textId="77777777" w:rsidR="004E1393" w:rsidRDefault="00EB4DE5">
      <w:pPr>
        <w:rPr>
          <w:lang w:eastAsia="zh-CN"/>
        </w:rPr>
      </w:pPr>
      <w:r>
        <w:rPr>
          <w:rFonts w:cs="Times New Roman"/>
          <w:color w:val="000000"/>
          <w:lang w:eastAsia="zh-CN"/>
        </w:rPr>
        <w:t xml:space="preserve">外资准入规则规定外国投资者可以进入哪些业务、持有多少股权，以及投资需要满足的条件。本研究考察年度外资准入限制暴露与企业生产、投资、就业和控制关系的联系。外资差别化准入限制是因外国投资者身份设置的额外要求，例如股比上限、必须合资合作、中方控股，以及允许国内投资者进入但禁止外资进入。研究将这些要求转化为企业年度变量，再由企业生产预测构造部门情景目标，分析相应的跨国生产成本与一般均衡变化。</w:t>
      </w:r>
    </w:p>
    <w:p w14:paraId="7EBD18DD" w14:textId="77777777" w:rsidR="004E1393" w:rsidRDefault="00EB4DE5">
      <w:pPr>
        <w:rPr>
          <w:lang w:eastAsia="zh-CN"/>
        </w:rPr>
      </w:pPr>
      <w:r>
        <w:rPr>
          <w:rFonts w:cs="Times New Roman"/>
          <w:color w:val="000000"/>
          <w:lang w:eastAsia="zh-CN"/>
        </w:rPr>
        <w:t xml:space="preserve">拟采用2007—2020年的税收调查资料构建企业面板。研究从企业当期行业代码取得所属《国民经济行业分类》（GB/T 4754，以下简称GB行业分类）版本的小类名称，由大语言模型（LLM）比较名称与有效政策条款所述活动，记录命中条款及具体要求，构造</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。面板模型比较同一企业在不同限制状态下的经营表现，外国与国内控制生产分别加总到模型部门；两种准入情景的生产差异用于反演等效MP成本，并计算一般均衡反事实。图A1概括了各环节的衔接。</w:t>
      </w:r>
    </w:p>
    <w:p w14:paraId="376FD30B" w14:textId="77777777" w:rsidR="004E1393" w:rsidRDefault="00EB4DE5">
      <w:pPr>
        <w:ind w:firstLine="0"/>
        <w:jc w:val="center"/>
        <w:rPr>
          <w:lang w:eastAsia="zh-CN"/>
        </w:rPr>
      </w:pPr>
      <w:r>
        <w:rPr>
          <w:rFonts w:cs="Times New Roman"/>
          <w:b/>
          <w:color w:val="000000"/>
          <w:sz w:val="22"/>
          <w:lang w:eastAsia="zh-CN"/>
        </w:rPr>
        <w:t xml:space="preserve">图A1  年度限制暴露、企业面板与部门结构分析</w:t>
      </w:r>
    </w:p>
    <w:tbl>
      <w:tblPr>
        <w:tblW w:w="0" w:type="auto"/>
        <w:jc w:val="center"/>
        <w:tblLayout w:type="fixed"/>
        <w:tblLook w:val="04A0" w:firstRow="1" w:lastRow="0" w:firstColumn="1" w:lastColumn="0" w:noHBand="0" w:noVBand="1"/>
      </w:tblPr>
      <w:tblGrid>
        <w:gridCol w:w="4620"/>
        <w:gridCol w:w="4620"/>
      </w:tblGrid>
      <w:tr w:rsidR="004E1393" w14:paraId="4685149B"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5800111B" w14:textId="77777777" w:rsidR="004E1393" w:rsidRDefault="00EB4DE5">
            <w:pPr>
              <w:spacing w:before="100" w:after="100" w:line="288" w:lineRule="auto"/>
              <w:ind w:firstLine="0"/>
              <w:jc w:val="center"/>
              <w:rPr>
                <w:lang w:eastAsia="zh-CN"/>
              </w:rPr>
            </w:pPr>
            <w:r>
              <w:rPr>
                <w:rFonts w:cs="Times New Roman"/>
                <w:b/>
                <w:color w:val="000000"/>
                <w:sz w:val="21"/>
                <w:lang w:eastAsia="zh-CN"/>
              </w:rPr>
              <w:t xml:space="preserve">路径A：形成年度政策变量</w:t>
            </w:r>
          </w:p>
        </w:tc>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159D16EC" w14:textId="77777777" w:rsidR="004E1393" w:rsidRDefault="00EB4DE5">
            <w:pPr>
              <w:spacing w:before="100" w:after="100" w:line="288" w:lineRule="auto"/>
              <w:ind w:firstLine="0"/>
              <w:jc w:val="center"/>
              <w:rPr>
                <w:lang w:eastAsia="zh-CN"/>
              </w:rPr>
            </w:pPr>
            <w:r>
              <w:rPr>
                <w:rFonts w:cs="Times New Roman"/>
                <w:b/>
                <w:color w:val="000000"/>
                <w:sz w:val="21"/>
                <w:lang w:eastAsia="zh-CN"/>
              </w:rPr>
              <w:t xml:space="preserve">路径B：确定当期生产归属</w:t>
            </w:r>
          </w:p>
        </w:tc>
      </w:tr>
      <w:tr w:rsidR="004E1393" w14:paraId="29A14655"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tcPr>
          <w:p w14:paraId="7A7452F9" w14:textId="77777777" w:rsidR="004E1393" w:rsidRDefault="00EB4DE5">
            <w:pPr>
              <w:spacing w:before="100" w:after="100" w:line="288" w:lineRule="auto"/>
              <w:ind w:firstLine="0"/>
              <w:jc w:val="center"/>
              <w:rPr>
                <w:lang w:eastAsia="zh-CN"/>
              </w:rPr>
            </w:pPr>
            <w:r>
              <w:rPr>
                <w:rFonts w:cs="Times New Roman"/>
                <w:color w:val="000000"/>
                <w:sz w:val="21"/>
                <w:lang w:eastAsia="zh-CN"/>
              </w:rPr>
              <w:t xml:space="preserve">企业当期行业代码及GB版本</w:t>
              <w:br/>
              <w:t xml:space="preserve">↓ 对应版本的GB小类名称</w:t>
              <w:br/>
              <w:t xml:space="preserve">↓ LLM比较名称与有效条款活动</w:t>
              <w:br/>
              <w:t xml:space="preserve">↓ 记录命中条款和具体要求</w:t>
              <w:br/>
              <w:t xml:space="preserve">↓ 形成</w:t>
            </w:r>
            <m:oMath>
              <m:sSub>
                <m:e>
                  <m:r>
                    <m:rPr>
                      <m:sty m:val="p"/>
                    </m:rPr>
                    <w:rPr>
                      <w:rFonts w:ascii="Cambria Math" w:hAnsi="Cambria Math" w:cs="Cambria Math" w:eastAsia="宋体"/>
                      <w:sz w:val="21"/>
                    </w:rPr>
                    <m:t>Restrict</m:t>
                  </m:r>
                </m:e>
                <m:sub>
                  <m:r>
                    <w:rPr>
                      <w:rFonts w:ascii="Cambria Math" w:hAnsi="Cambria Math" w:cs="Cambria Math" w:eastAsia="宋体"/>
                      <w:sz w:val="21"/>
                    </w:rPr>
                    <m:t>ft</m:t>
                  </m:r>
                </m:sub>
              </m:sSub>
            </m:oMath>
            <w:r>
              <w:rPr>
                <w:rFonts w:cs="Times New Roman"/>
                <w:color w:val="000000"/>
                <w:sz w:val="21"/>
                <w:lang w:eastAsia="zh-CN"/>
              </w:rPr>
              <w:t xml:space="preserve">，赋予企业</w:t>
            </w:r>
          </w:p>
        </w:tc>
        <w:tc>
          <w:tcPr>
            <w:tcW w:w="4620" w:type="dxa"/>
            <w:tcBorders>
              <w:top w:val="single" w:sz="4" w:space="0" w:color="999999"/>
              <w:left w:val="single" w:sz="4" w:space="0" w:color="999999"/>
              <w:bottom w:val="single" w:sz="4" w:space="0" w:color="999999"/>
              <w:right w:val="single" w:sz="4" w:space="0" w:color="999999"/>
            </w:tcBorders>
          </w:tcPr>
          <w:p w14:paraId="5BA02466" w14:textId="77777777" w:rsidR="004E1393" w:rsidRDefault="00EB4DE5">
            <w:pPr>
              <w:spacing w:before="100" w:after="100" w:line="288" w:lineRule="auto"/>
              <w:ind w:firstLine="0"/>
              <w:jc w:val="center"/>
              <w:rPr>
                <w:lang w:eastAsia="zh-CN"/>
              </w:rPr>
            </w:pPr>
            <w:r>
              <w:rPr>
                <w:rFonts w:cs="Times New Roman"/>
                <w:color w:val="000000"/>
                <w:sz w:val="21"/>
                <w:lang w:eastAsia="zh-CN"/>
              </w:rPr>
              <w:t xml:space="preserve">企业当期行业代码及GB版本</w:t>
              <w:br/>
              <w:t xml:space="preserve">↓ 新旧GB分类对照</w:t>
              <w:br/>
              <w:t xml:space="preserve">↓ GB2017 → ISIC Rev.4</w:t>
              <w:br/>
              <w:t xml:space="preserve">↓ AMNE部门 → 模型部门</w:t>
              <w:br/>
              <w:t xml:space="preserve">↓ 为当期生产附加部门标识</w:t>
            </w:r>
          </w:p>
        </w:tc>
      </w:tr>
      <w:tr w:rsidR="004E1393" w14:paraId="3573ED27"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2B13E639" w14:textId="77777777" w:rsidR="004E1393" w:rsidRDefault="00EB4DE5">
            <w:pPr>
              <w:spacing w:before="120" w:after="120" w:line="288" w:lineRule="auto"/>
              <w:ind w:firstLine="0"/>
              <w:jc w:val="center"/>
              <w:rPr>
                <w:lang w:eastAsia="zh-CN"/>
              </w:rPr>
            </w:pPr>
            <w:r>
              <w:rPr>
                <w:rFonts w:cs="Times New Roman"/>
                <w:color w:val="000000"/>
                <w:sz w:val="21"/>
                <w:lang w:eastAsia="zh-CN"/>
              </w:rPr>
              <w:t xml:space="preserve">企业面板：比较限制状态与生产、投资、就业和控制关系</w:t>
              <w:br/>
              <w:t xml:space="preserve">↓ 分别预测外国与国内控制生产，按部门加总</w:t>
            </w:r>
          </w:p>
        </w:tc>
      </w:tr>
      <w:tr w:rsidR="004E1393" w14:paraId="169590AC"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3B5DBFD8" w14:textId="77777777" w:rsidR="004E1393" w:rsidRDefault="00EB4DE5">
            <w:pPr>
              <w:spacing w:before="120" w:after="120" w:line="288" w:lineRule="auto"/>
              <w:ind w:firstLine="0"/>
              <w:jc w:val="center"/>
              <w:rPr>
                <w:lang w:eastAsia="zh-CN"/>
              </w:rPr>
            </w:pPr>
            <w:r>
              <w:rPr>
                <w:rFonts w:cs="Times New Roman"/>
                <w:color w:val="000000"/>
                <w:sz w:val="21"/>
                <w:lang w:eastAsia="zh-CN"/>
              </w:rPr>
              <w:t xml:space="preserve">两种准入情景的部门生产目标 → 反演等效MP成本</w:t>
              <w:br/>
              <w:t xml:space="preserve">↓ 一般均衡反事实：生产布局、价格、实际收入与福利</w:t>
            </w:r>
          </w:p>
        </w:tc>
      </w:tr>
    </w:tbl>
    <w:p w14:paraId="02DBC9BD" w14:textId="3B33C373" w:rsidR="004E1393" w:rsidRDefault="00EB4DE5">
      <w:pPr>
        <w:spacing w:before="80" w:line="276" w:lineRule="auto"/>
        <w:ind w:firstLine="0"/>
        <w:rPr>
          <w:lang w:eastAsia="zh-CN"/>
        </w:rPr>
      </w:pPr>
      <w:r>
        <w:rPr>
          <w:rFonts w:cs="Times New Roman"/>
          <w:color w:val="000000"/>
          <w:sz w:val="20"/>
          <w:lang w:eastAsia="zh-CN"/>
        </w:rPr>
        <w:t xml:space="preserve">注：GB2002、GB2011和GB2017分别指GB行业分类的2002、2011和2017年版。ISIC Rev.4为联合国《所有经济活动的国际标准产业分类》第四版。AMNE指经济合作与发展组织的分析性跨国企业活动数据库（OECD Analytical AMNE），AMNE部门为该数据库的行业汇总部门，模型部门为结构模型采用的部门划分。MP为跨国生产（multinational production）。</w:t>
      </w:r>
    </w:p>
    <w:p>
      <w:pPr>
        <w:spacing w:before="0" w:after="0" w:line="20" w:lineRule="exact"/>
        <w:ind w:firstLine="0"/>
      </w:pPr>
      <w:r>
        <w:rPr>
          <w:sz w:val="2"/>
        </w:rPr>
        <w:br w:type="page"/>
      </w:r>
    </w:p>
    <w:p w14:paraId="0A377F5B" w14:textId="77777777" w:rsidR="004E1393" w:rsidRDefault="00EB4DE5">
      <w:pPr>
        <w:pStyle w:val="1"/>
        <w:spacing w:before="0"/>
        <w:rPr>
          <w:lang w:eastAsia="zh-CN"/>
        </w:rPr>
      </w:pPr>
      <w:r>
        <w:rPr>
          <w:rFonts w:ascii="Times New Roman" w:eastAsia="宋体" w:hAnsi="Times New Roman" w:cs="Times New Roman"/>
          <w:lang w:eastAsia="zh-CN"/>
        </w:rPr>
        <w:t xml:space="preserve">A.1 </w:t>
      </w:r>
      <w:r>
        <w:rPr>
          <w:rFonts w:ascii="Times New Roman" w:eastAsia="宋体" w:hAnsi="Times New Roman" w:cs="Times New Roman"/>
          <w:lang w:eastAsia="zh-CN"/>
        </w:rPr>
        <w:t>研究问题、政策背景与作用机制</w:t>
      </w:r>
    </w:p>
    <w:p w14:paraId="0E1D83CE" w14:textId="77777777" w:rsidR="004E1393" w:rsidRDefault="00EB4DE5">
      <w:pPr>
        <w:pStyle w:val="21"/>
        <w:rPr>
          <w:lang w:eastAsia="zh-CN"/>
        </w:rPr>
      </w:pPr>
      <w:r>
        <w:rPr>
          <w:rFonts w:ascii="Times New Roman" w:eastAsia="宋体" w:hAnsi="Times New Roman" w:cs="Times New Roman"/>
          <w:lang w:eastAsia="zh-CN"/>
        </w:rPr>
        <w:t xml:space="preserve">A.1.1 研究对象与政策范围</w:t>
      </w:r>
    </w:p>
    <w:p w14:paraId="1D561CBA" w14:textId="77777777" w:rsidR="004E1393" w:rsidRDefault="00EB4DE5">
      <w:pPr>
        <w:rPr>
          <w:lang w:eastAsia="zh-CN"/>
        </w:rPr>
      </w:pPr>
      <w:r>
        <w:rPr>
          <w:rFonts w:cs="Times New Roman"/>
          <w:color w:val="000000"/>
          <w:lang w:eastAsia="zh-CN"/>
        </w:rPr>
        <w:t xml:space="preserve">研究比较同一企业在不同年度限制状态下的经营表现，分析准入环境与生产规模、投资、就业及控制权调整的联系。限制暴露依据企业当期所属GB小类赋值，国内与外国控制企业均纳入。内外资共同适用的环保、消防、一般经营许可和共同禁止规定另行记录，主变量衡量的是针对外国投资者身份的差别化准入要求。</w:t>
      </w:r>
    </w:p>
    <w:p w14:paraId="0B98C977" w14:textId="77777777" w:rsidR="004E1393" w:rsidRDefault="00EB4DE5">
      <w:pPr>
        <w:rPr>
          <w:lang w:eastAsia="zh-CN"/>
        </w:rPr>
      </w:pPr>
      <w:r>
        <w:rPr>
          <w:rFonts w:cs="Times New Roman"/>
          <w:color w:val="000000"/>
          <w:lang w:eastAsia="zh-CN"/>
        </w:rPr>
        <w:t xml:space="preserve">政策资料包括2004、2007、2011、2015和2017年修订的《外商投资产业指导目录》，以及2018—2020年全国《外商投资准入特别管理措施（负面清单）》。[1,3,15] 年度状态按规则的实际生效日期衔接，2011年修订作为序列中的一次调整。2018清单替代2017目录的准入特别管理措施，鼓励部分继续执行，随后由2019年鼓励目录替代；鼓励资格与准入限制分别记录。[15,16]</w:t>
      </w:r>
    </w:p>
    <w:p w14:paraId="5BFDE819" w14:textId="77777777" w:rsidR="004E1393" w:rsidRDefault="00EB4DE5">
      <w:pPr>
        <w:pStyle w:val="21"/>
        <w:rPr>
          <w:lang w:eastAsia="zh-CN"/>
        </w:rPr>
      </w:pPr>
      <w:r>
        <w:rPr>
          <w:rFonts w:ascii="Times New Roman" w:eastAsia="宋体" w:hAnsi="Times New Roman" w:cs="Times New Roman"/>
          <w:lang w:eastAsia="zh-CN"/>
        </w:rPr>
        <w:t xml:space="preserve">A.1.2 </w:t>
      </w:r>
      <w:r>
        <w:rPr>
          <w:rFonts w:ascii="Times New Roman" w:eastAsia="宋体" w:hAnsi="Times New Roman" w:cs="Times New Roman"/>
          <w:lang w:eastAsia="zh-CN"/>
        </w:rPr>
        <w:t>企业反应与可检验的机制</w:t>
      </w:r>
    </w:p>
    <w:p w14:paraId="36BDE305" w14:textId="77777777" w:rsidR="004E1393" w:rsidRDefault="00EB4DE5">
      <w:pPr>
        <w:rPr>
          <w:lang w:eastAsia="zh-CN"/>
        </w:rPr>
      </w:pPr>
      <w:r>
        <w:rPr>
          <w:rFonts w:cs="Times New Roman"/>
          <w:color w:val="000000"/>
          <w:lang w:eastAsia="zh-CN"/>
        </w:rPr>
        <w:t xml:space="preserve">外资股比和合资要求影响企业可以选择的所有权结构。限制放宽可能使外国投资者增加持股、调整管理权，改变技术投入与投资激励。Eppinger和Ma（2023）将企业主要产品文字与政策要求匹配，研究所有权调整和企业表现。[5] 本研究以GB小类名称形成年度暴露，考察这一制度环境与企业经营选择的联系。</w:t>
      </w:r>
    </w:p>
    <w:p w14:paraId="2DBB0BC9" w14:textId="77777777" w:rsidR="004E1393" w:rsidRDefault="00EB4DE5">
      <w:pPr>
        <w:rPr>
          <w:lang w:eastAsia="zh-CN"/>
        </w:rPr>
      </w:pPr>
      <w:r>
        <w:rPr>
          <w:rFonts w:cs="Times New Roman"/>
          <w:color w:val="000000"/>
          <w:lang w:eastAsia="zh-CN"/>
        </w:rPr>
        <w:t xml:space="preserve">国内企业也可能因准入环境变化而调整经营：接受外资收购或增资的机会发生变化，竞争、采购关系和技术传播也会影响其生产。投资、就业、持股与控制权转换分别作为结果研究，用以解释生产变化的来源。</w:t>
      </w:r>
    </w:p>
    <w:p w14:paraId="7BBFF71B" w14:textId="77777777" w:rsidR="004E1393" w:rsidRDefault="00EB4DE5">
      <w:pPr>
        <w:rPr>
          <w:lang w:eastAsia="zh-CN"/>
        </w:rPr>
      </w:pPr>
      <w:r>
        <w:rPr>
          <w:rFonts w:cs="Times New Roman"/>
          <w:color w:val="000000"/>
          <w:lang w:eastAsia="zh-CN"/>
        </w:rPr>
        <w:t xml:space="preserve">外国控制生产份额上升可能来自外国企业扩张、国内企业收缩，也可能仅来自控制权重新归属。例如，一家国内企业转为外国控制，即使产出不变，其生产也会转入外国控制类别。因此，研究同时观察总生产、外国与国内控制生产，以及控制权转换，区分规模变化和所有权重组。</w:t>
      </w:r>
    </w:p>
    <w:p w14:paraId="0E77C5E4" w14:textId="77777777" w:rsidR="004E1393" w:rsidRDefault="00EB4DE5">
      <w:pPr>
        <w:pStyle w:val="21"/>
        <w:rPr>
          <w:lang w:eastAsia="zh-CN"/>
        </w:rPr>
      </w:pPr>
      <w:r>
        <w:rPr>
          <w:rFonts w:ascii="Times New Roman" w:eastAsia="宋体" w:hAnsi="Times New Roman" w:cs="Times New Roman"/>
          <w:lang w:eastAsia="zh-CN"/>
        </w:rPr>
        <w:t xml:space="preserve">A.1.3 </w:t>
      </w:r>
      <w:r>
        <w:rPr>
          <w:rFonts w:ascii="Times New Roman" w:eastAsia="宋体" w:hAnsi="Times New Roman" w:cs="Times New Roman"/>
          <w:lang w:eastAsia="zh-CN"/>
        </w:rPr>
        <w:t>企业分析与结构分析的关系</w:t>
      </w:r>
    </w:p>
    <w:p w14:paraId="23EF71B4" w14:textId="77777777" w:rsidR="004E1393" w:rsidRDefault="00EB4DE5">
      <w:pPr>
        <w:rPr>
          <w:lang w:eastAsia="zh-CN"/>
        </w:rPr>
      </w:pPr>
      <w:r>
        <w:rPr>
          <w:rFonts w:cs="Times New Roman"/>
          <w:color w:val="000000"/>
          <w:lang w:eastAsia="zh-CN"/>
        </w:rPr>
        <w:t xml:space="preserve">跨国生产指企业在母国之外组织生产，其产品既可以在生产国销售，也可以销往其他国家。AMNE按生产国、部门和企业控制类型组织生产资料，为企业生产加总与结构模型提供共同的核算框架。[7] 企业面板回答限制暴露与经营表现怎样联系，部门分析把这种联系写成同一经济环境下的生产情景，结构模型再把生产情景转化为成本和市场反馈。</w:t>
      </w:r>
    </w:p>
    <w:p w14:paraId="2BFEC39E" w14:textId="77777777" w:rsidR="004E1393" w:rsidRDefault="00EB4DE5">
      <w:pPr>
        <w:rPr>
          <w:lang w:eastAsia="zh-CN"/>
        </w:rPr>
      </w:pPr>
      <w:r>
        <w:rPr>
          <w:rFonts w:cs="Times New Roman"/>
          <w:color w:val="000000"/>
          <w:lang w:eastAsia="zh-CN"/>
        </w:rPr>
        <w:t xml:space="preserve">两条行业处理路径承担不同任务。路径A保留企业当期所属GB版本的小类名称，用它识别年度政策暴露；路径B通过新旧分类与国际分类对照，把同一笔当期生产归入AMNE部门和模型部门。两条路径在企业—年份记录中连接，使政策变量与生产归属各自保持明确含义。</w:t>
      </w:r>
    </w:p>
    <w:p w14:paraId="67A35E9C" w14:textId="77777777" w:rsidR="004E1393" w:rsidRDefault="00EB4DE5">
      <w:pPr>
        <w:pStyle w:val="1"/>
        <w:spacing w:before="0"/>
        <w:rPr>
          <w:lang w:eastAsia="zh-CN"/>
        </w:rPr>
      </w:pPr>
      <w:r>
        <w:rPr>
          <w:rFonts w:ascii="Times New Roman" w:eastAsia="宋体" w:hAnsi="Times New Roman" w:cs="Times New Roman"/>
          <w:lang w:eastAsia="zh-CN"/>
        </w:rPr>
        <w:t xml:space="preserve">A.2 </w:t>
      </w:r>
      <w:r>
        <w:rPr>
          <w:rFonts w:ascii="Times New Roman" w:eastAsia="宋体" w:hAnsi="Times New Roman" w:cs="Times New Roman"/>
          <w:lang w:eastAsia="zh-CN"/>
        </w:rPr>
        <w:t>企业资料、样本范围与主要变量</w:t>
      </w:r>
    </w:p>
    <w:p w14:paraId="01717B31" w14:textId="77777777" w:rsidR="004E1393" w:rsidRDefault="00EB4DE5">
      <w:pPr>
        <w:pStyle w:val="21"/>
        <w:rPr>
          <w:lang w:eastAsia="zh-CN"/>
        </w:rPr>
      </w:pPr>
      <w:r>
        <w:rPr>
          <w:rFonts w:ascii="Times New Roman" w:eastAsia="宋体" w:hAnsi="Times New Roman" w:cs="Times New Roman"/>
          <w:lang w:eastAsia="zh-CN"/>
        </w:rPr>
        <w:t xml:space="preserve">A.2.1 资料怎样组织为企业面板</w:t>
      </w:r>
    </w:p>
    <w:p w14:paraId="798FA538" w14:textId="77777777" w:rsidR="004E1393" w:rsidRDefault="00EB4DE5">
      <w:pPr>
        <w:rPr>
          <w:lang w:eastAsia="zh-CN"/>
        </w:rPr>
      </w:pPr>
      <w:r>
        <w:rPr>
          <w:rFonts w:cs="Times New Roman"/>
          <w:color w:val="000000"/>
          <w:lang w:eastAsia="zh-CN"/>
        </w:rPr>
        <w:t xml:space="preserve">以2007—2020年度税调企业表为主体，按企业标识和年份链接记录；名称、登记信息和地址用于辅助辨认主体延续，重复记录、更名改号及并购单独处理。面板允许企业间的观察年数不同，也允许新设企业进入，不以全期出现或事后持续经营筛选样本。企业首次被调查的年份与实际设立年份分别记录。[8]</w:t>
      </w:r>
    </w:p>
    <w:p w14:paraId="16C24BCF" w14:textId="77777777" w:rsidR="004E1393" w:rsidRDefault="00EB4DE5">
      <w:pPr>
        <w:rPr>
          <w:lang w:eastAsia="zh-CN"/>
        </w:rPr>
      </w:pPr>
      <w:r>
        <w:rPr>
          <w:rFonts w:cs="Times New Roman"/>
          <w:color w:val="000000"/>
          <w:lang w:eastAsia="zh-CN"/>
        </w:rPr>
        <w:t xml:space="preserve">GB行业分类以门类、大类、中类和小类描述经济活动，分别使用字母、两位、三位和四位数字。税调部分行业代码将门类字母与四位小类数字连写。每条年度记录保留原始代码和所属GB版本，再从该版本分类表取得小类名称；相同代码在不同版本中可能表示不同活动。表A1说明企业资料怎样形成面板标识和研究变量。</w:t>
      </w:r>
    </w:p>
    <w:p w14:paraId="36E309F5" w14:textId="77777777" w:rsidR="004E1393" w:rsidRDefault="00EB4DE5">
      <w:pPr>
        <w:ind w:firstLine="0"/>
        <w:jc w:val="center"/>
        <w:rPr>
          <w:lang w:eastAsia="zh-CN"/>
        </w:rPr>
      </w:pPr>
      <w:r>
        <w:rPr>
          <w:rFonts w:cs="Times New Roman"/>
          <w:b/>
          <w:color w:val="000000"/>
          <w:sz w:val="22"/>
          <w:lang w:eastAsia="zh-CN"/>
        </w:rPr>
        <w:t xml:space="preserve">表A1  企业面板中的资料、处理方式与研究变量</w:t>
      </w:r>
    </w:p>
    <w:tbl>
      <w:tblPr>
        <w:tblW w:w="0" w:type="auto"/>
        <w:jc w:val="center"/>
        <w:tblLayout w:type="fixed"/>
        <w:tblLook w:val="04A0" w:firstRow="1" w:lastRow="0" w:firstColumn="1" w:lastColumn="0" w:noHBand="0" w:noVBand="1"/>
      </w:tblPr>
      <w:tblGrid>
        <w:gridCol w:w="1701"/>
        <w:gridCol w:w="3402"/>
        <w:gridCol w:w="4138"/>
      </w:tblGrid>
      <w:tr w:rsidR="004E1393" w14:paraId="16B463F9" w14:textId="77777777">
        <w:trPr>
          <w:cantSplit/>
          <w:tblHeader/>
          <w:jc w:val="center"/>
        </w:trPr>
        <w:tc>
          <w:tcPr>
            <w:tcW w:w="1701" w:type="dxa"/>
            <w:tcBorders>
              <w:top w:val="single" w:sz="10" w:space="0" w:color="000000"/>
              <w:left w:val="nil"/>
              <w:bottom w:val="single" w:sz="6" w:space="0" w:color="000000"/>
              <w:right w:val="nil"/>
            </w:tcBorders>
            <w:vAlign w:val="center"/>
          </w:tcPr>
          <w:p w14:paraId="3F01D9F7" w14:textId="77777777" w:rsidR="004E1393" w:rsidRDefault="00EB4DE5">
            <w:pPr>
              <w:spacing w:before="80" w:line="283" w:lineRule="auto"/>
              <w:ind w:firstLine="0"/>
            </w:pPr>
            <w:r>
              <w:rPr>
                <w:rFonts w:cs="Times New Roman"/>
                <w:b/>
                <w:color w:val="000000"/>
                <w:sz w:val="21"/>
              </w:rPr>
              <w:t xml:space="preserve">资料</w:t>
            </w:r>
          </w:p>
        </w:tc>
        <w:tc>
          <w:tcPr>
            <w:tcW w:w="3402" w:type="dxa"/>
            <w:tcBorders>
              <w:top w:val="single" w:sz="10" w:space="0" w:color="000000"/>
              <w:left w:val="nil"/>
              <w:bottom w:val="single" w:sz="6" w:space="0" w:color="000000"/>
              <w:right w:val="nil"/>
            </w:tcBorders>
            <w:vAlign w:val="center"/>
          </w:tcPr>
          <w:p w14:paraId="4513AA07" w14:textId="77777777" w:rsidR="004E1393" w:rsidRDefault="00EB4DE5">
            <w:pPr>
              <w:spacing w:before="80" w:line="283" w:lineRule="auto"/>
              <w:ind w:firstLine="0"/>
            </w:pPr>
            <w:r>
              <w:rPr>
                <w:rFonts w:cs="Times New Roman"/>
                <w:b/>
                <w:color w:val="000000"/>
                <w:sz w:val="21"/>
              </w:rPr>
              <w:t xml:space="preserve">处理方式</w:t>
            </w:r>
          </w:p>
        </w:tc>
        <w:tc>
          <w:tcPr>
            <w:tcW w:w="4138" w:type="dxa"/>
            <w:tcBorders>
              <w:top w:val="single" w:sz="10" w:space="0" w:color="000000"/>
              <w:left w:val="nil"/>
              <w:bottom w:val="single" w:sz="6" w:space="0" w:color="000000"/>
              <w:right w:val="nil"/>
            </w:tcBorders>
            <w:vAlign w:val="center"/>
          </w:tcPr>
          <w:p w14:paraId="1E6EAB75" w14:textId="77777777" w:rsidR="004E1393" w:rsidRDefault="00EB4DE5">
            <w:pPr>
              <w:spacing w:before="80" w:line="283" w:lineRule="auto"/>
              <w:ind w:firstLine="0"/>
            </w:pPr>
            <w:r>
              <w:rPr>
                <w:rFonts w:cs="Times New Roman"/>
                <w:b/>
                <w:color w:val="000000"/>
                <w:sz w:val="21"/>
              </w:rPr>
              <w:t xml:space="preserve">形成的变量与用途</w:t>
            </w:r>
          </w:p>
        </w:tc>
      </w:tr>
      <w:tr w:rsidR="004E1393" w14:paraId="3A7286E5" w14:textId="77777777">
        <w:trPr>
          <w:cantSplit/>
          <w:jc w:val="center"/>
        </w:trPr>
        <w:tc>
          <w:tcPr>
            <w:tcW w:w="1701" w:type="dxa"/>
            <w:tcBorders>
              <w:top w:val="nil"/>
              <w:left w:val="nil"/>
              <w:bottom w:val="nil"/>
              <w:right w:val="nil"/>
            </w:tcBorders>
            <w:vAlign w:val="center"/>
          </w:tcPr>
          <w:p w14:paraId="216C1157" w14:textId="77777777" w:rsidR="004E1393" w:rsidRDefault="00EB4DE5">
            <w:pPr>
              <w:spacing w:before="80" w:line="283" w:lineRule="auto"/>
              <w:ind w:firstLine="0"/>
            </w:pPr>
            <w:r>
              <w:rPr>
                <w:rFonts w:cs="Times New Roman"/>
                <w:color w:val="000000"/>
                <w:sz w:val="21"/>
              </w:rPr>
              <w:t xml:space="preserve">企业标识与年份</w:t>
            </w:r>
          </w:p>
        </w:tc>
        <w:tc>
          <w:tcPr>
            <w:tcW w:w="3402" w:type="dxa"/>
            <w:tcBorders>
              <w:top w:val="nil"/>
              <w:left w:val="nil"/>
              <w:bottom w:val="nil"/>
              <w:right w:val="nil"/>
            </w:tcBorders>
            <w:vAlign w:val="center"/>
          </w:tcPr>
          <w:p w14:paraId="49E1EDD4" w14:textId="77777777" w:rsidR="004E1393" w:rsidRDefault="00EB4DE5">
            <w:pPr>
              <w:spacing w:before="80" w:line="283" w:lineRule="auto"/>
              <w:ind w:firstLine="0"/>
            </w:pPr>
            <w:r>
              <w:rPr>
                <w:rFonts w:ascii="Consolas" w:hAnsi="Consolas" w:cs="Consolas"/>
                <w:color w:val="000000"/>
                <w:sz w:val="19"/>
              </w:rPr>
              <w:t xml:space="preserve">链接主体延续；区分设立、首次调查与调查缺失</w:t>
            </w:r>
          </w:p>
        </w:tc>
        <w:tc>
          <w:tcPr>
            <w:tcW w:w="4138" w:type="dxa"/>
            <w:tcBorders>
              <w:top w:val="nil"/>
              <w:left w:val="nil"/>
              <w:bottom w:val="nil"/>
              <w:right w:val="nil"/>
            </w:tcBorders>
            <w:vAlign w:val="center"/>
          </w:tcPr>
          <w:p w14:paraId="7B6DB2D5" w14:textId="77777777" w:rsidR="004E1393" w:rsidRDefault="00EB4DE5">
            <w:pPr>
              <w:spacing w:before="80" w:line="283" w:lineRule="auto"/>
              <w:ind w:firstLine="0"/>
              <w:rPr>
                <w:lang w:eastAsia="zh-CN"/>
              </w:rPr>
            </w:pPr>
            <w:r>
              <w:rPr>
                <w:rFonts w:cs="Times New Roman"/>
                <w:color w:val="000000"/>
                <w:sz w:val="21"/>
                <w:lang w:eastAsia="zh-CN"/>
              </w:rPr>
              <w:t xml:space="preserve">企业—年份面板，保留非平衡观察和进入退出</w:t>
            </w:r>
          </w:p>
        </w:tc>
      </w:tr>
      <w:tr w:rsidR="004E1393" w14:paraId="5756CC39" w14:textId="77777777">
        <w:trPr>
          <w:cantSplit/>
          <w:jc w:val="center"/>
        </w:trPr>
        <w:tc>
          <w:tcPr>
            <w:tcW w:w="1701" w:type="dxa"/>
            <w:tcBorders>
              <w:top w:val="nil"/>
              <w:left w:val="nil"/>
              <w:bottom w:val="nil"/>
              <w:right w:val="nil"/>
            </w:tcBorders>
            <w:vAlign w:val="center"/>
          </w:tcPr>
          <w:p w14:paraId="56ADE039" w14:textId="77777777" w:rsidR="004E1393" w:rsidRDefault="00EB4DE5">
            <w:pPr>
              <w:spacing w:before="80" w:line="283" w:lineRule="auto"/>
              <w:ind w:firstLine="0"/>
            </w:pPr>
            <w:r>
              <w:rPr>
                <w:rFonts w:cs="Times New Roman"/>
                <w:color w:val="000000"/>
                <w:sz w:val="21"/>
              </w:rPr>
              <w:t xml:space="preserve">行业代码</w:t>
            </w:r>
          </w:p>
        </w:tc>
        <w:tc>
          <w:tcPr>
            <w:tcW w:w="3402" w:type="dxa"/>
            <w:tcBorders>
              <w:top w:val="nil"/>
              <w:left w:val="nil"/>
              <w:bottom w:val="nil"/>
              <w:right w:val="nil"/>
            </w:tcBorders>
            <w:vAlign w:val="center"/>
          </w:tcPr>
          <w:p w14:paraId="677FCD29" w14:textId="77777777" w:rsidR="004E1393" w:rsidRDefault="00EB4DE5">
            <w:pPr>
              <w:spacing w:before="80" w:line="283" w:lineRule="auto"/>
              <w:ind w:firstLine="0"/>
            </w:pPr>
            <w:r>
              <w:rPr>
                <w:rFonts w:ascii="Consolas" w:hAnsi="Consolas" w:cs="Consolas"/>
                <w:color w:val="000000"/>
                <w:sz w:val="19"/>
              </w:rPr>
              <w:t xml:space="preserve">代码与GB版本成对使用，取得对应小类名称</w:t>
            </w:r>
          </w:p>
        </w:tc>
        <w:tc>
          <w:tcPr>
            <w:tcW w:w="4138" w:type="dxa"/>
            <w:tcBorders>
              <w:top w:val="nil"/>
              <w:left w:val="nil"/>
              <w:bottom w:val="nil"/>
              <w:right w:val="nil"/>
            </w:tcBorders>
            <w:vAlign w:val="center"/>
          </w:tcPr>
          <w:p w14:paraId="2CEE91A9" w14:textId="77777777" w:rsidR="004E1393" w:rsidRDefault="00EB4DE5">
            <w:pPr>
              <w:spacing w:before="80" w:line="283" w:lineRule="auto"/>
              <w:ind w:firstLine="0"/>
              <w:rPr>
                <w:lang w:eastAsia="zh-CN"/>
              </w:rPr>
            </w:pPr>
            <w:r>
              <w:rPr>
                <w:rFonts w:cs="Times New Roman"/>
                <w:color w:val="000000"/>
                <w:sz w:val="21"/>
                <w:lang w:eastAsia="zh-CN"/>
              </w:rPr>
              <w:t xml:space="preserve">名称用于Restrict赋值；分类转换用于生产归属</w:t>
            </w:r>
          </w:p>
        </w:tc>
      </w:tr>
      <w:tr w:rsidR="004E1393" w14:paraId="0E0D4BC2" w14:textId="77777777">
        <w:trPr>
          <w:cantSplit/>
          <w:jc w:val="center"/>
        </w:trPr>
        <w:tc>
          <w:tcPr>
            <w:tcW w:w="1701" w:type="dxa"/>
            <w:tcBorders>
              <w:top w:val="nil"/>
              <w:left w:val="nil"/>
              <w:bottom w:val="nil"/>
              <w:right w:val="nil"/>
            </w:tcBorders>
            <w:vAlign w:val="center"/>
          </w:tcPr>
          <w:p w14:paraId="37E579A7" w14:textId="77777777" w:rsidR="004E1393" w:rsidRDefault="00EB4DE5">
            <w:pPr>
              <w:spacing w:before="80" w:line="283" w:lineRule="auto"/>
              <w:ind w:firstLine="0"/>
            </w:pPr>
            <w:r>
              <w:rPr>
                <w:rFonts w:cs="Times New Roman"/>
                <w:color w:val="000000"/>
                <w:sz w:val="21"/>
              </w:rPr>
              <w:t xml:space="preserve">生产与收入</w:t>
            </w:r>
          </w:p>
        </w:tc>
        <w:tc>
          <w:tcPr>
            <w:tcW w:w="3402" w:type="dxa"/>
            <w:tcBorders>
              <w:top w:val="nil"/>
              <w:left w:val="nil"/>
              <w:bottom w:val="nil"/>
              <w:right w:val="nil"/>
            </w:tcBorders>
            <w:vAlign w:val="center"/>
          </w:tcPr>
          <w:p w14:paraId="7978D86D" w14:textId="77777777" w:rsidR="004E1393" w:rsidRDefault="00EB4DE5">
            <w:pPr>
              <w:spacing w:before="80" w:line="283" w:lineRule="auto"/>
              <w:ind w:firstLine="0"/>
            </w:pPr>
            <w:r>
              <w:rPr>
                <w:rFonts w:ascii="Consolas" w:hAnsi="Consolas" w:cs="Consolas"/>
                <w:color w:val="000000"/>
                <w:sz w:val="19"/>
              </w:rPr>
              <w:t xml:space="preserve">区分产出、销售和转售；统一单位、价格与估值</w:t>
            </w:r>
          </w:p>
        </w:tc>
        <w:tc>
          <w:tcPr>
            <w:tcW w:w="4138" w:type="dxa"/>
            <w:tcBorders>
              <w:top w:val="nil"/>
              <w:left w:val="nil"/>
              <w:bottom w:val="nil"/>
              <w:right w:val="nil"/>
            </w:tcBorders>
            <w:vAlign w:val="center"/>
          </w:tcPr>
          <w:p w14:paraId="2C13C8DB" w14:textId="77777777" w:rsidR="004E1393" w:rsidRDefault="00EB4DE5">
            <w:pPr>
              <w:spacing w:before="80" w:line="283" w:lineRule="auto"/>
              <w:ind w:firstLine="0"/>
              <w:rPr>
                <w:lang w:eastAsia="zh-CN"/>
              </w:rPr>
            </w:pPr>
            <w:r>
              <w:rPr>
                <w:rFonts w:cs="Times New Roman"/>
                <w:color w:val="000000"/>
                <w:sz w:val="21"/>
                <w:lang w:eastAsia="zh-CN"/>
              </w:rPr>
              <w:t xml:space="preserve">生产价值</w:t>
            </w:r>
            <m:oMath>
              <m:sSub>
                <m:e>
                  <m:r>
                    <w:rPr>
                      <w:rFonts w:ascii="Cambria Math" w:hAnsi="Cambria Math" w:cs="Cambria Math" w:eastAsia="宋体"/>
                      <w:sz w:val="21"/>
                    </w:rPr>
                    <m:t>Q</m:t>
                  </m:r>
                </m:e>
                <m:sub>
                  <m:r>
                    <w:rPr>
                      <w:rFonts w:ascii="Cambria Math" w:hAnsi="Cambria Math" w:cs="Cambria Math" w:eastAsia="宋体"/>
                      <w:sz w:val="21"/>
                    </w:rPr>
                    <m:t>ft</m:t>
                  </m:r>
                </m:sub>
              </m:sSub>
            </m:oMath>
            <w:r>
              <w:rPr>
                <w:rFonts w:cs="Times New Roman"/>
                <w:color w:val="000000"/>
                <w:sz w:val="21"/>
                <w:lang w:eastAsia="zh-CN"/>
              </w:rPr>
              <w:t xml:space="preserve">与营业收入</w:t>
            </w:r>
            <m:oMath>
              <m:sSub>
                <m:e>
                  <m:r>
                    <w:rPr>
                      <w:rFonts w:ascii="Cambria Math" w:hAnsi="Cambria Math" w:cs="Cambria Math" w:eastAsia="宋体"/>
                      <w:sz w:val="21"/>
                    </w:rPr>
                    <m:t>R</m:t>
                  </m:r>
                </m:e>
                <m:sub>
                  <m:r>
                    <w:rPr>
                      <w:rFonts w:ascii="Cambria Math" w:hAnsi="Cambria Math" w:cs="Cambria Math" w:eastAsia="宋体"/>
                      <w:sz w:val="21"/>
                    </w:rPr>
                    <m:t>ft</m:t>
                  </m:r>
                </m:sub>
              </m:sSub>
            </m:oMath>
            <w:r>
              <w:rPr>
                <w:rFonts w:cs="Times New Roman"/>
                <w:color w:val="000000"/>
                <w:sz w:val="21"/>
                <w:lang w:eastAsia="zh-CN"/>
              </w:rPr>
              <w:t xml:space="preserve">分别分析</w:t>
            </w:r>
          </w:p>
        </w:tc>
      </w:tr>
      <w:tr w:rsidR="004E1393" w14:paraId="016D9F7D" w14:textId="77777777">
        <w:trPr>
          <w:cantSplit/>
          <w:jc w:val="center"/>
        </w:trPr>
        <w:tc>
          <w:tcPr>
            <w:tcW w:w="1701" w:type="dxa"/>
            <w:tcBorders>
              <w:top w:val="nil"/>
              <w:left w:val="nil"/>
              <w:bottom w:val="nil"/>
              <w:right w:val="nil"/>
            </w:tcBorders>
            <w:vAlign w:val="center"/>
          </w:tcPr>
          <w:p w14:paraId="2F200EEB" w14:textId="77777777" w:rsidR="004E1393" w:rsidRDefault="00EB4DE5">
            <w:pPr>
              <w:spacing w:before="80" w:line="283" w:lineRule="auto"/>
              <w:ind w:firstLine="0"/>
            </w:pPr>
            <w:r>
              <w:rPr>
                <w:rFonts w:cs="Times New Roman"/>
                <w:color w:val="000000"/>
                <w:sz w:val="21"/>
              </w:rPr>
              <w:t xml:space="preserve">资本与就业</w:t>
            </w:r>
          </w:p>
        </w:tc>
        <w:tc>
          <w:tcPr>
            <w:tcW w:w="3402" w:type="dxa"/>
            <w:tcBorders>
              <w:top w:val="nil"/>
              <w:left w:val="nil"/>
              <w:bottom w:val="nil"/>
              <w:right w:val="nil"/>
            </w:tcBorders>
            <w:vAlign w:val="center"/>
          </w:tcPr>
          <w:p w14:paraId="7BE9251C" w14:textId="77777777" w:rsidR="004E1393" w:rsidRDefault="00EB4DE5">
            <w:pPr>
              <w:spacing w:before="80" w:line="283" w:lineRule="auto"/>
              <w:ind w:firstLine="0"/>
            </w:pPr>
            <w:r>
              <w:rPr>
                <w:rFonts w:ascii="Consolas" w:hAnsi="Consolas" w:cs="Consolas"/>
                <w:color w:val="000000"/>
                <w:sz w:val="19"/>
              </w:rPr>
              <w:t xml:space="preserve">区分资产存量和增加额，分别记录人数口径</w:t>
            </w:r>
          </w:p>
        </w:tc>
        <w:tc>
          <w:tcPr>
            <w:tcW w:w="4138" w:type="dxa"/>
            <w:tcBorders>
              <w:top w:val="nil"/>
              <w:left w:val="nil"/>
              <w:bottom w:val="nil"/>
              <w:right w:val="nil"/>
            </w:tcBorders>
            <w:vAlign w:val="center"/>
          </w:tcPr>
          <w:p w14:paraId="3A4197E9" w14:textId="77777777" w:rsidR="004E1393" w:rsidRDefault="00EB4DE5">
            <w:pPr>
              <w:spacing w:before="80" w:line="283" w:lineRule="auto"/>
              <w:ind w:firstLine="0"/>
              <w:rPr>
                <w:lang w:eastAsia="zh-CN"/>
              </w:rPr>
            </w:pPr>
            <w:r>
              <w:rPr>
                <w:rFonts w:cs="Times New Roman"/>
                <w:color w:val="000000"/>
                <w:sz w:val="21"/>
                <w:lang w:eastAsia="zh-CN"/>
              </w:rPr>
              <w:t xml:space="preserve">投资及就业结果，用于解释经营调整</w:t>
            </w:r>
          </w:p>
        </w:tc>
      </w:tr>
      <w:tr w:rsidR="004E1393" w14:paraId="35363325" w14:textId="77777777">
        <w:trPr>
          <w:cantSplit/>
          <w:jc w:val="center"/>
        </w:trPr>
        <w:tc>
          <w:tcPr>
            <w:tcW w:w="1701" w:type="dxa"/>
            <w:tcBorders>
              <w:top w:val="nil"/>
              <w:left w:val="nil"/>
              <w:bottom w:val="single" w:sz="10" w:space="0" w:color="000000"/>
              <w:right w:val="nil"/>
            </w:tcBorders>
            <w:vAlign w:val="center"/>
          </w:tcPr>
          <w:p w14:paraId="658C29B7" w14:textId="77777777" w:rsidR="004E1393" w:rsidRDefault="00EB4DE5">
            <w:pPr>
              <w:spacing w:before="80" w:line="283" w:lineRule="auto"/>
              <w:ind w:firstLine="0"/>
            </w:pPr>
            <w:r>
              <w:rPr>
                <w:rFonts w:cs="Times New Roman"/>
                <w:color w:val="000000"/>
                <w:sz w:val="21"/>
              </w:rPr>
              <w:t xml:space="preserve">登记及补充所有权资料</w:t>
            </w:r>
          </w:p>
        </w:tc>
        <w:tc>
          <w:tcPr>
            <w:tcW w:w="3402" w:type="dxa"/>
            <w:tcBorders>
              <w:top w:val="nil"/>
              <w:left w:val="nil"/>
              <w:bottom w:val="single" w:sz="10" w:space="0" w:color="000000"/>
              <w:right w:val="nil"/>
            </w:tcBorders>
            <w:vAlign w:val="center"/>
          </w:tcPr>
          <w:p w14:paraId="4D29513C" w14:textId="77777777" w:rsidR="004E1393" w:rsidRDefault="00EB4DE5">
            <w:pPr>
              <w:spacing w:before="80" w:line="283" w:lineRule="auto"/>
              <w:ind w:firstLine="0"/>
            </w:pPr>
            <w:r>
              <w:rPr>
                <w:rFonts w:ascii="Consolas" w:hAnsi="Consolas" w:cs="Consolas"/>
                <w:color w:val="000000"/>
                <w:sz w:val="19"/>
              </w:rPr>
              <w:t xml:space="preserve">登记属性、直接持股与控制链分别辨认</w:t>
            </w:r>
          </w:p>
        </w:tc>
        <w:tc>
          <w:tcPr>
            <w:tcW w:w="4138" w:type="dxa"/>
            <w:tcBorders>
              <w:top w:val="nil"/>
              <w:left w:val="nil"/>
              <w:bottom w:val="single" w:sz="10" w:space="0" w:color="000000"/>
              <w:right w:val="nil"/>
            </w:tcBorders>
            <w:vAlign w:val="center"/>
          </w:tcPr>
          <w:p w14:paraId="451E447C" w14:textId="77777777" w:rsidR="004E1393" w:rsidRDefault="00EB4DE5">
            <w:pPr>
              <w:spacing w:before="80" w:line="283" w:lineRule="auto"/>
              <w:ind w:firstLine="0"/>
              <w:rPr>
                <w:lang w:eastAsia="zh-CN"/>
              </w:rPr>
            </w:pPr>
            <w:r>
              <w:rPr>
                <w:rFonts w:cs="Times New Roman"/>
                <w:color w:val="000000"/>
                <w:sz w:val="21"/>
                <w:lang w:eastAsia="zh-CN"/>
              </w:rPr>
              <w:t xml:space="preserve">外资参与代理与外国控制身份分列，未知保持未知</w:t>
            </w:r>
          </w:p>
        </w:tc>
      </w:tr>
    </w:tbl>
    <w:p w14:paraId="5C463E2F" w14:textId="77777777" w:rsidR="004E1393" w:rsidRDefault="00EB4DE5">
      <w:pPr>
        <w:pStyle w:val="21"/>
        <w:rPr>
          <w:lang w:eastAsia="zh-CN"/>
        </w:rPr>
      </w:pPr>
      <w:r>
        <w:rPr>
          <w:rFonts w:ascii="Times New Roman" w:eastAsia="宋体" w:hAnsi="Times New Roman" w:cs="Times New Roman"/>
          <w:lang w:eastAsia="zh-CN"/>
        </w:rPr>
        <w:t xml:space="preserve">A.2.2 </w:t>
      </w:r>
      <w:r>
        <w:rPr>
          <w:rFonts w:ascii="Times New Roman" w:eastAsia="宋体" w:hAnsi="Times New Roman" w:cs="Times New Roman"/>
          <w:lang w:eastAsia="zh-CN"/>
        </w:rPr>
        <w:t>生产、收入、投资与控制关系</w:t>
      </w:r>
    </w:p>
    <w:p w14:paraId="0DCC6DD7" w14:textId="77777777" w:rsidR="004E1393" w:rsidRDefault="00EB4DE5">
      <w:pPr>
        <w:rPr>
          <w:lang w:eastAsia="zh-CN"/>
        </w:rPr>
      </w:pPr>
      <w:r>
        <w:rPr>
          <w:rFonts w:cs="Times New Roman"/>
          <w:color w:val="000000"/>
          <w:lang w:eastAsia="zh-CN"/>
        </w:rPr>
        <w:t xml:space="preserve">企业生产价值记为</w:t>
      </w:r>
      <m:oMath>
        <m:sSub>
          <m:e>
            <m:r>
              <w:rPr>
                <w:rFonts w:ascii="Cambria Math" w:hAnsi="Cambria Math" w:cs="Cambria Math" w:eastAsia="宋体"/>
                <w:sz w:val="24"/>
              </w:rPr>
              <m:t>Q</m:t>
            </m:r>
          </m:e>
          <m:sub>
            <m:r>
              <w:rPr>
                <w:rFonts w:ascii="Cambria Math" w:hAnsi="Cambria Math" w:cs="Cambria Math" w:eastAsia="宋体"/>
                <w:sz w:val="24"/>
              </w:rPr>
              <m:t>ft</m:t>
            </m:r>
          </m:sub>
        </m:sSub>
      </m:oMath>
      <w:r>
        <w:rPr>
          <w:rFonts w:cs="Times New Roman"/>
          <w:color w:val="000000"/>
          <w:lang w:eastAsia="zh-CN"/>
        </w:rPr>
        <w:t xml:space="preserve">，其中</w:t>
      </w:r>
      <m:oMath>
        <m:r>
          <w:rPr>
            <w:rFonts w:ascii="Cambria Math" w:hAnsi="Cambria Math" w:cs="Cambria Math" w:eastAsia="宋体"/>
            <w:sz w:val="24"/>
          </w:rPr>
          <m:t>f</m:t>
        </m:r>
      </m:oMath>
      <w:r>
        <w:rPr>
          <w:rFonts w:cs="Times New Roman"/>
          <w:color w:val="000000"/>
          <w:lang w:eastAsia="zh-CN"/>
        </w:rPr>
        <w:t xml:space="preserve">为企业、</w:t>
      </w:r>
      <m:oMath>
        <m:r>
          <w:rPr>
            <w:rFonts w:ascii="Cambria Math" w:hAnsi="Cambria Math" w:cs="Cambria Math" w:eastAsia="宋体"/>
            <w:sz w:val="24"/>
          </w:rPr>
          <m:t>t</m:t>
        </m:r>
      </m:oMath>
      <w:r>
        <w:rPr>
          <w:rFonts w:cs="Times New Roman"/>
          <w:color w:val="000000"/>
          <w:lang w:eastAsia="zh-CN"/>
        </w:rPr>
        <w:t xml:space="preserve">为年份，表示一定期间形成的产品或劳务价值。营业收入</w:t>
      </w:r>
      <m:oMath>
        <m:sSub>
          <m:e>
            <m:r>
              <w:rPr>
                <w:rFonts w:ascii="Cambria Math" w:hAnsi="Cambria Math" w:cs="Cambria Math" w:eastAsia="宋体"/>
                <w:sz w:val="24"/>
              </w:rPr>
              <m:t>R</m:t>
            </m:r>
          </m:e>
          <m:sub>
            <m:r>
              <w:rPr>
                <w:rFonts w:ascii="Cambria Math" w:hAnsi="Cambria Math" w:cs="Cambria Math" w:eastAsia="宋体"/>
                <w:sz w:val="24"/>
              </w:rPr>
              <m:t>ft</m:t>
            </m:r>
          </m:sub>
        </m:sSub>
      </m:oMath>
      <w:r>
        <w:rPr>
          <w:rFonts w:cs="Times New Roman"/>
          <w:color w:val="000000"/>
          <w:lang w:eastAsia="zh-CN"/>
        </w:rPr>
        <w:t xml:space="preserve">反映销售及相关经营收入，两者因存货变化、转售业务和核算方式而不同。生产分析使用总产值口径，收入另作经营表现指标；商贸活动区分商品销售全额与商贸服务产出，避免将收入直接当作AMNE生产价值。</w:t>
      </w:r>
    </w:p>
    <w:p w14:paraId="769E7FA2" w14:textId="77777777" w:rsidR="004E1393" w:rsidRDefault="00EB4DE5">
      <w:pPr>
        <w:rPr>
          <w:lang w:eastAsia="zh-CN"/>
        </w:rPr>
      </w:pPr>
      <w:r>
        <w:rPr>
          <w:rFonts w:cs="Times New Roman"/>
          <w:color w:val="000000"/>
          <w:lang w:eastAsia="zh-CN"/>
        </w:rPr>
        <w:t xml:space="preserve">金额按原始项目含义统一单位，再用相应行业价格指数调整名义值。价格调整后的指标仍是价值量；生产率或物量解释还涉及产品数量和企业价格。部门加总采用共同的货币、价格年份和估值口径。</w:t>
      </w:r>
    </w:p>
    <w:p w14:paraId="67FC8D20" w14:textId="77777777" w:rsidR="004E1393" w:rsidRDefault="00EB4DE5">
      <w:pPr>
        <w:rPr>
          <w:lang w:eastAsia="zh-CN"/>
        </w:rPr>
      </w:pPr>
      <w:r>
        <w:rPr>
          <w:rFonts w:cs="Times New Roman"/>
          <w:color w:val="000000"/>
          <w:lang w:eastAsia="zh-CN"/>
        </w:rPr>
        <w:t xml:space="preserve">投资以本年固定资产增加等流量指标描述，固定资产原值、净值与存量变化分别记录，区分折旧、处置和重估的影响。就业分别保留全年平均人数、年初人数和年末人数；以年初年末均值代理全年平均人数时，注明这一近似，避免将不同定义直接接成同一指标。</w:t>
      </w:r>
    </w:p>
    <w:p w14:paraId="5EBEF8FD" w14:textId="77777777" w:rsidR="004E1393" w:rsidRDefault="00EB4DE5">
      <w:pPr>
        <w:rPr>
          <w:lang w:eastAsia="zh-CN"/>
        </w:rPr>
      </w:pPr>
      <w:r>
        <w:rPr>
          <w:rFonts w:cs="Times New Roman"/>
          <w:color w:val="000000"/>
          <w:lang w:eastAsia="zh-CN"/>
        </w:rPr>
        <w:t xml:space="preserve">登记注册类型反映登记属性，实收资本总额反映资本规模，二者不直接给出外国控制身份。外国持股用出资比例描述，控制关系按所有权和控制链辨认。参照AMNE2024版超过50%的所有权标准，分别记录控制身份、控制母国及直接持股代理；控制身份不能辨认的记录保留未知，直接持股代理单独分析。[7]</w:t>
      </w:r>
    </w:p>
    <w:p w14:paraId="6F16809A" w14:textId="77777777" w:rsidR="004E1393" w:rsidRDefault="00EB4DE5">
      <w:pPr>
        <w:pStyle w:val="21"/>
        <w:rPr>
          <w:lang w:eastAsia="zh-CN"/>
        </w:rPr>
      </w:pPr>
      <w:r>
        <w:rPr>
          <w:rFonts w:ascii="Times New Roman" w:eastAsia="宋体" w:hAnsi="Times New Roman" w:cs="Times New Roman"/>
          <w:lang w:eastAsia="zh-CN"/>
        </w:rPr>
        <w:t xml:space="preserve">A.2.3 </w:t>
      </w:r>
      <w:r>
        <w:rPr>
          <w:rFonts w:ascii="Times New Roman" w:eastAsia="宋体" w:hAnsi="Times New Roman" w:cs="Times New Roman"/>
          <w:lang w:eastAsia="zh-CN"/>
        </w:rPr>
        <w:t>企业面板、退出与总体覆盖</w:t>
      </w:r>
    </w:p>
    <w:p w14:paraId="4D5073B4" w14:textId="77777777" w:rsidR="004E1393" w:rsidRDefault="00EB4DE5">
      <w:pPr>
        <w:rPr>
          <w:lang w:eastAsia="zh-CN"/>
        </w:rPr>
      </w:pPr>
      <w:r>
        <w:rPr>
          <w:rFonts w:cs="Times New Roman"/>
          <w:color w:val="000000"/>
          <w:lang w:eastAsia="zh-CN"/>
        </w:rPr>
        <w:t xml:space="preserve">企业从年度税调消失，不直接视为经济退出。主体改号和并购按主体延续关系链接，调查缺失保持缺失；有明确停产或退出记录且该期确无生产的，生产记为零，年内关闭企业按当年实际产出记录。非平衡面板保留可辨认的进入和退出信息，同时区分经济行为与调查覆盖变化。</w:t>
      </w:r>
    </w:p>
    <w:p w14:paraId="48BF91CB" w14:textId="77777777" w:rsidR="004E1393" w:rsidRDefault="00EB4DE5">
      <w:pPr>
        <w:rPr>
          <w:lang w:eastAsia="zh-CN"/>
        </w:rPr>
      </w:pPr>
      <w:r>
        <w:rPr>
          <w:rFonts w:cs="Times New Roman"/>
          <w:color w:val="000000"/>
          <w:lang w:eastAsia="zh-CN"/>
        </w:rPr>
        <w:t xml:space="preserve">企业面板直接加总得到调查覆盖样本的生产。部门总体由同年份、同部门和同控制定义的行业统计或普查资料补充，补充资料已包含的税调企业不重复相加。调查权重和总体覆盖如何进入生产加总，在A.6具体说明。</w:t>
      </w:r>
    </w:p>
    <w:p w14:paraId="7848FC53" w14:textId="77777777" w:rsidR="004E1393" w:rsidRDefault="00EB4DE5">
      <w:pPr>
        <w:pStyle w:val="1"/>
        <w:spacing w:before="0"/>
        <w:rPr>
          <w:lang w:eastAsia="zh-CN"/>
        </w:rPr>
      </w:pPr>
      <w:r>
        <w:rPr>
          <w:rFonts w:ascii="Times New Roman" w:eastAsia="宋体" w:hAnsi="Times New Roman" w:cs="Times New Roman"/>
          <w:lang w:eastAsia="zh-CN"/>
        </w:rPr>
        <w:t xml:space="preserve">A.3 从当期GB小类名称到年度限制暴露</w:t>
      </w:r>
    </w:p>
    <w:p w14:paraId="2304E55B" w14:textId="77777777" w:rsidR="004E1393" w:rsidRDefault="00EB4DE5">
      <w:pPr>
        <w:pStyle w:val="21"/>
        <w:rPr>
          <w:lang w:eastAsia="zh-CN"/>
        </w:rPr>
      </w:pPr>
      <w:r>
        <w:rPr>
          <w:rFonts w:ascii="Times New Roman" w:eastAsia="宋体" w:hAnsi="Times New Roman" w:cs="Times New Roman"/>
          <w:lang w:eastAsia="zh-CN"/>
        </w:rPr>
        <w:t xml:space="preserve">A.3.1 GB小类名称与有效政策条款匹配</w:t>
      </w:r>
    </w:p>
    <w:p w14:paraId="0DDF8870" w14:textId="77777777" w:rsidR="004E1393" w:rsidRDefault="00EB4DE5">
      <w:pPr>
        <w:rPr>
          <w:lang w:eastAsia="zh-CN"/>
        </w:rPr>
      </w:pPr>
      <w:r>
        <w:rPr>
          <w:rFonts w:cs="Times New Roman"/>
          <w:color w:val="000000"/>
          <w:lang w:eastAsia="zh-CN"/>
        </w:rPr>
        <w:t xml:space="preserve">对每条企业—年份记录，从原始行业代码及所属GB版本取得小类名称。将该名称与相应时期有效目录、全国负面清单及专项规定的条款活动一并交给LLM，判断是否属于同一类，并输出命中条款和判断理由。行业分类注释用于新旧分类转换，政策赋值保持小类名称口径，同类判断成立便将该小类纳入条款覆盖。</w:t>
      </w:r>
    </w:p>
    <w:p w14:paraId="5381E2E3" w14:textId="77777777" w:rsidR="004E1393" w:rsidRDefault="00EB4DE5">
      <w:pPr>
        <w:rPr>
          <w:lang w:eastAsia="zh-CN"/>
        </w:rPr>
      </w:pPr>
      <w:r>
        <w:rPr>
          <w:rFonts w:cs="Times New Roman"/>
          <w:color w:val="000000"/>
          <w:lang w:eastAsia="zh-CN"/>
        </w:rPr>
        <w:t xml:space="preserve">名称匹配分别记录命中、确认未命中和未知。命中记录保留相关条款；完整检索与复核后没有对应活动条款的，记为确认未命中；GB版本或名称关系不能判定的，保留未知。同一GB版本、小类名称、政策版本和适用口径共用复核后的判断，规则不变的连续年份复用该记录，再赋予当期属于该小类的企业。</w:t>
      </w:r>
    </w:p>
    <w:p w14:paraId="38EA1321" w14:textId="77777777" w:rsidR="004E1393" w:rsidRDefault="00EB4DE5">
      <w:pPr>
        <w:rPr>
          <w:lang w:eastAsia="zh-CN"/>
        </w:rPr>
      </w:pPr>
      <w:r>
        <w:rPr>
          <w:rFonts w:cs="Times New Roman"/>
          <w:color w:val="000000"/>
          <w:lang w:eastAsia="zh-CN"/>
        </w:rPr>
        <w:t xml:space="preserve">例如，GB2002代码H6361对应“煤炭及制品批发”，LLM的比较对象是这一小类名称。[9] 2007目录限制类“批发和零售业”第2项列举粮食、棉花等商品，并附特定连锁店的中方控股要求；该项活动不包含煤炭批发，因而记录为这一条款未命中。[1] 单项未命中与整个小类未受限分别记录，后者由全部相关有效规则判断。</w:t>
      </w:r>
    </w:p>
    <w:p>
      <w:pPr>
        <w:spacing w:before="0" w:after="0" w:line="20" w:lineRule="exact"/>
        <w:ind w:firstLine="0"/>
      </w:pPr>
      <w:r>
        <w:rPr>
          <w:sz w:val="2"/>
        </w:rPr>
        <w:br w:type="page"/>
      </w:r>
    </w:p>
    <w:p w14:paraId="40842CF9" w14:textId="77777777" w:rsidR="004E1393" w:rsidRDefault="00EB4DE5">
      <w:pPr>
        <w:pStyle w:val="21"/>
        <w:rPr>
          <w:lang w:eastAsia="zh-CN"/>
        </w:rPr>
      </w:pPr>
      <w:r>
        <w:rPr>
          <w:rFonts w:ascii="Times New Roman" w:eastAsia="宋体" w:hAnsi="Times New Roman" w:cs="Times New Roman"/>
          <w:lang w:eastAsia="zh-CN"/>
        </w:rPr>
        <w:t xml:space="preserve">A.3.2 名称命中、限制状态与具体要求</w:t>
      </w:r>
    </w:p>
    <w:p w14:paraId="29BE2DB7" w14:textId="77777777" w:rsidR="004E1393" w:rsidRDefault="00EB4DE5">
      <w:pPr>
        <w:rPr>
          <w:lang w:eastAsia="zh-CN"/>
        </w:rPr>
      </w:pPr>
      <w:r>
        <w:rPr>
          <w:rFonts w:cs="Times New Roman"/>
          <w:color w:val="000000"/>
          <w:lang w:eastAsia="zh-CN"/>
        </w:rPr>
        <w:t xml:space="preserve">名称命中与限制状态分两步处理。先判断小类与条款是否同类，再读取条款中的外资差别化要求：存在这类有效限制记为</w:t>
      </w:r>
      <m:oMath>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r>
          <w:rPr>
            <w:rFonts w:ascii="Cambria Math" w:hAnsi="Cambria Math" w:cs="Cambria Math" w:eastAsia="宋体"/>
            <w:sz w:val="24"/>
          </w:rPr>
          <m:t>=1</m:t>
        </m:r>
      </m:oMath>
      <w:r>
        <w:rPr>
          <w:rFonts w:cs="Times New Roman"/>
          <w:color w:val="000000"/>
          <w:lang w:eastAsia="zh-CN"/>
        </w:rPr>
        <w:t xml:space="preserve">，完整检索与复核后确认不存在则记为0。名称关系或法律状态不能判定时，限制状态保留未知，名称已经命中也不例外。鼓励类条款中的股比或合资要求与鼓励资格分别记录，主要赋值情形见表A2。</w:t>
      </w:r>
    </w:p>
    <w:p w14:paraId="3255ADB9" w14:textId="77777777" w:rsidR="004E1393" w:rsidRDefault="00EB4DE5">
      <w:pPr>
        <w:rPr>
          <w:lang w:eastAsia="zh-CN"/>
        </w:rPr>
      </w:pPr>
      <w:r>
        <w:rPr>
          <w:rFonts w:cs="Times New Roman"/>
          <w:color w:val="000000"/>
          <w:lang w:eastAsia="zh-CN"/>
        </w:rPr>
        <w:t xml:space="preserve">政策底表保存正式名称与版本、章节和条款编号、原文、具体要求、限定语及生效区间，名称命中、限制状态和鼓励资格分列。检索范围、提示词、LLM版本及复核记录随判断保存，修订保留原结论和理由。股比上限保留实际数值，合资合作与禁止进入按原文记录，用于比较二元状态不变但实际要求已经放宽的调整。</w:t>
      </w:r>
    </w:p>
    <w:p w14:paraId="55AD7046" w14:textId="77777777" w:rsidR="004E1393" w:rsidRDefault="00EB4DE5">
      <w:pPr>
        <w:ind w:firstLine="0"/>
        <w:jc w:val="center"/>
        <w:rPr>
          <w:lang w:eastAsia="zh-CN"/>
        </w:rPr>
      </w:pPr>
      <w:r>
        <w:rPr>
          <w:rFonts w:cs="Times New Roman"/>
          <w:b/>
          <w:color w:val="000000"/>
          <w:sz w:val="22"/>
          <w:lang w:eastAsia="zh-CN"/>
        </w:rPr>
        <w:t xml:space="preserve">表A2  名称匹配、外资差别化要求与年度Restrict赋值</w:t>
      </w:r>
    </w:p>
    <w:tbl>
      <w:tblPr>
        <w:tblW w:w="0" w:type="auto"/>
        <w:jc w:val="center"/>
        <w:tblLayout w:type="fixed"/>
        <w:tblLook w:val="04A0" w:firstRow="1" w:lastRow="0" w:firstColumn="1" w:lastColumn="0" w:noHBand="0" w:noVBand="1"/>
      </w:tblPr>
      <w:tblGrid>
        <w:gridCol w:w="3288"/>
        <w:gridCol w:w="1417"/>
        <w:gridCol w:w="4536"/>
      </w:tblGrid>
      <w:tr w:rsidR="004E1393" w14:paraId="1EF83ADA" w14:textId="77777777">
        <w:trPr>
          <w:cantSplit/>
          <w:tblHeader/>
          <w:jc w:val="center"/>
        </w:trPr>
        <w:tc>
          <w:tcPr>
            <w:tcW w:w="3288" w:type="dxa"/>
            <w:tcBorders>
              <w:top w:val="single" w:sz="10" w:space="0" w:color="000000"/>
              <w:left w:val="nil"/>
              <w:bottom w:val="single" w:sz="6" w:space="0" w:color="000000"/>
              <w:right w:val="nil"/>
            </w:tcBorders>
            <w:vAlign w:val="center"/>
          </w:tcPr>
          <w:p w14:paraId="79B91919" w14:textId="77777777" w:rsidR="004E1393" w:rsidRDefault="00EB4DE5">
            <w:pPr>
              <w:spacing w:before="80" w:line="283" w:lineRule="auto"/>
              <w:ind w:firstLine="0"/>
            </w:pPr>
            <w:r>
              <w:rPr>
                <w:rFonts w:cs="Times New Roman"/>
                <w:b/>
                <w:color w:val="000000"/>
                <w:sz w:val="21"/>
              </w:rPr>
              <w:t xml:space="preserve">名称匹配与要求</w:t>
            </w:r>
          </w:p>
        </w:tc>
        <w:tc>
          <w:tcPr>
            <w:tcW w:w="1417" w:type="dxa"/>
            <w:tcBorders>
              <w:top w:val="single" w:sz="10" w:space="0" w:color="000000"/>
              <w:left w:val="nil"/>
              <w:bottom w:val="single" w:sz="6" w:space="0" w:color="000000"/>
              <w:right w:val="nil"/>
            </w:tcBorders>
            <w:vAlign w:val="center"/>
          </w:tcPr>
          <w:p w14:paraId="4D04D4F5" w14:textId="77777777" w:rsidR="004E1393" w:rsidRDefault="00EB4DE5">
            <w:pPr>
              <w:spacing w:before="80" w:line="283" w:lineRule="auto"/>
              <w:ind w:firstLine="0"/>
            </w:pPr>
            <w:r>
              <w:rPr>
                <w:rFonts w:cs="Times New Roman"/>
                <w:b/>
                <w:color w:val="000000"/>
                <w:sz w:val="21"/>
              </w:rPr>
              <w:t xml:space="preserve">年度Restrict</w:t>
            </w:r>
          </w:p>
        </w:tc>
        <w:tc>
          <w:tcPr>
            <w:tcW w:w="4536" w:type="dxa"/>
            <w:tcBorders>
              <w:top w:val="single" w:sz="10" w:space="0" w:color="000000"/>
              <w:left w:val="nil"/>
              <w:bottom w:val="single" w:sz="6" w:space="0" w:color="000000"/>
              <w:right w:val="nil"/>
            </w:tcBorders>
            <w:vAlign w:val="center"/>
          </w:tcPr>
          <w:p w14:paraId="4D6AA507" w14:textId="77777777" w:rsidR="004E1393" w:rsidRDefault="00EB4DE5">
            <w:pPr>
              <w:spacing w:before="80" w:line="283" w:lineRule="auto"/>
              <w:ind w:firstLine="0"/>
            </w:pPr>
            <w:r>
              <w:rPr>
                <w:rFonts w:cs="Times New Roman"/>
                <w:b/>
                <w:color w:val="000000"/>
                <w:sz w:val="21"/>
              </w:rPr>
              <w:t xml:space="preserve">记录与解释</w:t>
            </w:r>
          </w:p>
        </w:tc>
      </w:tr>
      <w:tr w:rsidR="004E1393" w14:paraId="70D6F283" w14:textId="77777777">
        <w:trPr>
          <w:cantSplit/>
          <w:jc w:val="center"/>
        </w:trPr>
        <w:tc>
          <w:tcPr>
            <w:tcW w:w="3288" w:type="dxa"/>
            <w:tcBorders>
              <w:top w:val="nil"/>
              <w:left w:val="nil"/>
              <w:bottom w:val="nil"/>
              <w:right w:val="nil"/>
            </w:tcBorders>
            <w:vAlign w:val="center"/>
          </w:tcPr>
          <w:p w14:paraId="33F68F9E" w14:textId="77777777" w:rsidR="004E1393" w:rsidRDefault="00EB4DE5">
            <w:pPr>
              <w:spacing w:before="80" w:line="283" w:lineRule="auto"/>
              <w:ind w:firstLine="0"/>
              <w:rPr>
                <w:lang w:eastAsia="zh-CN"/>
              </w:rPr>
            </w:pPr>
            <w:r>
              <w:rPr>
                <w:rFonts w:cs="Times New Roman"/>
                <w:color w:val="000000"/>
                <w:sz w:val="21"/>
                <w:lang w:eastAsia="zh-CN"/>
              </w:rPr>
              <w:t xml:space="preserve">命中有效的外资差别化限制</w:t>
            </w:r>
          </w:p>
        </w:tc>
        <w:tc>
          <w:tcPr>
            <w:tcW w:w="1417" w:type="dxa"/>
            <w:tcBorders>
              <w:top w:val="nil"/>
              <w:left w:val="nil"/>
              <w:bottom w:val="nil"/>
              <w:right w:val="nil"/>
            </w:tcBorders>
            <w:vAlign w:val="center"/>
          </w:tcPr>
          <w:p w14:paraId="14F072BF" w14:textId="77777777" w:rsidR="004E1393" w:rsidRDefault="00EB4DE5">
            <w:pPr>
              <w:spacing w:before="80" w:line="283" w:lineRule="auto"/>
              <w:ind w:firstLine="0"/>
            </w:pPr>
            <w:r>
              <w:rPr>
                <w:rFonts w:cs="Times New Roman"/>
                <w:color w:val="000000"/>
                <w:sz w:val="21"/>
              </w:rPr>
              <w:t xml:space="preserve">1</w:t>
            </w:r>
          </w:p>
        </w:tc>
        <w:tc>
          <w:tcPr>
            <w:tcW w:w="4536" w:type="dxa"/>
            <w:tcBorders>
              <w:top w:val="nil"/>
              <w:left w:val="nil"/>
              <w:bottom w:val="nil"/>
              <w:right w:val="nil"/>
            </w:tcBorders>
            <w:vAlign w:val="center"/>
          </w:tcPr>
          <w:p w14:paraId="676ED4C3" w14:textId="77777777" w:rsidR="004E1393" w:rsidRDefault="00EB4DE5">
            <w:pPr>
              <w:spacing w:before="80" w:line="283" w:lineRule="auto"/>
              <w:ind w:firstLine="0"/>
              <w:rPr>
                <w:lang w:eastAsia="zh-CN"/>
              </w:rPr>
            </w:pPr>
            <w:r>
              <w:rPr>
                <w:rFonts w:cs="Times New Roman"/>
                <w:color w:val="000000"/>
                <w:sz w:val="21"/>
                <w:lang w:eastAsia="zh-CN"/>
              </w:rPr>
              <w:t xml:space="preserve">保存股比、合资合作、中方控股或禁止外资进入等要求</w:t>
            </w:r>
          </w:p>
        </w:tc>
      </w:tr>
      <w:tr w:rsidR="004E1393" w14:paraId="635BE55B" w14:textId="77777777">
        <w:trPr>
          <w:cantSplit/>
          <w:jc w:val="center"/>
        </w:trPr>
        <w:tc>
          <w:tcPr>
            <w:tcW w:w="3288" w:type="dxa"/>
            <w:tcBorders>
              <w:top w:val="nil"/>
              <w:left w:val="nil"/>
              <w:bottom w:val="nil"/>
              <w:right w:val="nil"/>
            </w:tcBorders>
            <w:vAlign w:val="center"/>
          </w:tcPr>
          <w:p w14:paraId="0122849A" w14:textId="77777777" w:rsidR="004E1393" w:rsidRDefault="00EB4DE5">
            <w:pPr>
              <w:spacing w:before="80" w:line="283" w:lineRule="auto"/>
              <w:ind w:firstLine="0"/>
            </w:pPr>
            <w:r>
              <w:rPr>
                <w:rFonts w:cs="Times New Roman"/>
                <w:color w:val="000000"/>
                <w:sz w:val="21"/>
              </w:rPr>
              <w:t xml:space="preserve">完整检索与复核后无此类限制</w:t>
            </w:r>
          </w:p>
        </w:tc>
        <w:tc>
          <w:tcPr>
            <w:tcW w:w="1417" w:type="dxa"/>
            <w:tcBorders>
              <w:top w:val="nil"/>
              <w:left w:val="nil"/>
              <w:bottom w:val="nil"/>
              <w:right w:val="nil"/>
            </w:tcBorders>
            <w:vAlign w:val="center"/>
          </w:tcPr>
          <w:p w14:paraId="2445C8E9" w14:textId="77777777" w:rsidR="004E1393" w:rsidRDefault="00EB4DE5">
            <w:pPr>
              <w:spacing w:before="80" w:line="283" w:lineRule="auto"/>
              <w:ind w:firstLine="0"/>
            </w:pPr>
            <w:r>
              <w:rPr>
                <w:rFonts w:cs="Times New Roman"/>
                <w:color w:val="000000"/>
                <w:sz w:val="21"/>
              </w:rPr>
              <w:t xml:space="preserve">0</w:t>
            </w:r>
          </w:p>
        </w:tc>
        <w:tc>
          <w:tcPr>
            <w:tcW w:w="4536" w:type="dxa"/>
            <w:tcBorders>
              <w:top w:val="nil"/>
              <w:left w:val="nil"/>
              <w:bottom w:val="nil"/>
              <w:right w:val="nil"/>
            </w:tcBorders>
            <w:vAlign w:val="center"/>
          </w:tcPr>
          <w:p w14:paraId="243958A1" w14:textId="77777777" w:rsidR="004E1393" w:rsidRDefault="00EB4DE5">
            <w:pPr>
              <w:spacing w:before="80" w:line="283" w:lineRule="auto"/>
              <w:ind w:firstLine="0"/>
              <w:rPr>
                <w:lang w:eastAsia="zh-CN"/>
              </w:rPr>
            </w:pPr>
            <w:r>
              <w:rPr>
                <w:rFonts w:cs="Times New Roman"/>
                <w:color w:val="000000"/>
                <w:sz w:val="21"/>
                <w:lang w:eastAsia="zh-CN"/>
              </w:rPr>
              <w:t xml:space="preserve">保存检索范围及判断依据</w:t>
            </w:r>
          </w:p>
        </w:tc>
      </w:tr>
      <w:tr w:rsidR="004E1393" w14:paraId="3B8722FB" w14:textId="77777777">
        <w:trPr>
          <w:cantSplit/>
          <w:jc w:val="center"/>
        </w:trPr>
        <w:tc>
          <w:tcPr>
            <w:tcW w:w="3288" w:type="dxa"/>
            <w:tcBorders>
              <w:top w:val="nil"/>
              <w:left w:val="nil"/>
              <w:bottom w:val="nil"/>
              <w:right w:val="nil"/>
            </w:tcBorders>
            <w:vAlign w:val="center"/>
          </w:tcPr>
          <w:p w14:paraId="577AB278" w14:textId="77777777" w:rsidR="004E1393" w:rsidRDefault="00EB4DE5">
            <w:pPr>
              <w:spacing w:before="80" w:line="283" w:lineRule="auto"/>
              <w:ind w:firstLine="0"/>
              <w:rPr>
                <w:lang w:eastAsia="zh-CN"/>
              </w:rPr>
            </w:pPr>
            <w:r>
              <w:rPr>
                <w:rFonts w:cs="Times New Roman"/>
                <w:color w:val="000000"/>
                <w:sz w:val="21"/>
                <w:lang w:eastAsia="zh-CN"/>
              </w:rPr>
              <w:t xml:space="preserve">命中鼓励条款，但无差别化准入要求</w:t>
            </w:r>
          </w:p>
        </w:tc>
        <w:tc>
          <w:tcPr>
            <w:tcW w:w="1417" w:type="dxa"/>
            <w:tcBorders>
              <w:top w:val="nil"/>
              <w:left w:val="nil"/>
              <w:bottom w:val="nil"/>
              <w:right w:val="nil"/>
            </w:tcBorders>
            <w:vAlign w:val="center"/>
          </w:tcPr>
          <w:p w14:paraId="191D7A57" w14:textId="77777777" w:rsidR="004E1393" w:rsidRDefault="00EB4DE5">
            <w:pPr>
              <w:spacing w:before="80" w:line="283" w:lineRule="auto"/>
              <w:ind w:firstLine="0"/>
            </w:pPr>
            <w:r>
              <w:rPr>
                <w:rFonts w:cs="Times New Roman"/>
                <w:color w:val="000000"/>
                <w:sz w:val="21"/>
              </w:rPr>
              <w:t xml:space="preserve">0</w:t>
            </w:r>
          </w:p>
        </w:tc>
        <w:tc>
          <w:tcPr>
            <w:tcW w:w="4536" w:type="dxa"/>
            <w:tcBorders>
              <w:top w:val="nil"/>
              <w:left w:val="nil"/>
              <w:bottom w:val="nil"/>
              <w:right w:val="nil"/>
            </w:tcBorders>
            <w:vAlign w:val="center"/>
          </w:tcPr>
          <w:p w14:paraId="1AEB1FCB" w14:textId="77777777" w:rsidR="004E1393" w:rsidRDefault="00EB4DE5">
            <w:pPr>
              <w:spacing w:before="80" w:line="283" w:lineRule="auto"/>
              <w:ind w:firstLine="0"/>
              <w:rPr>
                <w:lang w:eastAsia="zh-CN"/>
              </w:rPr>
            </w:pPr>
            <w:r>
              <w:rPr>
                <w:rFonts w:cs="Times New Roman"/>
                <w:color w:val="000000"/>
                <w:sz w:val="21"/>
                <w:lang w:eastAsia="zh-CN"/>
              </w:rPr>
              <w:t xml:space="preserve">鼓励资格单列；其他相关规则也无此类限制</w:t>
            </w:r>
          </w:p>
        </w:tc>
      </w:tr>
      <w:tr w:rsidR="004E1393" w14:paraId="630786FB" w14:textId="77777777">
        <w:trPr>
          <w:cantSplit/>
          <w:jc w:val="center"/>
        </w:trPr>
        <w:tc>
          <w:tcPr>
            <w:tcW w:w="3288" w:type="dxa"/>
            <w:tcBorders>
              <w:top w:val="nil"/>
              <w:left w:val="nil"/>
              <w:bottom w:val="nil"/>
              <w:right w:val="nil"/>
            </w:tcBorders>
            <w:vAlign w:val="center"/>
          </w:tcPr>
          <w:p w14:paraId="4A55CC3A" w14:textId="77777777" w:rsidR="004E1393" w:rsidRDefault="00EB4DE5">
            <w:pPr>
              <w:spacing w:before="80" w:line="283" w:lineRule="auto"/>
              <w:ind w:firstLine="0"/>
            </w:pPr>
            <w:r>
              <w:rPr>
                <w:rFonts w:cs="Times New Roman"/>
                <w:color w:val="000000"/>
                <w:sz w:val="21"/>
              </w:rPr>
              <w:t xml:space="preserve">只有内外资共同适用的要求</w:t>
            </w:r>
          </w:p>
        </w:tc>
        <w:tc>
          <w:tcPr>
            <w:tcW w:w="1417" w:type="dxa"/>
            <w:tcBorders>
              <w:top w:val="nil"/>
              <w:left w:val="nil"/>
              <w:bottom w:val="nil"/>
              <w:right w:val="nil"/>
            </w:tcBorders>
            <w:vAlign w:val="center"/>
          </w:tcPr>
          <w:p w14:paraId="5888AD21" w14:textId="77777777" w:rsidR="004E1393" w:rsidRDefault="00EB4DE5">
            <w:pPr>
              <w:spacing w:before="80" w:line="283" w:lineRule="auto"/>
              <w:ind w:firstLine="0"/>
            </w:pPr>
            <w:r>
              <w:rPr>
                <w:rFonts w:cs="Times New Roman"/>
                <w:color w:val="000000"/>
                <w:sz w:val="21"/>
              </w:rPr>
              <w:t xml:space="preserve">0</w:t>
            </w:r>
          </w:p>
        </w:tc>
        <w:tc>
          <w:tcPr>
            <w:tcW w:w="4536" w:type="dxa"/>
            <w:tcBorders>
              <w:top w:val="nil"/>
              <w:left w:val="nil"/>
              <w:bottom w:val="nil"/>
              <w:right w:val="nil"/>
            </w:tcBorders>
            <w:vAlign w:val="center"/>
          </w:tcPr>
          <w:p w14:paraId="0E669F96" w14:textId="77777777" w:rsidR="004E1393" w:rsidRDefault="00EB4DE5">
            <w:pPr>
              <w:spacing w:before="80" w:line="283" w:lineRule="auto"/>
              <w:ind w:firstLine="0"/>
              <w:rPr>
                <w:lang w:eastAsia="zh-CN"/>
              </w:rPr>
            </w:pPr>
            <w:r>
              <w:rPr>
                <w:rFonts w:cs="Times New Roman"/>
                <w:color w:val="000000"/>
                <w:sz w:val="21"/>
                <w:lang w:eastAsia="zh-CN"/>
              </w:rPr>
              <w:t xml:space="preserve">一般许可、共同禁止等另列</w:t>
            </w:r>
          </w:p>
        </w:tc>
      </w:tr>
      <w:tr w:rsidR="004E1393" w14:paraId="0CEFD62F" w14:textId="77777777">
        <w:trPr>
          <w:cantSplit/>
          <w:jc w:val="center"/>
        </w:trPr>
        <w:tc>
          <w:tcPr>
            <w:tcW w:w="3288" w:type="dxa"/>
            <w:tcBorders>
              <w:top w:val="nil"/>
              <w:left w:val="nil"/>
              <w:bottom w:val="nil"/>
              <w:right w:val="nil"/>
            </w:tcBorders>
            <w:vAlign w:val="center"/>
          </w:tcPr>
          <w:p w14:paraId="32D2258C" w14:textId="77777777" w:rsidR="004E1393" w:rsidRDefault="00EB4DE5">
            <w:pPr>
              <w:spacing w:before="80" w:line="283" w:lineRule="auto"/>
              <w:ind w:firstLine="0"/>
            </w:pPr>
            <w:r>
              <w:rPr>
                <w:rFonts w:cs="Times New Roman"/>
                <w:color w:val="000000"/>
                <w:sz w:val="21"/>
              </w:rPr>
              <w:t xml:space="preserve">要求放宽后仍保留差别化限制</w:t>
            </w:r>
          </w:p>
        </w:tc>
        <w:tc>
          <w:tcPr>
            <w:tcW w:w="1417" w:type="dxa"/>
            <w:tcBorders>
              <w:top w:val="nil"/>
              <w:left w:val="nil"/>
              <w:bottom w:val="nil"/>
              <w:right w:val="nil"/>
            </w:tcBorders>
            <w:vAlign w:val="center"/>
          </w:tcPr>
          <w:p w14:paraId="42F747F2" w14:textId="77777777" w:rsidR="004E1393" w:rsidRDefault="00EB4DE5">
            <w:pPr>
              <w:spacing w:before="80" w:line="283" w:lineRule="auto"/>
              <w:ind w:firstLine="0"/>
              <w:rPr>
                <w:lang w:eastAsia="zh-CN"/>
              </w:rPr>
            </w:pPr>
            <w:r>
              <w:rPr>
                <w:rFonts w:cs="Times New Roman"/>
                <w:color w:val="000000"/>
                <w:sz w:val="21"/>
                <w:lang w:eastAsia="zh-CN"/>
              </w:rPr>
              <w:t xml:space="preserve">1</w:t>
            </w:r>
          </w:p>
        </w:tc>
        <w:tc>
          <w:tcPr>
            <w:tcW w:w="4536" w:type="dxa"/>
            <w:tcBorders>
              <w:top w:val="nil"/>
              <w:left w:val="nil"/>
              <w:bottom w:val="nil"/>
              <w:right w:val="nil"/>
            </w:tcBorders>
            <w:vAlign w:val="center"/>
          </w:tcPr>
          <w:p w14:paraId="238FF1D2" w14:textId="77777777" w:rsidR="004E1393" w:rsidRDefault="00EB4DE5">
            <w:pPr>
              <w:spacing w:before="80" w:line="283" w:lineRule="auto"/>
              <w:ind w:firstLine="0"/>
              <w:rPr>
                <w:lang w:eastAsia="zh-CN"/>
              </w:rPr>
            </w:pPr>
            <w:r>
              <w:rPr>
                <w:rFonts w:cs="Times New Roman"/>
                <w:color w:val="000000"/>
                <w:sz w:val="21"/>
                <w:lang w:eastAsia="zh-CN"/>
              </w:rPr>
              <w:t xml:space="preserve">二元状态不变，保留实际要求变化</w:t>
            </w:r>
          </w:p>
        </w:tc>
      </w:tr>
      <w:tr w:rsidR="004E1393" w14:paraId="717A8FEE" w14:textId="77777777">
        <w:trPr>
          <w:cantSplit/>
          <w:jc w:val="center"/>
        </w:trPr>
        <w:tc>
          <w:tcPr>
            <w:tcW w:w="3288" w:type="dxa"/>
            <w:tcBorders>
              <w:top w:val="nil"/>
              <w:left w:val="nil"/>
              <w:bottom w:val="single" w:sz="10" w:space="0" w:color="000000"/>
              <w:right w:val="nil"/>
            </w:tcBorders>
            <w:vAlign w:val="center"/>
          </w:tcPr>
          <w:p w14:paraId="67F877E7" w14:textId="77777777" w:rsidR="004E1393" w:rsidRDefault="00EB4DE5">
            <w:pPr>
              <w:spacing w:before="80" w:line="283" w:lineRule="auto"/>
              <w:ind w:firstLine="0"/>
              <w:rPr>
                <w:lang w:eastAsia="zh-CN"/>
              </w:rPr>
            </w:pPr>
            <w:r>
              <w:rPr>
                <w:rFonts w:cs="Times New Roman"/>
                <w:color w:val="000000"/>
                <w:sz w:val="21"/>
                <w:lang w:eastAsia="zh-CN"/>
              </w:rPr>
              <w:t xml:space="preserve">GB版本、名称关系或法律状态不能判定</w:t>
            </w:r>
          </w:p>
        </w:tc>
        <w:tc>
          <w:tcPr>
            <w:tcW w:w="1417" w:type="dxa"/>
            <w:tcBorders>
              <w:top w:val="nil"/>
              <w:left w:val="nil"/>
              <w:bottom w:val="single" w:sz="10" w:space="0" w:color="000000"/>
              <w:right w:val="nil"/>
            </w:tcBorders>
            <w:vAlign w:val="center"/>
          </w:tcPr>
          <w:p w14:paraId="421CC6EA" w14:textId="77777777" w:rsidR="004E1393" w:rsidRDefault="00EB4DE5">
            <w:pPr>
              <w:spacing w:before="80" w:line="283" w:lineRule="auto"/>
              <w:ind w:firstLine="0"/>
              <w:rPr>
                <w:lang w:eastAsia="zh-CN"/>
              </w:rPr>
            </w:pPr>
            <w:r>
              <w:rPr>
                <w:rFonts w:cs="Times New Roman"/>
                <w:color w:val="000000"/>
                <w:sz w:val="21"/>
                <w:lang w:eastAsia="zh-CN"/>
              </w:rPr>
              <w:t xml:space="preserve">未知</w:t>
            </w:r>
          </w:p>
        </w:tc>
        <w:tc>
          <w:tcPr>
            <w:tcW w:w="4536" w:type="dxa"/>
            <w:tcBorders>
              <w:top w:val="nil"/>
              <w:left w:val="nil"/>
              <w:bottom w:val="single" w:sz="10" w:space="0" w:color="000000"/>
              <w:right w:val="nil"/>
            </w:tcBorders>
            <w:vAlign w:val="center"/>
          </w:tcPr>
          <w:p w14:paraId="6507CB5C" w14:textId="77777777" w:rsidR="004E1393" w:rsidRDefault="00EB4DE5">
            <w:pPr>
              <w:spacing w:before="80" w:line="283" w:lineRule="auto"/>
              <w:ind w:firstLine="0"/>
            </w:pPr>
            <w:r>
              <w:rPr>
                <w:rFonts w:cs="Times New Roman"/>
                <w:color w:val="000000"/>
                <w:sz w:val="21"/>
              </w:rPr>
              <w:t xml:space="preserve">保留已知信息，不以未命中替代未知</w:t>
            </w:r>
          </w:p>
        </w:tc>
      </w:tr>
    </w:tbl>
    <w:p w14:paraId="05F09B6B" w14:textId="77777777" w:rsidR="004E1393" w:rsidRDefault="00EB4DE5">
      <w:pPr>
        <w:pStyle w:val="21"/>
      </w:pPr>
      <w:r>
        <w:rPr>
          <w:rFonts w:ascii="Times New Roman" w:eastAsia="宋体" w:hAnsi="Times New Roman" w:cs="Times New Roman"/>
        </w:rPr>
        <w:t xml:space="preserve">A.3.3 有效规则怎样衔接为年度状态</w:t>
      </w:r>
    </w:p>
    <w:p w14:paraId="7A871862" w14:textId="77777777" w:rsidR="004E1393" w:rsidRDefault="00EB4DE5">
      <w:pPr>
        <w:rPr>
          <w:lang w:eastAsia="zh-CN"/>
        </w:rPr>
      </w:pPr>
      <w:r>
        <w:rPr>
          <w:rFonts w:cs="Times New Roman"/>
          <w:color w:val="000000"/>
          <w:lang w:eastAsia="zh-CN"/>
        </w:rPr>
        <w:t xml:space="preserve">年度基准采用每年1月1日已生效规则，并据企业当期小类名称赋予暴露。目录和清单的标题年份不直接对应调查年份：例如2007目录自当年12月1日施行，2011目录自2012年1月30日施行；年初索引依次使用2007年的2004目录、2008—2012年的2007目录、2013—2015年的2011目录、2016—2017年的2015目录，以及2018年的2017目录、2019年的2018清单和2020年的2019清单。[1,3,15]</w:t>
      </w:r>
    </w:p>
    <w:p w14:paraId="2BBF5081" w14:textId="77777777" w:rsidR="004E1393" w:rsidRDefault="00EB4DE5">
      <w:pPr>
        <w:rPr>
          <w:lang w:eastAsia="zh-CN"/>
        </w:rPr>
      </w:pPr>
      <w:r>
        <w:rPr>
          <w:rFonts w:cs="Times New Roman"/>
          <w:color w:val="000000"/>
          <w:lang w:eastAsia="zh-CN"/>
        </w:rPr>
        <w:t xml:space="preserve">每次年内修订保存实际生效日期，并用专项规定及条款过渡期更新具体要求。基准衡量年初规则下当期所属小类的暴露，年末状态和排除转换年的规格用于比较年内切换的影响；2012年新目录在1月生效，年初与全年主要规则的差别尤其明显。草案和公开信息另记为预期信息，不作为已生效状态赋值。[2,3]</w:t>
      </w:r>
    </w:p>
    <w:p w14:paraId="658023BA" w14:textId="77777777" w:rsidR="004E1393" w:rsidRDefault="00EB4DE5">
      <w:pPr>
        <w:rPr>
          <w:lang w:eastAsia="zh-CN"/>
        </w:rPr>
      </w:pPr>
      <w:r>
        <w:rPr>
          <w:rFonts w:cs="Times New Roman"/>
          <w:color w:val="000000"/>
          <w:lang w:eastAsia="zh-CN"/>
        </w:rPr>
        <w:t xml:space="preserve">跨版本始终使用同一种制度定义。2017目录删除了部分内外资共同限制，删除后仍按内外资一致原则管理，因此条目消失不直接构成外资差别化限制的1→0变化。[4] 全国外资负面清单、市场准入负面清单、鼓励目录与自贸试验区清单分别记录；市场准入共同要求和鼓励资格不并入主变量。自贸试验区及CEPA等规则按当期地址、法定边界和资格适用，资格不明且可能改变适用规则的，企业状态保留未知。[6,16]</w:t>
      </w:r>
    </w:p>
    <w:p w14:paraId="6F17C390" w14:textId="77777777" w:rsidR="004E1393" w:rsidRDefault="00EB4DE5">
      <w:pPr>
        <w:pStyle w:val="1"/>
        <w:spacing w:before="0"/>
        <w:rPr>
          <w:lang w:eastAsia="zh-CN"/>
        </w:rPr>
      </w:pPr>
      <w:r>
        <w:rPr>
          <w:rFonts w:ascii="Times New Roman" w:eastAsia="宋体" w:hAnsi="Times New Roman" w:cs="Times New Roman"/>
          <w:lang w:eastAsia="zh-CN"/>
        </w:rPr>
        <w:t xml:space="preserve">A.4 </w:t>
      </w:r>
      <w:r>
        <w:rPr>
          <w:rFonts w:ascii="Times New Roman" w:eastAsia="宋体" w:hAnsi="Times New Roman" w:cs="Times New Roman"/>
          <w:lang w:eastAsia="zh-CN"/>
        </w:rPr>
        <w:t>从各期</w:t>
      </w:r>
      <w:r>
        <w:rPr>
          <w:rFonts w:ascii="Times New Roman" w:eastAsia="宋体" w:hAnsi="Times New Roman" w:cs="Times New Roman"/>
          <w:lang w:eastAsia="zh-CN"/>
        </w:rPr>
        <w:t>GB</w:t>
      </w:r>
      <w:r>
        <w:rPr>
          <w:rFonts w:ascii="Times New Roman" w:eastAsia="宋体" w:hAnsi="Times New Roman" w:cs="Times New Roman"/>
          <w:lang w:eastAsia="zh-CN"/>
        </w:rPr>
        <w:t>行业代码到</w:t>
      </w:r>
      <w:r>
        <w:rPr>
          <w:rFonts w:ascii="Times New Roman" w:eastAsia="宋体" w:hAnsi="Times New Roman" w:cs="Times New Roman"/>
          <w:lang w:eastAsia="zh-CN"/>
        </w:rPr>
        <w:t>AMNE</w:t>
      </w:r>
      <w:r>
        <w:rPr>
          <w:rFonts w:ascii="Times New Roman" w:eastAsia="宋体" w:hAnsi="Times New Roman" w:cs="Times New Roman"/>
          <w:lang w:eastAsia="zh-CN"/>
        </w:rPr>
        <w:t>部门及模型部门</w:t>
      </w:r>
    </w:p>
    <w:p w14:paraId="7DB64C31" w14:textId="77777777" w:rsidR="004E1393" w:rsidRDefault="00EB4DE5">
      <w:pPr>
        <w:pStyle w:val="21"/>
        <w:rPr>
          <w:lang w:eastAsia="zh-CN"/>
        </w:rPr>
      </w:pPr>
      <w:r>
        <w:rPr>
          <w:rFonts w:ascii="Times New Roman" w:eastAsia="宋体" w:hAnsi="Times New Roman" w:cs="Times New Roman"/>
          <w:lang w:eastAsia="zh-CN"/>
        </w:rPr>
        <w:t xml:space="preserve">A.4.1 </w:t>
      </w:r>
      <w:r>
        <w:rPr>
          <w:rFonts w:ascii="Times New Roman" w:eastAsia="宋体" w:hAnsi="Times New Roman" w:cs="Times New Roman"/>
          <w:lang w:eastAsia="zh-CN"/>
        </w:rPr>
        <w:t>分类转换的用途与依据</w:t>
      </w:r>
    </w:p>
    <w:p w14:paraId="5595EEC2" w14:textId="77777777" w:rsidR="004E1393" w:rsidRDefault="00EB4DE5">
      <w:pPr>
        <w:rPr>
          <w:lang w:eastAsia="zh-CN"/>
        </w:rPr>
      </w:pPr>
      <w:r>
        <w:rPr>
          <w:rFonts w:cs="Times New Roman"/>
          <w:color w:val="000000"/>
          <w:lang w:eastAsia="zh-CN"/>
        </w:rPr>
        <w:t xml:space="preserve">部门归属从企业当期行业代码出发。GB2002先经GB2002—GB2011对照表转到GB2011，再经GB2017附录B衔接到GB2017；GB2011直接使用附录B，GB2017按本版及修改单处理。随后通过GB2017附录C转为ISIC Rev.4，按AMNE部门包含的ISIC范围归类，最后聚合到模型部门。[7,9,10] 这条路径给每笔当期生产附加部门标识，用于A.6的加总。</w:t>
      </w:r>
    </w:p>
    <w:p w14:paraId="2836CA2F" w14:textId="77777777" w:rsidR="004E1393" w:rsidRDefault="00EB4DE5">
      <w:pPr>
        <w:rPr>
          <w:lang w:eastAsia="zh-CN"/>
        </w:rPr>
      </w:pPr>
      <w:r>
        <w:rPr>
          <w:rFonts w:cs="Times New Roman"/>
          <w:color w:val="000000"/>
          <w:lang w:eastAsia="zh-CN"/>
        </w:rPr>
        <w:t xml:space="preserve">一个旧代码对应多个新类目时，保留全部合理候选和部分转入关系。候选在AMNE或模型部门层级汇入同一部门，就在该层级确定归属；候选跨部门且不能区分时，部门归属保留未知。只有实际分业务产出用于跨部门分配，不按候选数量平均分摊企业产出。</w:t>
      </w:r>
    </w:p>
    <w:p w14:paraId="58F74351" w14:textId="77777777" w:rsidR="004E1393" w:rsidRDefault="00EB4DE5">
      <w:pPr>
        <w:pStyle w:val="21"/>
        <w:rPr>
          <w:lang w:eastAsia="zh-CN"/>
        </w:rPr>
      </w:pPr>
      <w:r>
        <w:rPr>
          <w:rFonts w:ascii="Times New Roman" w:eastAsia="宋体" w:hAnsi="Times New Roman" w:cs="Times New Roman"/>
          <w:lang w:eastAsia="zh-CN"/>
        </w:rPr>
        <w:t xml:space="preserve">A.4.2 分类版本与一对多转换</w:t>
      </w:r>
    </w:p>
    <w:p w14:paraId="20DE56E4" w14:textId="77777777" w:rsidR="004E1393" w:rsidRDefault="00EB4DE5">
      <w:pPr>
        <w:rPr>
          <w:lang w:eastAsia="zh-CN"/>
        </w:rPr>
      </w:pPr>
      <w:r>
        <w:rPr>
          <w:rFonts w:cs="Times New Roman"/>
          <w:color w:val="000000"/>
          <w:lang w:eastAsia="zh-CN"/>
        </w:rPr>
        <w:t xml:space="preserve">GB2002小类4190是“其他仪器仪表的制造及修理”，转换后制造与修理分别对应GB2011小类4090和4360，在2024版AMNE中归入C26和C31T33。[7,9,10] 仅有旧4190时保留两个部门候选。GB2011的4190则是“其他未列明制造业”，归入C31T33。同码异义会同时影响名称匹配和生产归属，所以原始代码始终与GB版本成对使用。</w:t>
      </w:r>
    </w:p>
    <w:p w14:paraId="5C3BE820" w14:textId="77777777" w:rsidR="004E1393" w:rsidRDefault="00EB4DE5">
      <w:pPr>
        <w:pStyle w:val="21"/>
        <w:rPr>
          <w:lang w:eastAsia="zh-CN"/>
        </w:rPr>
      </w:pPr>
      <w:r>
        <w:rPr>
          <w:rFonts w:ascii="Times New Roman" w:eastAsia="宋体" w:hAnsi="Times New Roman" w:cs="Times New Roman"/>
          <w:lang w:eastAsia="zh-CN"/>
        </w:rPr>
        <w:t xml:space="preserve">A.4.3 AMNE部门怎样汇入模型部门</w:t>
      </w:r>
    </w:p>
    <w:p w14:paraId="01450DB0" w14:textId="77777777" w:rsidR="004E1393" w:rsidRDefault="00EB4DE5">
      <w:pPr>
        <w:rPr>
          <w:lang w:eastAsia="zh-CN"/>
        </w:rPr>
      </w:pPr>
      <w:r>
        <w:rPr>
          <w:rFonts w:cs="Times New Roman"/>
          <w:color w:val="000000"/>
          <w:lang w:eastAsia="zh-CN"/>
        </w:rPr>
        <w:t xml:space="preserve">AMNE部门先按所含ISIC范围建立对应，再按模型的部门定义合并。例如，2024版将ISIC第31、32、33大类合为AMNE部门C31T33。[7] 聚合表列明每个AMNE部门的模型归属和顺序，使企业生产、AMNE控制份额及投入产出账户在相同部门口径下连接。</w:t>
      </w:r>
    </w:p>
    <w:p w14:paraId="7152B74B" w14:textId="77777777" w:rsidR="004E1393" w:rsidRDefault="00EB4DE5">
      <w:pPr>
        <w:pStyle w:val="1"/>
        <w:spacing w:before="0"/>
        <w:rPr>
          <w:lang w:eastAsia="zh-CN"/>
        </w:rPr>
      </w:pPr>
      <w:r>
        <w:rPr>
          <w:rFonts w:ascii="Times New Roman" w:eastAsia="宋体" w:hAnsi="Times New Roman" w:cs="Times New Roman"/>
          <w:lang w:eastAsia="zh-CN"/>
        </w:rPr>
        <w:t xml:space="preserve">A.5 年度限制暴露与企业经营表现的面板分析</w:t>
      </w:r>
    </w:p>
    <w:p w14:paraId="0D4E9995" w14:textId="77777777" w:rsidR="004E1393" w:rsidRDefault="00EB4DE5">
      <w:pPr>
        <w:pStyle w:val="21"/>
        <w:rPr>
          <w:lang w:eastAsia="zh-CN"/>
        </w:rPr>
      </w:pPr>
      <w:r>
        <w:rPr>
          <w:rFonts w:ascii="Times New Roman" w:eastAsia="宋体" w:hAnsi="Times New Roman" w:cs="Times New Roman"/>
          <w:lang w:eastAsia="zh-CN"/>
        </w:rPr>
        <w:t xml:space="preserve">A.5.1 条件均值模型与有效比较</w:t>
      </w:r>
    </w:p>
    <w:p w14:paraId="1B669ACF" w14:textId="77777777" w:rsidR="004E1393" w:rsidRDefault="00EB4DE5">
      <w:pPr>
        <w:rPr>
          <w:lang w:eastAsia="zh-CN"/>
        </w:rPr>
      </w:pPr>
      <w:r>
        <w:rPr>
          <w:rFonts w:cs="Times New Roman"/>
          <w:color w:val="000000"/>
          <w:lang w:eastAsia="zh-CN"/>
        </w:rPr>
        <w:t xml:space="preserve">面板按企业</w:t>
      </w:r>
      <m:oMath>
        <m:r>
          <w:rPr>
            <w:rFonts w:ascii="Cambria Math" w:hAnsi="Cambria Math" w:cs="Cambria Math" w:eastAsia="宋体"/>
            <w:sz w:val="24"/>
          </w:rPr>
          <m:t>f</m:t>
        </m:r>
      </m:oMath>
      <w:r>
        <w:rPr>
          <w:rFonts w:cs="Times New Roman"/>
          <w:color w:val="000000"/>
          <w:lang w:eastAsia="zh-CN"/>
        </w:rPr>
        <w:t xml:space="preserve">和年份</w:t>
      </w:r>
      <m:oMath>
        <m:r>
          <w:rPr>
            <w:rFonts w:ascii="Cambria Math" w:hAnsi="Cambria Math" w:cs="Cambria Math" w:eastAsia="宋体"/>
            <w:sz w:val="24"/>
          </w:rPr>
          <m:t>t</m:t>
        </m:r>
      </m:oMath>
      <w:r>
        <w:rPr>
          <w:rFonts w:cs="Times New Roman"/>
          <w:color w:val="000000"/>
          <w:lang w:eastAsia="zh-CN"/>
        </w:rPr>
        <w:t xml:space="preserve">同时记录生产</w:t>
      </w:r>
      <m:oMath>
        <m:sSub>
          <m:e>
            <m:r>
              <w:rPr>
                <w:rFonts w:ascii="Cambria Math" w:hAnsi="Cambria Math" w:cs="Cambria Math" w:eastAsia="宋体"/>
                <w:sz w:val="24"/>
              </w:rPr>
              <m:t>Q</m:t>
            </m:r>
          </m:e>
          <m:sub>
            <m:r>
              <w:rPr>
                <w:rFonts w:ascii="Cambria Math" w:hAnsi="Cambria Math" w:cs="Cambria Math" w:eastAsia="宋体"/>
                <w:sz w:val="24"/>
              </w:rPr>
              <m:t>ft</m:t>
            </m:r>
          </m:sub>
        </m:sSub>
      </m:oMath>
      <w:r>
        <w:rPr>
          <w:rFonts w:cs="Times New Roman"/>
          <w:color w:val="000000"/>
          <w:lang w:eastAsia="zh-CN"/>
        </w:rPr>
        <w:t xml:space="preserve">与年度限制状态。企业固定效应吸收稳定特征，年份固定效应吸收共同年度环境，比较来自这些因素控制后仍存在的限制状态差异。生产价值采用泊松伪最大似然（Poisson pseudo-maximum likelihood，PPML）估计条件均值，保留非负连续金额及零值，无须将金额变成计数或假定它服从泊松分布。[11]</w:t>
      </w:r>
    </w:p>
    <w:p>
      <w:pPr>
        <w:spacing w:before="0" w:after="0" w:line="20" w:lineRule="exact"/>
        <w:ind w:firstLine="0"/>
      </w:pPr>
      <w:r>
        <w:rPr>
          <w:sz w:val="2"/>
        </w:rPr>
        <w:br w:type="page"/>
      </w:r>
    </w:p>
    <w:p w14:paraId="230F0433" w14:textId="77777777" w:rsidR="004E1393" w:rsidRDefault="00EB4DE5">
      <w:pPr>
        <w:rPr>
          <w:lang w:eastAsia="zh-CN"/>
        </w:rPr>
      </w:pPr>
      <w:r>
        <w:rPr>
          <w:rFonts w:cs="Times New Roman"/>
          <w:color w:val="000000"/>
          <w:lang w:eastAsia="zh-CN"/>
        </w:rPr>
        <w:t xml:space="preserve">以</w:t>
      </w:r>
      <m:oMath>
        <m:sSub>
          <m:e>
            <m:r>
              <w:rPr>
                <w:rFonts w:ascii="Cambria Math" w:hAnsi="Cambria Math" w:cs="Cambria Math" w:eastAsia="宋体"/>
                <w:sz w:val="24"/>
              </w:rPr>
              <m:t>Z</m:t>
            </m:r>
          </m:e>
          <m:sub>
            <m:r>
              <w:rPr>
                <w:rFonts w:ascii="Cambria Math" w:hAnsi="Cambria Math" w:cs="Cambria Math" w:eastAsia="宋体"/>
                <w:sz w:val="24"/>
              </w:rPr>
              <m:t>ft</m:t>
            </m:r>
          </m:sub>
        </m:sSub>
      </m:oMath>
      <w:r>
        <w:rPr>
          <w:rFonts w:cs="Times New Roman"/>
          <w:color w:val="000000"/>
          <w:lang w:eastAsia="zh-CN"/>
        </w:rPr>
        <w:t xml:space="preserve">表示回归使用的信息，</w:t>
      </w:r>
      <m:oMath>
        <m:sSub>
          <m:e>
            <m:r>
              <w:rPr>
                <w:rFonts w:ascii="Cambria Math" w:hAnsi="Cambria Math" w:cs="Cambria Math" w:eastAsia="宋体"/>
                <w:sz w:val="24"/>
              </w:rPr>
              <m:t>X</m:t>
            </m:r>
          </m:e>
          <m:sub>
            <m:r>
              <w:rPr>
                <w:rFonts w:ascii="Cambria Math" w:hAnsi="Cambria Math" w:cs="Cambria Math" w:eastAsia="宋体"/>
                <w:sz w:val="24"/>
              </w:rPr>
              <m:t>ft</m:t>
            </m:r>
          </m:sub>
        </m:sSub>
      </m:oMath>
      <w:r>
        <w:rPr>
          <w:rFonts w:cs="Times New Roman"/>
          <w:color w:val="000000"/>
          <w:lang w:eastAsia="zh-CN"/>
        </w:rPr>
        <w:t xml:space="preserve">表示扩展控制变量，生产方程写为</w:t>
      </w:r>
    </w:p>
    <w:p w14:paraId="1220DDC4"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eastAsia="宋体"/>
            <w:sz w:val="24"/>
          </w:rPr>
          <m:t>E[</m:t>
        </m:r>
        <m:sSub>
          <m:e>
            <m:r>
              <w:rPr>
                <w:rFonts w:ascii="Cambria Math" w:hAnsi="Cambria Math" w:cs="Cambria Math" w:eastAsia="宋体"/>
                <w:sz w:val="24"/>
              </w:rPr>
              <m:t>Q</m:t>
            </m:r>
          </m:e>
          <m:sub>
            <m:r>
              <w:rPr>
                <w:rFonts w:ascii="Cambria Math" w:hAnsi="Cambria Math" w:cs="Cambria Math" w:eastAsia="宋体"/>
                <w:sz w:val="24"/>
              </w:rPr>
              <m:t>ft</m:t>
            </m:r>
          </m:sub>
        </m:sSub>
        <m:r>
          <w:rPr>
            <w:rFonts w:ascii="Cambria Math" w:hAnsi="Cambria Math" w:cs="Cambria Math" w:eastAsia="宋体"/>
            <w:sz w:val="24"/>
          </w:rPr>
          <m:t>∣</m:t>
        </m:r>
        <m:sSub>
          <m:e>
            <m:r>
              <w:rPr>
                <w:rFonts w:ascii="Cambria Math" w:hAnsi="Cambria Math" w:cs="Cambria Math" w:eastAsia="宋体"/>
                <w:sz w:val="24"/>
              </w:rPr>
              <m:t>Z</m:t>
            </m:r>
          </m:e>
          <m:sub>
            <m:r>
              <w:rPr>
                <w:rFonts w:ascii="Cambria Math" w:hAnsi="Cambria Math" w:cs="Cambria Math" w:eastAsia="宋体"/>
                <w:sz w:val="24"/>
              </w:rPr>
              <m:t>ft</m:t>
            </m:r>
          </m:sub>
        </m:sSub>
        <m:r>
          <w:rPr>
            <w:rFonts w:ascii="Cambria Math" w:hAnsi="Cambria Math" w:cs="Cambria Math" w:eastAsia="宋体"/>
            <w:sz w:val="24"/>
          </w:rPr>
          <m:t>]=</m:t>
        </m:r>
        <m:r>
          <m:rPr>
            <m:sty m:val="p"/>
          </m:rPr>
          <w:rPr>
            <w:rFonts w:ascii="Cambria Math" w:hAnsi="Cambria Math" w:cs="Cambria Math" w:eastAsia="宋体"/>
            <w:sz w:val="24"/>
          </w:rPr>
          <m:t>exp</m:t>
        </m:r>
        <m:d>
          <m:dPr>
            <m:sepChr m:val="+"/>
          </m:dPr>
          <m:e>
            <m:sSub>
              <m:e>
                <m:r>
                  <w:rPr>
                    <w:rFonts w:ascii="Cambria Math" w:hAnsi="Cambria Math" w:cs="Cambria Math" w:eastAsia="宋体"/>
                    <w:sz w:val="24"/>
                  </w:rPr>
                  <m:t>α</m:t>
                </m:r>
              </m:e>
              <m:sub>
                <m:r>
                  <w:rPr>
                    <w:rFonts w:ascii="Cambria Math" w:hAnsi="Cambria Math" w:cs="Cambria Math" w:eastAsia="宋体"/>
                    <w:sz w:val="24"/>
                  </w:rPr>
                  <m:t>f</m:t>
                </m:r>
              </m:sub>
            </m:sSub>
          </m:e>
          <m:e>
            <m:sSub>
              <m:e>
                <m:r>
                  <w:rPr>
                    <w:rFonts w:ascii="Cambria Math" w:hAnsi="Cambria Math" w:cs="Cambria Math" w:eastAsia="宋体"/>
                    <w:sz w:val="24"/>
                  </w:rPr>
                  <m:t>λ</m:t>
                </m:r>
              </m:e>
              <m:sub>
                <m:r>
                  <w:rPr>
                    <w:rFonts w:ascii="Cambria Math" w:hAnsi="Cambria Math" w:cs="Cambria Math" w:eastAsia="宋体"/>
                    <w:sz w:val="24"/>
                  </w:rPr>
                  <m:t>t</m:t>
                </m:r>
              </m:sub>
            </m:sSub>
          </m:e>
          <m:e>
            <m:r>
              <w:rPr>
                <w:rFonts w:ascii="Cambria Math" w:hAnsi="Cambria Math" w:cs="Cambria Math" w:eastAsia="宋体"/>
                <w:sz w:val="24"/>
              </w:rPr>
              <m:t>β</m:t>
            </m:r>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e>
          <m:e>
            <m:sSubSup>
              <m:e>
                <m:r>
                  <w:rPr>
                    <w:rFonts w:ascii="Cambria Math" w:hAnsi="Cambria Math" w:cs="Cambria Math" w:eastAsia="宋体"/>
                    <w:sz w:val="24"/>
                  </w:rPr>
                  <m:t>X</m:t>
                </m:r>
              </m:e>
              <m:sub>
                <m:r>
                  <w:rPr>
                    <w:rFonts w:ascii="Cambria Math" w:hAnsi="Cambria Math" w:cs="Cambria Math" w:eastAsia="宋体"/>
                    <w:sz w:val="24"/>
                  </w:rPr>
                  <m:t>ft</m:t>
                </m:r>
              </m:sub>
              <m:sup>
                <m:r>
                  <w:rPr>
                    <w:rFonts w:ascii="Cambria Math" w:hAnsi="Cambria Math" w:cs="Cambria Math" w:eastAsia="宋体"/>
                    <w:sz w:val="24"/>
                  </w:rPr>
                  <m:t>′</m:t>
                </m:r>
              </m:sup>
            </m:sSubSup>
            <m:r>
              <w:rPr>
                <w:rFonts w:ascii="Cambria Math" w:hAnsi="Cambria Math" w:cs="Cambria Math" w:eastAsia="宋体"/>
                <w:sz w:val="24"/>
              </w:rPr>
              <m:t>γ</m:t>
            </m:r>
          </m:e>
        </m:d>
        <m:r>
          <w:rPr>
            <w:rFonts w:ascii="Cambria Math" w:hAnsi="Cambria Math" w:cs="Cambria Math" w:eastAsia="宋体"/>
            <w:sz w:val="24"/>
          </w:rPr>
          <m:t>.</m:t>
        </m:r>
      </m:oMath>
      <w:r>
        <w:rPr>
          <w:rFonts w:cs="Times New Roman"/>
          <w:color w:val="000000"/>
          <w:lang w:eastAsia="zh-CN"/>
        </w:rPr>
        <w:tab/>
        <w:t xml:space="preserve">（A1）</w:t>
      </w:r>
    </w:p>
    <w:p w14:paraId="11E85563" w14:textId="77777777" w:rsidR="004E1393" w:rsidRDefault="00EB4DE5">
      <w:pPr>
        <w:rPr>
          <w:lang w:eastAsia="zh-CN"/>
        </w:rPr>
      </w:pPr>
      <w:r>
        <w:rPr>
          <w:rFonts w:cs="Times New Roman"/>
          <w:color w:val="000000"/>
          <w:lang w:eastAsia="zh-CN"/>
        </w:rPr>
        <w:t xml:space="preserve">其中，</w:t>
      </w:r>
      <m:oMath>
        <m:sSub>
          <m:e>
            <m:r>
              <w:rPr>
                <w:rFonts w:ascii="Cambria Math" w:hAnsi="Cambria Math" w:cs="Cambria Math" w:eastAsia="宋体"/>
                <w:sz w:val="24"/>
              </w:rPr>
              <m:t>α</m:t>
            </m:r>
          </m:e>
          <m:sub>
            <m:r>
              <w:rPr>
                <w:rFonts w:ascii="Cambria Math" w:hAnsi="Cambria Math" w:cs="Cambria Math" w:eastAsia="宋体"/>
                <w:sz w:val="24"/>
              </w:rPr>
              <m:t>f</m:t>
            </m:r>
          </m:sub>
        </m:sSub>
      </m:oMath>
      <w:r>
        <w:rPr>
          <w:rFonts w:cs="Times New Roman"/>
          <w:color w:val="000000"/>
          <w:lang w:eastAsia="zh-CN"/>
        </w:rPr>
        <w:t xml:space="preserve">和</w:t>
      </w:r>
      <m:oMath>
        <m:sSub>
          <m:e>
            <m:r>
              <w:rPr>
                <w:rFonts w:ascii="Cambria Math" w:hAnsi="Cambria Math" w:cs="Cambria Math" w:eastAsia="宋体"/>
                <w:sz w:val="24"/>
              </w:rPr>
              <m:t>λ</m:t>
            </m:r>
          </m:e>
          <m:sub>
            <m:r>
              <w:rPr>
                <w:rFonts w:ascii="Cambria Math" w:hAnsi="Cambria Math" w:cs="Cambria Math" w:eastAsia="宋体"/>
                <w:sz w:val="24"/>
              </w:rPr>
              <m:t>t</m:t>
            </m:r>
          </m:sub>
        </m:sSub>
      </m:oMath>
      <w:r>
        <w:rPr>
          <w:rFonts w:cs="Times New Roman"/>
          <w:color w:val="000000"/>
          <w:lang w:eastAsia="zh-CN"/>
        </w:rPr>
        <w:t xml:space="preserve">分别为企业与年份固定效应，</w:t>
      </w:r>
      <m:oMath>
        <m:r>
          <w:rPr>
            <w:rFonts w:ascii="Cambria Math" w:hAnsi="Cambria Math" w:cs="Cambria Math" w:eastAsia="宋体"/>
            <w:sz w:val="24"/>
          </w:rPr>
          <m:t>γ</m:t>
        </m:r>
      </m:oMath>
      <w:r>
        <w:rPr>
          <w:rFonts w:cs="Times New Roman"/>
          <w:color w:val="000000"/>
          <w:lang w:eastAsia="zh-CN"/>
        </w:rPr>
        <w:t xml:space="preserve">为控制变量系数。二元解释变量可以进入连续金额的条件均值模型；其他条件相同时，</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cs="Times New Roman"/>
          <w:color w:val="000000"/>
          <w:lang w:eastAsia="zh-CN"/>
        </w:rPr>
        <w:t xml:space="preserve">是受限相对于未受限的生产均值比例差异，从受限改为未受限的预测比例为</w:t>
      </w:r>
      <m:oMath>
        <m:r>
          <m:rPr>
            <m:sty m:val="p"/>
          </m:rPr>
          <w:rPr>
            <w:rFonts w:ascii="Cambria Math" w:hAnsi="Cambria Math" w:cs="Cambria Math" w:eastAsia="宋体"/>
            <w:sz w:val="24"/>
          </w:rPr>
          <m:t>exp</m:t>
        </m:r>
        <m:r>
          <w:rPr>
            <w:rFonts w:ascii="Cambria Math" w:hAnsi="Cambria Math" w:cs="Cambria Math" w:eastAsia="宋体"/>
            <w:sz w:val="24"/>
          </w:rPr>
          <m:t>(−β)−1</m:t>
        </m:r>
      </m:oMath>
      <w:r>
        <w:rPr>
          <w:rFonts w:cs="Times New Roman"/>
          <w:color w:val="000000"/>
          <w:lang w:eastAsia="zh-CN"/>
        </w:rPr>
        <w:t xml:space="preserve">。金额差异通过两种状态分别预测后相减得到。</w:t>
      </w:r>
    </w:p>
    <w:p w14:paraId="19207EC0" w14:textId="77777777" w:rsidR="004E1393" w:rsidRDefault="00EB4DE5">
      <w:pPr>
        <w:rPr>
          <w:lang w:eastAsia="zh-CN"/>
        </w:rPr>
      </w:pPr>
      <w:r>
        <w:rPr>
          <w:rFonts w:cs="Times New Roman"/>
          <w:color w:val="000000"/>
          <w:lang w:eastAsia="zh-CN"/>
        </w:rPr>
        <w:t xml:space="preserve">扩展规格按企业首次记录的较宽行业组</w:t>
      </w:r>
      <m:oMath>
        <m:r>
          <w:rPr>
            <w:rFonts w:ascii="Cambria Math" w:hAnsi="Cambria Math" w:cs="Cambria Math" w:eastAsia="宋体"/>
            <w:sz w:val="24"/>
          </w:rPr>
          <m:t>b(f)</m:t>
        </m:r>
      </m:oMath>
      <w:r>
        <w:rPr>
          <w:rFonts w:cs="Times New Roman"/>
          <w:color w:val="000000"/>
          <w:lang w:eastAsia="zh-CN"/>
        </w:rPr>
        <w:t xml:space="preserve">和地区</w:t>
      </w:r>
      <m:oMath>
        <m:r>
          <w:rPr>
            <w:rFonts w:ascii="Cambria Math" w:hAnsi="Cambria Math" w:cs="Cambria Math" w:eastAsia="宋体"/>
            <w:sz w:val="24"/>
          </w:rPr>
          <m:t>r(f)</m:t>
        </m:r>
      </m:oMath>
      <w:r>
        <w:rPr>
          <w:rFonts w:cs="Times New Roman"/>
          <w:color w:val="000000"/>
          <w:lang w:eastAsia="zh-CN"/>
        </w:rPr>
        <w:t xml:space="preserve">固定分组，用组别年度效应控制共同环境：</w:t>
      </w:r>
    </w:p>
    <w:p w14:paraId="0EAB3FAE"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eastAsia="宋体"/>
            <w:sz w:val="22"/>
          </w:rPr>
          <m:t>E[</m:t>
        </m:r>
        <m:sSub>
          <m:e>
            <m:r>
              <w:rPr>
                <w:rFonts w:ascii="Cambria Math" w:hAnsi="Cambria Math" w:cs="Cambria Math" w:eastAsia="宋体"/>
                <w:sz w:val="22"/>
              </w:rPr>
              <m:t>Q</m:t>
            </m:r>
          </m:e>
          <m:sub>
            <m:r>
              <w:rPr>
                <w:rFonts w:ascii="Cambria Math" w:hAnsi="Cambria Math" w:cs="Cambria Math" w:eastAsia="宋体"/>
                <w:sz w:val="22"/>
              </w:rPr>
              <m:t>ft</m:t>
            </m:r>
          </m:sub>
        </m:sSub>
        <m:r>
          <w:rPr>
            <w:rFonts w:ascii="Cambria Math" w:hAnsi="Cambria Math" w:cs="Cambria Math" w:eastAsia="宋体"/>
            <w:sz w:val="22"/>
          </w:rPr>
          <m:t>∣</m:t>
        </m:r>
        <m:sSub>
          <m:e>
            <m:r>
              <w:rPr>
                <w:rFonts w:ascii="Cambria Math" w:hAnsi="Cambria Math" w:cs="Cambria Math" w:eastAsia="宋体"/>
                <w:sz w:val="22"/>
              </w:rPr>
              <m:t>Z</m:t>
            </m:r>
          </m:e>
          <m:sub>
            <m:r>
              <w:rPr>
                <w:rFonts w:ascii="Cambria Math" w:hAnsi="Cambria Math" w:cs="Cambria Math" w:eastAsia="宋体"/>
                <w:sz w:val="22"/>
              </w:rPr>
              <m:t>ft</m:t>
            </m:r>
          </m:sub>
        </m:sSub>
        <m:r>
          <w:rPr>
            <w:rFonts w:ascii="Cambria Math" w:hAnsi="Cambria Math" w:cs="Cambria Math" w:eastAsia="宋体"/>
            <w:sz w:val="22"/>
          </w:rPr>
          <m:t>]=</m:t>
        </m:r>
        <m:r>
          <m:rPr>
            <m:sty m:val="p"/>
          </m:rPr>
          <w:rPr>
            <w:rFonts w:ascii="Cambria Math" w:hAnsi="Cambria Math" w:cs="Cambria Math" w:eastAsia="宋体"/>
            <w:sz w:val="22"/>
          </w:rPr>
          <m:t>exp</m:t>
        </m:r>
        <m:d>
          <m:dPr>
            <m:sepChr m:val="+"/>
          </m:dPr>
          <m:e>
            <m:sSub>
              <m:e>
                <m:r>
                  <w:rPr>
                    <w:rFonts w:ascii="Cambria Math" w:hAnsi="Cambria Math" w:cs="Cambria Math" w:eastAsia="宋体"/>
                    <w:sz w:val="22"/>
                  </w:rPr>
                  <m:t>α</m:t>
                </m:r>
              </m:e>
              <m:sub>
                <m:r>
                  <w:rPr>
                    <w:rFonts w:ascii="Cambria Math" w:hAnsi="Cambria Math" w:cs="Cambria Math" w:eastAsia="宋体"/>
                    <w:sz w:val="22"/>
                  </w:rPr>
                  <m:t>f</m:t>
                </m:r>
              </m:sub>
            </m:sSub>
          </m:e>
          <m:e>
            <m:sSub>
              <m:e>
                <m:r>
                  <w:rPr>
                    <w:rFonts w:ascii="Cambria Math" w:hAnsi="Cambria Math" w:cs="Cambria Math" w:eastAsia="宋体"/>
                    <w:sz w:val="22"/>
                  </w:rPr>
                  <m:t>θ</m:t>
                </m:r>
              </m:e>
              <m:sub>
                <m:r>
                  <w:rPr>
                    <w:rFonts w:ascii="Cambria Math" w:hAnsi="Cambria Math" w:cs="Cambria Math" w:eastAsia="宋体"/>
                    <w:sz w:val="22"/>
                  </w:rPr>
                  <m:t>b(f),t</m:t>
                </m:r>
              </m:sub>
            </m:sSub>
          </m:e>
          <m:e>
            <m:sSub>
              <m:e>
                <m:r>
                  <w:rPr>
                    <w:rFonts w:ascii="Cambria Math" w:hAnsi="Cambria Math" w:cs="Cambria Math" w:eastAsia="宋体"/>
                    <w:sz w:val="22"/>
                  </w:rPr>
                  <m:t>η</m:t>
                </m:r>
              </m:e>
              <m:sub>
                <m:r>
                  <w:rPr>
                    <w:rFonts w:ascii="Cambria Math" w:hAnsi="Cambria Math" w:cs="Cambria Math" w:eastAsia="宋体"/>
                    <w:sz w:val="22"/>
                  </w:rPr>
                  <m:t>r(f),t</m:t>
                </m:r>
              </m:sub>
            </m:sSub>
          </m:e>
          <m:e>
            <m:r>
              <w:rPr>
                <w:rFonts w:ascii="Cambria Math" w:hAnsi="Cambria Math" w:cs="Cambria Math" w:eastAsia="宋体"/>
                <w:sz w:val="22"/>
              </w:rPr>
              <m:t>β</m:t>
            </m:r>
            <m:sSub>
              <m:e>
                <m:r>
                  <m:rPr>
                    <m:sty m:val="p"/>
                  </m:rPr>
                  <w:rPr>
                    <w:rFonts w:ascii="Cambria Math" w:hAnsi="Cambria Math" w:cs="Cambria Math" w:eastAsia="宋体"/>
                    <w:sz w:val="22"/>
                  </w:rPr>
                  <m:t>Restrict</m:t>
                </m:r>
              </m:e>
              <m:sub>
                <m:r>
                  <w:rPr>
                    <w:rFonts w:ascii="Cambria Math" w:hAnsi="Cambria Math" w:cs="Cambria Math" w:eastAsia="宋体"/>
                    <w:sz w:val="22"/>
                  </w:rPr>
                  <m:t>ft</m:t>
                </m:r>
              </m:sub>
            </m:sSub>
          </m:e>
          <m:e>
            <m:sSubSup>
              <m:e>
                <m:r>
                  <w:rPr>
                    <w:rFonts w:ascii="Cambria Math" w:hAnsi="Cambria Math" w:cs="Cambria Math" w:eastAsia="宋体"/>
                    <w:sz w:val="22"/>
                  </w:rPr>
                  <m:t>X</m:t>
                </m:r>
              </m:e>
              <m:sub>
                <m:r>
                  <w:rPr>
                    <w:rFonts w:ascii="Cambria Math" w:hAnsi="Cambria Math" w:cs="Cambria Math" w:eastAsia="宋体"/>
                    <w:sz w:val="22"/>
                  </w:rPr>
                  <m:t>ft</m:t>
                </m:r>
              </m:sub>
              <m:sup>
                <m:r>
                  <w:rPr>
                    <w:rFonts w:ascii="Cambria Math" w:hAnsi="Cambria Math" w:cs="Cambria Math" w:eastAsia="宋体"/>
                    <w:sz w:val="22"/>
                  </w:rPr>
                  <m:t>′</m:t>
                </m:r>
              </m:sup>
            </m:sSubSup>
            <m:r>
              <w:rPr>
                <w:rFonts w:ascii="Cambria Math" w:hAnsi="Cambria Math" w:cs="Cambria Math" w:eastAsia="宋体"/>
                <w:sz w:val="22"/>
              </w:rPr>
              <m:t>γ</m:t>
            </m:r>
          </m:e>
        </m:d>
        <m:r>
          <w:rPr>
            <w:rFonts w:ascii="Cambria Math" w:hAnsi="Cambria Math" w:cs="Cambria Math" w:eastAsia="宋体"/>
            <w:sz w:val="22"/>
          </w:rPr>
          <m:t>.</m:t>
        </m:r>
      </m:oMath>
      <w:r>
        <w:rPr>
          <w:rFonts w:cs="Times New Roman"/>
          <w:color w:val="000000"/>
          <w:lang w:eastAsia="zh-CN"/>
        </w:rPr>
        <w:tab/>
        <w:t xml:space="preserve">（A2）</w:t>
      </w:r>
    </w:p>
    <w:p w14:paraId="5AB6A4F7" w14:textId="77777777" w:rsidR="004E1393" w:rsidRDefault="00EB4DE5">
      <w:pPr>
        <w:rPr>
          <w:lang w:eastAsia="zh-CN"/>
        </w:rPr>
      </w:pPr>
      <m:oMath>
        <m:sSub>
          <m:e>
            <m:r>
              <w:rPr>
                <w:rFonts w:ascii="Cambria Math" w:hAnsi="Cambria Math" w:cs="Cambria Math" w:eastAsia="宋体"/>
                <w:sz w:val="24"/>
              </w:rPr>
              <m:t>θ</m:t>
            </m:r>
          </m:e>
          <m:sub>
            <m:r>
              <w:rPr>
                <w:rFonts w:ascii="Cambria Math" w:hAnsi="Cambria Math" w:cs="Cambria Math" w:eastAsia="宋体"/>
                <w:sz w:val="24"/>
              </w:rPr>
              <m:t>b(f),t</m:t>
            </m:r>
          </m:sub>
        </m:sSub>
      </m:oMath>
      <w:r>
        <w:rPr>
          <w:rFonts w:cs="Times New Roman"/>
          <w:color w:val="000000"/>
          <w:lang w:eastAsia="zh-CN"/>
        </w:rPr>
        <w:t xml:space="preserve">与</w:t>
      </w:r>
      <m:oMath>
        <m:sSub>
          <m:e>
            <m:r>
              <w:rPr>
                <w:rFonts w:ascii="Cambria Math" w:hAnsi="Cambria Math" w:cs="Cambria Math" w:eastAsia="宋体"/>
                <w:sz w:val="24"/>
              </w:rPr>
              <m:t>η</m:t>
            </m:r>
          </m:e>
          <m:sub>
            <m:r>
              <w:rPr>
                <w:rFonts w:ascii="Cambria Math" w:hAnsi="Cambria Math" w:cs="Cambria Math" w:eastAsia="宋体"/>
                <w:sz w:val="24"/>
              </w:rPr>
              <m:t>r(f),t</m:t>
            </m:r>
          </m:sub>
        </m:sSub>
      </m:oMath>
      <w:r>
        <w:rPr>
          <w:rFonts w:cs="Times New Roman"/>
          <w:color w:val="000000"/>
          <w:lang w:eastAsia="zh-CN"/>
        </w:rPr>
        <w:t xml:space="preserve">分别吸收较宽行业组和地区的年度变化，已包含的共同年份变化不重复加入。投资、就业和控制身份作为结果分别研究；把它们加入生产方程时，所描述的是这些经营选择给定条件下的联系。</w:t>
      </w:r>
    </w:p>
    <w:p w14:paraId="2BE37EC2" w14:textId="77777777" w:rsidR="004E1393" w:rsidRDefault="00EB4DE5">
      <w:pPr>
        <w:rPr>
          <w:lang w:eastAsia="zh-CN"/>
        </w:rPr>
      </w:pPr>
      <w:r>
        <w:rPr>
          <w:rFonts w:cs="Times New Roman"/>
          <w:color w:val="000000"/>
          <w:lang w:eastAsia="zh-CN"/>
        </w:rPr>
        <w:t xml:space="preserve">同一GB版本、小类和适用口径内，同年企业共用</w:t>
      </w:r>
      <m:oMath>
        <m:r>
          <m:rPr>
            <m:sty m:val="p"/>
          </m:rPr>
          <w:rPr>
            <w:rFonts w:ascii="Cambria Math" w:hAnsi="Cambria Math" w:cs="Cambria Math" w:eastAsia="宋体"/>
            <w:sz w:val="24"/>
          </w:rPr>
          <m:t>Restrict</m:t>
        </m:r>
      </m:oMath>
      <w:r>
        <w:rPr>
          <w:rFonts w:cs="Times New Roman"/>
          <w:color w:val="000000"/>
          <w:lang w:eastAsia="zh-CN"/>
        </w:rPr>
        <w:t xml:space="preserve">，完整的小类×年份固定效应会把该变量全部吸收。因此，式（A2）保留较宽行业组内部不同小类的比较。企业全期不变的限制差异被企业固定效应吸收，所有企业同年共同变化的部分被年份效应吸收；限制系数由剩余的组内跨期差异识别。</w:t>
      </w:r>
    </w:p>
    <w:p w14:paraId="1C984F44" w14:textId="77777777" w:rsidR="004E1393" w:rsidRDefault="00EB4DE5">
      <w:pPr>
        <w:pStyle w:val="21"/>
        <w:rPr>
          <w:lang w:eastAsia="zh-CN"/>
        </w:rPr>
      </w:pPr>
      <w:r>
        <w:rPr>
          <w:rFonts w:ascii="Times New Roman" w:eastAsia="宋体" w:hAnsi="Times New Roman" w:cs="Times New Roman"/>
          <w:lang w:eastAsia="zh-CN"/>
        </w:rPr>
        <w:t xml:space="preserve">A.5.2 状态变化的来源与滞后联系</w:t>
      </w:r>
    </w:p>
    <w:p w14:paraId="1A25A724" w14:textId="77777777" w:rsidR="004E1393" w:rsidRDefault="00EB4DE5">
      <w:pPr>
        <w:rPr>
          <w:lang w:eastAsia="zh-CN"/>
        </w:rPr>
      </w:pPr>
      <w:r>
        <w:rPr>
          <w:rFonts w:cs="Times New Roman"/>
          <w:color w:val="000000"/>
          <w:lang w:eastAsia="zh-CN"/>
        </w:rPr>
        <w:t xml:space="preserve">年度状态变化分为四种来源：同一小类有效要求改变，记为政策调整；规则不变但企业改属另一小类，记为转行业；分类修订或代码记录变化，按新旧类目对照辨认活动延续；LLM判断修订则回写使用该判断的年度记录，不把修订当作真实时间冲击。企业转行业也是经营调整的一部分，其引起的状态变化与政策变化分别解释。为描述生产调整的滞后联系，将当期项扩展为</w:t>
      </w:r>
    </w:p>
    <w:p w14:paraId="3189D5D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e>
            <m:r>
              <w:rPr>
                <w:rFonts w:ascii="Cambria Math" w:hAnsi="Cambria Math" w:cs="Cambria Math" w:eastAsia="宋体"/>
                <w:sz w:val="24"/>
              </w:rPr>
              <m:t>L</m:t>
            </m:r>
          </m:e>
          <m:sub>
            <m:r>
              <w:rPr>
                <w:rFonts w:ascii="Cambria Math" w:hAnsi="Cambria Math" w:cs="Cambria Math" w:eastAsia="宋体"/>
                <w:sz w:val="24"/>
              </w:rPr>
              <m:t>ft</m:t>
            </m:r>
          </m:sub>
        </m:sSub>
        <m:r>
          <w:rPr>
            <w:rFonts w:ascii="Cambria Math" w:hAnsi="Cambria Math" w:cs="Cambria Math" w:eastAsia="宋体"/>
            <w:sz w:val="24"/>
          </w:rPr>
          <m:t>=</m:t>
        </m:r>
        <m:nary>
          <m:naryPr>
            <m:chr m:val="∑"/>
            <m:limLoc m:val="subSup"/>
            <m:grow m:val="1"/>
            <m:subHide m:val="off"/>
            <m:supHide m:val="off"/>
          </m:naryPr>
          <m:sub>
            <m:r>
              <w:rPr>
                <w:rFonts w:ascii="Cambria Math" w:hAnsi="Cambria Math" w:cs="Cambria Math" w:eastAsia="宋体"/>
                <w:sz w:val="24"/>
              </w:rPr>
              <m:t>ℓ=0</m:t>
            </m:r>
          </m:sub>
          <m:sup>
            <m:r>
              <w:rPr>
                <w:rFonts w:ascii="Cambria Math" w:hAnsi="Cambria Math" w:cs="Cambria Math" w:eastAsia="宋体"/>
                <w:sz w:val="24"/>
              </w:rPr>
              <m:t>K</m:t>
            </m:r>
          </m:sup>
          <m:e>
            <m:sSub>
              <m:e>
                <m:r>
                  <w:rPr>
                    <w:rFonts w:ascii="Cambria Math" w:hAnsi="Cambria Math" w:cs="Cambria Math" w:eastAsia="宋体"/>
                    <w:sz w:val="24"/>
                  </w:rPr>
                  <m:t>β</m:t>
                </m:r>
              </m:e>
              <m:sub>
                <m:r>
                  <w:rPr>
                    <w:rFonts w:ascii="Cambria Math" w:hAnsi="Cambria Math" w:cs="Cambria Math" w:eastAsia="宋体"/>
                    <w:sz w:val="24"/>
                  </w:rPr>
                  <m:t>ℓ</m:t>
                </m:r>
              </m:sub>
            </m:sSub>
          </m:e>
        </m:nary>
        <m:sSub>
          <m:e>
            <m:r>
              <m:rPr>
                <m:sty m:val="p"/>
              </m:rPr>
              <w:rPr>
                <w:rFonts w:ascii="Cambria Math" w:hAnsi="Cambria Math" w:cs="Cambria Math" w:eastAsia="宋体"/>
                <w:sz w:val="24"/>
              </w:rPr>
              <m:t>Restrict</m:t>
            </m:r>
          </m:e>
          <m:sub>
            <m:r>
              <w:rPr>
                <w:rFonts w:ascii="Cambria Math" w:hAnsi="Cambria Math" w:cs="Cambria Math" w:eastAsia="宋体"/>
                <w:sz w:val="24"/>
              </w:rPr>
              <m:t>f,t−ℓ</m:t>
            </m:r>
          </m:sub>
        </m:sSub>
        <m:r>
          <w:rPr>
            <w:rFonts w:ascii="Cambria Math" w:hAnsi="Cambria Math" w:cs="Cambria Math" w:eastAsia="宋体"/>
            <w:sz w:val="24"/>
          </w:rPr>
          <m:t>.</m:t>
        </m:r>
      </m:oMath>
      <w:r>
        <w:rPr>
          <w:rFonts w:cs="Times New Roman"/>
          <w:color w:val="000000"/>
          <w:lang w:eastAsia="zh-CN"/>
        </w:rPr>
        <w:tab/>
        <w:t xml:space="preserve">（A3）</w:t>
      </w:r>
    </w:p>
    <w:p w14:paraId="0FDD50B5" w14:textId="77777777" w:rsidR="004E1393" w:rsidRDefault="00EB4DE5">
      <w:pPr>
        <w:rPr>
          <w:lang w:eastAsia="zh-CN"/>
        </w:rPr>
      </w:pPr>
      <w:r>
        <w:rPr>
          <w:rFonts w:cs="Times New Roman"/>
          <w:color w:val="000000"/>
          <w:lang w:eastAsia="zh-CN"/>
        </w:rPr>
        <w:t xml:space="preserve">式（A3）以</w:t>
      </w:r>
      <m:oMath>
        <m:sSub>
          <m:e>
            <m:r>
              <w:rPr>
                <w:rFonts w:ascii="Cambria Math" w:hAnsi="Cambria Math" w:cs="Cambria Math" w:eastAsia="宋体"/>
                <w:sz w:val="24"/>
              </w:rPr>
              <m:t>L</m:t>
            </m:r>
          </m:e>
          <m:sub>
            <m:r>
              <w:rPr>
                <w:rFonts w:ascii="Cambria Math" w:hAnsi="Cambria Math" w:cs="Cambria Math" w:eastAsia="宋体"/>
                <w:sz w:val="24"/>
              </w:rPr>
              <m:t>ft</m:t>
            </m:r>
          </m:sub>
        </m:sSub>
      </m:oMath>
      <w:r>
        <w:rPr>
          <w:rFonts w:cs="Times New Roman"/>
          <w:color w:val="000000"/>
          <w:lang w:eastAsia="zh-CN"/>
        </w:rPr>
        <w:t xml:space="preserve">替换式（A1）或（A2）的</w:t>
      </w:r>
      <m:oMath>
        <m:r>
          <w:rPr>
            <w:rFonts w:ascii="Cambria Math" w:hAnsi="Cambria Math" w:cs="Cambria Math" w:eastAsia="宋体"/>
            <w:sz w:val="24"/>
          </w:rPr>
          <m:t>β</m:t>
        </m:r>
        <m:sSub>
          <m:e>
            <m:r>
              <m:rPr>
                <m:sty m:val="p"/>
              </m:rPr>
              <w:rPr>
                <w:rFonts w:ascii="Cambria Math" w:hAnsi="Cambria Math" w:cs="Cambria Math" w:eastAsia="宋体"/>
                <w:sz w:val="24"/>
              </w:rPr>
              <m:t>Restrict</m:t>
            </m:r>
          </m:e>
          <m:sub>
            <m:r>
              <w:rPr>
                <w:rFonts w:ascii="Cambria Math" w:hAnsi="Cambria Math" w:cs="Cambria Math" w:eastAsia="宋体"/>
                <w:sz w:val="24"/>
              </w:rPr>
              <m:t>ft</m:t>
            </m:r>
          </m:sub>
        </m:sSub>
      </m:oMath>
      <w:r>
        <w:rPr>
          <w:rFonts w:cs="Times New Roman"/>
          <w:color w:val="000000"/>
          <w:lang w:eastAsia="zh-CN"/>
        </w:rPr>
        <w:t xml:space="preserve">，</w:t>
      </w:r>
      <m:oMath>
        <m:r>
          <w:rPr>
            <w:rFonts w:ascii="Cambria Math" w:hAnsi="Cambria Math" w:cs="Cambria Math" w:eastAsia="宋体"/>
            <w:sz w:val="24"/>
          </w:rPr>
          <m:t>K</m:t>
        </m:r>
      </m:oMath>
      <w:r>
        <w:rPr>
          <w:rFonts w:cs="Times New Roman"/>
          <w:color w:val="000000"/>
          <w:lang w:eastAsia="zh-CN"/>
        </w:rPr>
        <w:t xml:space="preserve">表示纳入的滞后年数，</w:t>
      </w:r>
      <m:oMath>
        <m:r>
          <w:rPr>
            <w:rFonts w:ascii="Cambria Math" w:hAnsi="Cambria Math" w:cs="Cambria Math" w:eastAsia="宋体"/>
            <w:sz w:val="24"/>
          </w:rPr>
          <m:t>ℓ=0</m:t>
        </m:r>
      </m:oMath>
      <w:r>
        <w:rPr>
          <w:rFonts w:cs="Times New Roman"/>
          <w:color w:val="000000"/>
          <w:lang w:eastAsia="zh-CN"/>
        </w:rPr>
        <w:t xml:space="preserve">为当期，其余项描述此前限制状态与当期生产的联系。滞后按实际日历年构造，调查缺口保持缺失。限制长期不变时各期状态高度相关，模型能区分的动态联系也随之减少；当期系数概括的状态差异不能直接解释为完整的长期调整。</w:t>
      </w:r>
    </w:p>
    <w:p w14:paraId="386DDAB0" w14:textId="77777777" w:rsidR="004E1393" w:rsidRDefault="00EB4DE5">
      <w:pPr>
        <w:rPr>
          <w:lang w:eastAsia="zh-CN"/>
        </w:rPr>
      </w:pPr>
      <w:r>
        <w:rPr>
          <w:rFonts w:cs="Times New Roman"/>
          <w:color w:val="000000"/>
          <w:lang w:eastAsia="zh-CN"/>
        </w:rPr>
        <w:t xml:space="preserve">基准系数解释为条件关联。政策可能选择性调整某些行业，企业也可能根据经营表现转行业，这些过程会使限制状态与未观察冲击相关。企业固定效应吸收稳定差异，不能自动赋予政策因果解释。[12] 竞争与供应链溢出同样影响比较：未直接受限企业也可能受到其他企业准入环境变化的影响。</w:t>
      </w:r>
    </w:p>
    <w:p w14:paraId="59885DA9" w14:textId="77777777" w:rsidR="004E1393" w:rsidRDefault="00EB4DE5">
      <w:pPr>
        <w:rPr>
          <w:lang w:eastAsia="zh-CN"/>
        </w:rPr>
      </w:pPr>
      <w:r>
        <w:rPr>
          <w:rFonts w:cs="Times New Roman"/>
          <w:color w:val="000000"/>
          <w:lang w:eastAsia="zh-CN"/>
        </w:rPr>
        <w:t xml:space="preserve">按观察起点的控制类型、GB小类和模型部门比较异质性，并区分既定类型与当期控制权调整。共同系数预测将同一比例联系用于不同企业；分组估计则允许相应联系不同，部门情景沿用实际采用的系数设定。</w:t>
      </w:r>
    </w:p>
    <w:p w14:paraId="5F7E0CA3" w14:textId="77777777" w:rsidR="004E1393" w:rsidRDefault="00EB4DE5">
      <w:pPr>
        <w:pStyle w:val="21"/>
        <w:rPr>
          <w:lang w:eastAsia="zh-CN"/>
        </w:rPr>
      </w:pPr>
      <w:r>
        <w:rPr>
          <w:rFonts w:ascii="Times New Roman" w:eastAsia="宋体" w:hAnsi="Times New Roman" w:cs="Times New Roman"/>
          <w:lang w:eastAsia="zh-CN"/>
        </w:rPr>
        <w:t xml:space="preserve">A.5.3 推断、其他结果与共同政策变化</w:t>
      </w:r>
    </w:p>
    <w:p w14:paraId="01B7A6CE" w14:textId="77777777" w:rsidR="004E1393" w:rsidRDefault="00EB4DE5">
      <w:pPr>
        <w:rPr>
          <w:lang w:eastAsia="zh-CN"/>
        </w:rPr>
      </w:pPr>
      <w:r>
        <w:rPr>
          <w:rFonts w:cs="Times New Roman"/>
          <w:color w:val="000000"/>
          <w:lang w:eastAsia="zh-CN"/>
        </w:rPr>
        <w:t xml:space="preserve">限制判断在小类层面共用，推断据此考虑小类内的跨年误差相关；同一条款涉及多个小类时，也考虑共同政策冲击。企业转行业产生跨类的企业内相关，采用相应的企业与类别多维聚类比较。独立政策信息量按实际赋值与共同冲击的组数衡量，不以企业记录数替代。</w:t>
      </w:r>
    </w:p>
    <w:p w14:paraId="7D86DB4A" w14:textId="77777777" w:rsidR="004E1393" w:rsidRDefault="00EB4DE5">
      <w:pPr>
        <w:rPr>
          <w:lang w:eastAsia="zh-CN"/>
        </w:rPr>
      </w:pPr>
      <w:r>
        <w:rPr>
          <w:rFonts w:cs="Times New Roman"/>
          <w:color w:val="000000"/>
          <w:lang w:eastAsia="zh-CN"/>
        </w:rPr>
        <w:t xml:space="preserve">投资金额和就业按各自定义作为结果，控制身份及存续状态用线性概率模型描述，系数乘以100后以百分点表示，并比较相应非线性规格。只有一次记录的企业不提供企业内跨期变化，但其当期生产仍计入样本统计；不同结果的实际估计范围分别报告。</w:t>
      </w:r>
    </w:p>
    <w:p w14:paraId="39979767" w14:textId="77777777" w:rsidR="004E1393" w:rsidRDefault="00EB4DE5">
      <w:pPr>
        <w:rPr>
          <w:lang w:eastAsia="zh-CN"/>
        </w:rPr>
      </w:pPr>
      <w:r>
        <w:rPr>
          <w:rFonts w:cs="Times New Roman"/>
          <w:color w:val="000000"/>
          <w:lang w:eastAsia="zh-CN"/>
        </w:rPr>
        <w:t xml:space="preserve">行业专项准入、自贸试验区、CEPA、项目管理和鼓励待遇按适用活动及时间与主变量连接。[6,15,16] 主变量记录外资差别化准入要求，其他经营条件分列；它们同时变化且不能分开比较时，相应系数按政策组合解释。较宽行业组与地区年度效应吸收相应共同冲击，不把共同变化归入限制状态本身。</w:t>
      </w:r>
    </w:p>
    <w:p w14:paraId="07981C05" w14:textId="77777777" w:rsidR="004E1393" w:rsidRDefault="00EB4DE5">
      <w:pPr>
        <w:pStyle w:val="1"/>
        <w:spacing w:before="0"/>
        <w:rPr>
          <w:lang w:eastAsia="zh-CN"/>
        </w:rPr>
      </w:pPr>
      <w:r>
        <w:rPr>
          <w:rFonts w:ascii="Times New Roman" w:eastAsia="宋体" w:hAnsi="Times New Roman" w:cs="Times New Roman"/>
          <w:lang w:eastAsia="zh-CN"/>
        </w:rPr>
        <w:t xml:space="preserve">A.6 企业生产分析与模型部门目标</w:t>
      </w:r>
    </w:p>
    <w:p w14:paraId="717797DF" w14:textId="77777777" w:rsidR="004E1393" w:rsidRDefault="00EB4DE5">
      <w:pPr>
        <w:pStyle w:val="21"/>
        <w:rPr>
          <w:lang w:eastAsia="zh-CN"/>
        </w:rPr>
      </w:pPr>
      <w:r>
        <w:rPr>
          <w:rFonts w:ascii="Times New Roman" w:eastAsia="宋体" w:hAnsi="Times New Roman" w:cs="Times New Roman"/>
          <w:lang w:eastAsia="zh-CN"/>
        </w:rPr>
        <w:t xml:space="preserve">A.6.1 </w:t>
      </w:r>
      <w:r>
        <w:rPr>
          <w:rFonts w:ascii="Times New Roman" w:eastAsia="宋体" w:hAnsi="Times New Roman" w:cs="Times New Roman"/>
          <w:lang w:eastAsia="zh-CN"/>
        </w:rPr>
        <w:t>控制身份与生产归属</w:t>
      </w:r>
    </w:p>
    <w:p w14:paraId="140A3EB9" w14:textId="77777777" w:rsidR="004E1393" w:rsidRDefault="00EB4DE5">
      <w:pPr>
        <w:rPr>
          <w:lang w:eastAsia="zh-CN"/>
        </w:rPr>
      </w:pPr>
      <w:r>
        <w:rPr>
          <w:rFonts w:cs="Times New Roman"/>
          <w:color w:val="000000"/>
          <w:lang w:eastAsia="zh-CN"/>
        </w:rPr>
        <w:t xml:space="preserve">将生产按当期控制身份分为外国与国内两类。以</w:t>
      </w:r>
      <m:oMath>
        <m:sSubSup>
          <m:e>
            <m:r>
              <w:rPr>
                <w:rFonts w:ascii="Cambria Math" w:hAnsi="Cambria Math" w:cs="Cambria Math" w:eastAsia="宋体"/>
                <w:sz w:val="24"/>
              </w:rPr>
              <m:t>D</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cs="Times New Roman"/>
          <w:color w:val="000000"/>
          <w:lang w:eastAsia="zh-CN"/>
        </w:rPr>
        <w:t xml:space="preserve">表示外国控制指示变量，定义</w:t>
      </w:r>
    </w:p>
    <w:p w14:paraId="68150AA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D</m:t>
            </m:r>
          </m:sup>
        </m:sSubSup>
        <m:r>
          <w:rPr>
            <w:rFonts w:ascii="Cambria Math" w:hAnsi="Cambria Math" w:cs="Cambria Math"/>
          </w:rPr>
          <m:t>=(1-</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A4</w:t>
      </w:r>
      <w:r>
        <w:rPr>
          <w:rFonts w:cs="Times New Roman"/>
          <w:color w:val="000000"/>
          <w:sz w:val="22"/>
        </w:rPr>
        <w:t>）</w:t>
      </w:r>
    </w:p>
    <w:p w14:paraId="0A46CBDE" w14:textId="77777777" w:rsidR="004E1393" w:rsidRDefault="00EB4DE5">
      <w:pPr>
        <w:rPr>
          <w:lang w:eastAsia="zh-CN"/>
        </w:rPr>
      </w:pPr>
      <w:r>
        <w:rPr>
          <w:rFonts w:cs="Times New Roman"/>
          <w:color w:val="000000"/>
          <w:lang w:eastAsia="zh-CN"/>
        </w:rPr>
        <w:t xml:space="preserve">企业转为外国控制后，生产从国内类别转入外国类别，两项之和仍为同一企业产出。控制身份未知时，两项保持未知；控制母国未知但外国控制可以辨认时，计入外国合计生产，不作母国别分配。</w:t>
      </w:r>
    </w:p>
    <w:p w14:paraId="5907A84A" w14:textId="77777777" w:rsidR="004E1393" w:rsidRDefault="00EB4DE5">
      <w:pPr>
        <w:rPr>
          <w:lang w:eastAsia="zh-CN"/>
        </w:rPr>
      </w:pPr>
      <w:r>
        <w:rPr>
          <w:rFonts w:cs="Times New Roman"/>
          <w:color w:val="000000"/>
          <w:lang w:eastAsia="zh-CN"/>
        </w:rPr>
        <w:t xml:space="preserve">分别以</w:t>
      </w:r>
      <m:oMath>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F</m:t>
            </m:r>
          </m:sup>
        </m:sSubSup>
      </m:oMath>
      <w:r>
        <w:rPr>
          <w:rFonts w:cs="Times New Roman"/>
          <w:color w:val="000000"/>
          <w:lang w:eastAsia="zh-CN"/>
        </w:rPr>
        <w:t xml:space="preserve">和</w:t>
      </w:r>
      <m:oMath>
        <m:sSubSup>
          <m:e>
            <m:r>
              <w:rPr>
                <w:rFonts w:ascii="Cambria Math" w:hAnsi="Cambria Math" w:cs="Cambria Math" w:eastAsia="宋体"/>
                <w:sz w:val="24"/>
              </w:rPr>
              <m:t>Y</m:t>
            </m:r>
          </m:e>
          <m:sub>
            <m:r>
              <w:rPr>
                <w:rFonts w:ascii="Cambria Math" w:hAnsi="Cambria Math" w:cs="Cambria Math" w:eastAsia="宋体"/>
                <w:sz w:val="24"/>
              </w:rPr>
              <m:t>ft</m:t>
            </m:r>
          </m:sub>
          <m:sup>
            <m:r>
              <w:rPr>
                <w:rFonts w:ascii="Cambria Math" w:hAnsi="Cambria Math" w:cs="Cambria Math" w:eastAsia="宋体"/>
                <w:sz w:val="24"/>
              </w:rPr>
              <m:t>D</m:t>
            </m:r>
          </m:sup>
        </m:sSubSup>
      </m:oMath>
      <w:r>
        <w:rPr>
          <w:rFonts w:cs="Times New Roman"/>
          <w:color w:val="000000"/>
          <w:lang w:eastAsia="zh-CN"/>
        </w:rPr>
        <w:t xml:space="preserve">代入A.5的条件均值模型，估计各自的固定效应和限制系数，再形成两类生产预测。全期国内控制企业的外国控制生产可能全零，另一类企业则相反；PPML中的全零组、单例或分离会改变估计范围，两式不机械取交集。[13] 被删除或没有可识别固定效应的记录不据此预测为零，各式可预测的生产分别进入后面的覆盖分解。</w:t>
      </w:r>
    </w:p>
    <w:p>
      <w:pPr>
        <w:spacing w:before="0" w:after="0" w:line="20" w:lineRule="exact"/>
        <w:ind w:firstLine="0"/>
      </w:pPr>
      <w:r>
        <w:rPr>
          <w:sz w:val="2"/>
        </w:rPr>
        <w:br w:type="page"/>
      </w:r>
    </w:p>
    <w:p w14:paraId="65800EA5" w14:textId="77777777" w:rsidR="004E1393" w:rsidRDefault="00EB4DE5">
      <w:pPr>
        <w:pStyle w:val="21"/>
        <w:rPr>
          <w:lang w:eastAsia="zh-CN"/>
        </w:rPr>
      </w:pPr>
      <w:r>
        <w:rPr>
          <w:rFonts w:ascii="Times New Roman" w:eastAsia="宋体" w:hAnsi="Times New Roman" w:cs="Times New Roman"/>
          <w:lang w:eastAsia="zh-CN"/>
        </w:rPr>
        <w:t xml:space="preserve">A.6.2 </w:t>
      </w:r>
      <w:r>
        <w:rPr>
          <w:rFonts w:ascii="Times New Roman" w:eastAsia="宋体" w:hAnsi="Times New Roman" w:cs="Times New Roman"/>
          <w:lang w:eastAsia="zh-CN"/>
        </w:rPr>
        <w:t>行业加总与生产权重</w:t>
      </w:r>
    </w:p>
    <w:p w14:paraId="7CBEC713" w14:textId="77777777" w:rsidR="004E1393" w:rsidRDefault="00EB4DE5">
      <w:pPr>
        <w:rPr>
          <w:lang w:eastAsia="zh-CN"/>
        </w:rPr>
      </w:pPr>
      <w:r>
        <w:rPr>
          <w:rFonts w:cs="Times New Roman"/>
          <w:color w:val="000000"/>
          <w:lang w:eastAsia="zh-CN"/>
        </w:rPr>
        <w:t xml:space="preserve">设</w:t>
      </w:r>
      <m:oMath>
        <m:sSub>
          <m:e>
            <m:r>
              <w:rPr>
                <w:rFonts w:ascii="Cambria Math" w:hAnsi="Cambria Math" w:cs="Cambria Math" w:eastAsia="宋体"/>
                <w:sz w:val="24"/>
              </w:rPr>
              <m:t>ℬ</m:t>
            </m:r>
          </m:e>
          <m:sub>
            <m:r>
              <w:rPr>
                <w:rFonts w:ascii="Cambria Math" w:hAnsi="Cambria Math" w:cs="Cambria Math" w:eastAsia="宋体"/>
                <w:sz w:val="24"/>
              </w:rPr>
              <m:t>jt</m:t>
            </m:r>
          </m:sub>
        </m:sSub>
      </m:oMath>
      <w:r>
        <w:rPr>
          <w:rFonts w:cs="Times New Roman"/>
          <w:color w:val="000000"/>
          <w:lang w:eastAsia="zh-CN"/>
        </w:rPr>
        <w:t xml:space="preserve">为当期归入模型部门</w:t>
      </w:r>
      <m:oMath>
        <m:r>
          <w:rPr>
            <w:rFonts w:ascii="Cambria Math" w:hAnsi="Cambria Math" w:cs="Cambria Math" w:eastAsia="宋体"/>
            <w:sz w:val="24"/>
          </w:rPr>
          <m:t>j</m:t>
        </m:r>
      </m:oMath>
      <w:r>
        <w:rPr>
          <w:rFonts w:cs="Times New Roman"/>
          <w:color w:val="000000"/>
          <w:lang w:eastAsia="zh-CN"/>
        </w:rPr>
        <w:t xml:space="preserve">且生产与控制身份可以计量的企业集合，</w:t>
      </w:r>
      <m:oMath>
        <m:sSub>
          <m:e>
            <m:r>
              <w:rPr>
                <w:rFonts w:ascii="Cambria Math" w:hAnsi="Cambria Math" w:cs="Cambria Math" w:eastAsia="宋体"/>
                <w:sz w:val="24"/>
              </w:rPr>
              <m:t>ω</m:t>
            </m:r>
          </m:e>
          <m:sub>
            <m:r>
              <w:rPr>
                <w:rFonts w:ascii="Cambria Math" w:hAnsi="Cambria Math" w:cs="Cambria Math" w:eastAsia="宋体"/>
                <w:sz w:val="24"/>
              </w:rPr>
              <m:t>ft</m:t>
            </m:r>
          </m:sub>
        </m:sSub>
      </m:oMath>
      <w:r>
        <w:rPr>
          <w:rFonts w:cs="Times New Roman"/>
          <w:color w:val="000000"/>
          <w:lang w:eastAsia="zh-CN"/>
        </w:rPr>
        <w:t xml:space="preserve">为调查扩展权重。按路径B得到的部门标识加总：</w:t>
      </w:r>
    </w:p>
    <w:p w14:paraId="3DE81CC3"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lang w:eastAsia="zh-CN"/>
              </w:rPr>
              <m:t>F</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F</m:t>
            </m:r>
          </m:sup>
        </m:sSubSup>
        <m:r>
          <w:rPr>
            <w:rFonts w:ascii="Cambria Math" w:hAnsi="Cambria Math" w:cs="Cambria Math"/>
            <w:lang w:eastAsia="zh-CN"/>
          </w:rPr>
          <m:t>,</m:t>
        </m:r>
        <m:r>
          <m:rPr>
            <m:nor/>
          </m:rPr>
          <w:rPr>
            <w:rFonts w:ascii="Cambria Math" w:hAnsi="Cambria Math" w:cs="Cambria Math"/>
            <w:lang w:eastAsia="zh-CN"/>
          </w:rPr>
          <m:t>  </m:t>
        </m:r>
        <m:sSub>
          <m:sSubPr>
            <m:ctrlPr>
              <w:rPr>
                <w:rFonts w:ascii="Cambria Math" w:hAnsi="Cambria Math"/>
              </w:rPr>
            </m:ctrlPr>
          </m:sSubPr>
          <m:e>
            <m:r>
              <w:rPr>
                <w:rFonts w:ascii="Cambria Math" w:hAnsi="Cambria Math" w:cs="Cambria Math"/>
                <w:lang w:eastAsia="zh-CN"/>
              </w:rPr>
              <m:t>D</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D</m:t>
            </m:r>
          </m:sup>
        </m:sSubSup>
        <m:r>
          <w:rPr>
            <w:rFonts w:ascii="Cambria Math" w:hAnsi="Cambria Math" w:cs="Cambria Math"/>
            <w:lang w:eastAsia="zh-CN"/>
          </w:rPr>
          <m:t>.</m:t>
        </m:r>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A5</w:t>
      </w:r>
      <w:r>
        <w:rPr>
          <w:rFonts w:cs="Times New Roman"/>
          <w:color w:val="000000"/>
          <w:sz w:val="22"/>
          <w:lang w:eastAsia="zh-CN"/>
        </w:rPr>
        <w:t>）</w:t>
      </w:r>
    </w:p>
    <w:p w14:paraId="0CA43E3C" w14:textId="77777777" w:rsidR="004E1393" w:rsidRDefault="00EB4DE5">
      <w:pPr>
        <w:rPr>
          <w:lang w:eastAsia="zh-CN"/>
        </w:rPr>
      </w:pPr>
      <w:r>
        <w:rPr>
          <w:rFonts w:cs="Times New Roman"/>
          <w:color w:val="000000"/>
          <w:lang w:eastAsia="zh-CN"/>
        </w:rPr>
        <w:t xml:space="preserve">未使用调查扩展权重时取</w:t>
      </w:r>
      <m:oMath>
        <m:sSub>
          <m:e>
            <m:r>
              <w:rPr>
                <w:rFonts w:ascii="Cambria Math" w:hAnsi="Cambria Math" w:cs="Cambria Math" w:eastAsia="宋体"/>
                <w:sz w:val="24"/>
              </w:rPr>
              <m:t>ω</m:t>
            </m:r>
          </m:e>
          <m:sub>
            <m:r>
              <w:rPr>
                <w:rFonts w:ascii="Cambria Math" w:hAnsi="Cambria Math" w:cs="Cambria Math" w:eastAsia="宋体"/>
                <w:sz w:val="24"/>
              </w:rPr>
              <m:t>ft</m:t>
            </m:r>
          </m:sub>
        </m:sSub>
        <m:r>
          <w:rPr>
            <w:rFonts w:ascii="Cambria Math" w:hAnsi="Cambria Math" w:cs="Cambria Math" w:eastAsia="宋体"/>
            <w:sz w:val="24"/>
          </w:rPr>
          <m:t>=1</m:t>
        </m:r>
      </m:oMath>
      <w:r>
        <w:rPr>
          <w:rFonts w:cs="Times New Roman"/>
          <w:color w:val="000000"/>
          <w:lang w:eastAsia="zh-CN"/>
        </w:rPr>
        <w:t xml:space="preserve">，得到覆盖样本的生产；使用扩展权重时，其总体对应调查范围和记录单位。分业务记录先与企业总量对应，每笔生产在同一层级只计一次。</w:t>
      </w:r>
    </w:p>
    <w:p w14:paraId="13F42BA9" w14:textId="77777777" w:rsidR="004E1393" w:rsidRDefault="00EB4DE5">
      <w:pPr>
        <w:rPr>
          <w:lang w:eastAsia="zh-CN"/>
        </w:rPr>
      </w:pPr>
      <w:r>
        <w:rPr>
          <w:rFonts w:cs="Times New Roman"/>
          <w:color w:val="000000"/>
          <w:lang w:eastAsia="zh-CN"/>
        </w:rPr>
        <w:t>外国控制生产份额定义为</w:t>
      </w:r>
    </w:p>
    <w:p w14:paraId="193BBE2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num>
          <m:den>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jt</m:t>
                </m:r>
              </m:sub>
            </m:sSub>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A6</w:t>
      </w:r>
      <w:r>
        <w:rPr>
          <w:rFonts w:cs="Times New Roman"/>
          <w:color w:val="000000"/>
          <w:sz w:val="22"/>
        </w:rPr>
        <w:t>）</w:t>
      </w:r>
    </w:p>
    <w:p w14:paraId="23FA83C9" w14:textId="77777777" w:rsidR="004E1393" w:rsidRDefault="00EB4DE5">
      <w:pPr>
        <w:rPr>
          <w:lang w:eastAsia="zh-CN"/>
        </w:rPr>
      </w:pPr>
      <w:r>
        <w:rPr>
          <w:rFonts w:cs="Times New Roman"/>
          <w:color w:val="000000"/>
          <w:lang w:eastAsia="zh-CN"/>
        </w:rPr>
        <w:t xml:space="preserve">分母为零时不计算份额。把GB小类或AMNE部门等较细单元</w:t>
      </w:r>
      <m:oMath>
        <m:r>
          <w:rPr>
            <w:rFonts w:ascii="Cambria Math" w:hAnsi="Cambria Math" w:cs="Cambria Math" w:eastAsia="宋体"/>
            <w:sz w:val="24"/>
          </w:rPr>
          <m:t>c</m:t>
        </m:r>
      </m:oMath>
      <w:r>
        <w:rPr>
          <w:rFonts w:cs="Times New Roman"/>
          <w:color w:val="000000"/>
          <w:lang w:eastAsia="zh-CN"/>
        </w:rPr>
        <w:t xml:space="preserve">合并时，先加总外国与国内生产，再计算部门份额，等价于按各单元总生产价值</w:t>
      </w:r>
      <m:oMath>
        <m:sSub>
          <m:e>
            <m:r>
              <w:rPr>
                <w:rFonts w:ascii="Cambria Math" w:hAnsi="Cambria Math" w:cs="Cambria Math" w:eastAsia="宋体"/>
                <w:sz w:val="24"/>
              </w:rPr>
              <m:t>Q</m:t>
            </m:r>
          </m:e>
          <m:sub>
            <m:r>
              <w:rPr>
                <w:rFonts w:ascii="Cambria Math" w:hAnsi="Cambria Math" w:cs="Cambria Math" w:eastAsia="宋体"/>
                <w:sz w:val="24"/>
              </w:rPr>
              <m:t>ct</m:t>
            </m:r>
          </m:sub>
        </m:sSub>
      </m:oMath>
      <w:r>
        <w:rPr>
          <w:rFonts w:cs="Times New Roman"/>
          <w:color w:val="000000"/>
          <w:lang w:eastAsia="zh-CN"/>
        </w:rPr>
        <w:t xml:space="preserve">加权：</w:t>
      </w:r>
    </w:p>
    <w:p w14:paraId="5C9E708A"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c</m:t>
            </m:r>
            <m:r>
              <w:rPr>
                <w:rFonts w:ascii="Cambria Math" w:hAnsi="Cambria Math" w:cs="Cambria Math"/>
              </w:rPr>
              <m:t>∈</m:t>
            </m:r>
            <m:r>
              <w:rPr>
                <w:rFonts w:ascii="Cambria Math" w:hAnsi="Cambria Math" w:cs="Cambria Math"/>
              </w:rPr>
              <m:t>j</m:t>
            </m:r>
          </m:sub>
          <m:sup/>
          <m:e>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e>
        </m:nary>
        <m:sSub>
          <m:sSubPr>
            <m:ctrlPr>
              <w:rPr>
                <w:rFonts w:ascii="Cambria Math" w:hAnsi="Cambria Math"/>
              </w:rPr>
            </m:ctrlPr>
          </m:sSubPr>
          <m:e>
            <m:r>
              <w:rPr>
                <w:rFonts w:ascii="Cambria Math" w:hAnsi="Cambria Math" w:cs="Cambria Math"/>
              </w:rPr>
              <m:t>M</m:t>
            </m:r>
          </m:e>
          <m:sub>
            <m:r>
              <w:rPr>
                <w:rFonts w:ascii="Cambria Math" w:hAnsi="Cambria Math" w:cs="Cambria Math"/>
              </w:rPr>
              <m:t>ct</m:t>
            </m:r>
          </m:sub>
        </m:sSub>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ct</m:t>
                </m:r>
              </m:sub>
            </m:sSub>
          </m:num>
          <m:den>
            <m:nary>
              <m:naryPr>
                <m:chr m:val="∑"/>
                <m:limLoc m:val="subSup"/>
                <m:grow m:val="1"/>
                <m:supHide m:val="1"/>
                <m:ctrlPr>
                  <w:rPr>
                    <w:rFonts w:ascii="Cambria Math" w:hAnsi="Cambria Math"/>
                  </w:rPr>
                </m:ctrlPr>
              </m:naryPr>
              <m:sub>
                <m:r>
                  <w:rPr>
                    <w:rFonts w:ascii="Cambria Math" w:hAnsi="Cambria Math" w:cs="Cambria Math"/>
                  </w:rPr>
                  <m:t>k</m:t>
                </m:r>
                <m:r>
                  <w:rPr>
                    <w:rFonts w:ascii="Cambria Math" w:hAnsi="Cambria Math" w:cs="Cambria Math"/>
                  </w:rPr>
                  <m:t>∈</m:t>
                </m:r>
                <m:r>
                  <w:rPr>
                    <w:rFonts w:ascii="Cambria Math" w:hAnsi="Cambria Math" w:cs="Cambria Math"/>
                  </w:rPr>
                  <m:t>j</m:t>
                </m:r>
              </m:sub>
              <m:sup/>
              <m:e>
                <m:sSub>
                  <m:sSubPr>
                    <m:ctrlPr>
                      <w:rPr>
                        <w:rFonts w:ascii="Cambria Math" w:hAnsi="Cambria Math"/>
                      </w:rPr>
                    </m:ctrlPr>
                  </m:sSubPr>
                  <m:e>
                    <m:r>
                      <w:rPr>
                        <w:rFonts w:ascii="Cambria Math" w:hAnsi="Cambria Math" w:cs="Cambria Math"/>
                      </w:rPr>
                      <m:t>Q</m:t>
                    </m:r>
                  </m:e>
                  <m:sub>
                    <m:r>
                      <w:rPr>
                        <w:rFonts w:ascii="Cambria Math" w:hAnsi="Cambria Math" w:cs="Cambria Math"/>
                      </w:rPr>
                      <m:t>kt</m:t>
                    </m:r>
                  </m:sub>
                </m:sSub>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A7</w:t>
      </w:r>
      <w:r>
        <w:rPr>
          <w:rFonts w:cs="Times New Roman"/>
          <w:color w:val="000000"/>
          <w:sz w:val="22"/>
        </w:rPr>
        <w:t>）</w:t>
      </w:r>
    </w:p>
    <w:p w14:paraId="455032A7" w14:textId="77777777" w:rsidR="004E1393" w:rsidRDefault="00EB4DE5">
      <w:pPr>
        <w:rPr>
          <w:lang w:eastAsia="zh-CN"/>
        </w:rPr>
      </w:pPr>
      <w:r>
        <w:rPr>
          <w:rFonts w:cs="Times New Roman"/>
          <w:color w:val="000000"/>
          <w:lang w:eastAsia="zh-CN"/>
        </w:rPr>
        <w:t xml:space="preserve">当期权重随各单元生产变化，份额因此同时反映规模与构成调整；固定基准年权重则描述初始构成下的变化。所有单元使用共同货币、价格年份和估值口径，避免以不同价值尺度加总。</w:t>
      </w:r>
    </w:p>
    <w:p w14:paraId="0562F625" w14:textId="77777777" w:rsidR="004E1393" w:rsidRDefault="00EB4DE5">
      <w:pPr>
        <w:pStyle w:val="21"/>
        <w:rPr>
          <w:lang w:eastAsia="zh-CN"/>
        </w:rPr>
      </w:pPr>
      <w:r>
        <w:rPr>
          <w:rFonts w:ascii="Times New Roman" w:eastAsia="宋体" w:hAnsi="Times New Roman" w:cs="Times New Roman"/>
          <w:lang w:eastAsia="zh-CN"/>
        </w:rPr>
        <w:t xml:space="preserve">A.6.3 样本预测与部门总体覆盖</w:t>
      </w:r>
    </w:p>
    <w:p w14:paraId="40899D11" w14:textId="77777777" w:rsidR="004E1393" w:rsidRDefault="00EB4DE5">
      <w:pPr>
        <w:rPr>
          <w:lang w:eastAsia="zh-CN"/>
        </w:rPr>
      </w:pPr>
      <w:r>
        <w:rPr>
          <w:rFonts w:cs="Times New Roman"/>
          <w:color w:val="000000"/>
          <w:lang w:eastAsia="zh-CN"/>
        </w:rPr>
        <w:t xml:space="preserve">可预测的企业生产与部门总体分开计量。分别将外国、国内方程的预测沿用式（A5）的方式加总，得到各自覆盖部分；调查外生产和无法预测部分由同口径行业资料补充。行业资料包含的税调企业不重复加总，新设企业被调查后进入面板也不等于已经观察到情景中新进入的企业。</w:t>
      </w:r>
    </w:p>
    <w:p w14:paraId="7A5B74C8" w14:textId="77777777" w:rsidR="004E1393" w:rsidRDefault="00EB4DE5">
      <w:pPr>
        <w:rPr>
          <w:lang w:eastAsia="zh-CN"/>
        </w:rPr>
      </w:pPr>
      <w:r>
        <w:rPr>
          <w:rFonts w:cs="Times New Roman"/>
          <w:color w:val="000000"/>
          <w:lang w:eastAsia="zh-CN"/>
        </w:rPr>
        <w:t xml:space="preserve">以</w:t>
      </w:r>
      <m:oMath>
        <m:r>
          <w:rPr>
            <w:rFonts w:ascii="Cambria Math" w:hAnsi="Cambria Math" w:cs="Cambria Math" w:eastAsia="宋体"/>
            <w:sz w:val="24"/>
          </w:rPr>
          <m:t>a=0</m:t>
        </m:r>
      </m:oMath>
      <w:r>
        <w:rPr>
          <w:rFonts w:cs="Times New Roman"/>
          <w:color w:val="000000"/>
          <w:lang w:eastAsia="zh-CN"/>
        </w:rPr>
        <w:t xml:space="preserve">表示比较基准、</w:t>
      </w:r>
      <m:oMath>
        <m:r>
          <w:rPr>
            <w:rFonts w:ascii="Cambria Math" w:hAnsi="Cambria Math" w:cs="Cambria Math" w:eastAsia="宋体"/>
            <w:sz w:val="24"/>
          </w:rPr>
          <m:t>a=1</m:t>
        </m:r>
      </m:oMath>
      <w:r>
        <w:rPr>
          <w:rFonts w:cs="Times New Roman"/>
          <w:color w:val="000000"/>
          <w:lang w:eastAsia="zh-CN"/>
        </w:rPr>
        <w:t xml:space="preserve">表示另一准入情景，部门生产写为</w:t>
      </w:r>
    </w:p>
    <w:p w14:paraId="219C142B"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r>
          <m:rPr>
            <m:nor/>
          </m:rPr>
          <w:rPr>
            <w:rFonts w:ascii="Cambria Math" w:hAnsi="Cambria Math" w:cs="Cambria Math"/>
            <w:sz w:val="22"/>
          </w:rPr>
          <m:t>  </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oMath>
      <w:r>
        <w:rPr>
          <w:rFonts w:cs="Times New Roman"/>
          <w:color w:val="000000"/>
          <w:sz w:val="22"/>
        </w:rPr>
        <w:tab/>
      </w:r>
      <w:r>
        <w:rPr>
          <w:rFonts w:cs="Times New Roman"/>
          <w:color w:val="000000"/>
          <w:sz w:val="22"/>
        </w:rPr>
        <w:t>（</w:t>
      </w:r>
      <w:r>
        <w:rPr>
          <w:rFonts w:cs="Times New Roman"/>
          <w:color w:val="000000"/>
          <w:sz w:val="22"/>
        </w:rPr>
        <w:t>A8</w:t>
      </w:r>
      <w:r>
        <w:rPr>
          <w:rFonts w:cs="Times New Roman"/>
          <w:color w:val="000000"/>
          <w:sz w:val="22"/>
        </w:rPr>
        <w:t>）</w:t>
      </w:r>
    </w:p>
    <w:p w14:paraId="7BBE84AB" w14:textId="77777777" w:rsidR="004E1393" w:rsidRDefault="00EB4DE5">
      <w:pPr>
        <w:rPr>
          <w:lang w:eastAsia="zh-CN"/>
        </w:rPr>
      </w:pPr>
      <w:r>
        <w:rPr>
          <w:rFonts w:cs="Times New Roman"/>
          <w:color w:val="000000"/>
          <w:lang w:eastAsia="zh-CN"/>
        </w:rPr>
        <w:t xml:space="preserve">covered为各式可预测部分，other为同一部门总体中剩余生产。两式的覆盖范围可以不同，但分别补充后对应同一总体。另一情景的other不会由实际总量自动给出：令其保持实际值，就是假定未覆盖生产不作反应；通过比较不同的剩余生产反应，展示这一假设对部门目标的影响。</w:t>
      </w:r>
    </w:p>
    <w:p>
      <w:pPr>
        <w:spacing w:before="0" w:after="0" w:line="20" w:lineRule="exact"/>
        <w:ind w:firstLine="0"/>
      </w:pPr>
      <w:r>
        <w:rPr>
          <w:sz w:val="2"/>
        </w:rPr>
        <w:br w:type="page"/>
      </w:r>
    </w:p>
    <w:p w14:paraId="7DCBBE6A" w14:textId="77777777" w:rsidR="004E1393" w:rsidRDefault="00EB4DE5">
      <w:pPr>
        <w:pStyle w:val="21"/>
        <w:rPr>
          <w:lang w:eastAsia="zh-CN"/>
        </w:rPr>
      </w:pPr>
      <w:r>
        <w:rPr>
          <w:rFonts w:ascii="Times New Roman" w:eastAsia="宋体" w:hAnsi="Times New Roman" w:cs="Times New Roman"/>
          <w:lang w:eastAsia="zh-CN"/>
        </w:rPr>
        <w:t xml:space="preserve">A.6.4 生产情景与模型部门目标</w:t>
      </w:r>
    </w:p>
    <w:p w14:paraId="0C54DB74" w14:textId="77777777" w:rsidR="004E1393" w:rsidRDefault="00EB4DE5">
      <w:pPr>
        <w:rPr>
          <w:lang w:eastAsia="zh-CN"/>
        </w:rPr>
      </w:pPr>
      <w:r>
        <w:rPr>
          <w:rFonts w:cs="Times New Roman"/>
          <w:color w:val="000000"/>
          <w:lang w:eastAsia="zh-CN"/>
        </w:rPr>
        <w:t xml:space="preserve">在同一基准年份</w:t>
      </w:r>
      <m:oMath>
        <m:sSup>
          <m:e>
            <m:r>
              <w:rPr>
                <w:rFonts w:ascii="Cambria Math" w:hAnsi="Cambria Math" w:cs="Cambria Math" w:eastAsia="宋体"/>
                <w:sz w:val="24"/>
              </w:rPr>
              <m:t>t</m:t>
            </m:r>
          </m:e>
          <m:sup>
            <m:r>
              <w:rPr>
                <w:rFonts w:ascii="Cambria Math" w:hAnsi="Cambria Math" w:cs="Cambria Math" w:eastAsia="宋体"/>
                <w:sz w:val="24"/>
              </w:rPr>
              <m:t>*</m:t>
            </m:r>
          </m:sup>
        </m:sSup>
      </m:oMath>
      <w:r>
        <w:rPr>
          <w:rFonts w:cs="Times New Roman"/>
          <w:color w:val="000000"/>
          <w:lang w:eastAsia="zh-CN"/>
        </w:rPr>
        <w:t xml:space="preserve">构造两种情景：情景0保留实际年度限制状态，情景1把纳入比较且可以预测的受限记录设为未受限，未知状态不补0。保留两套生产方程各自的估计系数、固定效应和控制变量，只替换限制状态；保持企业集合和当期行业相同，得到外国与国内控制生产的两套预测。按部门分别加总并结合式（A8）的覆盖处理，形成</w:t>
      </w:r>
      <m:oMath>
        <m:sSubSup>
          <m:e>
            <m:r>
              <w:rPr>
                <w:rFonts w:ascii="Cambria Math" w:hAnsi="Cambria Math" w:cs="Cambria Math" w:eastAsia="宋体"/>
                <w:sz w:val="24"/>
              </w:rPr>
              <m:t>F</m:t>
            </m:r>
          </m:e>
          <m:sub>
            <m:r>
              <w:rPr>
                <w:rFonts w:ascii="Cambria Math" w:hAnsi="Cambria Math" w:cs="Cambria Math" w:eastAsia="宋体"/>
                <w:sz w:val="24"/>
              </w:rPr>
              <m:t>j,</m:t>
            </m:r>
            <m:sSup>
              <m:e>
                <m:r>
                  <w:rPr>
                    <w:rFonts w:ascii="Cambria Math" w:hAnsi="Cambria Math" w:cs="Cambria Math" w:eastAsia="宋体"/>
                    <w:sz w:val="24"/>
                  </w:rPr>
                  <m:t>t</m:t>
                </m:r>
              </m:e>
              <m:sup>
                <m:r>
                  <w:rPr>
                    <w:rFonts w:ascii="Cambria Math" w:hAnsi="Cambria Math" w:cs="Cambria Math" w:eastAsia="宋体"/>
                    <w:sz w:val="24"/>
                  </w:rPr>
                  <m:t>*</m:t>
                </m:r>
              </m:sup>
            </m:sSup>
          </m:sub>
          <m:sup>
            <m:r>
              <w:rPr>
                <w:rFonts w:ascii="Cambria Math" w:hAnsi="Cambria Math" w:cs="Cambria Math" w:eastAsia="宋体"/>
                <w:sz w:val="24"/>
              </w:rPr>
              <m:t>a</m:t>
            </m:r>
          </m:sup>
        </m:sSubSup>
      </m:oMath>
      <w:r>
        <w:rPr>
          <w:rFonts w:cs="Times New Roman"/>
          <w:color w:val="000000"/>
          <w:lang w:eastAsia="zh-CN"/>
        </w:rPr>
        <w:t xml:space="preserve">和</w:t>
      </w:r>
      <m:oMath>
        <m:sSubSup>
          <m:e>
            <m:r>
              <w:rPr>
                <w:rFonts w:ascii="Cambria Math" w:hAnsi="Cambria Math" w:cs="Cambria Math" w:eastAsia="宋体"/>
                <w:sz w:val="24"/>
              </w:rPr>
              <m:t>D</m:t>
            </m:r>
          </m:e>
          <m:sub>
            <m:r>
              <w:rPr>
                <w:rFonts w:ascii="Cambria Math" w:hAnsi="Cambria Math" w:cs="Cambria Math" w:eastAsia="宋体"/>
                <w:sz w:val="24"/>
              </w:rPr>
              <m:t>j,</m:t>
            </m:r>
            <m:sSup>
              <m:e>
                <m:r>
                  <w:rPr>
                    <w:rFonts w:ascii="Cambria Math" w:hAnsi="Cambria Math" w:cs="Cambria Math" w:eastAsia="宋体"/>
                    <w:sz w:val="24"/>
                  </w:rPr>
                  <m:t>t</m:t>
                </m:r>
              </m:e>
              <m:sup>
                <m:r>
                  <w:rPr>
                    <w:rFonts w:ascii="Cambria Math" w:hAnsi="Cambria Math" w:cs="Cambria Math" w:eastAsia="宋体"/>
                    <w:sz w:val="24"/>
                  </w:rPr>
                  <m:t>*</m:t>
                </m:r>
              </m:sup>
            </m:sSup>
          </m:sub>
          <m:sup>
            <m:r>
              <w:rPr>
                <w:rFonts w:ascii="Cambria Math" w:hAnsi="Cambria Math" w:cs="Cambria Math" w:eastAsia="宋体"/>
                <w:sz w:val="24"/>
              </w:rPr>
              <m:t>a</m:t>
            </m:r>
          </m:sup>
        </m:sSubSup>
      </m:oMath>
      <w:r>
        <w:rPr>
          <w:rFonts w:cs="Times New Roman"/>
          <w:color w:val="000000"/>
          <w:lang w:eastAsia="zh-CN"/>
        </w:rPr>
        <w:t xml:space="preserve">。</w:t>
      </w:r>
    </w:p>
    <w:p w14:paraId="2E7396D5" w14:textId="77777777" w:rsidR="004E1393" w:rsidRDefault="00EB4DE5">
      <w:pPr>
        <w:rPr>
          <w:lang w:eastAsia="zh-CN"/>
        </w:rPr>
      </w:pPr>
      <w:r>
        <w:rPr>
          <w:rFonts w:cs="Times New Roman"/>
          <w:color w:val="000000"/>
          <w:lang w:eastAsia="zh-CN"/>
        </w:rPr>
        <w:t xml:space="preserve">模型部门目标用两种情景的外国控制生产份额之差表示：</w:t>
      </w:r>
    </w:p>
    <w:p w14:paraId="236E2ADE"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e>
            <m:r>
              <w:rPr>
                <w:rFonts w:ascii="Cambria Math" w:hAnsi="Cambria Math" w:cs="Cambria Math" w:eastAsia="宋体"/>
                <w:sz w:val="22"/>
              </w:rPr>
              <m:t>μ</m:t>
            </m:r>
          </m:e>
          <m:sub>
            <m:r>
              <w:rPr>
                <w:rFonts w:ascii="Cambria Math" w:hAnsi="Cambria Math" w:cs="Cambria Math" w:eastAsia="宋体"/>
                <w:sz w:val="22"/>
              </w:rPr>
              <m:t>j</m:t>
            </m:r>
          </m:sub>
        </m:sSub>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1</m:t>
                </m:r>
              </m:sup>
            </m:sSubSup>
          </m:num>
          <m:den>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1</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1</m:t>
                </m:r>
              </m:sup>
            </m:sSubSup>
          </m:den>
        </m:f>
        <m:r>
          <w:rPr>
            <w:rFonts w:ascii="Cambria Math" w:hAnsi="Cambria Math" w:cs="Cambria Math" w:eastAsia="宋体"/>
            <w:sz w:val="22"/>
          </w:rPr>
          <m:t>−</m:t>
        </m:r>
        <m:f>
          <m:fPr>
            <m:type m:val="bar"/>
          </m:fPr>
          <m:num>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0</m:t>
                </m:r>
              </m:sup>
            </m:sSubSup>
          </m:num>
          <m:den>
            <m:sSubSup>
              <m:e>
                <m:r>
                  <w:rPr>
                    <w:rFonts w:ascii="Cambria Math" w:hAnsi="Cambria Math" w:cs="Cambria Math" w:eastAsia="宋体"/>
                    <w:sz w:val="22"/>
                  </w:rPr>
                  <m:t>F</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0</m:t>
                </m:r>
              </m:sup>
            </m:sSubSup>
            <m:r>
              <w:rPr>
                <w:rFonts w:ascii="Cambria Math" w:hAnsi="Cambria Math" w:cs="Cambria Math" w:eastAsia="宋体"/>
                <w:sz w:val="22"/>
              </w:rPr>
              <m:t>+</m:t>
            </m:r>
            <m:sSubSup>
              <m:e>
                <m:r>
                  <w:rPr>
                    <w:rFonts w:ascii="Cambria Math" w:hAnsi="Cambria Math" w:cs="Cambria Math" w:eastAsia="宋体"/>
                    <w:sz w:val="22"/>
                  </w:rPr>
                  <m:t>D</m:t>
                </m:r>
              </m:e>
              <m:sub>
                <m:r>
                  <w:rPr>
                    <w:rFonts w:ascii="Cambria Math" w:hAnsi="Cambria Math" w:cs="Cambria Math" w:eastAsia="宋体"/>
                    <w:sz w:val="22"/>
                  </w:rPr>
                  <m:t>j,</m:t>
                </m:r>
                <m:sSup>
                  <m:e>
                    <m:r>
                      <w:rPr>
                        <w:rFonts w:ascii="Cambria Math" w:hAnsi="Cambria Math" w:cs="Cambria Math" w:eastAsia="宋体"/>
                        <w:sz w:val="22"/>
                      </w:rPr>
                      <m:t>t</m:t>
                    </m:r>
                  </m:e>
                  <m:sup>
                    <m:r>
                      <w:rPr>
                        <w:rFonts w:ascii="Cambria Math" w:hAnsi="Cambria Math" w:cs="Cambria Math" w:eastAsia="宋体"/>
                        <w:sz w:val="22"/>
                      </w:rPr>
                      <m:t>*</m:t>
                    </m:r>
                  </m:sup>
                </m:sSup>
              </m:sub>
              <m:sup>
                <m:r>
                  <w:rPr>
                    <w:rFonts w:ascii="Cambria Math" w:hAnsi="Cambria Math" w:cs="Cambria Math" w:eastAsia="宋体"/>
                    <w:sz w:val="22"/>
                  </w:rPr>
                  <m:t>0</m:t>
                </m:r>
              </m:sup>
            </m:sSubSup>
          </m:den>
        </m:f>
        <m:r>
          <w:rPr>
            <w:rFonts w:ascii="Cambria Math" w:hAnsi="Cambria Math" w:cs="Cambria Math" w:eastAsia="宋体"/>
            <w:sz w:val="22"/>
          </w:rPr>
          <m:t>.</m:t>
        </m:r>
      </m:oMath>
      <w:r>
        <w:rPr>
          <w:rFonts w:cs="Times New Roman"/>
          <w:color w:val="000000"/>
          <w:lang w:eastAsia="zh-CN"/>
        </w:rPr>
        <w:tab/>
        <w:t xml:space="preserve">（A9）</w:t>
      </w:r>
    </w:p>
    <w:p w14:paraId="546F570C" w14:textId="77777777" w:rsidR="004E1393" w:rsidRDefault="00EB4DE5">
      <w:pPr>
        <w:rPr>
          <w:lang w:eastAsia="zh-CN"/>
        </w:rPr>
      </w:pPr>
      <m:oMath>
        <m:r>
          <w:rPr>
            <w:rFonts w:ascii="Cambria Math" w:hAnsi="Cambria Math" w:cs="Cambria Math" w:eastAsia="宋体"/>
            <w:sz w:val="24"/>
          </w:rPr>
          <m:t>100</m:t>
        </m:r>
        <m:sSub>
          <m:e>
            <m:r>
              <w:rPr>
                <w:rFonts w:ascii="Cambria Math" w:hAnsi="Cambria Math" w:cs="Cambria Math" w:eastAsia="宋体"/>
                <w:sz w:val="24"/>
              </w:rPr>
              <m:t>μ</m:t>
            </m:r>
          </m:e>
          <m:sub>
            <m:r>
              <w:rPr>
                <w:rFonts w:ascii="Cambria Math" w:hAnsi="Cambria Math" w:cs="Cambria Math" w:eastAsia="宋体"/>
                <w:sz w:val="24"/>
              </w:rPr>
              <m:t>j</m:t>
            </m:r>
          </m:sub>
        </m:sSub>
      </m:oMath>
      <w:r>
        <w:rPr>
          <w:rFonts w:cs="Times New Roman"/>
          <w:color w:val="000000"/>
          <w:lang w:eastAsia="zh-CN"/>
        </w:rPr>
        <w:t xml:space="preserve">以百分点计量。两类生产及总生产变化同时保留，用以区分规模调整和控制归属变化。采用式（A3）的动态预测时，为两种情景分别给定限制状态的日历年路径；当期设为0和连续若干年未受限对应不同的预测。</w:t>
      </w:r>
    </w:p>
    <w:p w14:paraId="4E6B3D60" w14:textId="77777777" w:rsidR="004E1393" w:rsidRDefault="00EB4DE5">
      <w:pPr>
        <w:rPr>
          <w:lang w:eastAsia="zh-CN"/>
        </w:rPr>
      </w:pPr>
      <w:r>
        <w:rPr>
          <w:rFonts w:cs="Times New Roman"/>
          <w:color w:val="000000"/>
          <w:lang w:eastAsia="zh-CN"/>
        </w:rPr>
        <w:t xml:space="preserve">这一比较是回归条件给定的生产情景。企业集合和行业归属保持实际值，固定效应保留观察到的共同环境，因此情景没有自动恢复企业迁移、新进入和价格反馈。按较宽部门组织的结构模型，使用企业预测与other假设共同形成的部门目标；小类或企业组相对结果保留为经验分析，只有模型能生成相同分组统计量时才进入反演。模型目标采用相同控制定义、权重和计价，关联预测的条件情景含义也随之保留。</w:t>
      </w:r>
    </w:p>
    <w:p w14:paraId="031E79CD" w14:textId="77777777" w:rsidR="004E1393" w:rsidRDefault="00EB4DE5">
      <w:pPr>
        <w:rPr>
          <w:lang w:eastAsia="zh-CN"/>
        </w:rPr>
      </w:pPr>
      <w:r>
        <w:rPr>
          <w:rFonts w:cs="Times New Roman"/>
          <w:color w:val="000000"/>
          <w:lang w:eastAsia="zh-CN"/>
        </w:rPr>
        <w:t xml:space="preserve">另一种情景比较同一基准年份下的旧规则与实际后续规则：情景0保留此前要求，情景1采用后续要求，并从年度状态变化中区分政策调整与企业转行业。这两类比较采用相同的生产加总和份额计算方法，区别在于输入的限制路径。</w:t>
      </w:r>
    </w:p>
    <w:p w14:paraId="43334C7E" w14:textId="77777777" w:rsidR="004E1393" w:rsidRDefault="00EB4DE5">
      <w:pPr>
        <w:pStyle w:val="1"/>
        <w:spacing w:before="0"/>
        <w:rPr>
          <w:lang w:eastAsia="zh-CN"/>
        </w:rPr>
      </w:pPr>
      <w:r>
        <w:rPr>
          <w:rFonts w:ascii="Times New Roman" w:eastAsia="宋体" w:hAnsi="Times New Roman" w:cs="Times New Roman"/>
          <w:lang w:eastAsia="zh-CN"/>
        </w:rPr>
        <w:t xml:space="preserve">A.7 </w:t>
      </w:r>
      <w:r>
        <w:rPr>
          <w:rFonts w:ascii="Times New Roman" w:eastAsia="宋体" w:hAnsi="Times New Roman" w:cs="Times New Roman"/>
          <w:lang w:eastAsia="zh-CN"/>
        </w:rPr>
        <w:t>模型部门成本反演与一般均衡反事实</w:t>
      </w:r>
    </w:p>
    <w:p w14:paraId="220A5F42" w14:textId="77777777" w:rsidR="004E1393" w:rsidRDefault="00EB4DE5">
      <w:pPr>
        <w:pStyle w:val="21"/>
        <w:rPr>
          <w:lang w:eastAsia="zh-CN"/>
        </w:rPr>
      </w:pPr>
      <w:r>
        <w:rPr>
          <w:rFonts w:ascii="Times New Roman" w:eastAsia="宋体" w:hAnsi="Times New Roman" w:cs="Times New Roman"/>
          <w:lang w:eastAsia="zh-CN"/>
        </w:rPr>
        <w:t xml:space="preserve">A.7.1 </w:t>
      </w:r>
      <w:r>
        <w:rPr>
          <w:rFonts w:ascii="Times New Roman" w:eastAsia="宋体" w:hAnsi="Times New Roman" w:cs="Times New Roman"/>
          <w:lang w:eastAsia="zh-CN"/>
        </w:rPr>
        <w:t>等效跨国生产成本的经济含义</w:t>
      </w:r>
    </w:p>
    <w:p w14:paraId="02F53D86" w14:textId="77777777" w:rsidR="004E1393" w:rsidRDefault="00EB4DE5">
      <w:pPr>
        <w:rPr>
          <w:lang w:eastAsia="zh-CN"/>
        </w:rPr>
      </w:pPr>
      <w:r>
        <w:rPr>
          <w:rFonts w:cs="Times New Roman"/>
          <w:color w:val="000000"/>
          <w:lang w:eastAsia="zh-CN"/>
        </w:rPr>
        <w:t xml:space="preserve">结构模型用跨国生产、贸易和投入产出联系解释部门生产。设</w:t>
      </w:r>
      <m:oMath>
        <m:r>
          <w:rPr>
            <w:rFonts w:ascii="Cambria Math" w:hAnsi="Cambria Math" w:cs="Cambria Math" w:eastAsia="宋体"/>
            <w:sz w:val="24"/>
          </w:rPr>
          <m:t>i</m:t>
        </m:r>
      </m:oMath>
      <w:r>
        <w:rPr>
          <w:rFonts w:cs="Times New Roman"/>
          <w:color w:val="000000"/>
          <w:lang w:eastAsia="zh-CN"/>
        </w:rPr>
        <w:t xml:space="preserve">为生产国、</w:t>
      </w:r>
      <m:oMath>
        <m:r>
          <w:rPr>
            <w:rFonts w:ascii="Cambria Math" w:hAnsi="Cambria Math" w:cs="Cambria Math" w:eastAsia="宋体"/>
            <w:sz w:val="24"/>
          </w:rPr>
          <m:t>m</m:t>
        </m:r>
      </m:oMath>
      <w:r>
        <w:rPr>
          <w:rFonts w:cs="Times New Roman"/>
          <w:color w:val="000000"/>
          <w:lang w:eastAsia="zh-CN"/>
        </w:rPr>
        <w:t xml:space="preserve">为企业母国、</w:t>
      </w:r>
      <m:oMath>
        <m:r>
          <w:rPr>
            <w:rFonts w:ascii="Cambria Math" w:hAnsi="Cambria Math" w:cs="Cambria Math" w:eastAsia="宋体"/>
            <w:sz w:val="24"/>
          </w:rPr>
          <m:t>n</m:t>
        </m:r>
      </m:oMath>
      <w:r>
        <w:rPr>
          <w:rFonts w:cs="Times New Roman"/>
          <w:color w:val="000000"/>
          <w:lang w:eastAsia="zh-CN"/>
        </w:rPr>
        <w:t xml:space="preserve">为销售目的国、</w:t>
      </w:r>
      <m:oMath>
        <m:r>
          <w:rPr>
            <w:rFonts w:ascii="Cambria Math" w:hAnsi="Cambria Math" w:cs="Cambria Math" w:eastAsia="宋体"/>
            <w:sz w:val="24"/>
          </w:rPr>
          <m:t>j</m:t>
        </m:r>
      </m:oMath>
      <w:r>
        <w:rPr>
          <w:rFonts w:cs="Times New Roman"/>
          <w:color w:val="000000"/>
          <w:lang w:eastAsia="zh-CN"/>
        </w:rPr>
        <w:t xml:space="preserve">为模型部门，</w:t>
      </w:r>
      <m:oMath>
        <m:r>
          <w:rPr>
            <w:rFonts w:ascii="Cambria Math" w:hAnsi="Cambria Math" w:cs="Cambria Math" w:eastAsia="宋体"/>
            <w:sz w:val="24"/>
          </w:rPr>
          <m:t>C</m:t>
        </m:r>
      </m:oMath>
      <w:r>
        <w:rPr>
          <w:rFonts w:cs="Times New Roman"/>
          <w:color w:val="000000"/>
          <w:lang w:eastAsia="zh-CN"/>
        </w:rPr>
        <w:t xml:space="preserve">表示中国。跨国生产效率</w:t>
      </w:r>
      <m:oMath>
        <m:sSubSup>
          <m:e>
            <m:r>
              <w:rPr>
                <w:rFonts w:ascii="Cambria Math" w:hAnsi="Cambria Math" w:cs="Cambria Math" w:eastAsia="宋体"/>
                <w:sz w:val="24"/>
              </w:rPr>
              <m:t>ξ</m:t>
            </m:r>
          </m:e>
          <m:sub>
            <m:r>
              <w:rPr>
                <w:rFonts w:ascii="Cambria Math" w:hAnsi="Cambria Math" w:cs="Cambria Math" w:eastAsia="宋体"/>
                <w:sz w:val="24"/>
              </w:rPr>
              <m:t>im</m:t>
            </m:r>
          </m:sub>
          <m:sup>
            <m:r>
              <w:rPr>
                <w:rFonts w:ascii="Cambria Math" w:hAnsi="Cambria Math" w:cs="Cambria Math" w:eastAsia="宋体"/>
                <w:sz w:val="24"/>
              </w:rPr>
              <m:t>j</m:t>
            </m:r>
          </m:sup>
        </m:sSubSup>
      </m:oMath>
      <w:r>
        <w:rPr>
          <w:rFonts w:cs="Times New Roman"/>
          <w:color w:val="000000"/>
          <w:lang w:eastAsia="zh-CN"/>
        </w:rPr>
        <w:t xml:space="preserve">越高，生产同样产品所需成本越低，其对单位成本的乘数记为</w:t>
      </w:r>
    </w:p>
    <w:p w14:paraId="1545E94A"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im</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A10</w:t>
      </w:r>
      <w:r>
        <w:rPr>
          <w:rFonts w:cs="Times New Roman"/>
          <w:color w:val="000000"/>
          <w:sz w:val="22"/>
        </w:rPr>
        <w:t>）</w:t>
      </w:r>
    </w:p>
    <w:p w14:paraId="36138AC9" w14:textId="77777777" w:rsidR="004E1393" w:rsidRDefault="00EB4DE5">
      <w:pPr>
        <w:rPr>
          <w:lang w:eastAsia="zh-CN"/>
        </w:rPr>
      </w:pPr>
      <w:r>
        <w:rPr>
          <w:rFonts w:cs="Times New Roman"/>
          <w:color w:val="000000"/>
          <w:lang w:eastAsia="zh-CN"/>
        </w:rPr>
        <w:t xml:space="preserve">企业回归把限制状态转化为生产预测，A.6将预测写成部门目标，结构模型通过调整MP成本拟合这些目标。所得成本楔子概括准入规则经由进入、管理效率、股权安排和固定支出影响生产的结果，既不是0/1变量的直接换算，也不是回归残差。</w:t>
      </w:r>
    </w:p>
    <w:p w14:paraId="26C015C4" w14:textId="77777777" w:rsidR="004E1393" w:rsidRDefault="00EB4DE5">
      <w:pPr>
        <w:rPr>
          <w:lang w:eastAsia="zh-CN"/>
        </w:rPr>
      </w:pPr>
      <w:r>
        <w:rPr>
          <w:rFonts w:cs="Times New Roman"/>
          <w:color w:val="000000"/>
          <w:lang w:eastAsia="zh-CN"/>
        </w:rPr>
        <w:t xml:space="preserve">参考模型包含生产地和销售市场选择，没有股权收购决策。[14] 控制权转换可以只改变生产归属而不改变总量，所以拟合同时观察外国、国内和总生产，识别份额变化的来源。由所有权重新归属主导的目标不能仅按单位效率改善解释，其收购机制与福利影响分别讨论。</w:t>
      </w:r>
    </w:p>
    <w:p w14:paraId="320FC464" w14:textId="77777777" w:rsidR="004E1393" w:rsidRDefault="00EB4DE5">
      <w:pPr>
        <w:pStyle w:val="21"/>
        <w:rPr>
          <w:lang w:eastAsia="zh-CN"/>
        </w:rPr>
      </w:pPr>
      <w:r>
        <w:rPr>
          <w:rFonts w:ascii="Times New Roman" w:eastAsia="宋体" w:hAnsi="Times New Roman" w:cs="Times New Roman"/>
          <w:lang w:eastAsia="zh-CN"/>
        </w:rPr>
        <w:t xml:space="preserve">A.7.2 基准经济状态与生产口径</w:t>
      </w:r>
    </w:p>
    <w:p w14:paraId="21EDEF0C" w14:textId="77777777" w:rsidR="004E1393" w:rsidRDefault="00EB4DE5">
      <w:pPr>
        <w:rPr>
          <w:lang w:eastAsia="zh-CN"/>
        </w:rPr>
      </w:pPr>
      <w:r>
        <w:rPr>
          <w:rFonts w:cs="Times New Roman"/>
          <w:color w:val="000000"/>
          <w:lang w:eastAsia="zh-CN"/>
        </w:rPr>
        <w:t xml:space="preserve">以</w:t>
      </w:r>
      <m:oMath>
        <m:sSup>
          <m:e>
            <m:r>
              <w:rPr>
                <w:rFonts w:ascii="Cambria Math" w:hAnsi="Cambria Math" w:cs="Cambria Math" w:eastAsia="宋体"/>
                <w:sz w:val="24"/>
              </w:rPr>
              <m:t>t</m:t>
            </m:r>
          </m:e>
          <m:sup>
            <m:r>
              <w:rPr>
                <w:rFonts w:ascii="Cambria Math" w:hAnsi="Cambria Math" w:cs="Cambria Math" w:eastAsia="宋体"/>
                <w:sz w:val="24"/>
              </w:rPr>
              <m:t>*</m:t>
            </m:r>
          </m:sup>
        </m:sSup>
      </m:oMath>
      <w:r>
        <w:rPr>
          <w:rFonts w:cs="Times New Roman"/>
          <w:color w:val="000000"/>
          <w:lang w:eastAsia="zh-CN"/>
        </w:rPr>
        <w:t xml:space="preserve">年经济状态作为共同比较环境，将该年的部门生产、控制份额和投入产出账户按同一部门范围及顺序连接。AMNE提供控制类型生产与份额，投入产出资料提供部门间联系；企业情景目标采用同年的相同控制定义和价值口径。这样，成本变化比较的是同一经济环境中的两种准入情景，而非不同时点经济结构的混合。</w:t>
      </w:r>
    </w:p>
    <w:p w14:paraId="3FF8541C" w14:textId="77777777" w:rsidR="004E1393" w:rsidRDefault="00EB4DE5">
      <w:pPr>
        <w:rPr>
          <w:lang w:eastAsia="zh-CN"/>
        </w:rPr>
      </w:pPr>
      <w:r>
        <w:rPr>
          <w:rFonts w:cs="Times New Roman"/>
          <w:color w:val="000000"/>
          <w:lang w:eastAsia="zh-CN"/>
        </w:rPr>
        <w:t xml:space="preserve">模型销售流量先按计价口径换算为生产者收入。以</w:t>
      </w:r>
      <m:oMath>
        <m:sSubSup>
          <m:e>
            <m:r>
              <w:rPr>
                <w:rFonts w:ascii="Cambria Math" w:hAnsi="Cambria Math" w:cs="Cambria Math" w:eastAsia="宋体"/>
                <w:sz w:val="24"/>
              </w:rPr>
              <m:t>X</m:t>
            </m:r>
          </m:e>
          <m:sub>
            <m:r>
              <w:rPr>
                <w:rFonts w:ascii="Cambria Math" w:hAnsi="Cambria Math" w:cs="Cambria Math" w:eastAsia="宋体"/>
                <w:sz w:val="24"/>
              </w:rPr>
              <m:t>nCm</m:t>
            </m:r>
          </m:sub>
          <m:sup>
            <m:r>
              <w:rPr>
                <w:rFonts w:ascii="Cambria Math" w:hAnsi="Cambria Math" w:cs="Cambria Math" w:eastAsia="宋体"/>
                <w:sz w:val="24"/>
              </w:rPr>
              <m:t>j</m:t>
            </m:r>
          </m:sup>
        </m:sSubSup>
      </m:oMath>
      <w:r>
        <w:rPr>
          <w:rFonts w:cs="Times New Roman"/>
          <w:color w:val="000000"/>
          <w:lang w:eastAsia="zh-CN"/>
        </w:rPr>
        <w:t xml:space="preserve">表示母国</w:t>
      </w:r>
      <m:oMath>
        <m:r>
          <w:rPr>
            <w:rFonts w:ascii="Cambria Math" w:hAnsi="Cambria Math" w:cs="Cambria Math" w:eastAsia="宋体"/>
            <w:sz w:val="24"/>
          </w:rPr>
          <m:t>m</m:t>
        </m:r>
      </m:oMath>
      <w:r>
        <w:rPr>
          <w:rFonts w:cs="Times New Roman"/>
          <w:color w:val="000000"/>
          <w:lang w:eastAsia="zh-CN"/>
        </w:rPr>
        <w:t xml:space="preserve">企业在中国生产、向</w:t>
      </w:r>
      <m:oMath>
        <m:r>
          <w:rPr>
            <w:rFonts w:ascii="Cambria Math" w:hAnsi="Cambria Math" w:cs="Cambria Math" w:eastAsia="宋体"/>
            <w:sz w:val="24"/>
          </w:rPr>
          <m:t>n</m:t>
        </m:r>
      </m:oMath>
      <w:r>
        <w:rPr>
          <w:rFonts w:cs="Times New Roman"/>
          <w:color w:val="000000"/>
          <w:lang w:eastAsia="zh-CN"/>
        </w:rPr>
        <w:t xml:space="preserve">销售的流量；当</w:t>
      </w:r>
      <m:oMath>
        <m:r>
          <w:rPr>
            <w:rFonts w:ascii="Cambria Math" w:hAnsi="Cambria Math" w:cs="Cambria Math" w:eastAsia="宋体"/>
            <w:sz w:val="24"/>
          </w:rPr>
          <m:t>X</m:t>
        </m:r>
      </m:oMath>
      <w:r>
        <w:rPr>
          <w:rFonts w:cs="Times New Roman"/>
          <w:color w:val="000000"/>
          <w:lang w:eastAsia="zh-CN"/>
        </w:rPr>
        <w:t xml:space="preserve">按目的地支出计量、收入换算采用</w:t>
      </w:r>
      <m:oMath>
        <m:f>
          <m:fPr>
            <m:type m:val="lin"/>
          </m:fPr>
          <m:num>
            <m:r>
              <w:rPr>
                <w:rFonts w:ascii="Cambria Math" w:hAnsi="Cambria Math" w:cs="Cambria Math" w:eastAsia="宋体"/>
                <w:sz w:val="24"/>
              </w:rPr>
              <m:t>X</m:t>
            </m:r>
          </m:num>
          <m:den>
            <m:r>
              <w:rPr>
                <w:rFonts w:ascii="Cambria Math" w:hAnsi="Cambria Math" w:cs="Cambria Math" w:eastAsia="宋体"/>
                <w:sz w:val="24"/>
              </w:rPr>
              <m:t>τ</m:t>
            </m:r>
          </m:den>
        </m:f>
      </m:oMath>
      <w:r>
        <w:rPr>
          <w:rFonts w:cs="Times New Roman"/>
          <w:color w:val="000000"/>
          <w:lang w:eastAsia="zh-CN"/>
        </w:rPr>
        <w:t xml:space="preserve">时，以贸易成本</w:t>
      </w:r>
      <m:oMath>
        <m:sSubSup>
          <m:e>
            <m:r>
              <w:rPr>
                <w:rFonts w:ascii="Cambria Math" w:hAnsi="Cambria Math" w:cs="Cambria Math" w:eastAsia="宋体"/>
                <w:sz w:val="24"/>
              </w:rPr>
              <m:t>τ</m:t>
            </m:r>
          </m:e>
          <m:sub>
            <m:r>
              <w:rPr>
                <w:rFonts w:ascii="Cambria Math" w:hAnsi="Cambria Math" w:cs="Cambria Math" w:eastAsia="宋体"/>
                <w:sz w:val="24"/>
              </w:rPr>
              <m:t>nC</m:t>
            </m:r>
          </m:sub>
          <m:sup>
            <m:r>
              <w:rPr>
                <w:rFonts w:ascii="Cambria Math" w:hAnsi="Cambria Math" w:cs="Cambria Math" w:eastAsia="宋体"/>
                <w:sz w:val="24"/>
              </w:rPr>
              <m:t>j</m:t>
            </m:r>
          </m:sup>
        </m:sSubSup>
      </m:oMath>
      <w:r>
        <w:rPr>
          <w:rFonts w:cs="Times New Roman"/>
          <w:color w:val="000000"/>
          <w:lang w:eastAsia="zh-CN"/>
        </w:rPr>
        <w:t xml:space="preserve">转换，生产及外国份额为</w:t>
      </w:r>
    </w:p>
    <w:p w14:paraId="34BF8B3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n</m:t>
            </m:r>
          </m:sub>
          <m:sup/>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nCm</m:t>
                    </m:r>
                  </m:sub>
                  <m:sup>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τ</m:t>
                    </m:r>
                  </m:e>
                  <m:sub>
                    <m:r>
                      <w:rPr>
                        <w:rFonts w:ascii="Cambria Math" w:hAnsi="Cambria Math" w:cs="Cambria Math"/>
                      </w:rPr>
                      <m:t>nC</m:t>
                    </m:r>
                  </m:sub>
                  <m:sup>
                    <m:r>
                      <w:rPr>
                        <w:rFonts w:ascii="Cambria Math" w:hAnsi="Cambria Math" w:cs="Cambria Math"/>
                      </w:rPr>
                      <m:t>j</m:t>
                    </m:r>
                  </m:sup>
                </m:sSubSup>
              </m:den>
            </m:f>
          </m:e>
        </m:nary>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M</m:t>
            </m:r>
          </m:e>
          <m:sub>
            <m:r>
              <w:rPr>
                <w:rFonts w:ascii="Cambria Math" w:hAnsi="Cambria Math" w:cs="Cambria Math"/>
              </w:rPr>
              <m:t>C</m:t>
            </m:r>
          </m:sub>
          <m:sup>
            <m:r>
              <w:rPr>
                <w:rFonts w:ascii="Cambria Math" w:hAnsi="Cambria Math" w:cs="Cambria Math"/>
              </w:rPr>
              <m:t>j</m:t>
            </m:r>
          </m:sup>
        </m:sSubSup>
        <m:r>
          <w:rPr>
            <w:rFonts w:ascii="Cambria Math" w:hAnsi="Cambria Math" w:cs="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cs="Cambria Math"/>
                  </w:rPr>
                  <m:t>m</m:t>
                </m:r>
                <m:r>
                  <w:rPr>
                    <w:rFonts w:ascii="Cambria Math" w:hAnsi="Cambria Math" w:cs="Cambria Math"/>
                  </w:rPr>
                  <m:t>≠</m:t>
                </m:r>
                <m:r>
                  <w:rPr>
                    <w:rFonts w:ascii="Cambria Math" w:hAnsi="Cambria Math" w:cs="Cambria Math"/>
                  </w:rPr>
                  <m:t>C</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num>
          <m:den>
            <m:nary>
              <m:naryPr>
                <m:chr m:val="∑"/>
                <m:limLoc m:val="subSup"/>
                <m:grow m:val="1"/>
                <m:supHide m:val="1"/>
                <m:ctrlPr>
                  <w:rPr>
                    <w:rFonts w:ascii="Cambria Math" w:hAnsi="Cambria Math"/>
                  </w:rPr>
                </m:ctrlPr>
              </m:naryPr>
              <m:sub>
                <m:r>
                  <w:rPr>
                    <w:rFonts w:ascii="Cambria Math" w:hAnsi="Cambria Math" w:cs="Cambria Math"/>
                  </w:rPr>
                  <m:t>m</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A11</w:t>
      </w:r>
      <w:r>
        <w:rPr>
          <w:rFonts w:cs="Times New Roman"/>
          <w:color w:val="000000"/>
          <w:sz w:val="22"/>
        </w:rPr>
        <w:t>）</w:t>
      </w:r>
    </w:p>
    <w:p w14:paraId="334C9D0A" w14:textId="77777777" w:rsidR="004E1393" w:rsidRDefault="00EB4DE5">
      <w:pPr>
        <w:rPr>
          <w:lang w:eastAsia="zh-CN"/>
        </w:rPr>
      </w:pPr>
      <w:r>
        <w:rPr>
          <w:rFonts w:cs="Times New Roman"/>
          <w:color w:val="000000"/>
          <w:lang w:eastAsia="zh-CN"/>
        </w:rPr>
        <w:t xml:space="preserve">输入已经是生产者收入时，直接加总，避免重复除以贸易成本。式（A11）把模型销售流量转为A.6采用的生产价值，使拟合两端使用同一统计对象。</w:t>
      </w:r>
    </w:p>
    <w:p w14:paraId="1D315D3B" w14:textId="77777777" w:rsidR="004E1393" w:rsidRDefault="00EB4DE5">
      <w:pPr>
        <w:pStyle w:val="21"/>
        <w:rPr>
          <w:lang w:eastAsia="zh-CN"/>
        </w:rPr>
      </w:pPr>
      <w:r>
        <w:rPr>
          <w:rFonts w:ascii="Times New Roman" w:eastAsia="宋体" w:hAnsi="Times New Roman" w:cs="Times New Roman"/>
          <w:lang w:eastAsia="zh-CN"/>
        </w:rPr>
        <w:t xml:space="preserve">A.7.3 从部门目标反演成本变化</w:t>
      </w:r>
    </w:p>
    <w:p w14:paraId="09D256AF" w14:textId="77777777" w:rsidR="004E1393" w:rsidRDefault="00EB4DE5">
      <w:pPr>
        <w:rPr>
          <w:lang w:eastAsia="zh-CN"/>
        </w:rPr>
      </w:pPr>
      <w:r>
        <w:rPr>
          <w:rFonts w:cs="Times New Roman"/>
          <w:color w:val="000000"/>
          <w:lang w:eastAsia="zh-CN"/>
        </w:rPr>
        <w:t xml:space="preserve">模型部门</w:t>
      </w:r>
      <m:oMath>
        <m:r>
          <w:rPr>
            <w:rFonts w:ascii="Cambria Math" w:hAnsi="Cambria Math" w:cs="Cambria Math" w:eastAsia="宋体"/>
            <w:sz w:val="24"/>
          </w:rPr>
          <m:t>j</m:t>
        </m:r>
      </m:oMath>
      <w:r>
        <w:rPr>
          <w:rFonts w:cs="Times New Roman"/>
          <w:color w:val="000000"/>
          <w:lang w:eastAsia="zh-CN"/>
        </w:rPr>
        <w:t xml:space="preserve">的情景1相对于情景0成本对数变化为</w:t>
      </w:r>
    </w:p>
    <w:p w14:paraId="65543E8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d</m:t>
                    </m:r>
                  </m:e>
                  <m:sub>
                    <m:r>
                      <w:rPr>
                        <w:rFonts w:ascii="Cambria Math" w:hAnsi="Cambria Math" w:cs="Cambria Math"/>
                      </w:rPr>
                      <m:t>Cm</m:t>
                    </m:r>
                    <m:r>
                      <w:rPr>
                        <w:rFonts w:ascii="Cambria Math" w:hAnsi="Cambria Math" w:cs="Cambria Math"/>
                      </w:rPr>
                      <m:t>,1</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d</m:t>
                    </m:r>
                  </m:e>
                  <m:sub>
                    <m:r>
                      <w:rPr>
                        <w:rFonts w:ascii="Cambria Math" w:hAnsi="Cambria Math" w:cs="Cambria Math"/>
                      </w:rPr>
                      <m:t>Cm</m:t>
                    </m:r>
                    <m:r>
                      <w:rPr>
                        <w:rFonts w:ascii="Cambria Math" w:hAnsi="Cambria Math" w:cs="Cambria Math"/>
                      </w:rPr>
                      <m:t>,0</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den>
            </m:f>
          </m:e>
        </m:d>
        <m:r>
          <w:rPr>
            <w:rFonts w:ascii="Cambria Math" w:hAnsi="Cambria Math" w:cs="Cambria Math"/>
          </w:rPr>
          <m:t>,</m:t>
        </m:r>
        <m:r>
          <m:rPr>
            <m:nor/>
          </m:rPr>
          <w:rPr>
            <w:rFonts w:ascii="Cambria Math" w:hAnsi="Cambria Math" w:cs="Cambria Math"/>
          </w:rPr>
          <m:t>  </m:t>
        </m:r>
        <m:r>
          <w:rPr>
            <w:rFonts w:ascii="Cambria Math" w:hAnsi="Cambria Math" w:cs="Cambria Math"/>
          </w:rPr>
          <m:t>m</m:t>
        </m:r>
        <m:r>
          <w:rPr>
            <w:rFonts w:ascii="Cambria Math" w:hAnsi="Cambria Math" w:cs="Cambria Math"/>
          </w:rPr>
          <m:t>≠</m:t>
        </m:r>
        <m:r>
          <w:rPr>
            <w:rFonts w:ascii="Cambria Math" w:hAnsi="Cambria Math" w:cs="Cambria Math"/>
          </w:rPr>
          <m:t>C</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A12</w:t>
      </w:r>
      <w:r>
        <w:rPr>
          <w:rFonts w:cs="Times New Roman"/>
          <w:color w:val="000000"/>
          <w:sz w:val="22"/>
        </w:rPr>
        <w:t>）</w:t>
      </w:r>
    </w:p>
    <w:p w14:paraId="6BEFC1C4" w14:textId="77777777" w:rsidR="004E1393" w:rsidRDefault="00EB4DE5">
      <w:pPr>
        <w:rPr>
          <w:lang w:eastAsia="zh-CN"/>
        </w:rPr>
      </w:pPr>
      <w:r>
        <w:rPr>
          <w:rFonts w:cs="Times New Roman"/>
          <w:color w:val="000000"/>
          <w:lang w:eastAsia="zh-CN"/>
        </w:rPr>
        <w:t xml:space="preserve">外国合计生产目标对应同一部门各外国母国的共同</w:t>
      </w:r>
      <m:oMath>
        <m:sSub>
          <m:e>
            <m:r>
              <w:rPr>
                <w:rFonts w:ascii="Cambria Math" w:hAnsi="Cambria Math" w:cs="Cambria Math" w:eastAsia="宋体"/>
                <w:sz w:val="24"/>
              </w:rPr>
              <m:t>δ</m:t>
            </m:r>
          </m:e>
          <m:sub>
            <m:r>
              <w:rPr>
                <w:rFonts w:ascii="Cambria Math" w:hAnsi="Cambria Math" w:cs="Cambria Math" w:eastAsia="宋体"/>
                <w:sz w:val="24"/>
              </w:rPr>
              <m:t>j</m:t>
            </m:r>
          </m:sub>
        </m:sSub>
      </m:oMath>
      <w:r>
        <w:rPr>
          <w:rFonts w:cs="Times New Roman"/>
          <w:color w:val="000000"/>
          <w:lang w:eastAsia="zh-CN"/>
        </w:rPr>
        <w:t xml:space="preserve">；母国别成本差异对应母国别目标。</w:t>
      </w:r>
      <m:oMath>
        <m:sSub>
          <m:e>
            <m:r>
              <w:rPr>
                <w:rFonts w:ascii="Cambria Math" w:hAnsi="Cambria Math" w:cs="Cambria Math" w:eastAsia="宋体"/>
                <w:sz w:val="24"/>
              </w:rPr>
              <m:t>δ</m:t>
            </m:r>
          </m:e>
          <m:sub>
            <m:r>
              <w:rPr>
                <w:rFonts w:ascii="Cambria Math" w:hAnsi="Cambria Math" w:cs="Cambria Math" w:eastAsia="宋体"/>
                <w:sz w:val="24"/>
              </w:rPr>
              <m:t>j</m:t>
            </m:r>
          </m:sub>
        </m:sSub>
        <m:r>
          <w:rPr>
            <w:rFonts w:ascii="Cambria Math" w:hAnsi="Cambria Math" w:cs="Cambria Math" w:eastAsia="宋体"/>
            <w:sz w:val="24"/>
          </w:rPr>
          <m:t>&lt;0</m:t>
        </m:r>
      </m:oMath>
      <w:r>
        <w:rPr>
          <w:rFonts w:cs="Times New Roman"/>
          <w:color w:val="000000"/>
          <w:lang w:eastAsia="zh-CN"/>
        </w:rPr>
        <w:t xml:space="preserve">表示等效成本下降，成本与效率变化倍数分别为</w:t>
      </w:r>
    </w:p>
    <w:p w14:paraId="67E97EA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rPr>
                  <m:t>d</m:t>
                </m:r>
              </m:e>
            </m:acc>
          </m:e>
          <m:sub>
            <m:r>
              <w:rPr>
                <w:rFonts w:ascii="Cambria Math" w:hAnsi="Cambria Math" w:cs="Cambria Math"/>
              </w:rPr>
              <m:t>Cm</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ξ</m:t>
                </m:r>
              </m:e>
            </m:acc>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A13</w:t>
      </w:r>
      <w:r>
        <w:rPr>
          <w:rFonts w:cs="Times New Roman"/>
          <w:color w:val="000000"/>
          <w:sz w:val="22"/>
        </w:rPr>
        <w:t>）</w:t>
      </w:r>
    </w:p>
    <w:p w14:paraId="03ACAFA7" w14:textId="77777777" w:rsidR="004E1393" w:rsidRDefault="00EB4DE5">
      <w:pPr>
        <w:rPr>
          <w:lang w:eastAsia="zh-CN"/>
        </w:rPr>
      </w:pPr>
      <w:r>
        <w:rPr>
          <w:rFonts w:cs="Times New Roman"/>
          <w:color w:val="000000"/>
          <w:lang w:eastAsia="zh-CN"/>
        </w:rPr>
        <w:t xml:space="preserve">将式（A9）的部门目标组成向量</w:t>
      </w:r>
      <m:oMath>
        <m:r>
          <w:rPr>
            <w:rFonts w:ascii="Cambria Math" w:hAnsi="Cambria Math" w:cs="Cambria Math" w:eastAsia="宋体"/>
            <w:sz w:val="24"/>
          </w:rPr>
          <m:t>g</m:t>
        </m:r>
      </m:oMath>
      <w:r>
        <w:rPr>
          <w:rFonts w:cs="Times New Roman"/>
          <w:color w:val="000000"/>
          <w:lang w:eastAsia="zh-CN"/>
        </w:rPr>
        <w:t xml:space="preserve">，以</w:t>
      </w:r>
      <m:oMath>
        <m:r>
          <w:rPr>
            <w:rFonts w:ascii="Cambria Math" w:hAnsi="Cambria Math" w:cs="Cambria Math" w:eastAsia="宋体"/>
            <w:sz w:val="24"/>
          </w:rPr>
          <m:t>𝒪</m:t>
        </m:r>
      </m:oMath>
      <w:r>
        <w:rPr>
          <w:rFonts w:cs="Times New Roman"/>
          <w:color w:val="000000"/>
          <w:lang w:eastAsia="zh-CN"/>
        </w:rPr>
        <w:t xml:space="preserve">表示沿用A.6的控制定义、加总范围和计价口径，从模型结果计算两种情景生产份额差的操作。</w:t>
      </w:r>
    </w:p>
    <w:p w14:paraId="12DB4B20" w14:textId="77777777" w:rsidR="004E1393" w:rsidRDefault="00EB4DE5">
      <w:pPr>
        <w:rPr>
          <w:lang w:eastAsia="zh-CN"/>
        </w:rPr>
      </w:pPr>
      <w:r>
        <w:rPr>
          <w:rFonts w:cs="Times New Roman"/>
          <w:color w:val="000000"/>
          <w:lang w:eastAsia="zh-CN"/>
        </w:rPr>
        <w:t xml:space="preserve">令</w:t>
      </w:r>
      <m:oMath>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(s;Z)</m:t>
        </m:r>
      </m:oMath>
      <w:r>
        <w:rPr>
          <w:rFonts w:cs="Times New Roman"/>
          <w:color w:val="000000"/>
          <w:lang w:eastAsia="zh-CN"/>
        </w:rPr>
        <w:t xml:space="preserve">表示从经济状态</w:t>
      </w:r>
      <m:oMath>
        <m:r>
          <w:rPr>
            <w:rFonts w:ascii="Cambria Math" w:hAnsi="Cambria Math" w:cs="Cambria Math" w:eastAsia="宋体"/>
            <w:sz w:val="24"/>
          </w:rPr>
          <m:t>Z</m:t>
        </m:r>
      </m:oMath>
      <w:r>
        <w:rPr>
          <w:rFonts w:cs="Times New Roman"/>
          <w:color w:val="000000"/>
          <w:lang w:eastAsia="zh-CN"/>
        </w:rPr>
        <w:t xml:space="preserve">施加MP成本对数变化</w:t>
      </w:r>
      <m:oMath>
        <m:r>
          <w:rPr>
            <w:rFonts w:ascii="Cambria Math" w:hAnsi="Cambria Math" w:cs="Cambria Math" w:eastAsia="宋体"/>
            <w:sz w:val="24"/>
          </w:rPr>
          <m:t>s</m:t>
        </m:r>
      </m:oMath>
      <w:r>
        <w:rPr>
          <w:rFonts w:cs="Times New Roman"/>
          <w:color w:val="000000"/>
          <w:lang w:eastAsia="zh-CN"/>
        </w:rPr>
        <w:t xml:space="preserve">的模型解。局部均衡（PE）固定选定的价格、工资和需求；一般均衡（GE）允许这些变量共同调整。实际受限状态作为情景0时，固定</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0</m:t>
            </m:r>
          </m:sup>
        </m:sSup>
      </m:oMath>
      <w:r>
        <w:rPr>
          <w:rFonts w:cs="Times New Roman"/>
          <w:color w:val="000000"/>
          <w:lang w:eastAsia="zh-CN"/>
        </w:rPr>
        <w:t xml:space="preserve">，正向求</w:t>
      </w:r>
      <m:oMath>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(δ)=</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m:t>
        </m:r>
      </m:oMath>
      <w:r>
        <w:rPr>
          <w:rFonts w:cs="Times New Roman"/>
          <w:color w:val="000000"/>
          <w:lang w:eastAsia="zh-CN"/>
        </w:rPr>
        <w:t xml:space="preserve">；实际资料对应历史变化后的情景1时，固定</w:t>
      </w:r>
      <m:oMath>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1</m:t>
            </m:r>
          </m:sup>
        </m:sSup>
      </m:oMath>
      <w:r>
        <w:rPr>
          <w:rFonts w:cs="Times New Roman"/>
          <w:color w:val="000000"/>
          <w:lang w:eastAsia="zh-CN"/>
        </w:rPr>
        <w:t xml:space="preserve">，反向求</w:t>
      </w:r>
      <m:oMath>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(δ)=</m:t>
        </m:r>
        <m:sSub>
          <m:e>
            <m:r>
              <w:rPr>
                <w:rFonts w:ascii="Cambria Math" w:hAnsi="Cambria Math" w:cs="Cambria Math" w:eastAsia="宋体"/>
                <w:sz w:val="24"/>
              </w:rPr>
              <m:t>G</m:t>
            </m:r>
          </m:e>
          <m:sub>
            <m:r>
              <w:rPr>
                <w:rFonts w:ascii="Cambria Math" w:hAnsi="Cambria Math" w:cs="Cambria Math" w:eastAsia="宋体"/>
                <w:sz w:val="24"/>
              </w:rPr>
              <m:t>χ</m:t>
            </m:r>
          </m:sub>
        </m:sSub>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m:t>
        </m:r>
      </m:oMath>
      <w:r>
        <w:rPr>
          <w:rFonts w:cs="Times New Roman"/>
          <w:color w:val="000000"/>
          <w:lang w:eastAsia="zh-CN"/>
        </w:rPr>
        <w:t xml:space="preserve">。每次比较只改变一侧，模型目标与经验目标之差为</w:t>
      </w:r>
    </w:p>
    <w:p w14:paraId="01DDB99C"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r>
          <w:rPr>
            <w:rFonts w:ascii="Cambria Math" w:hAnsi="Cambria Math" w:cs="Cambria Math" w:eastAsia="宋体"/>
            <w:sz w:val="24"/>
          </w:rPr>
          <m:t>r(δ)=𝒪[</m:t>
        </m:r>
        <m:sSup>
          <m:e>
            <m:r>
              <w:rPr>
                <w:rFonts w:ascii="Cambria Math" w:hAnsi="Cambria Math" w:cs="Cambria Math" w:eastAsia="宋体"/>
                <w:sz w:val="24"/>
              </w:rPr>
              <m:t>Z</m:t>
            </m:r>
          </m:e>
          <m:sup>
            <m:r>
              <w:rPr>
                <w:rFonts w:ascii="Cambria Math" w:hAnsi="Cambria Math" w:cs="Cambria Math" w:eastAsia="宋体"/>
                <w:sz w:val="24"/>
              </w:rPr>
              <m:t>1</m:t>
            </m:r>
          </m:sup>
        </m:sSup>
        <m:r>
          <w:rPr>
            <w:rFonts w:ascii="Cambria Math" w:hAnsi="Cambria Math" w:cs="Cambria Math" w:eastAsia="宋体"/>
            <w:sz w:val="24"/>
          </w:rPr>
          <m:t>(δ),</m:t>
        </m:r>
        <m:sSup>
          <m:e>
            <m:r>
              <w:rPr>
                <w:rFonts w:ascii="Cambria Math" w:hAnsi="Cambria Math" w:cs="Cambria Math" w:eastAsia="宋体"/>
                <w:sz w:val="24"/>
              </w:rPr>
              <m:t>Z</m:t>
            </m:r>
          </m:e>
          <m:sup>
            <m:r>
              <w:rPr>
                <w:rFonts w:ascii="Cambria Math" w:hAnsi="Cambria Math" w:cs="Cambria Math" w:eastAsia="宋体"/>
                <w:sz w:val="24"/>
              </w:rPr>
              <m:t>0</m:t>
            </m:r>
          </m:sup>
        </m:sSup>
        <m:r>
          <w:rPr>
            <w:rFonts w:ascii="Cambria Math" w:hAnsi="Cambria Math" w:cs="Cambria Math" w:eastAsia="宋体"/>
            <w:sz w:val="24"/>
          </w:rPr>
          <m:t>(δ)]−g.</m:t>
        </m:r>
      </m:oMath>
      <w:r>
        <w:rPr>
          <w:rFonts w:cs="Times New Roman"/>
          <w:color w:val="000000"/>
          <w:lang w:eastAsia="zh-CN"/>
        </w:rPr>
        <w:tab/>
        <w:t xml:space="preserve">（A14）</w:t>
      </w:r>
    </w:p>
    <w:p w14:paraId="322644E1" w14:textId="77777777" w:rsidR="004E1393" w:rsidRDefault="00EB4DE5">
      <w:pPr>
        <w:tabs>
          <w:tab w:val="center" w:pos="4309"/>
          <w:tab w:val="right" w:pos="9241"/>
        </w:tabs>
        <w:spacing w:before="140" w:after="140" w:line="252" w:lineRule="auto"/>
        <w:ind w:firstLine="0"/>
      </w:pPr>
      <w:r>
        <w:rPr>
          <w:rFonts w:cs="Times New Roman"/>
          <w:color w:val="000000"/>
        </w:rPr>
        <w:tab/>
      </w:r>
      <m:oMath>
        <m:acc>
          <m:accPr>
            <m:ctrlPr>
              <w:rPr>
                <w:rFonts w:ascii="Cambria Math" w:hAnsi="Cambria Math"/>
              </w:rPr>
            </m:ctrlPr>
          </m:accPr>
          <m:e>
            <m:r>
              <m:rPr>
                <m:sty m:val="bi"/>
              </m:rPr>
              <w:rPr>
                <w:rFonts w:ascii="Cambria Math" w:hAnsi="Cambria Math" w:cs="Cambria Math"/>
              </w:rPr>
              <m:t>δ</m:t>
            </m:r>
          </m:e>
        </m:acc>
        <m:r>
          <w:rPr>
            <w:rFonts w:ascii="Cambria Math" w:hAnsi="Cambria Math" w:cs="Cambria Math"/>
          </w:rPr>
          <m:t>=</m:t>
        </m:r>
        <m:sSub>
          <m:sSubPr>
            <m:ctrlPr>
              <w:rPr>
                <w:rFonts w:ascii="Cambria Math" w:hAnsi="Cambria Math"/>
              </w:rPr>
            </m:ctrlPr>
          </m:sSubPr>
          <m:e>
            <m:r>
              <m:rPr>
                <m:sty m:val="p"/>
              </m:rPr>
              <w:rPr>
                <w:rFonts w:ascii="Cambria Math" w:hAnsi="Cambria Math" w:cs="Cambria Math"/>
              </w:rPr>
              <m:t>argmin</m:t>
            </m:r>
          </m:e>
          <m:sub>
            <m:r>
              <m:rPr>
                <m:sty m:val="bi"/>
              </m:rPr>
              <w:rPr>
                <w:rFonts w:ascii="Cambria Math" w:hAnsi="Cambria Math" w:cs="Cambria Math"/>
              </w:rPr>
              <m:t>δ</m:t>
            </m:r>
            <m:r>
              <w:rPr>
                <w:rFonts w:ascii="Cambria Math" w:hAnsi="Cambria Math" w:cs="Cambria Math"/>
              </w:rPr>
              <m:t>∈</m:t>
            </m:r>
            <m:r>
              <m:rPr>
                <m:scr m:val="script"/>
              </m:rPr>
              <w:rPr>
                <w:rFonts w:ascii="Cambria Math" w:hAnsi="Cambria Math" w:cs="Cambria Math"/>
              </w:rPr>
              <m:t>D</m:t>
            </m:r>
          </m:sub>
        </m:sSub>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sSup>
          <m:sSupPr>
            <m:ctrlPr>
              <w:rPr>
                <w:rFonts w:ascii="Cambria Math" w:hAnsi="Cambria Math"/>
              </w:rPr>
            </m:ctrlPr>
          </m:sSupPr>
          <m:e>
            <m:r>
              <w:rPr>
                <w:rFonts w:ascii="Cambria Math" w:hAnsi="Cambria Math" w:cs="Cambria Math"/>
              </w:rPr>
              <m:t>)</m:t>
            </m:r>
          </m:e>
          <m:sup>
            <m:r>
              <w:rPr>
                <w:rFonts w:ascii="Cambria Math" w:hAnsi="Cambria Math" w:cs="Cambria Math"/>
              </w:rPr>
              <m:t>'</m:t>
            </m:r>
          </m:sup>
        </m:sSup>
        <m:r>
          <w:rPr>
            <w:rFonts w:ascii="Cambria Math" w:hAnsi="Cambria Math" w:cs="Cambria Math"/>
          </w:rPr>
          <m:t>Ω</m:t>
        </m:r>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A15</w:t>
      </w:r>
      <w:r>
        <w:rPr>
          <w:rFonts w:cs="Times New Roman"/>
          <w:color w:val="000000"/>
          <w:sz w:val="22"/>
        </w:rPr>
        <w:t>）</w:t>
      </w:r>
    </w:p>
    <w:p w14:paraId="012D2FDB" w14:textId="77777777" w:rsidR="004E1393" w:rsidRDefault="00EB4DE5">
      <w:pPr>
        <w:rPr>
          <w:lang w:eastAsia="zh-CN"/>
        </w:rPr>
      </w:pPr>
      <w:r>
        <w:rPr>
          <w:rFonts w:cs="Times New Roman"/>
          <w:color w:val="000000"/>
          <w:lang w:eastAsia="zh-CN"/>
        </w:rPr>
        <w:t xml:space="preserve">式（A15）在成本参数范围</w:t>
      </w:r>
      <m:oMath>
        <m:r>
          <w:rPr>
            <w:rFonts w:ascii="Cambria Math" w:hAnsi="Cambria Math" w:cs="Cambria Math" w:eastAsia="宋体"/>
            <w:sz w:val="24"/>
          </w:rPr>
          <m:t>𝒟</m:t>
        </m:r>
      </m:oMath>
      <w:r>
        <w:rPr>
          <w:rFonts w:cs="Times New Roman"/>
          <w:color w:val="000000"/>
          <w:lang w:eastAsia="zh-CN"/>
        </w:rPr>
        <w:t xml:space="preserve">内，选择使加权误差最小的</w:t>
      </w:r>
      <m:oMath>
        <m:r>
          <w:rPr>
            <w:rFonts w:ascii="Cambria Math" w:hAnsi="Cambria Math" w:cs="Cambria Math" w:eastAsia="宋体"/>
            <w:sz w:val="24"/>
          </w:rPr>
          <m:t>δ</m:t>
        </m:r>
      </m:oMath>
      <w:r>
        <w:rPr>
          <w:rFonts w:cs="Times New Roman"/>
          <w:color w:val="000000"/>
          <w:lang w:eastAsia="zh-CN"/>
        </w:rPr>
        <w:t xml:space="preserve">：每给定一组成本变化，模型生成两种状态的生产和份额，按</w:t>
      </w:r>
      <m:oMath>
        <m:r>
          <w:rPr>
            <w:rFonts w:ascii="Cambria Math" w:hAnsi="Cambria Math" w:cs="Cambria Math" w:eastAsia="宋体"/>
            <w:sz w:val="24"/>
          </w:rPr>
          <m:t>𝒪</m:t>
        </m:r>
      </m:oMath>
      <w:r>
        <w:rPr>
          <w:rFonts w:cs="Times New Roman"/>
          <w:color w:val="000000"/>
          <w:lang w:eastAsia="zh-CN"/>
        </w:rPr>
        <w:t xml:space="preserve">计算差异，再与</w:t>
      </w:r>
      <m:oMath>
        <m:r>
          <w:rPr>
            <w:rFonts w:ascii="Cambria Math" w:hAnsi="Cambria Math" w:cs="Cambria Math" w:eastAsia="宋体"/>
            <w:sz w:val="24"/>
          </w:rPr>
          <m:t>g</m:t>
        </m:r>
      </m:oMath>
      <w:r>
        <w:rPr>
          <w:rFonts w:cs="Times New Roman"/>
          <w:color w:val="000000"/>
          <w:lang w:eastAsia="zh-CN"/>
        </w:rPr>
        <w:t xml:space="preserve">比较。</w:t>
      </w:r>
      <m:oMath>
        <m:r>
          <w:rPr>
            <w:rFonts w:ascii="Cambria Math" w:hAnsi="Cambria Math" w:cs="Cambria Math" w:eastAsia="宋体"/>
            <w:sz w:val="24"/>
          </w:rPr>
          <m:t>Ω</m:t>
        </m:r>
      </m:oMath>
      <w:r>
        <w:rPr>
          <w:rFonts w:cs="Times New Roman"/>
          <w:color w:val="000000"/>
          <w:lang w:eastAsia="zh-CN"/>
        </w:rPr>
        <w:t xml:space="preserve">为拟合权重矩阵，协方差赋权反映目标估计精度，统一量纲权重用于比较拟合偏差。投入产出联系可能使不同部门冲击产生相近反应，目标对成本的导数及局部秩用于判断能否区分这些冲击；外国、国内和总生产互有关联，不作为三项独立目标重复使用。</w:t>
      </w:r>
    </w:p>
    <w:p w14:paraId="13D8F616" w14:textId="77777777" w:rsidR="004E1393" w:rsidRDefault="00EB4DE5">
      <w:pPr>
        <w:rPr>
          <w:lang w:eastAsia="zh-CN"/>
        </w:rPr>
      </w:pPr>
      <w:r>
        <w:rPr>
          <w:rFonts w:cs="Times New Roman"/>
          <w:color w:val="000000"/>
          <w:lang w:eastAsia="zh-CN"/>
        </w:rPr>
        <w:t xml:space="preserve">用PE拟合条件生产目标后再求GE时，市场反馈会使生产变化偏离原目标，这一差异由模型单独报告。由关联预测得到的成本仍是给定回归和结构模型的情景等效成本，经验比较期限与模型均衡含义一并解释。</w:t>
      </w:r>
    </w:p>
    <w:p w14:paraId="05656497" w14:textId="77777777" w:rsidR="004E1393" w:rsidRDefault="00EB4DE5">
      <w:pPr>
        <w:pStyle w:val="21"/>
        <w:rPr>
          <w:lang w:eastAsia="zh-CN"/>
        </w:rPr>
      </w:pPr>
      <w:r>
        <w:rPr>
          <w:rFonts w:ascii="Times New Roman" w:eastAsia="宋体" w:hAnsi="Times New Roman" w:cs="Times New Roman"/>
          <w:lang w:eastAsia="zh-CN"/>
        </w:rPr>
        <w:t xml:space="preserve">A.7.4 一般均衡反事实与结果解释</w:t>
      </w:r>
    </w:p>
    <w:p w14:paraId="1DD0A9FB" w14:textId="77777777" w:rsidR="004E1393" w:rsidRDefault="00EB4DE5">
      <w:pPr>
        <w:rPr>
          <w:lang w:eastAsia="zh-CN"/>
        </w:rPr>
      </w:pPr>
      <w:r>
        <w:rPr>
          <w:rFonts w:cs="Times New Roman"/>
          <w:color w:val="000000"/>
          <w:lang w:eastAsia="zh-CN"/>
        </w:rPr>
        <w:t xml:space="preserve">令</w:t>
      </w:r>
      <m:oMath>
        <m:sSub>
          <m:e>
            <m:r>
              <w:rPr>
                <w:rFonts w:ascii="Cambria Math" w:hAnsi="Cambria Math" w:cs="Cambria Math" w:eastAsia="宋体"/>
                <w:sz w:val="24"/>
              </w:rPr>
              <m:t>J</m:t>
            </m:r>
          </m:e>
          <m:sub>
            <m:r>
              <w:rPr>
                <w:rFonts w:ascii="Cambria Math" w:hAnsi="Cambria Math" w:cs="Cambria Math" w:eastAsia="宋体"/>
                <w:sz w:val="24"/>
              </w:rPr>
              <m:t>R</m:t>
            </m:r>
          </m:sub>
        </m:sSub>
      </m:oMath>
      <w:r>
        <w:rPr>
          <w:rFonts w:cs="Times New Roman"/>
          <w:color w:val="000000"/>
          <w:lang w:eastAsia="zh-CN"/>
        </w:rPr>
        <w:t xml:space="preserve">为纳入成本冲击的模型部门集合，按拟合的成本变化，从情景0到情景1设置外国企业在华MP效率：</w:t>
      </w:r>
    </w:p>
    <w:p w14:paraId="6915D3B4"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r>
          <w:rPr>
            <w:rFonts w:ascii="Cambria Math" w:hAnsi="Cambria Math" w:cs="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cs="Cambria Math"/>
                      <w:lang w:eastAsia="zh-CN"/>
                    </w:rPr>
                    <m:t>exp</m:t>
                  </m:r>
                  <m:r>
                    <w:rPr>
                      <w:rFonts w:ascii="Cambria Math" w:hAnsi="Cambria Math" w:cs="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cs="Cambria Math"/>
                              <w:lang w:eastAsia="zh-CN"/>
                            </w:rPr>
                            <m:t>δ</m:t>
                          </m:r>
                        </m:e>
                      </m:acc>
                    </m:e>
                    <m:sub>
                      <m:r>
                        <w:rPr>
                          <w:rFonts w:ascii="Cambria Math" w:hAnsi="Cambria Math" w:cs="Cambria Math"/>
                          <w:lang w:eastAsia="zh-CN"/>
                        </w:rPr>
                        <m:t>j</m:t>
                      </m:r>
                    </m:sub>
                  </m:sSub>
                  <m:r>
                    <w:rPr>
                      <w:rFonts w:ascii="Cambria Math" w:hAnsi="Cambria Math" w:cs="Cambria Math"/>
                      <w:lang w:eastAsia="zh-CN"/>
                    </w:rPr>
                    <m:t>),</m:t>
                  </m:r>
                </m:e>
                <m:e>
                  <m:r>
                    <w:rPr>
                      <w:rFonts w:ascii="Cambria Math" w:hAnsi="Cambria Math" w:cs="Cambria Math"/>
                      <w:lang w:eastAsia="zh-CN"/>
                    </w:rPr>
                    <m:t>i</m:t>
                  </m:r>
                  <m:r>
                    <w:rPr>
                      <w:rFonts w:ascii="Cambria Math" w:hAnsi="Cambria Math" w:cs="Cambria Math"/>
                      <w:lang w:eastAsia="zh-CN"/>
                    </w:rPr>
                    <m:t>=</m:t>
                  </m:r>
                  <m:r>
                    <w:rPr>
                      <w:rFonts w:ascii="Cambria Math" w:hAnsi="Cambria Math" w:cs="Cambria Math"/>
                      <w:lang w:eastAsia="zh-CN"/>
                    </w:rPr>
                    <m:t>C</m:t>
                  </m:r>
                  <m:r>
                    <w:rPr>
                      <w:rFonts w:ascii="Cambria Math" w:hAnsi="Cambria Math" w:cs="Cambria Math"/>
                      <w:lang w:eastAsia="zh-CN"/>
                    </w:rPr>
                    <m:t>,</m:t>
                  </m:r>
                  <m:r>
                    <m:rPr>
                      <m:sty m:val="p"/>
                    </m:rPr>
                    <w:rPr>
                      <w:rFonts w:ascii="Cambria Math" w:hAnsi="Cambria Math" w:cs="Cambria Math"/>
                      <w:lang w:eastAsia="zh-CN"/>
                    </w:rPr>
                    <m:t> </m:t>
                  </m:r>
                  <m:r>
                    <w:rPr>
                      <w:rFonts w:ascii="Cambria Math" w:hAnsi="Cambria Math" w:cs="Cambria Math"/>
                      <w:lang w:eastAsia="zh-CN"/>
                    </w:rPr>
                    <m:t>m</m:t>
                  </m:r>
                  <m:r>
                    <w:rPr>
                      <w:rFonts w:ascii="Cambria Math" w:hAnsi="Cambria Math" w:cs="Cambria Math"/>
                      <w:lang w:eastAsia="zh-CN"/>
                    </w:rPr>
                    <m:t>≠</m:t>
                  </m:r>
                  <m:r>
                    <w:rPr>
                      <w:rFonts w:ascii="Cambria Math" w:hAnsi="Cambria Math" w:cs="Cambria Math"/>
                      <w:lang w:eastAsia="zh-CN"/>
                    </w:rPr>
                    <m:t>C</m:t>
                  </m:r>
                  <m:r>
                    <w:rPr>
                      <w:rFonts w:ascii="Cambria Math" w:hAnsi="Cambria Math" w:cs="Cambria Math"/>
                      <w:lang w:eastAsia="zh-CN"/>
                    </w:rPr>
                    <m:t>,</m:t>
                  </m:r>
                  <m:r>
                    <m:rPr>
                      <m:sty m:val="p"/>
                    </m:rPr>
                    <w:rPr>
                      <w:rFonts w:ascii="Cambria Math" w:hAnsi="Cambria Math" w:cs="Cambria Math"/>
                      <w:lang w:eastAsia="zh-CN"/>
                    </w:rPr>
                    <m:t> </m:t>
                  </m:r>
                  <m:r>
                    <w:rPr>
                      <w:rFonts w:ascii="Cambria Math" w:hAnsi="Cambria Math" w:cs="Cambria Math"/>
                      <w:lang w:eastAsia="zh-CN"/>
                    </w:rPr>
                    <m:t>j</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J</m:t>
                      </m:r>
                    </m:e>
                    <m:sub>
                      <m:r>
                        <w:rPr>
                          <w:rFonts w:ascii="Cambria Math" w:hAnsi="Cambria Math" w:cs="Cambria Math"/>
                          <w:lang w:eastAsia="zh-CN"/>
                        </w:rPr>
                        <m:t>R</m:t>
                      </m:r>
                    </m:sub>
                  </m:sSub>
                  <m:r>
                    <w:rPr>
                      <w:rFonts w:ascii="Cambria Math" w:hAnsi="Cambria Math" w:cs="Cambria Math"/>
                      <w:lang w:eastAsia="zh-CN"/>
                    </w:rPr>
                    <m:t>,</m:t>
                  </m:r>
                </m:e>
              </m:mr>
              <m:mr>
                <m:e>
                  <m:r>
                    <w:rPr>
                      <w:rFonts w:ascii="Cambria Math" w:hAnsi="Cambria Math" w:cs="Cambria Math"/>
                      <w:lang w:eastAsia="zh-CN"/>
                    </w:rPr>
                    <m:t>1,</m:t>
                  </m:r>
                </m:e>
                <m:e>
                  <m:r>
                    <m:rPr>
                      <m:nor/>
                    </m:rPr>
                    <w:rPr>
                      <w:rFonts w:ascii="Cambria Math" w:hAnsi="Cambria Math" w:cs="Cambria Math"/>
                      <w:lang w:eastAsia="zh-CN"/>
                    </w:rPr>
                    <m:t>其他关系</m:t>
                  </m:r>
                  <m:r>
                    <w:rPr>
                      <w:rFonts w:ascii="Cambria Math" w:hAnsi="Cambria Math" w:cs="Cambria Math"/>
                      <w:lang w:eastAsia="zh-CN"/>
                    </w:rPr>
                    <m:t>.</m:t>
                  </m:r>
                </m:e>
              </m:mr>
            </m:m>
          </m:e>
        </m:d>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A16</w:t>
      </w:r>
      <w:r>
        <w:rPr>
          <w:rFonts w:cs="Times New Roman"/>
          <w:color w:val="000000"/>
          <w:sz w:val="22"/>
          <w:lang w:eastAsia="zh-CN"/>
        </w:rPr>
        <w:t>）</w:t>
      </w:r>
    </w:p>
    <w:p w14:paraId="05679236" w14:textId="77777777" w:rsidR="004E1393" w:rsidRDefault="00EB4DE5">
      <w:pPr>
        <w:rPr>
          <w:lang w:eastAsia="zh-CN"/>
        </w:rPr>
      </w:pPr>
      <w:r>
        <w:rPr>
          <w:rFonts w:cs="Times New Roman"/>
          <w:color w:val="000000"/>
          <w:lang w:eastAsia="zh-CN"/>
        </w:rPr>
        <w:t xml:space="preserve">冲击经由生产地选择、销售方向及中间投入联系传导，价格、工资、生产和模型中的创新共同调整。[14] 比较两种状态的部门产出与价格、外国和国内生产、母国与销售目的国分布，以及实际收入和福利。实际资料已经对应后续规则时，从反向恢复的情景0出发比较，避免在实际状态上重复施加同一变化。</w:t>
      </w:r>
    </w:p>
    <w:p w14:paraId="2A5A7136" w14:textId="77777777" w:rsidR="004E1393" w:rsidRDefault="00EB4DE5">
      <w:pPr>
        <w:rPr>
          <w:lang w:eastAsia="zh-CN"/>
        </w:rPr>
      </w:pPr>
      <w:r>
        <w:rPr>
          <w:rFonts w:cs="Times New Roman"/>
          <w:color w:val="000000"/>
          <w:lang w:eastAsia="zh-CN"/>
        </w:rPr>
        <w:t xml:space="preserve">基期外国生产为零的活动单列。精确帽子代数以基期份额乘以变化倍数表达反事实，有限倍数不会把零变成正值，因此这类活动的准入后进入不由式（A16）产生。参考模型的固定营销成本解释销售市场进入，与在中国新设企业的准入成本具有不同含义。</w:t>
      </w:r>
    </w:p>
    <w:p w14:paraId="591F7D94" w14:textId="77777777" w:rsidR="004E1393" w:rsidRDefault="00EB4DE5">
      <w:pPr>
        <w:pStyle w:val="1"/>
        <w:spacing w:before="0"/>
        <w:rPr>
          <w:lang w:eastAsia="zh-CN"/>
        </w:rPr>
      </w:pPr>
      <w:r>
        <w:rPr>
          <w:rFonts w:ascii="Times New Roman" w:eastAsia="宋体" w:hAnsi="Times New Roman" w:cs="Times New Roman"/>
          <w:lang w:eastAsia="zh-CN"/>
        </w:rPr>
        <w:t>参考文献与资料说明</w:t>
      </w:r>
    </w:p>
    <w:p w14:paraId="282169A3" w14:textId="77777777" w:rsidR="004E1393" w:rsidRDefault="00EB4DE5">
      <w:pPr>
        <w:spacing w:after="140" w:line="276" w:lineRule="auto"/>
        <w:ind w:left="360" w:hanging="360"/>
        <w:rPr>
          <w:lang w:eastAsia="zh-CN"/>
        </w:rPr>
      </w:pPr>
      <w:r>
        <w:rPr>
          <w:rFonts w:cs="Times New Roman"/>
          <w:color w:val="000000"/>
          <w:sz w:val="21"/>
          <w:lang w:eastAsia="zh-CN"/>
        </w:rPr>
        <w:t xml:space="preserve">[1] </w:t>
      </w:r>
      <w:r>
        <w:rPr>
          <w:rFonts w:cs="Times New Roman"/>
          <w:color w:val="000000"/>
          <w:sz w:val="21"/>
          <w:lang w:eastAsia="zh-CN"/>
        </w:rPr>
        <w:t>国家发展改革委、商务部，</w:t>
      </w:r>
      <w:r>
        <w:rPr>
          <w:rFonts w:cs="Times New Roman"/>
          <w:color w:val="000000"/>
          <w:sz w:val="21"/>
          <w:lang w:eastAsia="zh-CN"/>
        </w:rPr>
        <w:t>2007</w:t>
      </w:r>
      <w:r>
        <w:rPr>
          <w:rFonts w:cs="Times New Roman"/>
          <w:color w:val="000000"/>
          <w:sz w:val="21"/>
          <w:lang w:eastAsia="zh-CN"/>
        </w:rPr>
        <w:t>：《外商投资产业指导目录（</w:t>
      </w:r>
      <w:r>
        <w:rPr>
          <w:rFonts w:cs="Times New Roman"/>
          <w:color w:val="000000"/>
          <w:sz w:val="21"/>
          <w:lang w:eastAsia="zh-CN"/>
        </w:rPr>
        <w:t>2007</w:t>
      </w:r>
      <w:r>
        <w:rPr>
          <w:rFonts w:cs="Times New Roman"/>
          <w:color w:val="000000"/>
          <w:sz w:val="21"/>
          <w:lang w:eastAsia="zh-CN"/>
        </w:rPr>
        <w:t>年修订）》，第</w:t>
      </w:r>
      <w:r>
        <w:rPr>
          <w:rFonts w:cs="Times New Roman"/>
          <w:color w:val="000000"/>
          <w:sz w:val="21"/>
          <w:lang w:eastAsia="zh-CN"/>
        </w:rPr>
        <w:t>57</w:t>
      </w:r>
      <w:r>
        <w:rPr>
          <w:rFonts w:cs="Times New Roman"/>
          <w:color w:val="000000"/>
          <w:sz w:val="21"/>
          <w:lang w:eastAsia="zh-CN"/>
        </w:rPr>
        <w:t>号令。</w:t>
      </w:r>
      <w:r>
        <w:rPr>
          <w:rFonts w:cs="Times New Roman"/>
          <w:color w:val="000000"/>
          <w:sz w:val="21"/>
          <w:lang w:eastAsia="zh-CN"/>
        </w:rPr>
        <w:t>2007</w:t>
      </w:r>
      <w:r>
        <w:rPr>
          <w:rFonts w:cs="Times New Roman"/>
          <w:color w:val="000000"/>
          <w:sz w:val="21"/>
          <w:lang w:eastAsia="zh-CN"/>
        </w:rPr>
        <w:t>年</w:t>
      </w:r>
      <w:r>
        <w:rPr>
          <w:rFonts w:cs="Times New Roman"/>
          <w:color w:val="000000"/>
          <w:sz w:val="21"/>
          <w:lang w:eastAsia="zh-CN"/>
        </w:rPr>
        <w:t>10</w:t>
      </w:r>
      <w:r>
        <w:rPr>
          <w:rFonts w:cs="Times New Roman"/>
          <w:color w:val="000000"/>
          <w:sz w:val="21"/>
          <w:lang w:eastAsia="zh-CN"/>
        </w:rPr>
        <w:t>月</w:t>
      </w:r>
      <w:r>
        <w:rPr>
          <w:rFonts w:cs="Times New Roman"/>
          <w:color w:val="000000"/>
          <w:sz w:val="21"/>
          <w:lang w:eastAsia="zh-CN"/>
        </w:rPr>
        <w:t>31</w:t>
      </w:r>
      <w:r>
        <w:rPr>
          <w:rFonts w:cs="Times New Roman"/>
          <w:color w:val="000000"/>
          <w:sz w:val="21"/>
          <w:lang w:eastAsia="zh-CN"/>
        </w:rPr>
        <w:t>日公布，</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日施行。</w:t>
      </w:r>
      <w:hyperlink r:id="rId8">
        <w:r>
          <w:rPr>
            <w:rFonts w:cs="Times New Roman"/>
            <w:color w:val="234A70"/>
            <w:sz w:val="21"/>
            <w:lang w:eastAsia="zh-CN"/>
          </w:rPr>
          <w:t>商务部原文</w:t>
        </w:r>
      </w:hyperlink>
      <w:r>
        <w:rPr>
          <w:rFonts w:cs="Times New Roman"/>
          <w:color w:val="000000"/>
          <w:sz w:val="21"/>
          <w:lang w:eastAsia="zh-CN"/>
        </w:rPr>
        <w:t>。</w:t>
      </w:r>
    </w:p>
    <w:p w14:paraId="24DE6802" w14:textId="77777777" w:rsidR="004E1393" w:rsidRDefault="00EB4DE5">
      <w:pPr>
        <w:spacing w:after="140" w:line="276" w:lineRule="auto"/>
        <w:ind w:left="360" w:hanging="360"/>
        <w:rPr>
          <w:lang w:eastAsia="zh-CN"/>
        </w:rPr>
      </w:pPr>
      <w:r>
        <w:rPr>
          <w:rFonts w:cs="Times New Roman"/>
          <w:color w:val="000000"/>
          <w:sz w:val="21"/>
          <w:lang w:eastAsia="zh-CN"/>
        </w:rPr>
        <w:t xml:space="preserve">[2] </w:t>
      </w:r>
      <w:r>
        <w:rPr>
          <w:rFonts w:cs="Times New Roman"/>
          <w:color w:val="000000"/>
          <w:sz w:val="21"/>
          <w:lang w:eastAsia="zh-CN"/>
        </w:rPr>
        <w:t>国家发展改革委，</w:t>
      </w:r>
      <w:r>
        <w:rPr>
          <w:rFonts w:cs="Times New Roman"/>
          <w:color w:val="000000"/>
          <w:sz w:val="21"/>
          <w:lang w:eastAsia="zh-CN"/>
        </w:rPr>
        <w:t>2011</w:t>
      </w:r>
      <w:r>
        <w:rPr>
          <w:rFonts w:cs="Times New Roman"/>
          <w:color w:val="000000"/>
          <w:sz w:val="21"/>
          <w:lang w:eastAsia="zh-CN"/>
        </w:rPr>
        <w:t>：《关于〈外商投资产业指导目录（修订征求意见稿）〉公开征求意见的公告》及草案。通知署期</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日，发改委网页</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2</w:t>
      </w:r>
      <w:r>
        <w:rPr>
          <w:rFonts w:cs="Times New Roman"/>
          <w:color w:val="000000"/>
          <w:sz w:val="21"/>
          <w:lang w:eastAsia="zh-CN"/>
        </w:rPr>
        <w:t>日公开。</w:t>
      </w:r>
      <w:hyperlink r:id="rId9">
        <w:r>
          <w:rPr>
            <w:rFonts w:cs="Times New Roman"/>
            <w:color w:val="234A70"/>
            <w:sz w:val="21"/>
            <w:lang w:eastAsia="zh-CN"/>
          </w:rPr>
          <w:t>公告</w:t>
        </w:r>
      </w:hyperlink>
      <w:r>
        <w:rPr>
          <w:rFonts w:cs="Times New Roman"/>
          <w:color w:val="000000"/>
          <w:sz w:val="21"/>
          <w:lang w:eastAsia="zh-CN"/>
        </w:rPr>
        <w:t>；</w:t>
      </w:r>
      <w:hyperlink r:id="rId10">
        <w:r>
          <w:rPr>
            <w:rFonts w:cs="Times New Roman"/>
            <w:color w:val="234A70"/>
            <w:sz w:val="21"/>
            <w:lang w:eastAsia="zh-CN"/>
          </w:rPr>
          <w:t>草案</w:t>
        </w:r>
      </w:hyperlink>
      <w:r>
        <w:rPr>
          <w:rFonts w:cs="Times New Roman"/>
          <w:color w:val="000000"/>
          <w:sz w:val="21"/>
          <w:lang w:eastAsia="zh-CN"/>
        </w:rPr>
        <w:t>。</w:t>
      </w:r>
    </w:p>
    <w:p w14:paraId="0348EDBF" w14:textId="77777777" w:rsidR="004E1393" w:rsidRDefault="00EB4DE5">
      <w:pPr>
        <w:spacing w:after="140" w:line="276" w:lineRule="auto"/>
        <w:ind w:left="360" w:hanging="360"/>
        <w:rPr>
          <w:lang w:eastAsia="zh-CN"/>
        </w:rPr>
      </w:pPr>
      <w:r>
        <w:rPr>
          <w:rFonts w:cs="Times New Roman"/>
          <w:color w:val="000000"/>
          <w:sz w:val="21"/>
          <w:lang w:eastAsia="zh-CN"/>
        </w:rPr>
        <w:t xml:space="preserve">[3] </w:t>
      </w:r>
      <w:r>
        <w:rPr>
          <w:rFonts w:cs="Times New Roman"/>
          <w:color w:val="000000"/>
          <w:sz w:val="21"/>
          <w:lang w:eastAsia="zh-CN"/>
        </w:rPr>
        <w:t>国家发展改革委、商务部，</w:t>
      </w:r>
      <w:r>
        <w:rPr>
          <w:rFonts w:cs="Times New Roman"/>
          <w:color w:val="000000"/>
          <w:sz w:val="21"/>
          <w:lang w:eastAsia="zh-CN"/>
        </w:rPr>
        <w:t>2011</w:t>
      </w:r>
      <w:r>
        <w:rPr>
          <w:rFonts w:cs="Times New Roman"/>
          <w:color w:val="000000"/>
          <w:sz w:val="21"/>
          <w:lang w:eastAsia="zh-CN"/>
        </w:rPr>
        <w:t>：《外商投资产业指导目录（</w:t>
      </w:r>
      <w:r>
        <w:rPr>
          <w:rFonts w:cs="Times New Roman"/>
          <w:color w:val="000000"/>
          <w:sz w:val="21"/>
          <w:lang w:eastAsia="zh-CN"/>
        </w:rPr>
        <w:t>2011</w:t>
      </w:r>
      <w:r>
        <w:rPr>
          <w:rFonts w:cs="Times New Roman"/>
          <w:color w:val="000000"/>
          <w:sz w:val="21"/>
          <w:lang w:eastAsia="zh-CN"/>
        </w:rPr>
        <w:t>年修订）》，第</w:t>
      </w:r>
      <w:r>
        <w:rPr>
          <w:rFonts w:cs="Times New Roman"/>
          <w:color w:val="000000"/>
          <w:sz w:val="21"/>
          <w:lang w:eastAsia="zh-CN"/>
        </w:rPr>
        <w:t>12</w:t>
      </w:r>
      <w:r>
        <w:rPr>
          <w:rFonts w:cs="Times New Roman"/>
          <w:color w:val="000000"/>
          <w:sz w:val="21"/>
          <w:lang w:eastAsia="zh-CN"/>
        </w:rPr>
        <w:t>号令。令文署期</w:t>
      </w:r>
      <w:r>
        <w:rPr>
          <w:rFonts w:cs="Times New Roman"/>
          <w:color w:val="000000"/>
          <w:sz w:val="21"/>
          <w:lang w:eastAsia="zh-CN"/>
        </w:rPr>
        <w:t>2011</w:t>
      </w:r>
      <w:r>
        <w:rPr>
          <w:rFonts w:cs="Times New Roman"/>
          <w:color w:val="000000"/>
          <w:sz w:val="21"/>
          <w:lang w:eastAsia="zh-CN"/>
        </w:rPr>
        <w:t>年</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24</w:t>
      </w:r>
      <w:r>
        <w:rPr>
          <w:rFonts w:cs="Times New Roman"/>
          <w:color w:val="000000"/>
          <w:sz w:val="21"/>
          <w:lang w:eastAsia="zh-CN"/>
        </w:rPr>
        <w:t>日，网页</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29</w:t>
      </w:r>
      <w:r>
        <w:rPr>
          <w:rFonts w:cs="Times New Roman"/>
          <w:color w:val="000000"/>
          <w:sz w:val="21"/>
          <w:lang w:eastAsia="zh-CN"/>
        </w:rPr>
        <w:t>日公开，</w:t>
      </w:r>
      <w:r>
        <w:rPr>
          <w:rFonts w:cs="Times New Roman"/>
          <w:color w:val="000000"/>
          <w:sz w:val="21"/>
          <w:lang w:eastAsia="zh-CN"/>
        </w:rPr>
        <w:t>2012</w:t>
      </w:r>
      <w:r>
        <w:rPr>
          <w:rFonts w:cs="Times New Roman"/>
          <w:color w:val="000000"/>
          <w:sz w:val="21"/>
          <w:lang w:eastAsia="zh-CN"/>
        </w:rPr>
        <w:t>年</w:t>
      </w:r>
      <w:r>
        <w:rPr>
          <w:rFonts w:cs="Times New Roman"/>
          <w:color w:val="000000"/>
          <w:sz w:val="21"/>
          <w:lang w:eastAsia="zh-CN"/>
        </w:rPr>
        <w:t>1</w:t>
      </w:r>
      <w:r>
        <w:rPr>
          <w:rFonts w:cs="Times New Roman"/>
          <w:color w:val="000000"/>
          <w:sz w:val="21"/>
          <w:lang w:eastAsia="zh-CN"/>
        </w:rPr>
        <w:t>月</w:t>
      </w:r>
      <w:r>
        <w:rPr>
          <w:rFonts w:cs="Times New Roman"/>
          <w:color w:val="000000"/>
          <w:sz w:val="21"/>
          <w:lang w:eastAsia="zh-CN"/>
        </w:rPr>
        <w:t>30</w:t>
      </w:r>
      <w:r>
        <w:rPr>
          <w:rFonts w:cs="Times New Roman"/>
          <w:color w:val="000000"/>
          <w:sz w:val="21"/>
          <w:lang w:eastAsia="zh-CN"/>
        </w:rPr>
        <w:t>日施行。</w:t>
      </w:r>
      <w:hyperlink r:id="rId11">
        <w:r>
          <w:rPr>
            <w:rFonts w:cs="Times New Roman"/>
            <w:color w:val="234A70"/>
            <w:sz w:val="21"/>
            <w:lang w:eastAsia="zh-CN"/>
          </w:rPr>
          <w:t>令文</w:t>
        </w:r>
      </w:hyperlink>
      <w:r>
        <w:rPr>
          <w:rFonts w:cs="Times New Roman"/>
          <w:color w:val="000000"/>
          <w:sz w:val="21"/>
          <w:lang w:eastAsia="zh-CN"/>
        </w:rPr>
        <w:t>；</w:t>
      </w:r>
      <w:hyperlink r:id="rId12">
        <w:r>
          <w:rPr>
            <w:rFonts w:cs="Times New Roman"/>
            <w:color w:val="234A70"/>
            <w:sz w:val="21"/>
            <w:lang w:eastAsia="zh-CN"/>
          </w:rPr>
          <w:t>正式目录</w:t>
        </w:r>
      </w:hyperlink>
      <w:r>
        <w:rPr>
          <w:rFonts w:cs="Times New Roman"/>
          <w:color w:val="000000"/>
          <w:sz w:val="21"/>
          <w:lang w:eastAsia="zh-CN"/>
        </w:rPr>
        <w:t>。</w:t>
      </w:r>
    </w:p>
    <w:p w14:paraId="1FD563C6" w14:textId="77777777" w:rsidR="004E1393" w:rsidRDefault="00EB4DE5">
      <w:pPr>
        <w:spacing w:after="140" w:line="276" w:lineRule="auto"/>
        <w:ind w:left="360" w:hanging="360"/>
      </w:pPr>
      <w:r>
        <w:rPr>
          <w:rFonts w:cs="Times New Roman"/>
          <w:color w:val="000000"/>
          <w:sz w:val="21"/>
          <w:lang w:eastAsia="zh-CN"/>
        </w:rPr>
        <w:t xml:space="preserve">[4] 国家发展改革委，2017：《7月28日起在全国范围内实施外商投资准入负面清单——〈外商投资产业指导目录（2017年修订）〉说明》。第3部分列明删除内外资一致限制性措施后的管理口径。</w:t>
      </w:r>
      <w:hyperlink r:id="rIdV336_1">
        <w:r>
          <w:rPr>
            <w:rFonts w:cs="Times New Roman"/>
            <w:color w:val="234A70"/>
            <w:sz w:val="21"/>
            <w:lang w:eastAsia="zh-CN"/>
          </w:rPr>
          <w:t xml:space="preserve">官方说明</w:t>
        </w:r>
      </w:hyperlink>
      <w:r>
        <w:rPr>
          <w:rFonts w:cs="Times New Roman"/>
          <w:color w:val="000000"/>
          <w:sz w:val="21"/>
          <w:lang w:eastAsia="zh-CN"/>
        </w:rPr>
        <w:t xml:space="preserve">。</w:t>
      </w:r>
    </w:p>
    <w:p w14:paraId="58615CED" w14:textId="77777777" w:rsidR="004E1393" w:rsidRDefault="00EB4DE5">
      <w:pPr>
        <w:spacing w:after="140" w:line="276" w:lineRule="auto"/>
        <w:ind w:left="360" w:hanging="360"/>
        <w:rPr>
          <w:lang w:eastAsia="zh-CN"/>
        </w:rPr>
      </w:pPr>
      <w:r>
        <w:rPr>
          <w:rFonts w:cs="Times New Roman"/>
          <w:color w:val="000000"/>
          <w:sz w:val="21"/>
        </w:rPr>
        <w:t xml:space="preserve">[5] Eppinger, P., and H. Ma. 2023. Optimal Ownership and Firm Performance: An Analysis of China’s FDI Liberalization. CESifo Working Paper No. 10551. </w:t>
      </w:r>
      <w:r>
        <w:rPr>
          <w:rFonts w:cs="Times New Roman"/>
          <w:color w:val="000000"/>
          <w:sz w:val="21"/>
        </w:rPr>
        <w:t>产品匹配见第</w:t>
      </w:r>
      <w:r>
        <w:rPr>
          <w:rFonts w:cs="Times New Roman"/>
          <w:color w:val="000000"/>
          <w:sz w:val="21"/>
        </w:rPr>
        <w:t>2.2</w:t>
      </w:r>
      <w:r>
        <w:rPr>
          <w:rFonts w:cs="Times New Roman"/>
          <w:color w:val="000000"/>
          <w:sz w:val="21"/>
        </w:rPr>
        <w:t>节及附录</w:t>
      </w:r>
      <w:r>
        <w:rPr>
          <w:rFonts w:cs="Times New Roman"/>
          <w:color w:val="000000"/>
          <w:sz w:val="21"/>
        </w:rPr>
        <w:t>A.1</w:t>
      </w:r>
      <w:r>
        <w:rPr>
          <w:rFonts w:cs="Times New Roman"/>
          <w:color w:val="000000"/>
          <w:sz w:val="21"/>
        </w:rPr>
        <w:t>。</w:t>
      </w:r>
      <w:hyperlink r:id="rId14">
        <w:r>
          <w:rPr>
            <w:rFonts w:cs="Times New Roman"/>
            <w:color w:val="234A70"/>
            <w:sz w:val="21"/>
            <w:lang w:eastAsia="zh-CN"/>
          </w:rPr>
          <w:t>论文存档</w:t>
        </w:r>
      </w:hyperlink>
      <w:r>
        <w:rPr>
          <w:rFonts w:cs="Times New Roman"/>
          <w:color w:val="000000"/>
          <w:sz w:val="21"/>
          <w:lang w:eastAsia="zh-CN"/>
        </w:rPr>
        <w:t>。</w:t>
      </w:r>
    </w:p>
    <w:p w14:paraId="2A36D135" w14:textId="77777777" w:rsidR="004E1393" w:rsidRDefault="00EB4DE5">
      <w:pPr>
        <w:spacing w:after="140" w:line="276" w:lineRule="auto"/>
        <w:ind w:left="360" w:hanging="360"/>
        <w:rPr>
          <w:lang w:eastAsia="zh-CN"/>
        </w:rPr>
      </w:pPr>
      <w:r>
        <w:rPr>
          <w:rFonts w:cs="Times New Roman"/>
          <w:color w:val="000000"/>
          <w:sz w:val="21"/>
          <w:lang w:eastAsia="zh-CN"/>
        </w:rPr>
        <w:t xml:space="preserve">[6] 项目及专项政策资料：《外商投资项目核准暂行管理办法》（2004）；《外国投资者并购境内企业的规定》（2009）；《外商投资项目核准和备案管理办法》（2014）；证券等行业专项规定、自贸试验区负面清单、CEPA及相关补充协议。</w:t>
      </w:r>
    </w:p>
    <w:p w14:paraId="1404A151" w14:textId="77777777" w:rsidR="004E1393" w:rsidRDefault="00EB4DE5">
      <w:pPr>
        <w:spacing w:after="140" w:line="276" w:lineRule="auto"/>
        <w:ind w:left="360" w:hanging="360"/>
        <w:rPr>
          <w:lang w:eastAsia="zh-CN"/>
        </w:rPr>
      </w:pPr>
      <w:r>
        <w:rPr>
          <w:rFonts w:cs="Times New Roman"/>
          <w:color w:val="000000"/>
          <w:sz w:val="21"/>
        </w:rPr>
        <w:t xml:space="preserve">[7] OECD. Analytical AMNE Database及随附说明。分类示例采用2024版readme-aamne.xlsx的Country_Industry和ReadMe_analyticalAMNE表。</w:t>
      </w:r>
      <w:r>
        <w:rPr>
          <w:rFonts w:cs="Times New Roman"/>
          <w:color w:val="000000"/>
          <w:sz w:val="21"/>
        </w:rPr>
        <w:t xml:space="preserve"> </w:t>
      </w:r>
      <w:hyperlink r:id="rId21">
        <w:r>
          <w:rPr>
            <w:rFonts w:cs="Times New Roman"/>
            <w:color w:val="234A70"/>
            <w:sz w:val="21"/>
            <w:lang w:eastAsia="zh-CN"/>
          </w:rPr>
          <w:t>OECD</w:t>
        </w:r>
        <w:r>
          <w:rPr>
            <w:rFonts w:cs="Times New Roman"/>
            <w:color w:val="234A70"/>
            <w:sz w:val="21"/>
            <w:lang w:eastAsia="zh-CN"/>
          </w:rPr>
          <w:t>数据库说明</w:t>
        </w:r>
      </w:hyperlink>
      <w:r>
        <w:rPr>
          <w:rFonts w:cs="Times New Roman"/>
          <w:color w:val="000000"/>
          <w:sz w:val="21"/>
        </w:rPr>
        <w:t xml:space="preserve">。</w:t>
      </w:r>
    </w:p>
    <w:p w14:paraId="10AD69B5" w14:textId="77777777" w:rsidR="004E1393" w:rsidRDefault="00EB4DE5">
      <w:pPr>
        <w:spacing w:after="140" w:line="276" w:lineRule="auto"/>
        <w:ind w:left="360" w:hanging="360"/>
        <w:rPr>
          <w:lang w:eastAsia="zh-CN"/>
        </w:rPr>
      </w:pPr>
      <w:r>
        <w:rPr>
          <w:rFonts w:cs="Times New Roman"/>
          <w:color w:val="000000"/>
          <w:sz w:val="21"/>
          <w:lang w:eastAsia="zh-CN"/>
        </w:rPr>
        <w:t xml:space="preserve">[8] 本地2007—2020年度全国税收调查整理DTA、税调基本信息07_20.dta及“税调变量说明07-16”。</w:t>
      </w:r>
    </w:p>
    <w:p w14:paraId="67BD10F4" w14:textId="77777777" w:rsidR="004E1393" w:rsidRDefault="00EB4DE5">
      <w:pPr>
        <w:spacing w:after="140" w:line="276" w:lineRule="auto"/>
        <w:ind w:left="360" w:hanging="360"/>
      </w:pPr>
      <w:r>
        <w:rPr>
          <w:rFonts w:cs="Times New Roman"/>
          <w:color w:val="000000"/>
          <w:sz w:val="21"/>
          <w:lang w:eastAsia="zh-CN"/>
        </w:rPr>
        <w:t xml:space="preserve">[9] 国家统计局：GB/T 4754—2002、GB/T 4754—2011、GB/T 4754—2017《国民经济行业分类》、2019年第1号修改单、《2017年国民经济行业分类注释》及GB2002—GB2011对照表。分类转换采用GB2017附录B、C。</w:t>
      </w:r>
      <w:r>
        <w:rPr>
          <w:rFonts w:cs="Times New Roman"/>
          <w:color w:val="000000"/>
          <w:sz w:val="21"/>
          <w:lang w:eastAsia="zh-CN"/>
        </w:rPr>
        <w:t xml:space="preserve"> </w:t>
      </w:r>
      <w:hyperlink r:id="rId22">
        <w:r>
          <w:rPr>
            <w:rFonts w:cs="Times New Roman"/>
            <w:color w:val="234A70"/>
            <w:sz w:val="21"/>
          </w:rPr>
          <w:t>标准及修改单</w:t>
        </w:r>
      </w:hyperlink>
      <w:r>
        <w:rPr>
          <w:rFonts w:cs="Times New Roman"/>
          <w:color w:val="000000"/>
          <w:sz w:val="21"/>
          <w:lang w:eastAsia="zh-CN"/>
        </w:rPr>
        <w:t xml:space="preserve">；</w:t>
      </w:r>
      <w:hyperlink r:id="rId23">
        <w:r>
          <w:rPr>
            <w:rFonts w:cs="Times New Roman"/>
            <w:color w:val="234A70"/>
            <w:sz w:val="21"/>
          </w:rPr>
          <w:t>分类注释</w:t>
        </w:r>
      </w:hyperlink>
      <w:r>
        <w:rPr>
          <w:rFonts w:cs="Times New Roman"/>
          <w:color w:val="000000"/>
          <w:sz w:val="21"/>
          <w:lang w:eastAsia="zh-CN"/>
        </w:rPr>
        <w:t xml:space="preserve">。</w:t>
      </w:r>
    </w:p>
    <w:p w14:paraId="5B40566D" w14:textId="77777777" w:rsidR="004E1393" w:rsidRDefault="00EB4DE5">
      <w:pPr>
        <w:spacing w:after="140" w:line="276" w:lineRule="auto"/>
        <w:ind w:left="360" w:hanging="360"/>
      </w:pPr>
      <w:r>
        <w:rPr>
          <w:rFonts w:cs="Times New Roman"/>
          <w:color w:val="000000"/>
          <w:sz w:val="21"/>
        </w:rPr>
        <w:t xml:space="preserve">[10] United Nations. 2008. International Standard Industrial Classification of All Economic Activities, Revision 4. Statistical Papers, Series M, No. 4/Rev.4.</w:t>
      </w:r>
      <w:r>
        <w:rPr>
          <w:rFonts w:cs="Times New Roman"/>
          <w:color w:val="000000"/>
          <w:sz w:val="21"/>
        </w:rPr>
        <w:t xml:space="preserve"> </w:t>
      </w:r>
      <w:hyperlink r:id="rId24">
        <w:r>
          <w:rPr>
            <w:rFonts w:cs="Times New Roman"/>
            <w:color w:val="234A70"/>
            <w:sz w:val="21"/>
          </w:rPr>
          <w:t>联合国原典</w:t>
        </w:r>
      </w:hyperlink>
      <w:r>
        <w:rPr>
          <w:rFonts w:cs="Times New Roman"/>
          <w:color w:val="000000"/>
          <w:sz w:val="21"/>
        </w:rPr>
        <w:t xml:space="preserve">。</w:t>
      </w:r>
    </w:p>
    <w:p w14:paraId="4E40821E" w14:textId="77777777" w:rsidR="004E1393" w:rsidRDefault="00EB4DE5">
      <w:pPr>
        <w:spacing w:after="140" w:line="276" w:lineRule="auto"/>
        <w:ind w:left="360" w:hanging="360"/>
      </w:pPr>
      <w:r>
        <w:rPr>
          <w:rFonts w:cs="Times New Roman"/>
          <w:color w:val="000000"/>
          <w:sz w:val="21"/>
        </w:rPr>
        <w:t xml:space="preserve">[11] Santos Silva, J. M. C., and S. Tenreyro. 2006. The Log of Gravity. The Review of Economics and Statistics, 88(4): 641–658. </w:t>
      </w:r>
      <w:hyperlink r:id="rId25">
        <w:r>
          <w:rPr>
            <w:rFonts w:cs="Times New Roman"/>
            <w:color w:val="234A70"/>
            <w:sz w:val="21"/>
          </w:rPr>
          <w:t>作者资料页</w:t>
        </w:r>
      </w:hyperlink>
      <w:r>
        <w:rPr>
          <w:rFonts w:cs="Times New Roman"/>
          <w:color w:val="000000"/>
          <w:sz w:val="21"/>
        </w:rPr>
        <w:t>。</w:t>
      </w:r>
    </w:p>
    <w:p w14:paraId="1BCC8FAB" w14:textId="77777777" w:rsidR="004E1393" w:rsidRDefault="00EB4DE5">
      <w:pPr>
        <w:spacing w:after="140" w:line="276" w:lineRule="auto"/>
        <w:ind w:left="360" w:hanging="360"/>
      </w:pPr>
      <w:r>
        <w:rPr>
          <w:rFonts w:cs="Times New Roman"/>
          <w:color w:val="000000"/>
          <w:sz w:val="21"/>
        </w:rPr>
        <w:t xml:space="preserve">[12] Imai, K., and I. S. Kim. 2019. When Should We Use Unit Fixed Effects Regression Models for Causal Inference with Longitudinal Data? American Journal of Political Science, 63(2): 467–490.</w:t>
      </w:r>
      <w:r>
        <w:rPr>
          <w:rFonts w:cs="Times New Roman"/>
          <w:color w:val="000000"/>
          <w:sz w:val="21"/>
        </w:rPr>
        <w:t xml:space="preserve"> </w:t>
      </w:r>
      <w:hyperlink r:id="rIdV336_2">
        <w:r>
          <w:rPr>
            <w:rFonts w:cs="Times New Roman"/>
            <w:color w:val="234A70"/>
            <w:sz w:val="21"/>
          </w:rPr>
          <w:t xml:space="preserve">作者原文</w:t>
        </w:r>
      </w:hyperlink>
      <w:r>
        <w:rPr>
          <w:rFonts w:cs="Times New Roman"/>
          <w:color w:val="000000"/>
          <w:sz w:val="21"/>
        </w:rPr>
        <w:t xml:space="preserve">。</w:t>
      </w:r>
    </w:p>
    <w:p w14:paraId="11B053A3" w14:textId="77777777" w:rsidR="004E1393" w:rsidRDefault="00EB4DE5">
      <w:pPr>
        <w:spacing w:after="140" w:line="276" w:lineRule="auto"/>
        <w:ind w:left="360" w:hanging="360"/>
      </w:pPr>
      <w:r>
        <w:rPr>
          <w:rFonts w:cs="Times New Roman"/>
          <w:color w:val="000000"/>
          <w:sz w:val="21"/>
        </w:rPr>
        <w:t xml:space="preserve">[13] Correia, S., P. Guimarães, and T. Zylkin. 2020. Fast Poisson Estimation with High-Dimensional Fixed Effects. The Stata Journal, 20(1): 95–115. </w:t>
      </w:r>
      <w:hyperlink r:id="rId27">
        <w:r>
          <w:rPr>
            <w:rFonts w:cs="Times New Roman"/>
            <w:color w:val="234A70"/>
            <w:sz w:val="21"/>
          </w:rPr>
          <w:t>作者软件与方法文档</w:t>
        </w:r>
      </w:hyperlink>
      <w:r>
        <w:rPr>
          <w:rFonts w:cs="Times New Roman"/>
          <w:color w:val="000000"/>
          <w:sz w:val="21"/>
        </w:rPr>
        <w:t>。</w:t>
      </w:r>
    </w:p>
    <w:p w14:paraId="348556C1" w14:textId="77777777" w:rsidR="004E1393" w:rsidRDefault="00EB4DE5">
      <w:pPr>
        <w:spacing w:after="140" w:line="276" w:lineRule="auto"/>
        <w:ind w:left="360" w:hanging="360"/>
      </w:pPr>
      <w:r>
        <w:rPr>
          <w:rFonts w:cs="Times New Roman"/>
          <w:color w:val="000000"/>
          <w:sz w:val="21"/>
        </w:rPr>
        <w:t xml:space="preserve">[14] 《中国高水平制度型开放与全球产业链网络重塑》研究稿及《模型完整推导附录》，本地未刊材料。用于跨国生产、贸易与投入产出框架，以及成本效率关系和流量定义。</w:t>
      </w:r>
    </w:p>
    <w:p w14:paraId="348556C1" w14:textId="77777777" w:rsidR="004E1393" w:rsidRDefault="00EB4DE5">
      <w:pPr>
        <w:spacing w:after="140" w:line="276" w:lineRule="auto"/>
        <w:ind w:left="360" w:hanging="360"/>
      </w:pPr>
      <w:r>
        <w:rPr>
          <w:rFonts w:cs="Times New Roman"/>
          <w:color w:val="000000"/>
          <w:sz w:val="21"/>
        </w:rPr>
        <w:t xml:space="preserve">[15] 国家发展改革委、商务部：《外商投资产业指导目录（2004年修订）》（第24号令）、《外商投资产业指导目录（2015年修订）》（第22号令）、《外商投资产业指导目录（2017年修订）》（第4号令）；《外商投资准入特别管理措施（负面清单）（2018年版）》（第18号令）、2019年版（第25号令）、2020年版（第32号令）。施行日期与衔接见A.3.3。</w:t>
      </w:r>
      <w:hyperlink r:id="rIdV336_3">
        <w:r>
          <w:rPr>
            <w:rFonts w:cs="Times New Roman"/>
            <w:color w:val="234A70"/>
            <w:sz w:val="21"/>
          </w:rPr>
          <w:t xml:space="preserve">2004令文</w:t>
        </w:r>
      </w:hyperlink>
      <w:r>
        <w:rPr>
          <w:rFonts w:cs="Times New Roman"/>
          <w:color w:val="000000"/>
          <w:sz w:val="21"/>
        </w:rPr>
        <w:t xml:space="preserve">；</w:t>
      </w:r>
      <w:hyperlink r:id="rIdV336_4">
        <w:r>
          <w:rPr>
            <w:rFonts w:cs="Times New Roman"/>
            <w:color w:val="234A70"/>
            <w:sz w:val="21"/>
          </w:rPr>
          <w:t xml:space="preserve">2015令文</w:t>
        </w:r>
      </w:hyperlink>
      <w:r>
        <w:rPr>
          <w:rFonts w:cs="Times New Roman"/>
          <w:color w:val="000000"/>
          <w:sz w:val="21"/>
        </w:rPr>
        <w:t xml:space="preserve">；</w:t>
      </w:r>
      <w:hyperlink r:id="rIdV336_5">
        <w:r>
          <w:rPr>
            <w:rFonts w:cs="Times New Roman"/>
            <w:color w:val="234A70"/>
            <w:sz w:val="21"/>
          </w:rPr>
          <w:t xml:space="preserve">2017令文</w:t>
        </w:r>
      </w:hyperlink>
      <w:r>
        <w:rPr>
          <w:rFonts w:cs="Times New Roman"/>
          <w:color w:val="000000"/>
          <w:sz w:val="21"/>
        </w:rPr>
        <w:t xml:space="preserve">；</w:t>
      </w:r>
      <w:hyperlink r:id="rIdV336_6">
        <w:r>
          <w:rPr>
            <w:rFonts w:cs="Times New Roman"/>
            <w:color w:val="234A70"/>
            <w:sz w:val="21"/>
          </w:rPr>
          <w:t xml:space="preserve">2018令文</w:t>
        </w:r>
      </w:hyperlink>
      <w:r>
        <w:rPr>
          <w:rFonts w:cs="Times New Roman"/>
          <w:color w:val="000000"/>
          <w:sz w:val="21"/>
        </w:rPr>
        <w:t xml:space="preserve">；</w:t>
      </w:r>
      <w:hyperlink r:id="rIdV336_7">
        <w:r>
          <w:rPr>
            <w:rFonts w:cs="Times New Roman"/>
            <w:color w:val="234A70"/>
            <w:sz w:val="21"/>
          </w:rPr>
          <w:t xml:space="preserve">2019令文</w:t>
        </w:r>
      </w:hyperlink>
      <w:r>
        <w:rPr>
          <w:rFonts w:cs="Times New Roman"/>
          <w:color w:val="000000"/>
          <w:sz w:val="21"/>
        </w:rPr>
        <w:t xml:space="preserve">；</w:t>
      </w:r>
      <w:hyperlink r:id="rIdV336_8">
        <w:r>
          <w:rPr>
            <w:rFonts w:cs="Times New Roman"/>
            <w:color w:val="234A70"/>
            <w:sz w:val="21"/>
          </w:rPr>
          <w:t xml:space="preserve">2020令文</w:t>
        </w:r>
      </w:hyperlink>
      <w:r>
        <w:rPr>
          <w:rFonts w:cs="Times New Roman"/>
          <w:color w:val="000000"/>
          <w:sz w:val="21"/>
        </w:rPr>
        <w:t xml:space="preserve">。</w:t>
      </w:r>
    </w:p>
    <w:p w14:paraId="348556C1" w14:textId="77777777" w:rsidR="004E1393" w:rsidRDefault="00EB4DE5">
      <w:pPr>
        <w:spacing w:after="140" w:line="276" w:lineRule="auto"/>
        <w:ind w:left="360" w:hanging="360"/>
      </w:pPr>
      <w:r>
        <w:rPr>
          <w:rFonts w:cs="Times New Roman"/>
          <w:color w:val="000000"/>
          <w:sz w:val="21"/>
        </w:rPr>
        <w:t xml:space="preserve">[16] 国家发展改革委关于市场准入负面清单与外商投资负面清单关系的官方问答（2015）；国家发展改革委、商务部《鼓励外商投资产业目录（2019年版）》及第27号令。</w:t>
      </w:r>
      <w:r>
        <w:rPr>
          <w:rFonts w:cs="Times New Roman"/>
          <w:color w:val="000000"/>
          <w:sz w:val="21"/>
        </w:rPr>
        <w:t xml:space="preserve"> </w:t>
      </w:r>
      <w:hyperlink r:id="rIdV336_9">
        <w:r>
          <w:rPr>
            <w:rFonts w:cs="Times New Roman"/>
            <w:color w:val="234A70"/>
            <w:sz w:val="21"/>
          </w:rPr>
          <w:t xml:space="preserve">清单关系说明</w:t>
        </w:r>
      </w:hyperlink>
      <w:r>
        <w:rPr>
          <w:rFonts w:cs="Times New Roman"/>
          <w:color w:val="000000"/>
          <w:sz w:val="21"/>
        </w:rPr>
        <w:t xml:space="preserve">；</w:t>
      </w:r>
      <w:hyperlink r:id="rIdV336_10">
        <w:r>
          <w:rPr>
            <w:rFonts w:cs="Times New Roman"/>
            <w:color w:val="234A70"/>
            <w:sz w:val="21"/>
          </w:rPr>
          <w:t xml:space="preserve">鼓励目录令文</w:t>
        </w:r>
      </w:hyperlink>
      <w:r>
        <w:rPr>
          <w:rFonts w:cs="Times New Roman"/>
          <w:color w:val="000000"/>
          <w:sz w:val="21"/>
        </w:rPr>
        <w:t xml:space="preserve">。</w:t>
      </w:r>
    </w:p>
    <w:sectPr w:rsidR="004E1393" w:rsidSect="00034616">
      <w:footerReference w:type="default" r:id="rId28"/>
      <w:pgSz w:w="11906" w:h="16838"/>
      <w:pgMar w:top="1219"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0444" w14:textId="77777777" w:rsidR="00EB4DE5" w:rsidRDefault="00EB4DE5">
      <w:pPr>
        <w:spacing w:after="0" w:line="240" w:lineRule="auto"/>
      </w:pPr>
      <w:r>
        <w:separator/>
      </w:r>
    </w:p>
  </w:endnote>
  <w:endnote w:type="continuationSeparator" w:id="0">
    <w:p w14:paraId="06921315" w14:textId="77777777" w:rsidR="00EB4DE5" w:rsidRDefault="00EB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5E79" w14:textId="77777777" w:rsidR="004E1393" w:rsidRDefault="00EB4DE5">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965B" w14:textId="77777777" w:rsidR="00EB4DE5" w:rsidRDefault="00EB4DE5">
      <w:pPr>
        <w:spacing w:after="0" w:line="240" w:lineRule="auto"/>
      </w:pPr>
      <w:r>
        <w:separator/>
      </w:r>
    </w:p>
  </w:footnote>
  <w:footnote w:type="continuationSeparator" w:id="0">
    <w:p w14:paraId="6A1C7874" w14:textId="77777777" w:rsidR="00EB4DE5" w:rsidRDefault="00EB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589340">
    <w:abstractNumId w:val="8"/>
  </w:num>
  <w:num w:numId="2" w16cid:durableId="1708489055">
    <w:abstractNumId w:val="6"/>
  </w:num>
  <w:num w:numId="3" w16cid:durableId="294334739">
    <w:abstractNumId w:val="5"/>
  </w:num>
  <w:num w:numId="4" w16cid:durableId="1430007861">
    <w:abstractNumId w:val="4"/>
  </w:num>
  <w:num w:numId="5" w16cid:durableId="623274522">
    <w:abstractNumId w:val="7"/>
  </w:num>
  <w:num w:numId="6" w16cid:durableId="137117858">
    <w:abstractNumId w:val="3"/>
  </w:num>
  <w:num w:numId="7" w16cid:durableId="1004476920">
    <w:abstractNumId w:val="2"/>
  </w:num>
  <w:num w:numId="8" w16cid:durableId="1000504112">
    <w:abstractNumId w:val="1"/>
  </w:num>
  <w:num w:numId="9" w16cid:durableId="17072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393"/>
    <w:rsid w:val="00AA1D8D"/>
    <w:rsid w:val="00B47730"/>
    <w:rsid w:val="00B62D4D"/>
    <w:rsid w:val="00BE73FB"/>
    <w:rsid w:val="00CB0664"/>
    <w:rsid w:val="00EB4DE5"/>
    <w:rsid w:val="00EC5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A5CE8A"/>
  <w14:defaultImageDpi w14:val="300"/>
  <w15:docId w15:val="{5EBACD1E-5FFD-4107-818E-3C1236E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spacing w:before="240" w:after="120" w:line="288" w:lineRule="auto"/>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spacing w:before="240" w:after="120" w:line="288" w:lineRule="auto"/>
      <w:ind w:firstLine="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88"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288" w:lineRule="auto"/>
    </w:pPr>
    <w:rPr>
      <w:rFonts w:asciiTheme="majorHAnsi" w:eastAsiaTheme="majorEastAsia" w:hAnsiTheme="majorHAnsi" w:cstheme="majorBidi"/>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fcom.gov.cn/zcfb/wgtzgl/art/2007/art_c2780ab6fee34931808471ffabfe98c3.html" TargetMode="External"/><Relationship Id="rId13" Type="http://schemas.openxmlformats.org/officeDocument/2006/relationships/hyperlink" Target="https://www.ndrc.gov.cn/xxgk/jd/jd/201112/t20111231_1183135.html" TargetMode="External"/><Relationship Id="rId18" Type="http://schemas.openxmlformats.org/officeDocument/2006/relationships/hyperlink" Target="https://www.gov.cn/gongbao/content/2013/content_2307064.htm" TargetMode="External"/><Relationship Id="rId26" Type="http://schemas.openxmlformats.org/officeDocument/2006/relationships/hyperlink" Target="https://doi.org/10.1093/ectj/utad016" TargetMode="External"/><Relationship Id="rId3" Type="http://schemas.openxmlformats.org/officeDocument/2006/relationships/styles" Target="styles.xml"/><Relationship Id="rId21" Type="http://schemas.openxmlformats.org/officeDocument/2006/relationships/hyperlink" Target="https://www.oecd.org/en/data/datasets/global-value-chain-data-across-trade-multinationals-and-services.html" TargetMode="Externa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17" Type="http://schemas.openxmlformats.org/officeDocument/2006/relationships/hyperlink" Target="https://www.ndrc.gov.cn/xxgk/zcfb/fzggwl/201405/t20140520_960779.html" TargetMode="External"/><Relationship Id="rId25" Type="http://schemas.openxmlformats.org/officeDocument/2006/relationships/hyperlink" Target="https://personal.lse.ac.uk/tenreyro/LGW.html" TargetMode="External"/><Relationship Id="rId2" Type="http://schemas.openxmlformats.org/officeDocument/2006/relationships/numbering" Target="numbering.xml"/><Relationship Id="rId16"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tga.mofcom.gov.cn/ndygagyjlgjmjmgxdapCEPA/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xxgk/zcfb/fzggwl/201112/t20111229_960737.html" TargetMode="External"/><Relationship Id="rId24" Type="http://schemas.openxmlformats.org/officeDocument/2006/relationships/hyperlink" Target="https://unstats.un.org/unsd/publication/seriesm/seriesm_4rev4e.pdf" TargetMode="External"/><Relationship Id="rId5" Type="http://schemas.openxmlformats.org/officeDocument/2006/relationships/webSettings" Target="webSettings.xml"/><Relationship Id="rId15" Type="http://schemas.openxmlformats.org/officeDocument/2006/relationships/hyperlink" Target="https://new.tzxm.gov.cn/zckd/flfg/201802/t20180208_1262271.shtml" TargetMode="External"/><Relationship Id="rId23" Type="http://schemas.openxmlformats.org/officeDocument/2006/relationships/hyperlink" Target="https://www.stats.gov.cn/sj/tjbz/gmjjhyfl/202302/t20230213_1902780.html" TargetMode="External"/><Relationship Id="rId28" Type="http://schemas.openxmlformats.org/officeDocument/2006/relationships/footer" Target="footer1.xml"/><Relationship Id="rId10" Type="http://schemas.openxmlformats.org/officeDocument/2006/relationships/hyperlink" Target="https://www.ndrc.gov.cn/hdjl/yjzq/201104/W020190927558505775255.pdf" TargetMode="External"/><Relationship Id="rId19" Type="http://schemas.openxmlformats.org/officeDocument/2006/relationships/hyperlink" Target="https://www.shanghai.gov.cn/nw30984/20200820/0001-30984_37036.html" TargetMode="External"/><Relationship Id="rId4" Type="http://schemas.openxmlformats.org/officeDocument/2006/relationships/settings" Target="settings.xml"/><Relationship Id="rId9" Type="http://schemas.openxmlformats.org/officeDocument/2006/relationships/hyperlink" Target="https://www.ndrc.gov.cn/hdjl/yjzq/201104/t20110402_1165882.html" TargetMode="External"/><Relationship Id="rId14" Type="http://schemas.openxmlformats.org/officeDocument/2006/relationships/hyperlink" Target="https://hdl.handle.net/10419/279301" TargetMode="External"/><Relationship Id="rId22" Type="http://schemas.openxmlformats.org/officeDocument/2006/relationships/hyperlink" Target="https://www.stats.gov.cn/sj/tjbz/gjtjbz/202302/t20230213_1902779.html" TargetMode="External"/><Relationship Id="rId27" Type="http://schemas.openxmlformats.org/officeDocument/2006/relationships/hyperlink" Target="https://scorreia.com/help/ppmlhdfe.html" TargetMode="External"/><Relationship Id="rId30" Type="http://schemas.openxmlformats.org/officeDocument/2006/relationships/theme" Target="theme/theme1.xml"/><Relationship Id="rIdV336_1" Type="http://schemas.openxmlformats.org/officeDocument/2006/relationships/hyperlink" Target="https://www.ndrc.gov.cn/xxgk/jd/jd/201706/t20170628_1182814_ext.html" TargetMode="External"/><Relationship Id="rIdV336_2" Type="http://schemas.openxmlformats.org/officeDocument/2006/relationships/hyperlink" Target="https://imai.fas.harvard.edu/research/files/FEmatch.pdf" TargetMode="External"/><Relationship Id="rIdV336_3" Type="http://schemas.openxmlformats.org/officeDocument/2006/relationships/hyperlink" Target="https://www.ndrc.gov.cn/xxgk/zcfb/fzggwl/200506/t20050628_960644.html" TargetMode="External"/><Relationship Id="rIdV336_4" Type="http://schemas.openxmlformats.org/officeDocument/2006/relationships/hyperlink" Target="https://www.ndrc.gov.cn/xxgk/zcfb/fzggwl/201503/t20150313_960793.html" TargetMode="External"/><Relationship Id="rIdV336_5" Type="http://schemas.openxmlformats.org/officeDocument/2006/relationships/hyperlink" Target="https://www.ndrc.gov.cn/xxgk/zcfb/fzggwl/201706/t20170628_960838.html" TargetMode="External"/><Relationship Id="rIdV336_6" Type="http://schemas.openxmlformats.org/officeDocument/2006/relationships/hyperlink" Target="https://www.ndrc.gov.cn/xxgk/zcfb/fzggwl/201806/t20180628_960861.html" TargetMode="External"/><Relationship Id="rIdV336_7" Type="http://schemas.openxmlformats.org/officeDocument/2006/relationships/hyperlink" Target="https://www.ndrc.gov.cn/xxgk/zcfb/fzggwl/201906/t20190628_960873.html" TargetMode="External"/><Relationship Id="rIdV336_8" Type="http://schemas.openxmlformats.org/officeDocument/2006/relationships/hyperlink" Target="https://www.ndrc.gov.cn/xxgk/zcfb/fzggwl/202006/t20200624_1231938.html" TargetMode="External"/><Relationship Id="rIdV336_9" Type="http://schemas.openxmlformats.org/officeDocument/2006/relationships/hyperlink" Target="https://www.ndrc.gov.cn/xwdt/xwfb/201510/t20151020_955757.html" TargetMode="External"/><Relationship Id="rIdV336_10" Type="http://schemas.openxmlformats.org/officeDocument/2006/relationships/hyperlink" Target="https://www.ndrc.gov.cn/xxgk/zcfb/fzggwl/201906/t20190628_960876_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年度外资准入限制暴露与企业经营表现及部门成本分析</dc:title>
  <dc:subject>年度外资准入限制与企业面板研究方案 v3.37</dc:subject>
  <dc:creator/>
  <cp:keywords>外资准入; Restrict; 企业面板; PPML; AMNE; 跨国生产</cp:keywords>
  <dc:description>generated by python-docx</dc:description>
  <cp:lastModifiedBy>镇宇 杨</cp:lastModifiedBy>
  <cp:revision>3</cp:revision>
  <dcterms:created xsi:type="dcterms:W3CDTF">2013-12-23T23:15:00Z</dcterms:created>
  <dcterms:modified xsi:type="dcterms:W3CDTF">2026-10-14T08:05:00Z</dcterms:modified>
  <cp:category/>
</cp:coreProperties>
</file>