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jc w:val="center"/>
      </w:pPr>
      <w:r>
        <w:t>附录A 外资准入负面清单的政策测度、跨国投资成本识别与一般均衡反事实</w:t>
      </w:r>
    </w:p>
    <w:p>
      <w:pPr/>
      <w:r>
        <w:t>本附录利用历年外资准入政策与企业数据，研究准入限制放松对企业所有权、进入和在华生产的影响，并据此测算跨国生产成本变化。研究依次判断企业适用的政策、估计改革引起的生产变化，再将能够与模型对应的部门结果用于成本反演和一般均衡分析。</w:t>
      </w:r>
    </w:p>
    <w:p>
      <w:pPr/>
      <w:r>
        <w:t>政策测度采用GB/T 4754—2017四位小类统一行业口径，并根据企业改革前业务，逐版判断适用规则。企业分析考察原有企业的反应，完整行业统计补充新设企业及行业总生产变化，二者共同说明改革对部门生产的影响。</w:t>
      </w:r>
    </w:p>
    <w:p>
      <w:pPr>
        <w:keepNext/>
      </w:pPr>
      <w:r>
        <w:t>设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f</m:t>
            </m:r>
          </m:e>
        </m:box>
      </m:oMath>
      <w:r>
        <w:t>为企业，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c</m:t>
            </m:r>
          </m:e>
        </m:box>
      </m:oMath>
      <w:r>
        <w:t>为GB四位小类，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r</m:t>
            </m:r>
          </m:e>
        </m:box>
      </m:oMath>
      <w:r>
        <w:t>为生产地区，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t</m:t>
            </m:r>
          </m:e>
        </m:box>
      </m:oMath>
      <w:r>
        <w:t>为年份，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e</m:t>
            </m:r>
          </m:e>
        </m:box>
      </m:oMath>
      <w:r>
        <w:t>为改革事件；结构模型中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m</m:t>
            </m:r>
          </m:e>
        </m:box>
      </m:oMath>
      <w:r>
        <w:t>为企业最终控制母国，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i</m:t>
            </m:r>
          </m:e>
        </m:box>
      </m:oMath>
      <w:r>
        <w:t>为生产国，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n</m:t>
            </m:r>
          </m:e>
        </m:box>
      </m:oMath>
      <w:r>
        <w:t>为销售目的国，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j</m:t>
            </m:r>
          </m:e>
        </m:box>
      </m:oMath>
      <w:r>
        <w:t>为部门，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C</m:t>
            </m:r>
          </m:e>
        </m:box>
      </m:oMath>
      <w:r>
        <w:t>表示中国。政策暴露、生产响应与成本变化之间的关系为：</w:t>
      </w:r>
    </w:p>
    <w:p>
      <w:pPr>
        <w:pStyle w:val="Equation"/>
        <w:keepNext/>
      </w:pPr>
      <w:r>
        <w:tab/>
      </w:r>
      <m:oMath>
        <m:sSub>
          <m:e>
            <m:r>
              <w:rPr>
                <w:rFonts w:ascii="Cambria Math" w:hAnsi="Cambria Math" w:eastAsia="宋体"/>
                <w:sz w:val="23"/>
              </w:rPr>
              <m:rPr>
                <m:sty m:val="bi"/>
              </m:rPr>
              <m:t>Z</m:t>
            </m:r>
          </m:e>
          <m:sub>
            <m:r>
              <w:rPr>
                <w:rFonts w:ascii="Cambria Math" w:hAnsi="Cambria Math" w:eastAsia="宋体"/>
                <w:sz w:val="23"/>
              </w:rPr>
              <m:t>fte</m:t>
            </m:r>
          </m:sub>
        </m:sSub>
        <m:r>
          <w:rPr>
            <w:rFonts w:ascii="Cambria Math" w:hAnsi="Cambria Math" w:eastAsia="宋体"/>
            <w:sz w:val="23"/>
          </w:rPr>
          <m:t>→</m:t>
        </m:r>
        <m:acc>
          <m:accPr>
            <m:chr m:val="̂"/>
          </m:accPr>
          <m:e>
            <m:r>
              <w:rPr>
                <w:rFonts w:ascii="Cambria Math" w:hAnsi="Cambria Math" w:eastAsia="宋体"/>
                <w:sz w:val="23"/>
              </w:rPr>
              <m:rPr>
                <m:sty m:val="bi"/>
              </m:rPr>
              <m:t>μ</m:t>
            </m:r>
          </m:e>
        </m:acc>
        <m:r>
          <w:rPr>
            <w:rFonts w:ascii="Cambria Math" w:hAnsi="Cambria Math" w:eastAsia="宋体"/>
            <w:sz w:val="23"/>
          </w:rPr>
          <m:t>→</m:t>
        </m:r>
        <m:acc>
          <m:accPr>
            <m:chr m:val="̂"/>
          </m:accPr>
          <m:e>
            <m:r>
              <w:rPr>
                <w:rFonts w:ascii="Cambria Math" w:hAnsi="Cambria Math" w:eastAsia="宋体"/>
                <w:sz w:val="23"/>
              </w:rPr>
              <m:rPr>
                <m:sty m:val="bi"/>
              </m:rPr>
              <m:t>δ</m:t>
            </m:r>
          </m:e>
        </m:acc>
        <m:r>
          <w:rPr>
            <w:rFonts w:ascii="Cambria Math" w:hAnsi="Cambria Math" w:eastAsia="宋体"/>
            <w:sz w:val="23"/>
          </w:rPr>
          <m:t>→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3"/>
                  </w:rPr>
                  <m:t>ξ</m:t>
                </m:r>
              </m:e>
            </m:acc>
          </m:e>
          <m:sub>
            <m:r>
              <w:rPr>
                <w:rFonts w:ascii="Cambria Math" w:hAnsi="Cambria Math" w:eastAsia="宋体"/>
                <w:sz w:val="23"/>
              </w:rPr>
              <m:t>Cmj</m:t>
            </m:r>
          </m:sub>
        </m:sSub>
        <m:r>
          <w:rPr>
            <w:rFonts w:ascii="Cambria Math" w:hAnsi="Cambria Math" w:eastAsia="宋体"/>
            <w:sz w:val="23"/>
          </w:rPr>
          <m:t>→</m:t>
        </m:r>
        <m:r>
          <w:rPr>
            <w:rFonts w:ascii="Cambria Math" w:hAnsi="Cambria Math" w:eastAsia="宋体"/>
            <w:sz w:val="23"/>
          </w:rPr>
          <m:t>{X,P,w,N,W}.</m:t>
        </m:r>
      </m:oMath>
      <w:r>
        <w:tab/>
        <w:t>(A1)</w:t>
      </w:r>
    </w:p>
    <w:p>
      <w:pPr/>
      <w:r>
        <w:t>其中，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ty m:val="bi"/>
                  </m:rPr>
                  <m:t>Z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fte</m:t>
                </m:r>
              </m:sub>
            </m:sSub>
          </m:e>
        </m:box>
      </m:oMath>
      <w:r>
        <w:t>为企业适用的六类政策限制，</w:t>
      </w:r>
      <m:oMath>
        <m:box>
          <m:boxPr>
            <m:noBreak m:val="1"/>
          </m:boxPr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ty m:val="bi"/>
                  </m:rPr>
                  <m:t>μ</m:t>
                </m:r>
              </m:e>
            </m:acc>
          </m:e>
        </m:box>
      </m:oMath>
      <w:r>
        <w:t>为估计得到的生产响应，</w:t>
      </w:r>
      <m:oMath>
        <m:box>
          <m:boxPr>
            <m:noBreak m:val="1"/>
          </m:boxPr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ty m:val="bi"/>
                  </m:rPr>
                  <m:t>δ</m:t>
                </m:r>
              </m:e>
            </m:acc>
          </m:e>
        </m:box>
      </m:oMath>
      <w:r>
        <w:t>为成本对数变化的估计值，</w:t>
      </w:r>
      <m:oMath>
        <m:box>
          <m:boxPr>
            <m:noBreak m:val="1"/>
          </m:boxPr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宋体"/>
                        <w:sz w:val="24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Cmj</m:t>
                </m:r>
              </m:sub>
            </m:sSub>
          </m:e>
        </m:box>
      </m:oMath>
      <w:r>
        <w:t>为跨国生产效率的变化倍数。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X</m:t>
            </m:r>
          </m:e>
        </m:box>
      </m:oMath>
      <w:r>
        <w:t>、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P</m:t>
            </m:r>
          </m:e>
        </m:box>
      </m:oMath>
      <w:r>
        <w:t>、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w</m:t>
            </m:r>
          </m:e>
        </m:box>
      </m:oMath>
      <w:r>
        <w:t>、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N</m:t>
            </m:r>
          </m:e>
        </m:box>
      </m:oMath>
      <w:r>
        <w:t>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W</m:t>
            </m:r>
          </m:e>
        </m:box>
      </m:oMath>
      <w:r>
        <w:t>依次表示三边生产流量、价格、工资、产品种类和福利。文本匹配参考Eppinger and Ma（2023），结构分析沿用《中国高水平制度型开放与全球产业链网络重塑》及其修订稿的模型。基准研究改革前已有外资生产的有限限制放松，禁止转为允许的情形另见A.4。</w:t>
      </w:r>
    </w:p>
    <w:p>
      <w:pPr>
        <w:pStyle w:val="1"/>
      </w:pPr>
      <w:r>
        <w:t>A.1 政策文本的测量对象</w:t>
      </w:r>
    </w:p>
    <w:p>
      <w:pPr>
        <w:pStyle w:val="21"/>
      </w:pPr>
      <w:r>
        <w:t>A.1.1 政策版本与政策编码单元</w:t>
      </w:r>
    </w:p>
    <w:p>
      <w:pPr/>
      <w:r>
        <w:t>本文拟整理1995—2024年《外商投资产业指导目录》和全国外资准入负面清单，并结合其他有效规定，判断各时期的外资准入条件。各版本分别记录发布日期、生效日期和过渡安排；地区试点、特殊区域及投资者资格另行核实。企业适用的政策按实际生效时间确定。仅有年度产出时，年内政策转换的过渡年度单列，并检验排除该年度后的结果；下文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v(t)</m:t>
            </m:r>
          </m:e>
        </m:box>
      </m:oMath>
      <w:r>
        <w:t>表示完整政策期内适用的版本。</w:t>
      </w:r>
    </w:p>
    <w:p>
      <w:pPr/>
      <w:r>
        <w:t>政策编码单元是版本内能够独立判断准入条件的经济活动。同一条款涉及不同业务或适用条件时，按其法律含义拆分；同一业务受到多项限制时，完整保留各项要求。每个单元设置版本内编号 policy_unit_id，与原文及官方序号对应。不同版本分别编码，不建立政策单元之间的延续、拆分或合并关系。跨期比较以统一的行业分类和企业改革前业务为依据，具体方法见A.2。</w:t>
      </w:r>
    </w:p>
    <w:p>
      <w:pPr/>
      <w:r>
        <w:t>政策状态依据实际法律效果确定。鼓励类业务仍可能受到股比或控制权约束；指导目录改为独立负面清单，也不必然改变企业准入条件。原条款在后续版本中未出现时，须结合当期有效规定，判断限制已经取消、转由其他规定实施，还是尚无法确认。数据库据此区分仍有限制、已核实取消、已核实无相应限制及状态未知，并保留判断依据。</w:t>
      </w:r>
      <w:r>
        <w:t>⁠</w:t>
      </w:r>
      <w:r>
        <w:rPr>
          <w:rStyle w:val="FootnoteReference"/>
        </w:rPr>
        <w:footnoteReference w:id="1"/>
      </w:r>
    </w:p>
    <w:p>
      <w:pPr>
        <w:pStyle w:val="af7"/>
        <w:keepNext/>
      </w:pPr>
      <w:r>
        <w:t>表A1 政策编码单元的基本记录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50" w:type="dxa"/>
          <w:bottom w:w="50" w:type="dxa"/>
          <w:left w:w="80" w:type="dxa"/>
          <w:right w:w="80" w:type="dxa"/>
        </w:tblCellMar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</w:pPr>
            <w:r>
              <w:rPr>
                <w:b/>
              </w:rPr>
              <w:t>记录内容</w:t>
            </w:r>
          </w:p>
        </w:tc>
        <w:tc>
          <w:tcPr>
            <w:tcW w:type="dxa" w:w="6926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</w:pPr>
            <w:r>
              <w:rPr>
                <w:b/>
              </w:rPr>
              <w:t>具体要求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pPr>
              <w:pStyle w:val="TableText"/>
            </w:pPr>
            <w:r>
              <w:t>版本及原文</w:t>
            </w:r>
          </w:p>
        </w:tc>
        <w:tc>
          <w:tcPr>
            <w:tcW w:type="dxa" w:w="6926"/>
            <w:vAlign w:val="center"/>
          </w:tcPr>
          <w:p>
            <w:pPr>
              <w:pStyle w:val="TableText"/>
            </w:pPr>
            <w:r>
              <w:t>政策名称、版本内编号、官方序号和原文位置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pPr>
              <w:pStyle w:val="TableText"/>
            </w:pPr>
            <w:r>
              <w:t>活动及限制</w:t>
            </w:r>
          </w:p>
        </w:tc>
        <w:tc>
          <w:tcPr>
            <w:tcW w:type="dxa" w:w="6926"/>
            <w:vAlign w:val="center"/>
          </w:tcPr>
          <w:p>
            <w:pPr>
              <w:pStyle w:val="TableText"/>
            </w:pPr>
            <w:r>
              <w:t>经济活动、六类限制及例外原文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pPr>
              <w:pStyle w:val="TableText"/>
            </w:pPr>
            <w:r>
              <w:t>适用条件</w:t>
            </w:r>
          </w:p>
        </w:tc>
        <w:tc>
          <w:tcPr>
            <w:tcW w:type="dxa" w:w="6926"/>
            <w:vAlign w:val="center"/>
          </w:tcPr>
          <w:p>
            <w:pPr>
              <w:pStyle w:val="TableText"/>
            </w:pPr>
            <w:r>
              <w:t>地区、投资者资格、业务或项目范围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pPr>
              <w:pStyle w:val="TableText"/>
            </w:pPr>
            <w:r>
              <w:t>适用时间</w:t>
            </w:r>
          </w:p>
        </w:tc>
        <w:tc>
          <w:tcPr>
            <w:tcW w:type="dxa" w:w="6926"/>
            <w:vAlign w:val="center"/>
          </w:tcPr>
          <w:p>
            <w:pPr>
              <w:pStyle w:val="TableText"/>
            </w:pPr>
            <w:r>
              <w:t>发布、生效日期及过渡安排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pPr>
              <w:pStyle w:val="TableText"/>
            </w:pPr>
            <w:r>
              <w:t>判断依据</w:t>
            </w:r>
          </w:p>
        </w:tc>
        <w:tc>
          <w:tcPr>
            <w:tcW w:type="dxa" w:w="6926"/>
            <w:vAlign w:val="center"/>
          </w:tcPr>
          <w:p>
            <w:pPr>
              <w:pStyle w:val="TableText"/>
            </w:pPr>
            <w:r>
              <w:t>法律状态、行业映射及人工核验记录</w:t>
            </w:r>
          </w:p>
        </w:tc>
      </w:tr>
    </w:tbl>
    <w:p>
      <w:pPr>
        <w:spacing w:after="40" w:before="0" w:line="84" w:lineRule="auto"/>
      </w:pPr>
    </w:p>
    <w:p>
      <w:pPr>
        <w:pStyle w:val="21"/>
      </w:pPr>
      <w:r>
        <w:t>A.1.2 限制变量的定义</w:t>
      </w:r>
    </w:p>
    <w:p>
      <w:pPr>
        <w:keepNext/>
      </w:pPr>
      <w:r>
        <w:t>设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v</m:t>
            </m:r>
          </m:e>
        </m:box>
      </m:oMath>
      <w:r>
        <w:t>为政策版本，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p</m:t>
            </m:r>
          </m:e>
        </m:box>
      </m:oMath>
      <w:r>
        <w:t>为版本内政策编码单元，其限制向量为：</w:t>
      </w:r>
    </w:p>
    <w:p>
      <w:pPr>
        <w:pStyle w:val="Equation"/>
        <w:keepNext/>
      </w:pPr>
      <w:r>
        <w:tab/>
      </w:r>
      <m:oMath>
        <m:sSub>
          <m:e>
            <m:r>
              <w:rPr>
                <w:rFonts w:ascii="Cambria Math" w:hAnsi="Cambria Math" w:eastAsia="宋体"/>
                <w:sz w:val="23"/>
              </w:rPr>
              <m:rPr>
                <m:sty m:val="bi"/>
              </m:rPr>
              <m:t>z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=(</m:t>
        </m:r>
        <m:sSub>
          <m:e>
            <m:r>
              <w:rPr>
                <w:rFonts w:ascii="Cambria Math" w:hAnsi="Cambria Math" w:eastAsia="宋体"/>
                <w:sz w:val="23"/>
              </w:rPr>
              <m:t>P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sSub>
          <m:e>
            <m:r>
              <w:rPr>
                <w:rFonts w:ascii="Cambria Math" w:hAnsi="Cambria Math" w:eastAsia="宋体"/>
                <w:sz w:val="23"/>
              </w:rPr>
              <m:t>E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sSub>
          <m:e>
            <m:r>
              <w:rPr>
                <w:rFonts w:ascii="Cambria Math" w:hAnsi="Cambria Math" w:eastAsia="宋体"/>
                <w:sz w:val="23"/>
              </w:rPr>
              <m:t>C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sSub>
          <m:e>
            <m:r>
              <w:rPr>
                <w:rFonts w:ascii="Cambria Math" w:hAnsi="Cambria Math" w:eastAsia="宋体"/>
                <w:sz w:val="23"/>
              </w:rPr>
              <m:t>O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sSub>
          <m:e>
            <m:r>
              <w:rPr>
                <w:rFonts w:ascii="Cambria Math" w:hAnsi="Cambria Math" w:eastAsia="宋体"/>
                <w:sz w:val="23"/>
              </w:rPr>
              <m:t>G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sSub>
          <m:e>
            <m:r>
              <w:rPr>
                <w:rFonts w:ascii="Cambria Math" w:hAnsi="Cambria Math" w:eastAsia="宋体"/>
                <w:sz w:val="23"/>
              </w:rPr>
              <m:t>R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).</m:t>
        </m:r>
      </m:oMath>
      <w:r>
        <w:tab/>
        <w:t>(A2)</w:t>
      </w:r>
    </w:p>
    <w:p>
      <w:pPr/>
      <w:r>
        <w:t>六类变量分别记录不同的准入要求，具体编码见表A2，取值越大表示相应限制越强。各项要求同时记录适用条件；不同地区或投资者待遇不同时，分别判断。</w:t>
      </w:r>
    </w:p>
    <w:p>
      <w:pPr>
        <w:keepNext/>
      </w:pPr>
      <w:r>
        <w:t>原文规定外资总持股上限，或能够直接换算时，保留其原始数值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ca</m:t>
            </m:r>
            <m:sSub>
              <m:e>
                <m:r>
                  <w:rPr>
                    <w:rFonts w:ascii="Cambria Math" w:hAnsi="Cambria Math" w:eastAsia="宋体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pv</m:t>
                </m:r>
              </m:sub>
            </m:sSub>
          </m:e>
        </m:box>
      </m:oMath>
      <w:r>
        <w:t>，并定义：</w:t>
      </w:r>
    </w:p>
    <w:p>
      <w:pPr>
        <w:pStyle w:val="Equation"/>
        <w:keepNext/>
      </w:pPr>
      <w:r>
        <w:tab/>
      </w:r>
      <m:oMath>
        <m:sSub>
          <m:e>
            <m:r>
              <w:rPr>
                <w:rFonts w:ascii="Cambria Math" w:hAnsi="Cambria Math" w:eastAsia="宋体"/>
                <w:sz w:val="23"/>
              </w:rPr>
              <m:t>E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=1-ca</m:t>
        </m:r>
        <m:sSub>
          <m:e>
            <m:r>
              <w:rPr>
                <w:rFonts w:ascii="Cambria Math" w:hAnsi="Cambria Math" w:eastAsia="宋体"/>
                <w:sz w:val="23"/>
              </w:rPr>
              <m:t>p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.</m:t>
        </m:r>
      </m:oMath>
      <w:r>
        <w:tab/>
        <w:t>(A3)</w:t>
      </w:r>
    </w:p>
    <w:p>
      <w:pPr/>
      <w:r>
        <w:t>经核实没有明确数值要求时，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E</m:t>
            </m:r>
          </m:e>
        </m:box>
      </m:oMath>
      <w:r>
        <w:t>记为0，原始上限不补填。“中方控股”等要求由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C</m:t>
            </m:r>
          </m:e>
        </m:box>
      </m:oMath>
      <w:r>
        <w:t>记录，不统一换算为49%；单一外商持股上限归入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R</m:t>
            </m:r>
          </m:e>
        </m:box>
      </m:oMath>
      <w:r>
        <w:t>。各维度的0均须有法律判断依据，未知状态保留缺失。禁止准入在A.4单列分析。</w:t>
      </w:r>
    </w:p>
    <w:p>
      <w:pPr>
        <w:pStyle w:val="af7"/>
        <w:keepNext/>
      </w:pPr>
      <w:r>
        <w:t>表A2 外资准入限制变量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50" w:type="dxa"/>
          <w:bottom w:w="50" w:type="dxa"/>
          <w:left w:w="80" w:type="dxa"/>
          <w:right w:w="80" w:type="dxa"/>
        </w:tblCellMar>
      </w:tblPr>
      <w:tblGrid>
        <w:gridCol w:w="1123"/>
        <w:gridCol w:w="2527"/>
        <w:gridCol w:w="5710"/>
      </w:tblGrid>
      <w:tr>
        <w:trPr>
          <w:cantSplit/>
          <w:tblHeader/>
        </w:trPr>
        <w:tc>
          <w:tcPr>
            <w:tcW w:type="dxa" w:w="1123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变量</w:t>
            </w:r>
          </w:p>
        </w:tc>
        <w:tc>
          <w:tcPr>
            <w:tcW w:type="dxa" w:w="2527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</w:pPr>
            <w:r>
              <w:rPr>
                <w:b/>
              </w:rPr>
              <w:t>限制内容</w:t>
            </w:r>
          </w:p>
        </w:tc>
        <w:tc>
          <w:tcPr>
            <w:tcW w:type="dxa" w:w="5710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</w:pPr>
            <w:r>
              <w:rPr>
                <w:b/>
              </w:rPr>
              <w:t>编码方法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pStyle w:val="TableText"/>
              <w:keepNext/>
              <w:jc w:val="center"/>
            </w:pPr>
            <m:oMath>
              <m:box>
                <m:boxPr>
                  <m:noBreak m:val="1"/>
                </m:boxPr>
                <m:e>
                  <m:r>
                    <w:rPr>
                      <w:rFonts w:ascii="Cambria Math" w:hAnsi="Cambria Math" w:eastAsia="宋体"/>
                      <w:sz w:val="24"/>
                    </w:rPr>
                    <m:t>P</m:t>
                  </m:r>
                </m:e>
              </m:box>
            </m:oMath>
          </w:p>
        </w:tc>
        <w:tc>
          <w:tcPr>
            <w:tcW w:type="dxa" w:w="2527"/>
            <w:vAlign w:val="center"/>
          </w:tcPr>
          <w:p>
            <w:pPr>
              <w:pStyle w:val="TableText"/>
              <w:keepNext/>
            </w:pPr>
            <w:r>
              <w:t>禁止准入</w:t>
            </w:r>
          </w:p>
        </w:tc>
        <w:tc>
          <w:tcPr>
            <w:tcW w:type="dxa" w:w="5710"/>
            <w:vAlign w:val="center"/>
          </w:tcPr>
          <w:p>
            <w:pPr>
              <w:pStyle w:val="TableText"/>
              <w:keepNext/>
            </w:pPr>
            <w:r>
              <w:t>禁止为1，允许为0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pStyle w:val="TableText"/>
              <w:keepNext/>
              <w:jc w:val="center"/>
            </w:pPr>
            <m:oMath>
              <m:box>
                <m:boxPr>
                  <m:noBreak m:val="1"/>
                </m:boxPr>
                <m:e>
                  <m:r>
                    <w:rPr>
                      <w:rFonts w:ascii="Cambria Math" w:hAnsi="Cambria Math" w:eastAsia="宋体"/>
                      <w:sz w:val="24"/>
                    </w:rPr>
                    <m:t>E</m:t>
                  </m:r>
                </m:e>
              </m:box>
            </m:oMath>
          </w:p>
        </w:tc>
        <w:tc>
          <w:tcPr>
            <w:tcW w:type="dxa" w:w="2527"/>
            <w:vAlign w:val="center"/>
          </w:tcPr>
          <w:p>
            <w:pPr>
              <w:pStyle w:val="TableText"/>
              <w:keepNext/>
            </w:pPr>
            <w:r>
              <w:t>明确数值股比限制</w:t>
            </w:r>
          </w:p>
        </w:tc>
        <w:tc>
          <w:tcPr>
            <w:tcW w:type="dxa" w:w="5710"/>
            <w:vAlign w:val="center"/>
          </w:tcPr>
          <w:p>
            <w:pPr>
              <w:pStyle w:val="TableText"/>
              <w:keepNext/>
            </w:pPr>
            <w:r>
              <w:t>1减外资总持股上限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pStyle w:val="TableText"/>
              <w:keepNext/>
              <w:jc w:val="center"/>
            </w:pPr>
            <m:oMath>
              <m:box>
                <m:boxPr>
                  <m:noBreak m:val="1"/>
                </m:boxPr>
                <m:e>
                  <m:r>
                    <w:rPr>
                      <w:rFonts w:ascii="Cambria Math" w:hAnsi="Cambria Math" w:eastAsia="宋体"/>
                      <w:sz w:val="24"/>
                    </w:rPr>
                    <m:t>C</m:t>
                  </m:r>
                </m:e>
              </m:box>
            </m:oMath>
          </w:p>
        </w:tc>
        <w:tc>
          <w:tcPr>
            <w:tcW w:type="dxa" w:w="2527"/>
            <w:vAlign w:val="center"/>
          </w:tcPr>
          <w:p>
            <w:pPr>
              <w:pStyle w:val="TableText"/>
              <w:keepNext/>
            </w:pPr>
            <w:r>
              <w:t>中方控制要求</w:t>
            </w:r>
          </w:p>
        </w:tc>
        <w:tc>
          <w:tcPr>
            <w:tcW w:type="dxa" w:w="5710"/>
            <w:vAlign w:val="center"/>
          </w:tcPr>
          <w:p>
            <w:pPr>
              <w:pStyle w:val="TableText"/>
              <w:keepNext/>
            </w:pPr>
            <w:r>
              <w:t>要求中方控股、相对控股或主导时为1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pStyle w:val="TableText"/>
              <w:keepNext/>
              <w:jc w:val="center"/>
            </w:pPr>
            <m:oMath>
              <m:box>
                <m:boxPr>
                  <m:noBreak m:val="1"/>
                </m:boxPr>
                <m:e>
                  <m:r>
                    <w:rPr>
                      <w:rFonts w:ascii="Cambria Math" w:hAnsi="Cambria Math" w:eastAsia="宋体"/>
                      <w:sz w:val="24"/>
                    </w:rPr>
                    <m:t>O</m:t>
                  </m:r>
                </m:e>
              </m:box>
            </m:oMath>
          </w:p>
        </w:tc>
        <w:tc>
          <w:tcPr>
            <w:tcW w:type="dxa" w:w="2527"/>
            <w:vAlign w:val="center"/>
          </w:tcPr>
          <w:p>
            <w:pPr>
              <w:pStyle w:val="TableText"/>
              <w:keepNext/>
            </w:pPr>
            <w:r>
              <w:t>组织形式限制</w:t>
            </w:r>
          </w:p>
        </w:tc>
        <w:tc>
          <w:tcPr>
            <w:tcW w:type="dxa" w:w="5710"/>
            <w:vAlign w:val="center"/>
          </w:tcPr>
          <w:p>
            <w:pPr>
              <w:pStyle w:val="TableText"/>
              <w:keepNext/>
            </w:pPr>
            <w:r>
              <w:t>要求合资、合作等特定形式时为1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pStyle w:val="TableText"/>
              <w:keepNext/>
              <w:jc w:val="center"/>
            </w:pPr>
            <m:oMath>
              <m:box>
                <m:boxPr>
                  <m:noBreak m:val="1"/>
                </m:boxPr>
                <m:e>
                  <m:r>
                    <w:rPr>
                      <w:rFonts w:ascii="Cambria Math" w:hAnsi="Cambria Math" w:eastAsia="宋体"/>
                      <w:sz w:val="24"/>
                    </w:rPr>
                    <m:t>G</m:t>
                  </m:r>
                </m:e>
              </m:box>
            </m:oMath>
          </w:p>
        </w:tc>
        <w:tc>
          <w:tcPr>
            <w:tcW w:type="dxa" w:w="2527"/>
            <w:vAlign w:val="center"/>
          </w:tcPr>
          <w:p>
            <w:pPr>
              <w:pStyle w:val="TableText"/>
              <w:keepNext/>
            </w:pPr>
            <w:r>
              <w:t>治理限制</w:t>
            </w:r>
          </w:p>
        </w:tc>
        <w:tc>
          <w:tcPr>
            <w:tcW w:type="dxa" w:w="5710"/>
            <w:vAlign w:val="center"/>
          </w:tcPr>
          <w:p>
            <w:pPr>
              <w:pStyle w:val="TableText"/>
              <w:keepNext/>
            </w:pPr>
            <w:r>
              <w:t>对董事会、高管或法定代表人提出中方要求时为1</w:t>
            </w:r>
          </w:p>
        </w:tc>
      </w:tr>
      <w:tr>
        <w:trPr>
          <w:cantSplit/>
        </w:trPr>
        <w:tc>
          <w:tcPr>
            <w:tcW w:type="dxa" w:w="1123"/>
            <w:vAlign w:val="center"/>
          </w:tcPr>
          <w:p>
            <w:pPr>
              <w:pStyle w:val="TableText"/>
              <w:keepNext w:val="0"/>
              <w:jc w:val="center"/>
            </w:pPr>
            <m:oMath>
              <m:box>
                <m:boxPr>
                  <m:noBreak m:val="1"/>
                </m:boxPr>
                <m:e>
                  <m:r>
                    <w:rPr>
                      <w:rFonts w:ascii="Cambria Math" w:hAnsi="Cambria Math" w:eastAsia="宋体"/>
                      <w:sz w:val="24"/>
                    </w:rPr>
                    <m:t>R</m:t>
                  </m:r>
                </m:e>
              </m:box>
            </m:oMath>
          </w:p>
        </w:tc>
        <w:tc>
          <w:tcPr>
            <w:tcW w:type="dxa" w:w="2527"/>
            <w:vAlign w:val="center"/>
          </w:tcPr>
          <w:p>
            <w:pPr>
              <w:pStyle w:val="TableText"/>
              <w:keepNext w:val="0"/>
            </w:pPr>
            <w:r>
              <w:t>其他有限限制</w:t>
            </w:r>
          </w:p>
        </w:tc>
        <w:tc>
          <w:tcPr>
            <w:tcW w:type="dxa" w:w="5710"/>
            <w:vAlign w:val="center"/>
          </w:tcPr>
          <w:p>
            <w:pPr>
              <w:pStyle w:val="TableText"/>
              <w:keepNext w:val="0"/>
            </w:pPr>
            <w:r>
              <w:t>对数量、业务范围、地域或单一外商持股等提出要求时为1，并保留类别</w:t>
            </w:r>
          </w:p>
        </w:tc>
      </w:tr>
    </w:tbl>
    <w:p>
      <w:pPr>
        <w:spacing w:after="40" w:before="0" w:line="84" w:lineRule="auto"/>
      </w:pPr>
    </w:p>
    <w:p>
      <w:pPr>
        <w:pStyle w:val="21"/>
      </w:pPr>
      <w:r>
        <w:t>A.1.3 政策文本抽取与人工核验</w:t>
      </w:r>
    </w:p>
    <w:p>
      <w:pPr/>
      <w:r>
        <w:t>大语言模型辅助识别活动、限制、条件和例外，每项结果须对应政策原文。规则校验检查比例、日期和变量取值，人工复核重点检查条款拆分、限制取消、条件重合及低置信度结果，并随机抽取普通条款核验。模型版本、提示词和修改记录随编码结果保存。准确性以独立人工标注为标准，分别报告总体及复杂条款的精确率、召回率和F1；重复抽取的一致程度用于考察稳定性。</w:t>
      </w:r>
    </w:p>
    <w:p>
      <w:pPr>
        <w:pStyle w:val="1"/>
      </w:pPr>
      <w:r>
        <w:t>A.2 从政策编码单元到企业政策暴露</w:t>
      </w:r>
    </w:p>
    <w:p>
      <w:pPr>
        <w:pStyle w:val="21"/>
      </w:pPr>
      <w:r>
        <w:t>A.2.1 历史政策活动与GB2017四位小类匹配</w:t>
      </w:r>
    </w:p>
    <w:p>
      <w:pPr/>
      <w:r>
        <w:t>本文统一采用GB/T 4754—2017及2019年第1号修改单，以下简称GB2017。分别记录政策生效时已经实施的行业标准、文件明确采用的分类依据和企业数据实际使用的行业版本，据此核查不同资料的分类范围。三者可能不同。例如，2017年目录生效时实施的仍是GB2011，不能据目录年份认定其采用GB2017；企业数据采用何种标准，也应查阅相应统计说明。</w:t>
      </w:r>
      <w:r>
        <w:t>⁠</w:t>
      </w:r>
      <w:r>
        <w:rPr>
          <w:rStyle w:val="FootnoteReference"/>
        </w:rPr>
        <w:footnoteReference w:id="2"/>
      </w:r>
    </w:p>
    <w:p>
      <w:pPr/>
      <w:r>
        <w:t>基准方法从历史条款直接判断GB2017四位小类。首先，依据行业名称、注释及包括和不包括的活动建立检索资料；其次，以政策活动和适用范围检索候选代码；最后，由大语言模型结合原文与行业定义提出匹配判断，经人工复核后确定对应关系。语义相似度用于筛选候选，政策是否适用仍取决于业务内容及条款条件。</w:t>
      </w:r>
    </w:p>
    <w:p>
      <w:pPr/>
      <w:r>
        <w:t>一个编码单元可以对应多个小类，一个小类也可以涉及多项规则。各对应关系分别记录完整覆盖、部分覆盖或范围待核实。只有该小类全部活动的待遇均已确认且一致时，才形成统一限制变量；存在差异时，保留各项规则及适用范围，供企业匹配使用。例如，对中国管辖海域及内陆水域的水产品捕捞限制涉及0421海水捕捞和0422内陆捕捞，须结合实际作业水域判断。2018、2020及2024年清单中的相关禁止规定持续存在，因此该例说明多行业映射，不构成这些版本之间的开放事件。</w:t>
      </w:r>
    </w:p>
    <w:p>
      <w:pPr/>
      <w:r>
        <w:t>历史代码有明确依据时，再使用官方新旧类目对照表核验直接匹配结果。对照可能涉及GB1994、GB2002、GB2011和GB2017，各段关系分别核验，不要求所有条款依次经过全部版本。拆分或合并形成多个候选的，依据活动内容进一步判断；资料不足时保留候选，不指定无依据的唯一代码或分配权重。旧版条款的业务范围较宽、无法辨认后来的细分行业时，相应分类不确定性随记录保留。</w:t>
      </w:r>
    </w:p>
    <w:p>
      <w:pPr>
        <w:pStyle w:val="21"/>
      </w:pPr>
      <w:r>
        <w:t>A.2.2 GB2017四位小类到ISIC Rev.4及AMNE部门</w:t>
      </w:r>
    </w:p>
    <w:p>
      <w:pPr/>
      <w:r>
        <w:t>在GB2017分类基础上，依据官方对照资料转换至ISIC Rev.4四位行业，再按所用OECD-AMNE数据版本和现有模型部门表归并。分类版本、对应依据和未解决的关系一并保存。一对多候选最终属于同一模型部门时，可以确定部门归属；候选分属不同部门时，须由业务资料或分业务产出进一步判断。只有企业总产出且无法确定部门的记录，不任意拆分。该步骤服务于后续生产价值加总，企业实际适用的政策仍按具体业务判断。</w:t>
      </w:r>
    </w:p>
    <w:p>
      <w:pPr>
        <w:pStyle w:val="21"/>
      </w:pPr>
      <w:r>
        <w:t>A.2.3 企业核心产品与政策编码单元的语义匹配</w:t>
      </w:r>
    </w:p>
    <w:p>
      <w:pPr>
        <w:keepNext/>
      </w:pPr>
      <w:r>
        <w:t>每次改革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e</m:t>
            </m:r>
          </m:e>
        </m:box>
      </m:oMath>
      <w:r>
        <w:t>以改革前企业核心产品或主营业务描述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fe0</m:t>
                </m:r>
              </m:sub>
            </m:sSub>
          </m:e>
        </m:box>
      </m:oMath>
      <w:r>
        <w:t>为比较依据。已经提前公告的改革，优先使用公告前业务，同时固定相应地区和适用资格。企业行业统一至GB2017后，分别在各政策版本中检索相关单元，并检查一般规则及例外。业务文本与候选单元的相似度为：</w:t>
      </w:r>
    </w:p>
    <w:p>
      <w:pPr>
        <w:pStyle w:val="Equation"/>
        <w:keepNext/>
      </w:pPr>
      <w:r>
        <w:tab/>
      </w:r>
      <m:oMath>
        <m:sSub>
          <m:e>
            <m:r>
              <w:rPr>
                <w:rFonts w:ascii="Cambria Math" w:hAnsi="Cambria Math" w:eastAsia="宋体"/>
                <w:sz w:val="23"/>
              </w:rPr>
              <m:t>s</m:t>
            </m:r>
          </m:e>
          <m:sub>
            <m:r>
              <w:rPr>
                <w:rFonts w:ascii="Cambria Math" w:hAnsi="Cambria Math" w:eastAsia="宋体"/>
                <w:sz w:val="23"/>
              </w:rPr>
              <m:t>fpv,e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r>
          <w:rPr>
            <w:rFonts w:ascii="Cambria Math" w:hAnsi="Cambria Math" w:eastAsia="宋体"/>
            <w:sz w:val="23"/>
          </w:rPr>
          <m:rPr>
            <m:sty m:val="p"/>
          </m:rPr>
          <m:t>cos</m:t>
        </m:r>
        <m:r>
          <w:rPr>
            <w:rFonts w:ascii="Cambria Math" w:hAnsi="Cambria Math" w:eastAsia="宋体"/>
            <w:sz w:val="23"/>
          </w:rPr>
          <m:t>[</m:t>
        </m:r>
        <m:r>
          <w:rPr>
            <w:rFonts w:ascii="Cambria Math" w:hAnsi="Cambria Math" w:eastAsia="宋体"/>
            <w:sz w:val="23"/>
          </w:rPr>
          <m:rPr>
            <m:sty m:val="p"/>
          </m:rPr>
          <m:t>emb</m:t>
        </m:r>
        <m:r>
          <w:rPr>
            <w:rFonts w:ascii="Cambria Math" w:hAnsi="Cambria Math" w:eastAsia="宋体"/>
            <w:sz w:val="23"/>
          </w:rPr>
          <m:t>(</m:t>
        </m:r>
        <m:sSub>
          <m:e>
            <m:r>
              <w:rPr>
                <w:rFonts w:ascii="Cambria Math" w:hAnsi="Cambria Math" w:eastAsia="宋体"/>
                <w:sz w:val="23"/>
              </w:rPr>
              <m:t>q</m:t>
            </m:r>
          </m:e>
          <m:sub>
            <m:r>
              <w:rPr>
                <w:rFonts w:ascii="Cambria Math" w:hAnsi="Cambria Math" w:eastAsia="宋体"/>
                <w:sz w:val="23"/>
              </w:rPr>
              <m:t>fe0</m:t>
            </m:r>
          </m:sub>
        </m:sSub>
        <m:r>
          <w:rPr>
            <w:rFonts w:ascii="Cambria Math" w:hAnsi="Cambria Math" w:eastAsia="宋体"/>
            <w:sz w:val="23"/>
          </w:rPr>
          <m:t>),</m:t>
        </m:r>
        <m:r>
          <w:rPr>
            <w:rFonts w:ascii="Cambria Math" w:hAnsi="Cambria Math" w:eastAsia="宋体"/>
            <w:sz w:val="23"/>
          </w:rPr>
          <m:rPr>
            <m:sty m:val="p"/>
          </m:rPr>
          <m:t>emb</m:t>
        </m:r>
        <m:r>
          <w:rPr>
            <w:rFonts w:ascii="Cambria Math" w:hAnsi="Cambria Math" w:eastAsia="宋体"/>
            <w:sz w:val="23"/>
          </w:rPr>
          <m:t>(</m:t>
        </m:r>
        <m:sSub>
          <m:e>
            <m:r>
              <w:rPr>
                <w:rFonts w:ascii="Cambria Math" w:hAnsi="Cambria Math" w:eastAsia="宋体"/>
                <w:sz w:val="23"/>
              </w:rPr>
              <m:t>A</m:t>
            </m:r>
          </m:e>
          <m:sub>
            <m:r>
              <w:rPr>
                <w:rFonts w:ascii="Cambria Math" w:hAnsi="Cambria Math" w:eastAsia="宋体"/>
                <w:sz w:val="23"/>
              </w:rPr>
              <m:t>pv</m:t>
            </m:r>
          </m:sub>
        </m:sSub>
        <m:r>
          <w:rPr>
            <w:rFonts w:ascii="Cambria Math" w:hAnsi="Cambria Math" w:eastAsia="宋体"/>
            <w:sz w:val="23"/>
          </w:rPr>
          <m:t>)].</m:t>
        </m:r>
      </m:oMath>
      <w:r>
        <w:tab/>
        <w:t>(A4)</w:t>
      </w:r>
    </w:p>
    <w:p>
      <w:pPr/>
      <w:r>
        <w:t>其中，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pv</m:t>
                </m:r>
              </m:sub>
            </m:sSub>
          </m:e>
        </m:box>
      </m:oMath>
      <w:r>
        <w:t>为该版本单元的活动描述。匹配阈值由独立核验样本确定。存在多个合理候选时，结合业务细节及限制原文复核；多项规定同时适用时，完整记录各项要求。未找到条款的业务继续核查当期法律状态，不直接认定为无限制。</w:t>
      </w:r>
    </w:p>
    <w:p>
      <w:pPr/>
      <w:r>
        <w:t>例如，普通小麦种子的商业繁育、生产可对应0511种子种苗培育活动。2018年清单对小麦、玉米要求中方控股，2020年小麦改为中方股比不低于34%，玉米仍要求中方控股。因此，应分别判断两类企业业务的待遇，不能将0511全部赋予同一变化。普通柴油货车与汽油乘用车均可能属于3611汽柴油车整车制造，但2020年两者面对的股比要求不同；相关开放安排已于2018年公告，企业业务基准也须考虑提前调整。</w:t>
      </w:r>
    </w:p>
    <w:p>
      <w:pPr/>
      <w:r>
        <w:t>改革后的业务调整作为企业反应研究，不据此重新划分原有处理组。</w:t>
      </w:r>
    </w:p>
    <w:p>
      <w:pPr>
        <w:pStyle w:val="21"/>
      </w:pPr>
      <w:r>
        <w:t>A.2.4 企业层面的六类政策暴露</w:t>
      </w:r>
    </w:p>
    <w:p>
      <w:pPr>
        <w:keepNext/>
      </w:pPr>
      <w:r>
        <w:t>对多业务、多地区企业，利用真实改革前产出确定业务和地区权重。设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ℓ</m:t>
            </m:r>
          </m:e>
        </m:box>
      </m:oMath>
      <w:r>
        <w:t>为企业源数据中可区分的业务记录，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fℓr,e0</m:t>
                </m:r>
              </m:sub>
            </m:sSub>
          </m:e>
        </m:box>
      </m:oMath>
      <w:r>
        <w:t>为该业务在地区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r</m:t>
            </m:r>
          </m:e>
        </m:box>
      </m:oMath>
      <w:r>
        <w:t>的改革前产出占比，</w:t>
      </w:r>
      <m:oMath>
        <m:box>
          <m:boxPr>
            <m:noBreak m:val="1"/>
          </m:boxPr>
          <m:e>
            <m:sSubSup>
              <m:e>
                <m:r>
                  <w:rPr>
                    <w:rFonts w:ascii="Cambria Math" w:hAnsi="Cambria Math" w:eastAsia="宋体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fℓrv(t),e</m:t>
                </m:r>
              </m:sub>
              <m:sup>
                <m:r>
                  <w:rPr>
                    <w:rFonts w:ascii="Cambria Math" w:hAnsi="Cambria Math" w:eastAsia="宋体"/>
                    <w:sz w:val="24"/>
                  </w:rPr>
                  <m:t>k</m:t>
                </m:r>
              </m:sup>
            </m:sSubSup>
          </m:e>
        </m:box>
      </m:oMath>
      <w:r>
        <w:t>为固定业务、地区及资格在当期规则下适用的第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k</m:t>
            </m:r>
          </m:e>
        </m:box>
      </m:oMath>
      <w:r>
        <w:t>类限制，则：</w:t>
      </w:r>
    </w:p>
    <w:p>
      <w:pPr>
        <w:pStyle w:val="Equation"/>
        <w:keepNext/>
      </w:pPr>
      <w:r>
        <w:tab/>
      </w:r>
      <m:oMath>
        <m:sSubSup>
          <m:e>
            <m:r>
              <w:rPr>
                <w:rFonts w:ascii="Cambria Math" w:hAnsi="Cambria Math" w:eastAsia="宋体"/>
                <w:sz w:val="23"/>
              </w:rPr>
              <m:t>Z</m:t>
            </m:r>
          </m:e>
          <m:sub>
            <m:r>
              <w:rPr>
                <w:rFonts w:ascii="Cambria Math" w:hAnsi="Cambria Math" w:eastAsia="宋体"/>
                <w:sz w:val="23"/>
              </w:rPr>
              <m:t>fte</m:t>
            </m:r>
          </m:sub>
          <m:sup>
            <m:r>
              <w:rPr>
                <w:rFonts w:ascii="Cambria Math" w:hAnsi="Cambria Math" w:eastAsia="宋体"/>
                <w:sz w:val="23"/>
              </w:rPr>
              <m:t>k</m:t>
            </m:r>
          </m:sup>
        </m:sSubSup>
        <m:r>
          <w:rPr>
            <w:rFonts w:ascii="Cambria Math" w:hAnsi="Cambria Math" w:eastAsia="宋体"/>
            <w:sz w:val="23"/>
          </w:rP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 w:eastAsia="宋体"/>
                <w:sz w:val="23"/>
              </w:rPr>
              <m:t>ℓ,r</m:t>
            </m:r>
          </m:sub>
          <m:sup/>
          <m:e>
            <m:sSub>
              <m:e>
                <m:r>
                  <w:rPr>
                    <w:rFonts w:ascii="Cambria Math" w:hAnsi="Cambria Math" w:eastAsia="宋体"/>
                    <w:sz w:val="23"/>
                  </w:rPr>
                  <m:t>w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fℓr,e0</m:t>
                </m:r>
              </m:sub>
            </m:sSub>
          </m:e>
        </m:nary>
        <m:sSubSup>
          <m:e>
            <m:r>
              <w:rPr>
                <w:rFonts w:ascii="Cambria Math" w:hAnsi="Cambria Math" w:eastAsia="宋体"/>
                <w:sz w:val="23"/>
              </w:rPr>
              <m:t>z</m:t>
            </m:r>
          </m:e>
          <m:sub>
            <m:r>
              <w:rPr>
                <w:rFonts w:ascii="Cambria Math" w:hAnsi="Cambria Math" w:eastAsia="宋体"/>
                <w:sz w:val="23"/>
              </w:rPr>
              <m:t>fℓrv(t),e</m:t>
            </m:r>
          </m:sub>
          <m:sup>
            <m:r>
              <w:rPr>
                <w:rFonts w:ascii="Cambria Math" w:hAnsi="Cambria Math" w:eastAsia="宋体"/>
                <w:sz w:val="23"/>
              </w:rPr>
              <m:t>k</m:t>
            </m:r>
          </m:sup>
        </m:sSubSup>
        <m:r>
          <w:rPr>
            <w:rFonts w:ascii="Cambria Math" w:hAnsi="Cambria Math" w:eastAsia="宋体"/>
            <w:sz w:val="23"/>
          </w:rPr>
          <m:t>,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 w:eastAsia="宋体"/>
                <w:sz w:val="23"/>
              </w:rPr>
              <m:t>ℓ,r</m:t>
            </m:r>
          </m:sub>
          <m:sup/>
          <m:e>
            <m:sSub>
              <m:e>
                <m:r>
                  <w:rPr>
                    <w:rFonts w:ascii="Cambria Math" w:hAnsi="Cambria Math" w:eastAsia="宋体"/>
                    <w:sz w:val="23"/>
                  </w:rPr>
                  <m:t>w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fℓr,e0</m:t>
                </m:r>
              </m:sub>
            </m:sSub>
          </m:e>
        </m:nary>
        <m:r>
          <w:rPr>
            <w:rFonts w:ascii="Cambria Math" w:hAnsi="Cambria Math" w:eastAsia="宋体"/>
            <w:sz w:val="23"/>
          </w:rPr>
          <m:t>=1.</m:t>
        </m:r>
      </m:oMath>
      <w:r>
        <w:tab/>
        <w:t>(A5)</w:t>
      </w:r>
    </w:p>
    <w:p>
      <w:pPr/>
      <w:r>
        <w:t>其中，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k</m:t>
            </m:r>
          </m:e>
        </m:box>
      </m:oMath>
      <w:r>
        <w:t>取表A2中的六类限制。业务记录对应企业自身资料，不承担政策单元的跨版本连接。权重在事件窗口内固定，描述企业业务受到限制的程度。适用于整个法人或项目的股比要求，仍须按法律规则单独判断，不能把业务加权值当作法定持股上限。</w:t>
      </w:r>
    </w:p>
    <w:p>
      <w:pPr/>
      <w:r>
        <w:t>无法取得分业务产出时，不构造平均权重或以文本相似度代替权重；主业明确的企业按已核实业务识别，混合业务企业单列。未知法律状态保留缺失，不通过重新调整已知业务权重将其消除。上述暴露用于识别A.3中的原有企业反应。</w:t>
      </w:r>
    </w:p>
    <w:p>
      <w:pPr>
        <w:pStyle w:val="1"/>
      </w:pPr>
      <w:r>
        <w:t>A.3 企业行为识别与跨国生产成本反演</w:t>
      </w:r>
    </w:p>
    <w:p>
      <w:pPr>
        <w:pStyle w:val="21"/>
      </w:pPr>
      <w:r>
        <w:t>A.3.1 基准识别策略</w:t>
      </w:r>
    </w:p>
    <w:p>
      <w:pPr/>
      <w:r>
        <w:t>基准采用企业—年份面板，比较每次改革中适用新规则与未适用新规则的企业。事件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e</m:t>
            </m:r>
          </m:e>
        </m:box>
      </m:oMath>
      <w:r>
        <w:t>以同一业务前后法律待遇的实质变化为依据，记录公告、生效和过渡时间。处理分组按改革前业务、地区及资格确定，并在事件窗口内固定；有真实业务权重时，再考察改革覆盖比重的差异。对照组优先选择同一四位小类中未受该项改革影响、改革前制度状态和生产趋势可比的企业。</w:t>
      </w:r>
    </w:p>
    <w:p>
      <w:pPr>
        <w:keepNext/>
      </w:pPr>
      <w:r>
        <w:t>对于非负生产价值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ft</m:t>
                </m:r>
              </m:sub>
            </m:sSub>
          </m:e>
        </m:box>
      </m:oMath>
      <w:r>
        <w:t>，采用泊松伪最大似然方法（PPML；Santos Silva and Tenreyro，2006）估计条件均值。真实零产出保留在样本中；企业失访、统计门槛变化和披露中断分别核查，不能据此认定退出。以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rPr>
                <m:scr m:val="script"/>
              </m:rPr>
              <m:t>X</m:t>
            </m:r>
          </m:e>
        </m:box>
      </m:oMath>
      <w:r>
        <w:t>表示回归的条件信息，事件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e</m:t>
            </m:r>
          </m:e>
        </m:box>
      </m:oMath>
      <w:r>
        <w:t>的基准规格为：</w:t>
      </w:r>
    </w:p>
    <w:p>
      <w:pPr>
        <w:pStyle w:val="Equation"/>
        <w:keepNext/>
      </w:pPr>
      <w:r>
        <w:tab/>
      </w:r>
      <m:oMath>
        <m:r>
          <w:rPr>
            <w:rFonts w:ascii="Cambria Math" w:hAnsi="Cambria Math" w:eastAsia="宋体"/>
            <w:sz w:val="23"/>
          </w:rPr>
          <m:rPr>
            <m:scr m:val="double-struck"/>
            <m:sty m:val="p"/>
          </m:rPr>
          <m:t>E</m:t>
        </m:r>
        <m:r>
          <w:rPr>
            <w:rFonts w:ascii="Cambria Math" w:hAnsi="Cambria Math" w:eastAsia="宋体"/>
            <w:sz w:val="23"/>
          </w:rPr>
          <m:t>[</m:t>
        </m:r>
        <m:sSub>
          <m:e>
            <m:r>
              <w:rPr>
                <w:rFonts w:ascii="Cambria Math" w:hAnsi="Cambria Math" w:eastAsia="宋体"/>
                <w:sz w:val="23"/>
              </w:rPr>
              <m:t>Q</m:t>
            </m:r>
          </m:e>
          <m:sub>
            <m:r>
              <w:rPr>
                <w:rFonts w:ascii="Cambria Math" w:hAnsi="Cambria Math" w:eastAsia="宋体"/>
                <w:sz w:val="23"/>
              </w:rPr>
              <m:t>ft</m:t>
            </m:r>
          </m:sub>
        </m:sSub>
        <m:r>
          <w:rPr>
            <w:rFonts w:ascii="Cambria Math" w:hAnsi="Cambria Math" w:eastAsia="宋体"/>
            <w:sz w:val="23"/>
          </w:rPr>
          <m:t>|</m:t>
        </m:r>
        <m:r>
          <w:rPr>
            <w:rFonts w:ascii="Cambria Math" w:hAnsi="Cambria Math" w:eastAsia="宋体"/>
            <w:sz w:val="23"/>
          </w:rPr>
          <m:rPr>
            <m:scr m:val="script"/>
          </m:rPr>
          <m:t>X</m:t>
        </m:r>
        <m:r>
          <w:rPr>
            <w:rFonts w:ascii="Cambria Math" w:hAnsi="Cambria Math" w:eastAsia="宋体"/>
            <w:sz w:val="23"/>
          </w:rPr>
          <m:t>,e]=</m:t>
        </m:r>
        <m:r>
          <w:rPr>
            <w:rFonts w:ascii="Cambria Math" w:hAnsi="Cambria Math" w:eastAsia="宋体"/>
            <w:sz w:val="23"/>
          </w:rPr>
          <m:rPr>
            <m:sty m:val="p"/>
          </m:rPr>
          <m:t>exp</m:t>
        </m:r>
        <m:r>
          <w:rPr>
            <w:rFonts w:ascii="Cambria Math" w:hAnsi="Cambria Math" w:eastAsia="宋体"/>
            <w:sz w:val="23"/>
          </w:rPr>
          <m:t>[</m:t>
        </m:r>
        <m:sSub>
          <m:e>
            <m:r>
              <w:rPr>
                <w:rFonts w:ascii="Cambria Math" w:hAnsi="Cambria Math" w:eastAsia="宋体"/>
                <w:sz w:val="23"/>
              </w:rPr>
              <m:t>α</m:t>
            </m:r>
          </m:e>
          <m:sub>
            <m:r>
              <w:rPr>
                <w:rFonts w:ascii="Cambria Math" w:hAnsi="Cambria Math" w:eastAsia="宋体"/>
                <w:sz w:val="23"/>
              </w:rPr>
              <m:t>fe</m:t>
            </m:r>
          </m:sub>
        </m:sSub>
        <m:r>
          <w:rPr>
            <w:rFonts w:ascii="Cambria Math" w:hAnsi="Cambria Math" w:eastAsia="宋体"/>
            <w:sz w:val="23"/>
          </w:rPr>
          <m:t>+</m:t>
        </m:r>
        <m:sSub>
          <m:e>
            <m:r>
              <w:rPr>
                <w:rFonts w:ascii="Cambria Math" w:hAnsi="Cambria Math" w:eastAsia="宋体"/>
                <w:sz w:val="23"/>
              </w:rPr>
              <m:t>λ</m:t>
            </m:r>
          </m:e>
          <m:sub>
            <m:sSub>
              <m:e>
                <m:r>
                  <w:rPr>
                    <w:rFonts w:ascii="Cambria Math" w:hAnsi="Cambria Math" w:eastAsia="宋体"/>
                    <w:sz w:val="23"/>
                  </w:rPr>
                  <m:t>c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fe0</m:t>
                </m:r>
              </m:sub>
            </m:sSub>
            <m:r>
              <w:rPr>
                <w:rFonts w:ascii="Cambria Math" w:hAnsi="Cambria Math" w:eastAsia="宋体"/>
                <w:sz w:val="23"/>
              </w:rPr>
              <m:t>t,e</m:t>
            </m:r>
          </m:sub>
        </m:sSub>
        <m:r>
          <w:rPr>
            <w:rFonts w:ascii="Cambria Math" w:hAnsi="Cambria Math" w:eastAsia="宋体"/>
            <w:sz w:val="23"/>
          </w:rPr>
          <m:t>+</m:t>
        </m:r>
        <m:sSub>
          <m:e>
            <m:r>
              <w:rPr>
                <w:rFonts w:ascii="Cambria Math" w:hAnsi="Cambria Math" w:eastAsia="宋体"/>
                <w:sz w:val="23"/>
              </w:rPr>
              <m:t>η</m:t>
            </m:r>
          </m:e>
          <m:sub>
            <m:sSub>
              <m:e>
                <m:r>
                  <w:rPr>
                    <w:rFonts w:ascii="Cambria Math" w:hAnsi="Cambria Math" w:eastAsia="宋体"/>
                    <w:sz w:val="23"/>
                  </w:rPr>
                  <m:t>r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fe0</m:t>
                </m:r>
              </m:sub>
            </m:sSub>
            <m:r>
              <w:rPr>
                <w:rFonts w:ascii="Cambria Math" w:hAnsi="Cambria Math" w:eastAsia="宋体"/>
                <w:sz w:val="23"/>
              </w:rPr>
              <m:t>t,e</m:t>
            </m:r>
          </m:sub>
        </m:sSub>
        <m:r>
          <w:rPr>
            <w:rFonts w:ascii="Cambria Math" w:hAnsi="Cambria Math" w:eastAsia="宋体"/>
            <w:sz w:val="23"/>
          </w:rPr>
          <m:t>+</m:t>
        </m:r>
        <m:sSub>
          <m:e>
            <m:r>
              <w:rPr>
                <w:rFonts w:ascii="Cambria Math" w:hAnsi="Cambria Math" w:eastAsia="宋体"/>
                <w:sz w:val="23"/>
              </w:rPr>
              <m:t>L</m:t>
            </m:r>
          </m:e>
          <m:sub>
            <m:r>
              <w:rPr>
                <w:rFonts w:ascii="Cambria Math" w:hAnsi="Cambria Math" w:eastAsia="宋体"/>
                <w:sz w:val="23"/>
              </w:rPr>
              <m:t>fe</m:t>
            </m:r>
          </m:sub>
        </m:sSub>
        <m:r>
          <w:rPr>
            <w:rFonts w:ascii="Cambria Math" w:hAnsi="Cambria Math" w:eastAsia="宋体"/>
            <w:sz w:val="23"/>
          </w:rPr>
          <m:t>(t)].</m:t>
        </m:r>
      </m:oMath>
      <w:r>
        <w:tab/>
        <w:t>(A6)</w:t>
      </w:r>
    </w:p>
    <w:p>
      <w:pPr>
        <w:pStyle w:val="Equation"/>
        <w:keepNext/>
      </w:pPr>
      <w:r>
        <w:tab/>
      </w:r>
      <m:oMath>
        <m:sSub>
          <m:e>
            <m:r>
              <w:rPr>
                <w:rFonts w:ascii="Cambria Math" w:hAnsi="Cambria Math" w:eastAsia="宋体"/>
                <w:sz w:val="23"/>
              </w:rPr>
              <m:t>L</m:t>
            </m:r>
          </m:e>
          <m:sub>
            <m:r>
              <w:rPr>
                <w:rFonts w:ascii="Cambria Math" w:hAnsi="Cambria Math" w:eastAsia="宋体"/>
                <w:sz w:val="23"/>
              </w:rPr>
              <m:t>fe</m:t>
            </m:r>
          </m:sub>
        </m:sSub>
        <m:r>
          <w:rPr>
            <w:rFonts w:ascii="Cambria Math" w:hAnsi="Cambria Math" w:eastAsia="宋体"/>
            <w:sz w:val="23"/>
          </w:rPr>
          <m:t>(t)=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 w:eastAsia="宋体"/>
                <w:sz w:val="23"/>
              </w:rPr>
              <m:t>h∈</m:t>
            </m:r>
            <m:sSub>
              <m:e>
                <m:r>
                  <w:rPr>
                    <w:rFonts w:ascii="Cambria Math" w:hAnsi="Cambria Math" w:eastAsia="宋体"/>
                    <w:sz w:val="23"/>
                  </w:rPr>
                  <m:rPr>
                    <m:scr m:val="script"/>
                  </m:rPr>
                  <m:t>H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e</m:t>
                </m:r>
              </m:sub>
            </m:sSub>
            <m:r>
              <w:rPr>
                <w:rFonts w:ascii="Cambria Math" w:hAnsi="Cambria Math" w:eastAsia="宋体"/>
                <w:sz w:val="23"/>
              </w:rPr>
              <m:t>,</m:t>
            </m:r>
            <m:r>
              <w:rPr>
                <w:rFonts w:ascii="Cambria Math" w:hAnsi="Cambria Math" w:eastAsia="宋体"/>
                <w:sz w:val="23"/>
              </w:rPr>
              <m:t>h≠</m:t>
            </m:r>
            <m:sSub>
              <m:e>
                <m:r>
                  <w:rPr>
                    <w:rFonts w:ascii="Cambria Math" w:hAnsi="Cambria Math" w:eastAsia="宋体"/>
                    <w:sz w:val="23"/>
                  </w:rPr>
                  <m:t>h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0e</m:t>
                </m:r>
              </m:sub>
            </m:sSub>
          </m:sub>
          <m:sup/>
          <m:e>
            <m:sSub>
              <m:e>
                <m:r>
                  <w:rPr>
                    <w:rFonts w:ascii="Cambria Math" w:hAnsi="Cambria Math" w:eastAsia="宋体"/>
                    <w:sz w:val="23"/>
                  </w:rPr>
                  <m:t>β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eh</m:t>
                </m:r>
              </m:sub>
            </m:sSub>
          </m:e>
        </m:nary>
        <m:sSub>
          <m:e>
            <m:r>
              <w:rPr>
                <w:rFonts w:ascii="Cambria Math" w:hAnsi="Cambria Math" w:eastAsia="宋体"/>
                <w:sz w:val="23"/>
              </w:rPr>
              <m:t>T</m:t>
            </m:r>
          </m:e>
          <m:sub>
            <m:r>
              <w:rPr>
                <w:rFonts w:ascii="Cambria Math" w:hAnsi="Cambria Math" w:eastAsia="宋体"/>
                <w:sz w:val="23"/>
              </w:rPr>
              <m:t>fe</m:t>
            </m:r>
          </m:sub>
        </m:sSub>
        <m:r>
          <w:rPr>
            <w:rFonts w:ascii="Cambria Math" w:hAnsi="Cambria Math" w:eastAsia="宋体"/>
            <w:sz w:val="23"/>
          </w:rPr>
          <m:rPr>
            <m:sty m:val="b"/>
          </m:rPr>
          <m:t>1</m:t>
        </m:r>
        <m:r>
          <w:rPr>
            <w:rFonts w:ascii="Cambria Math" w:hAnsi="Cambria Math" w:eastAsia="宋体"/>
            <w:sz w:val="23"/>
          </w:rPr>
          <m:t>(t-</m:t>
        </m:r>
        <m:sSub>
          <m:e>
            <m:r>
              <w:rPr>
                <w:rFonts w:ascii="Cambria Math" w:hAnsi="Cambria Math" w:eastAsia="宋体"/>
                <w:sz w:val="23"/>
              </w:rPr>
              <m:t>t</m:t>
            </m:r>
          </m:e>
          <m:sub>
            <m:r>
              <w:rPr>
                <w:rFonts w:ascii="Cambria Math" w:hAnsi="Cambria Math" w:eastAsia="宋体"/>
                <w:sz w:val="23"/>
              </w:rPr>
              <m:t>e</m:t>
            </m:r>
          </m:sub>
        </m:sSub>
        <m:r>
          <w:rPr>
            <w:rFonts w:ascii="Cambria Math" w:hAnsi="Cambria Math" w:eastAsia="宋体"/>
            <w:sz w:val="23"/>
          </w:rPr>
          <m:t>=h).</m:t>
        </m:r>
      </m:oMath>
      <w:r>
        <w:tab/>
        <w:t>(A7)</w:t>
      </w:r>
    </w:p>
    <w:p>
      <w:pPr/>
      <w:r>
        <w:t>其中，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fe</m:t>
                </m:r>
              </m:sub>
            </m:sSub>
          </m:e>
        </m:box>
      </m:oMath>
      <w:r>
        <w:t>表示企业是否适用该次改革，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e</m:t>
                </m:r>
              </m:sub>
            </m:sSub>
          </m:e>
        </m:box>
      </m:oMath>
      <w:r>
        <w:t>为改革生效年份，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h</m:t>
            </m:r>
          </m:e>
        </m:box>
      </m:oMath>
      <w:r>
        <w:t>为相对事件时间，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cr m:val="script"/>
                  </m:rPr>
                  <m:t>H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e</m:t>
                </m:r>
              </m:sub>
            </m:sSub>
          </m:e>
        </m:box>
      </m:oMath>
      <w:r>
        <w:t>为事先确定的观察窗口。参照期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0e</m:t>
                </m:r>
              </m:sub>
            </m:sSub>
          </m:e>
        </m:box>
      </m:oMath>
      <w:r>
        <w:t>在没有提前公告时取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-1</m:t>
            </m:r>
          </m:e>
        </m:box>
      </m:oMath>
      <w:r>
        <w:t>，已经公告的改革则选用公告前最后一个完整年度，并将公告至生效期间单独解释为提前调整。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fe0</m:t>
                </m:r>
              </m:sub>
            </m:sSub>
          </m:e>
        </m:box>
      </m:oMath>
      <w:r>
        <w:t>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fe0</m:t>
                </m:r>
              </m:sub>
            </m:sSub>
          </m:e>
        </m:box>
      </m:oMath>
      <w:r>
        <w:t>按已核实的改革前主业及主要生产地区确定，多业务、多地区企业无法明确归属时单列分析；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α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fe</m:t>
                </m:r>
              </m:sub>
            </m:sSub>
          </m:e>
        </m:box>
      </m:oMath>
      <w:r>
        <w:t>控制企业稳定特征，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λ</m:t>
            </m:r>
          </m:e>
        </m:box>
      </m:oMath>
      <w:r>
        <w:t>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η</m:t>
            </m:r>
          </m:e>
        </m:box>
      </m:oMath>
      <w:r>
        <w:t>分别控制基期行业及地区的年度共同变化。补充协变量时使用改革前特征及其与年份的交互，改革后的融资、规模和产品调整作为结果或作用机制研究。</w:t>
      </w:r>
    </w:p>
    <w:p>
      <w:pPr/>
      <w:r>
        <w:t>四位行业×年份固定效应适用于行业内部存在政策待遇差异的事件。全国性改革完整覆盖一个小类时，该组固定效应会吸收政策变化，应改用较宽行业的年度效应，并检验行业间比较的合理性。若乘法平行趋势成立、提前反应得到适当处理且对照组未受到相关溢出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rPr>
                <m:sty m:val="p"/>
              </m:rPr>
              <m:t>exp</m:t>
            </m:r>
            <m:r>
              <w:rPr>
                <w:rFonts w:ascii="Cambria Math" w:hAnsi="Cambria Math" w:eastAsia="宋体"/>
                <w:sz w:val="24"/>
              </w:rPr>
              <m:t>(</m:t>
            </m:r>
            <m:sSub>
              <m:e>
                <m:r>
                  <w:rPr>
                    <w:rFonts w:ascii="Cambria Math" w:hAnsi="Cambria Math" w:eastAsia="宋体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eh</m:t>
                </m:r>
              </m:sub>
            </m:sSub>
            <m:r>
              <w:rPr>
                <w:rFonts w:ascii="Cambria Math" w:hAnsi="Cambria Math" w:eastAsia="宋体"/>
                <w:sz w:val="24"/>
              </w:rPr>
              <m:t>)-1</m:t>
            </m:r>
          </m:e>
        </m:box>
      </m:oMath>
      <w:r>
        <w:t>表示处理企业相对于对照企业的条件产出变化；上述条件须由改革背景和样本证据支持。</w:t>
      </w:r>
    </w:p>
    <w:p>
      <w:pPr/>
      <w:r>
        <w:t>分批或重复改革分别确定窗口。窗口内出现其他相关改革时，缩短观察期或按改革组合研究；提前公告的改革按公告前业务分组，分别考察公告后和实施后的调整。堆叠事件时校正对照样本重复使用造成的权重差异。结合竞争和供应链联系调整对照范围，并比较不同对照组的结果。</w:t>
      </w:r>
    </w:p>
    <w:p>
      <w:pPr/>
      <w:r>
        <w:t>另以GB四位小类—地区—年份面板考察新设企业和行业总生产。部分覆盖的小类标记为“包含受改革业务的行业”，其结果包括行业内各类业务及进入退出的反应。该标记不表示全部企业受到相同限制。行业分析单独论证行业间可比性，采用保留政策差异的较宽行业年度效应，为完整生产目标提供补充证据。</w:t>
      </w:r>
    </w:p>
    <w:p>
      <w:pPr>
        <w:pStyle w:val="21"/>
      </w:pPr>
      <w:r>
        <w:t>A.3.2 六类政策限制与企业外资行为识别</w:t>
      </w:r>
    </w:p>
    <w:p>
      <w:pPr/>
      <w:r>
        <w:t>企业行为结果包括外资持股、外国控制、全外资、存续和业务调整，估计方法按变量性质选择。已有国内企业被外资收购计入原有企业的控制权变化；新设企业的进入数量和生产纳入完整行业统计。所有权、进入退出及规模变化分别报告，以解释外资生产份额的变化。</w:t>
      </w:r>
    </w:p>
    <w:p>
      <w:pPr/>
      <w:r>
        <w:t>估计前建立改革事件与六类限制变化的对应表，逐项记录同一业务前后的限制、适用范围及共同政策依据。同一次改革同时放松股比、控制权和组织形式要求时，主结果归于这一改革组合。只有其他限制保持不变，且存在可比业务和对照状态时，才单独识别某类限制的效果。不同限制存在充分独立变化时，可补充联合回归及有依据的交互项；设计矩阵满秩仍需结合政策可比性判断，不能仅据此认定六类效应均已识别（de Chaisemartin and D’Haultfœuille，2023）。</w:t>
      </w:r>
    </w:p>
    <w:p>
      <w:pPr/>
      <w:r>
        <w:t>同一次政策调整涉及多个小类时，分别记录适用范围，按共同决策、实施安排和误差相关性确定独立冲击及聚类层级。企业数、行业数以及公告和生效日期均不能直接计为独立改革次数。政策变化较少时，缩小可识别的限制类型和反事实范围，并报告推断的不确定性。类型间贡献采用相同基准、样本和观察期限比较。</w:t>
      </w:r>
    </w:p>
    <w:p>
      <w:pPr>
        <w:pStyle w:val="21"/>
      </w:pPr>
      <w:r>
        <w:t>A.3.3 外国控制企业生产份额的构造</w:t>
      </w:r>
    </w:p>
    <w:p>
      <w:pPr/>
      <w:r>
        <w:t>生产份额依据当期实际生产价值计算。以最终控制主体所在地划分外国和国内控制企业，设</w:t>
      </w:r>
      <m:oMath>
        <m:box>
          <m:boxPr>
            <m:noBreak m:val="1"/>
          </m:boxPr>
          <m:e>
            <m:sSubSup>
              <m:e>
                <m:r>
                  <w:rPr>
                    <w:rFonts w:ascii="Cambria Math" w:hAnsi="Cambria Math" w:eastAsia="宋体"/>
                    <w:sz w:val="24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ft</m:t>
                </m:r>
              </m:sub>
              <m:sup>
                <m:r>
                  <w:rPr>
                    <w:rFonts w:ascii="Cambria Math" w:hAnsi="Cambria Math" w:eastAsia="宋体"/>
                    <w:sz w:val="24"/>
                  </w:rPr>
                  <m:t>F</m:t>
                </m:r>
              </m:sup>
            </m:sSubSup>
          </m:e>
        </m:box>
      </m:oMath>
      <w:r>
        <w:t>为外国控制指示变量。对原有企业，在同一固定企业集合中分别计算</w:t>
      </w:r>
      <m:oMath>
        <m:box>
          <m:boxPr>
            <m:noBreak m:val="1"/>
          </m:boxPr>
          <m:e>
            <m:sSubSup>
              <m:e>
                <m:r>
                  <w:rPr>
                    <w:rFonts w:ascii="Cambria Math" w:hAnsi="Cambria Math" w:eastAsia="宋体"/>
                    <w:sz w:val="24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ft</m:t>
                </m:r>
              </m:sub>
              <m:sup>
                <m:r>
                  <w:rPr>
                    <w:rFonts w:ascii="Cambria Math" w:hAnsi="Cambria Math" w:eastAsia="宋体"/>
                    <w:sz w:val="24"/>
                  </w:rPr>
                  <m:t>F</m:t>
                </m:r>
              </m:sup>
            </m:sSubSup>
            <m:sSub>
              <m:e>
                <m:r>
                  <w:rPr>
                    <w:rFonts w:ascii="Cambria Math" w:hAnsi="Cambria Math" w:eastAsia="宋体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ft</m:t>
                </m:r>
              </m:sub>
            </m:sSub>
          </m:e>
        </m:box>
      </m:oMath>
      <w:r>
        <w:t>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(1-</m:t>
            </m:r>
            <m:sSubSup>
              <m:e>
                <m:r>
                  <w:rPr>
                    <w:rFonts w:ascii="Cambria Math" w:hAnsi="Cambria Math" w:eastAsia="宋体"/>
                    <w:sz w:val="24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ft</m:t>
                </m:r>
              </m:sub>
              <m:sup>
                <m:r>
                  <w:rPr>
                    <w:rFonts w:ascii="Cambria Math" w:hAnsi="Cambria Math" w:eastAsia="宋体"/>
                    <w:sz w:val="24"/>
                  </w:rPr>
                  <m:t>F</m:t>
                </m:r>
              </m:sup>
            </m:sSubSup>
            <m:r>
              <w:rPr>
                <w:rFonts w:ascii="Cambria Math" w:hAnsi="Cambria Math" w:eastAsia="宋体"/>
                <w:sz w:val="24"/>
              </w:rPr>
              <m:t>)</m:t>
            </m:r>
            <m:sSub>
              <m:e>
                <m:r>
                  <w:rPr>
                    <w:rFonts w:ascii="Cambria Math" w:hAnsi="Cambria Math" w:eastAsia="宋体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ft</m:t>
                </m:r>
              </m:sub>
            </m:sSub>
          </m:e>
        </m:box>
      </m:oMath>
      <w:r>
        <w:t>；控制权改变时调整生产归属，保持企业样本定义不变。将两组产出分别作为式（A6）—（A7）的因变量，各自估计固定效应和政策系数。也可按改革前行业、地区及处理状态固定企业组，加总组内产出估计。两种方式均检查全零观测组的处理。</w:t>
      </w:r>
      <w:r>
        <w:t>⁠</w:t>
      </w:r>
      <w:r>
        <w:rPr>
          <w:rStyle w:val="FootnoteReference"/>
        </w:rPr>
        <w:footnoteReference w:id="3"/>
      </w:r>
    </w:p>
    <w:p>
      <w:pPr/>
      <w:r>
        <w:t>完整行业统计纳入当期经营的全部企业。分业务产出按实际业务和生产地区归属；只有企业总产出时，采用与AMNE相容且能够核实的企业行业分类，不任意拆分至多个候选行业。政策分组和固定效应采用改革前行业，生产则计入当期实际所属部门，以反映企业业务调整。</w:t>
      </w:r>
    </w:p>
    <w:p>
      <w:pPr>
        <w:keepNext/>
      </w:pPr>
      <w:r>
        <w:t>令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ℓ</m:t>
            </m:r>
          </m:e>
        </m:box>
      </m:oMath>
      <w:r>
        <w:t>表示企业原始资料中能够区分的业务记录，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fℓrt</m:t>
                </m:r>
              </m:sub>
            </m:sSub>
          </m:e>
        </m:box>
      </m:oMath>
      <w:r>
        <w:t>为相应当期生产价值，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cr m:val="script"/>
                  </m:rPr>
                  <m:t>B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jt</m:t>
                </m:r>
              </m:sub>
            </m:sSub>
          </m:e>
        </m:box>
      </m:oMath>
      <w:r>
        <w:t>为能够唯一归入部门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j</m:t>
            </m:r>
          </m:e>
        </m:box>
      </m:oMath>
      <w:r>
        <w:t>且控制关系已核实的企业业务—地区记录集合。各记录通过GB2017、ISIC Rev.4及模型部门对照确定归属。外国和国内控制生产分别为：</w:t>
      </w:r>
    </w:p>
    <w:p>
      <w:pPr>
        <w:pStyle w:val="Equation"/>
        <w:keepNext/>
      </w:pPr>
      <w:r>
        <w:tab/>
      </w:r>
      <m:oMath>
        <m:sSub>
          <m:e>
            <m:r>
              <w:rPr>
                <w:rFonts w:ascii="Cambria Math" w:hAnsi="Cambria Math" w:eastAsia="宋体"/>
                <w:sz w:val="23"/>
              </w:rPr>
              <m:t>F</m:t>
            </m:r>
          </m:e>
          <m:sub>
            <m:r>
              <w:rPr>
                <w:rFonts w:ascii="Cambria Math" w:hAnsi="Cambria Math" w:eastAsia="宋体"/>
                <w:sz w:val="23"/>
              </w:rPr>
              <m:t>jt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 w:eastAsia="宋体"/>
                <w:sz w:val="23"/>
              </w:rPr>
              <m:t>(f,ℓ,r)∈</m:t>
            </m:r>
            <m:sSub>
              <m:e>
                <m:r>
                  <w:rPr>
                    <w:rFonts w:ascii="Cambria Math" w:hAnsi="Cambria Math" w:eastAsia="宋体"/>
                    <w:sz w:val="23"/>
                  </w:rPr>
                  <m:rPr>
                    <m:scr m:val="script"/>
                  </m:rPr>
                  <m:t>B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jt</m:t>
                </m:r>
              </m:sub>
            </m:sSub>
          </m:sub>
          <m:sup/>
          <m:e>
            <m:sSubSup>
              <m:e>
                <m:r>
                  <w:rPr>
                    <w:rFonts w:ascii="Cambria Math" w:hAnsi="Cambria Math" w:eastAsia="宋体"/>
                    <w:sz w:val="23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ft</m:t>
                </m:r>
              </m:sub>
              <m:sup>
                <m:r>
                  <w:rPr>
                    <w:rFonts w:ascii="Cambria Math" w:hAnsi="Cambria Math" w:eastAsia="宋体"/>
                    <w:sz w:val="23"/>
                  </w:rPr>
                  <m:t>F</m:t>
                </m:r>
              </m:sup>
            </m:sSubSup>
          </m:e>
        </m:nary>
        <m:sSub>
          <m:e>
            <m:r>
              <w:rPr>
                <w:rFonts w:ascii="Cambria Math" w:hAnsi="Cambria Math" w:eastAsia="宋体"/>
                <w:sz w:val="23"/>
              </w:rPr>
              <m:t>Q</m:t>
            </m:r>
          </m:e>
          <m:sub>
            <m:r>
              <w:rPr>
                <w:rFonts w:ascii="Cambria Math" w:hAnsi="Cambria Math" w:eastAsia="宋体"/>
                <w:sz w:val="23"/>
              </w:rPr>
              <m:t>fℓrt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sSub>
          <m:e>
            <m:r>
              <w:rPr>
                <w:rFonts w:ascii="Cambria Math" w:hAnsi="Cambria Math" w:eastAsia="宋体"/>
                <w:sz w:val="23"/>
              </w:rPr>
              <m:t>D</m:t>
            </m:r>
          </m:e>
          <m:sub>
            <m:r>
              <w:rPr>
                <w:rFonts w:ascii="Cambria Math" w:hAnsi="Cambria Math" w:eastAsia="宋体"/>
                <w:sz w:val="23"/>
              </w:rPr>
              <m:t>jt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 w:eastAsia="宋体"/>
                <w:sz w:val="23"/>
              </w:rPr>
              <m:t>(f,ℓ,r)∈</m:t>
            </m:r>
            <m:sSub>
              <m:e>
                <m:r>
                  <w:rPr>
                    <w:rFonts w:ascii="Cambria Math" w:hAnsi="Cambria Math" w:eastAsia="宋体"/>
                    <w:sz w:val="23"/>
                  </w:rPr>
                  <m:rPr>
                    <m:scr m:val="script"/>
                  </m:rPr>
                  <m:t>B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jt</m:t>
                </m:r>
              </m:sub>
            </m:sSub>
          </m:sub>
          <m:sup/>
          <m:e>
            <m:r>
              <w:rPr>
                <w:rFonts w:ascii="Cambria Math" w:hAnsi="Cambria Math" w:eastAsia="宋体"/>
                <w:sz w:val="23"/>
              </w:rPr>
              <m:t>(1-</m:t>
            </m:r>
          </m:e>
        </m:nary>
        <m:sSubSup>
          <m:e>
            <m:r>
              <w:rPr>
                <w:rFonts w:ascii="Cambria Math" w:hAnsi="Cambria Math" w:eastAsia="宋体"/>
                <w:sz w:val="23"/>
              </w:rPr>
              <m:t>D</m:t>
            </m:r>
          </m:e>
          <m:sub>
            <m:r>
              <w:rPr>
                <w:rFonts w:ascii="Cambria Math" w:hAnsi="Cambria Math" w:eastAsia="宋体"/>
                <w:sz w:val="23"/>
              </w:rPr>
              <m:t>ft</m:t>
            </m:r>
          </m:sub>
          <m:sup>
            <m:r>
              <w:rPr>
                <w:rFonts w:ascii="Cambria Math" w:hAnsi="Cambria Math" w:eastAsia="宋体"/>
                <w:sz w:val="23"/>
              </w:rPr>
              <m:t>F</m:t>
            </m:r>
          </m:sup>
        </m:sSubSup>
        <m:r>
          <w:rPr>
            <w:rFonts w:ascii="Cambria Math" w:hAnsi="Cambria Math" w:eastAsia="宋体"/>
            <w:sz w:val="23"/>
          </w:rPr>
          <m:t>)</m:t>
        </m:r>
        <m:sSub>
          <m:e>
            <m:r>
              <w:rPr>
                <w:rFonts w:ascii="Cambria Math" w:hAnsi="Cambria Math" w:eastAsia="宋体"/>
                <w:sz w:val="23"/>
              </w:rPr>
              <m:t>Q</m:t>
            </m:r>
          </m:e>
          <m:sub>
            <m:r>
              <w:rPr>
                <w:rFonts w:ascii="Cambria Math" w:hAnsi="Cambria Math" w:eastAsia="宋体"/>
                <w:sz w:val="23"/>
              </w:rPr>
              <m:t>fℓrt</m:t>
            </m:r>
          </m:sub>
        </m:sSub>
        <m:r>
          <w:rPr>
            <w:rFonts w:ascii="Cambria Math" w:hAnsi="Cambria Math" w:eastAsia="宋体"/>
            <w:sz w:val="23"/>
          </w:rPr>
          <m:t>.</m:t>
        </m:r>
      </m:oMath>
      <w:r>
        <w:tab/>
        <w:t>(A8)</w:t>
      </w:r>
    </w:p>
    <w:p>
      <w:pPr>
        <w:keepNext/>
      </w:pPr>
      <w:r>
        <w:t>两组生产使用相同币值、价格年份和估值口径。多个小类归入同一部门时，先加总生产价值，再计算外国控制企业的生产份额：</w:t>
      </w:r>
    </w:p>
    <w:p>
      <w:pPr>
        <w:pStyle w:val="Equation"/>
        <w:keepNext/>
      </w:pPr>
      <w:r>
        <w:tab/>
      </w:r>
      <m:oMath>
        <m:sSubSup>
          <m:e>
            <m:r>
              <w:rPr>
                <w:rFonts w:ascii="Cambria Math" w:hAnsi="Cambria Math" w:eastAsia="宋体"/>
                <w:sz w:val="23"/>
              </w:rPr>
              <m:t>M</m:t>
            </m:r>
          </m:e>
          <m:sub>
            <m:r>
              <w:rPr>
                <w:rFonts w:ascii="Cambria Math" w:hAnsi="Cambria Math" w:eastAsia="宋体"/>
                <w:sz w:val="23"/>
              </w:rPr>
              <m:t>jt</m:t>
            </m:r>
          </m:sub>
          <m:sup>
            <m:r>
              <w:rPr>
                <w:rFonts w:ascii="Cambria Math" w:hAnsi="Cambria Math" w:eastAsia="宋体"/>
                <w:sz w:val="23"/>
              </w:rPr>
              <m:rPr>
                <m:sty m:val="p"/>
              </m:rPr>
              <m:t>obs</m:t>
            </m:r>
          </m:sup>
        </m:sSubSup>
        <m:r>
          <w:rPr>
            <w:rFonts w:ascii="Cambria Math" w:hAnsi="Cambria Math" w:eastAsia="宋体"/>
            <w:sz w:val="23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3"/>
                  </w:rPr>
                  <m:t>F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jt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3"/>
                  </w:rPr>
                  <m:t>F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jt</m:t>
                </m:r>
              </m:sub>
            </m:sSub>
            <m:r>
              <w:rPr>
                <w:rFonts w:ascii="Cambria Math" w:hAnsi="Cambria Math" w:eastAsia="宋体"/>
                <w:sz w:val="23"/>
              </w:rPr>
              <m:t>+</m:t>
            </m:r>
            <m:sSub>
              <m:e>
                <m:r>
                  <w:rPr>
                    <w:rFonts w:ascii="Cambria Math" w:hAnsi="Cambria Math" w:eastAsia="宋体"/>
                    <w:sz w:val="23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jt</m:t>
                </m:r>
              </m:sub>
            </m:sSub>
          </m:den>
        </m:f>
        <m:r>
          <w:rPr>
            <w:rFonts w:ascii="Cambria Math" w:hAnsi="Cambria Math" w:eastAsia="宋体"/>
            <w:sz w:val="23"/>
          </w:rPr>
          <m:t>.</m:t>
        </m:r>
      </m:oMath>
      <w:r>
        <w:tab/>
        <w:t>(A9)</w:t>
      </w:r>
    </w:p>
    <w:p>
      <w:pPr/>
      <w:r>
        <w:t>控制关系或部门归属未确定的产出单列，并报告其覆盖影响。分母为零时份额未定义。跨部门份额同样先加总产出再计算，每笔产出只计一次，行业候选关系不能造成重复计入。</w:t>
      </w:r>
    </w:p>
    <w:p>
      <w:pPr>
        <w:keepNext/>
      </w:pPr>
      <w:r>
        <w:t>当期份额变化还受到需求、技术及其他政策影响。为提取所研究改革的生产反应，企业与完整行业分析均分别估计外国和国内控制产出，使用各组系数预测有改革和无改革的结果。两种情景采用相同预测样本及其他条件，仅改变该项改革。以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a=1</m:t>
            </m:r>
          </m:e>
        </m:box>
      </m:oMath>
      <w:r>
        <w:t>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a=0</m:t>
            </m:r>
          </m:e>
        </m:box>
      </m:oMath>
      <w:r>
        <w:t>表示两种政策状态，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g</m:t>
            </m:r>
          </m:e>
        </m:box>
      </m:oMath>
      <w:r>
        <w:t>表示所用估计规格中的产出观测单元，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cr m:val="script"/>
                  </m:rPr>
                  <m:t>S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je</m:t>
                </m:r>
              </m:sub>
            </m:sSub>
          </m:e>
        </m:box>
      </m:oMath>
      <w:r>
        <w:t>为能够归入部门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j</m:t>
            </m:r>
          </m:e>
        </m:box>
      </m:oMath>
      <w:r>
        <w:t>的预测单元集合，则：</w:t>
      </w:r>
    </w:p>
    <w:p>
      <w:pPr>
        <w:pStyle w:val="Equation"/>
        <w:keepNext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3"/>
                  </w:rPr>
                  <m:t>M</m:t>
                </m:r>
              </m:e>
            </m:acc>
          </m:e>
          <m:sub>
            <m:r>
              <w:rPr>
                <w:rFonts w:ascii="Cambria Math" w:hAnsi="Cambria Math" w:eastAsia="宋体"/>
                <w:sz w:val="23"/>
              </w:rPr>
              <m:t>jte</m:t>
            </m:r>
          </m:sub>
          <m:sup>
            <m:r>
              <w:rPr>
                <w:rFonts w:ascii="Cambria Math" w:hAnsi="Cambria Math" w:eastAsia="宋体"/>
                <w:sz w:val="23"/>
              </w:rPr>
              <m:t>a</m:t>
            </m:r>
          </m:sup>
        </m:sSubSup>
        <m:r>
          <w:rPr>
            <w:rFonts w:ascii="Cambria Math" w:hAnsi="Cambria Math" w:eastAsia="宋体"/>
            <w:sz w:val="23"/>
          </w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 w:eastAsia="宋体"/>
                    <w:sz w:val="23"/>
                  </w:rPr>
                  <m:t>g∈</m:t>
                </m:r>
                <m:sSub>
                  <m:e>
                    <m:r>
                      <w:rPr>
                        <w:rFonts w:ascii="Cambria Math" w:hAnsi="Cambria Math" w:eastAsia="宋体"/>
                        <w:sz w:val="23"/>
                      </w:rPr>
                      <m:rPr>
                        <m:scr m:val="script"/>
                      </m:rPr>
                      <m:t>S</m:t>
                    </m:r>
                  </m:e>
                  <m:sub>
                    <m:r>
                      <w:rPr>
                        <w:rFonts w:ascii="Cambria Math" w:hAnsi="Cambria Math" w:eastAsia="宋体"/>
                        <w:sz w:val="23"/>
                      </w:rPr>
                      <m:t>je</m:t>
                    </m:r>
                  </m:sub>
                </m:sSub>
              </m:sub>
              <m:sup/>
              <m:e>
                <m:sSubSup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rFonts w:ascii="Cambria Math" w:hAnsi="Cambria Math" w:eastAsia="宋体"/>
                            <w:sz w:val="23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eastAsia="宋体"/>
                        <w:sz w:val="23"/>
                      </w:rPr>
                      <m:t>gte</m:t>
                    </m:r>
                  </m:sub>
                  <m:sup>
                    <m:r>
                      <w:rPr>
                        <w:rFonts w:ascii="Cambria Math" w:hAnsi="Cambria Math" w:eastAsia="宋体"/>
                        <w:sz w:val="23"/>
                      </w:rPr>
                      <m:t>a</m:t>
                    </m:r>
                  </m:sup>
                </m:sSubSup>
              </m:e>
            </m:nary>
          </m:num>
          <m:den>
            <m:nary>
              <m:naryPr>
                <m:chr m:val="∑"/>
                <m:limLoc m:val="undOvr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 w:eastAsia="宋体"/>
                    <w:sz w:val="23"/>
                  </w:rPr>
                  <m:t>g∈</m:t>
                </m:r>
                <m:sSub>
                  <m:e>
                    <m:r>
                      <w:rPr>
                        <w:rFonts w:ascii="Cambria Math" w:hAnsi="Cambria Math" w:eastAsia="宋体"/>
                        <w:sz w:val="23"/>
                      </w:rPr>
                      <m:rPr>
                        <m:scr m:val="script"/>
                      </m:rPr>
                      <m:t>S</m:t>
                    </m:r>
                  </m:e>
                  <m:sub>
                    <m:r>
                      <w:rPr>
                        <w:rFonts w:ascii="Cambria Math" w:hAnsi="Cambria Math" w:eastAsia="宋体"/>
                        <w:sz w:val="23"/>
                      </w:rPr>
                      <m:t>je</m:t>
                    </m:r>
                  </m:sub>
                </m:sSub>
              </m:sub>
              <m:sup/>
              <m:e>
                <m:r>
                  <w:rPr>
                    <w:rFonts w:ascii="Cambria Math" w:hAnsi="Cambria Math" w:eastAsia="宋体"/>
                    <w:sz w:val="23"/>
                  </w:rPr>
                  <m:t>(</m:t>
                </m:r>
              </m:e>
            </m:nary>
            <m:sSubSup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宋体"/>
                        <w:sz w:val="23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gte</m:t>
                </m:r>
              </m:sub>
              <m:sup>
                <m:r>
                  <w:rPr>
                    <w:rFonts w:ascii="Cambria Math" w:hAnsi="Cambria Math" w:eastAsia="宋体"/>
                    <w:sz w:val="23"/>
                  </w:rPr>
                  <m:t>a</m:t>
                </m:r>
              </m:sup>
            </m:sSubSup>
            <m:r>
              <w:rPr>
                <w:rFonts w:ascii="Cambria Math" w:hAnsi="Cambria Math" w:eastAsia="宋体"/>
                <w:sz w:val="23"/>
              </w:rPr>
              <m:t>+</m:t>
            </m:r>
            <m:sSubSup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宋体"/>
                        <w:sz w:val="23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gte</m:t>
                </m:r>
              </m:sub>
              <m:sup>
                <m:r>
                  <w:rPr>
                    <w:rFonts w:ascii="Cambria Math" w:hAnsi="Cambria Math" w:eastAsia="宋体"/>
                    <w:sz w:val="23"/>
                  </w:rPr>
                  <m:t>a</m:t>
                </m:r>
              </m:sup>
            </m:sSubSup>
            <m:r>
              <w:rPr>
                <w:rFonts w:ascii="Cambria Math" w:hAnsi="Cambria Math" w:eastAsia="宋体"/>
                <w:sz w:val="23"/>
              </w:rPr>
              <m:t>)</m:t>
            </m:r>
          </m:den>
        </m:f>
        <m:r>
          <w:rPr>
            <w:rFonts w:ascii="Cambria Math" w:hAnsi="Cambria Math" w:eastAsia="宋体"/>
            <w:sz w:val="23"/>
          </w:rPr>
          <m:t>,</m:t>
        </m:r>
        <m:r>
          <w:rPr>
            <w:rFonts w:ascii="Cambria Math" w:hAnsi="Cambria Math" w:eastAsia="宋体"/>
            <w:sz w:val="23"/>
          </w:rPr>
          <m:t>a∈{0,1}.</m:t>
        </m:r>
      </m:oMath>
      <w:r>
        <w:tab/>
        <w:t>(A10)</w:t>
      </w:r>
    </w:p>
    <w:p>
      <w:pPr/>
      <w:r>
        <w:t>企业、固定企业组和行业面板各自形成预测集合，结果分别解释。部门成本反演优先采用覆盖完整行业的生产目标；仅有原有企业或部分行业结果时，须说明其余产出的处理及依据。例如，将未覆盖产出在两种情景下保持不变，是形成部门目标时增加的假设。无法说明完整生产范围或补充依据的事件，保留其微观结果。图A1概括两类估计与部门反演的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vAlign w:val="center"/>
            <w:gridSpan w:val="2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EEF2F6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政策逐版编码与GB2017行业匹配</w:t>
              <w:br/>
              <w:t>大语言模型辅助识别，人工核查法律适用范围</w:t>
            </w:r>
          </w:p>
        </w:tc>
      </w:tr>
      <w:tr>
        <w:trPr>
          <w:cantSplit/>
        </w:trPr>
        <w:tc>
          <w:tcPr>
            <w:tcW w:type="dxa" w:w="9360"/>
            <w:vAlign w:val="center"/>
            <w:gridSpan w:val="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↓</w:t>
            </w:r>
          </w:p>
        </w:tc>
      </w:tr>
      <w:tr>
        <w:trPr>
          <w:cantSplit/>
        </w:trPr>
        <w:tc>
          <w:tcPr>
            <w:tcW w:type="dxa" w:w="9360"/>
            <w:vAlign w:val="center"/>
            <w:gridSpan w:val="2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EEF2F6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固定企业改革前业务，逐版判断政策待遇</w:t>
              <w:br/>
              <w:t>确定改革事件及适用范围</w:t>
            </w:r>
          </w:p>
        </w:tc>
      </w:tr>
      <w:tr>
        <w:trPr>
          <w:cantSplit/>
        </w:trPr>
        <w:tc>
          <w:tcPr>
            <w:tcW w:type="dxa" w:w="9360"/>
            <w:vAlign w:val="center"/>
            <w:gridSpan w:val="2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↓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FFFFFF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企业—年份基准分析</w:t>
              <w:br/>
              <w:t>原有企业的规模、控制权与存续</w:t>
            </w:r>
          </w:p>
        </w:tc>
        <w:tc>
          <w:tcPr>
            <w:tcW w:type="dxa" w:w="46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FFFFFF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GB四位小类—地区—年份补充分析</w:t>
              <w:br/>
              <w:t>包含新设企业的完整行业生产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FFFFFF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解释原有企业的调整</w:t>
              <w:br/>
              <w:t>核实原有企业产出在部门中的覆盖范围</w:t>
            </w:r>
          </w:p>
        </w:tc>
        <w:tc>
          <w:tcPr>
            <w:tcW w:type="dxa" w:w="4680"/>
            <w:vAlign w:val="center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FFFFFF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分别估计外国和国内控制生产</w:t>
              <w:br/>
              <w:t>按真实产出加总至模型部门</w:t>
            </w:r>
          </w:p>
        </w:tc>
      </w:tr>
      <w:tr>
        <w:trPr>
          <w:cantSplit/>
        </w:trPr>
        <w:tc>
          <w:tcPr>
            <w:tcW w:type="dxa" w:w="9360"/>
            <w:vAlign w:val="center"/>
            <w:gridSpan w:val="2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EEF2F6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核对生产覆盖、部门归属及模型比较范围</w:t>
              <w:br/>
              <w:t>有完整生产依据或明确补充假设时，形成部门目标</w:t>
            </w:r>
          </w:p>
        </w:tc>
      </w:tr>
      <w:tr>
        <w:trPr>
          <w:cantSplit/>
        </w:trPr>
        <w:tc>
          <w:tcPr>
            <w:tcW w:type="dxa" w:w="9360"/>
            <w:vAlign w:val="center"/>
            <w:gridSpan w:val="2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5" w:color="8497AB"/>
              <w:left w:val="single" w:sz="5" w:color="8497AB"/>
              <w:bottom w:val="single" w:sz="5" w:color="8497AB"/>
              <w:right w:val="single" w:sz="5" w:color="8497AB"/>
            </w:tcBorders>
            <w:shd w:fill="FFFFFF"/>
          </w:tcPr>
          <w:p>
            <w:pPr>
              <w:keepNext/>
              <w:keepLines/>
              <w:spacing w:line="264" w:lineRule="auto" w:before="0" w:after="0"/>
              <w:ind w:firstLine="0"/>
              <w:jc w:val="center"/>
            </w:pPr>
            <w:r>
              <w:rPr>
                <w:sz w:val="21"/>
              </w:rPr>
              <w:t>↓</w:t>
              <w:br/>
              <w:t>部门MP成本反演 → 一般均衡反事实</w:t>
            </w:r>
          </w:p>
        </w:tc>
      </w:tr>
    </w:tbl>
    <w:p>
      <w:pPr>
        <w:pStyle w:val="af7"/>
        <w:keepNext w:val="0"/>
        <w:spacing w:before="80" w:after="140"/>
        <w:jc w:val="center"/>
      </w:pPr>
      <w:r>
        <w:t>图A1 企业估计与部门成本反演的衔接</w:t>
      </w:r>
    </w:p>
    <w:p>
      <w:pPr/>
      <w:r>
        <w:t>同时保存外国生产、国内生产和总生产的预测变化，以区分份额上升来自外国生产扩张、国内生产下降还是控制权转换。原有企业、进入退出及所有权转换的贡献分别计算；固定基期产出权重的控制身份指标作为辅助结果，不替代实际生产份额。</w:t>
      </w:r>
    </w:p>
    <w:p>
      <w:pPr>
        <w:pStyle w:val="21"/>
      </w:pPr>
      <w:r>
        <w:t>A.3.4 由外资生产份额变化反演跨国生产成本</w:t>
      </w:r>
    </w:p>
    <w:p>
      <w:pPr/>
      <w:r>
        <w:t>本节将改革带来的生产变化统一到模型部门和计价口径，调整外国企业在华生产成本，使模型结果与估计目标相符。以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</m:t>
                </m:r>
              </m:sub>
            </m:sSub>
          </m:e>
        </m:box>
      </m:oMath>
      <w:r>
        <w:t>表示成本的对数相对变化，负值表示下降。它衡量改革前后成本改变多少，基准成本另由模型数据和校准确定。</w:t>
      </w:r>
    </w:p>
    <w:p>
      <w:pPr/>
      <w:r>
        <w:t>每次改革事先确定与模型均衡比较相符的观察期限，以所选年份有改革和无改革的预测份额之差构成</w:t>
      </w:r>
      <m:oMath>
        <m:box>
          <m:boxPr>
            <m:noBreak m:val="1"/>
          </m:boxPr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ty m:val="bi"/>
                  </m:rPr>
                  <m:t>μ</m:t>
                </m:r>
              </m:e>
            </m:acc>
          </m:e>
        </m:box>
      </m:oMath>
      <w:r>
        <w:t>。份额以0至1计量，换为百分点时乘以100。需要补充预测集合之外的产出时，先在完整部门范围重算两种情景的份额，再形成目标。以下省略事件及比较期下标，分别反演各次改革的成本变化。</w:t>
      </w:r>
    </w:p>
    <w:p>
      <w:pPr>
        <w:keepNext/>
      </w:pPr>
      <w:r>
        <w:t>模型按生产国、母国和销售目的国记录流量，企业数据则记录生产价值，二者需按相同计价方式加总。令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</m:t>
                </m:r>
              </m:sub>
            </m:sSub>
          </m:e>
        </m:box>
      </m:oMath>
      <w:r>
        <w:t>表示依据数据价格、货币和贸易成本口径对模型流量的换算，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τ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nCj</m:t>
                </m:r>
              </m:sub>
            </m:sSub>
          </m:e>
        </m:box>
      </m:oMath>
      <w:r>
        <w:t>为中国至目的国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n</m:t>
            </m:r>
          </m:e>
        </m:box>
      </m:oMath>
      <w:r>
        <w:t>的贸易成本，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rPr>
                <m:sty m:val="bi"/>
              </m:rPr>
              <m:t>P</m:t>
            </m:r>
          </m:e>
        </m:box>
      </m:oMath>
      <w:r>
        <w:t>为相应价格向量。模型中母国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m</m:t>
            </m:r>
          </m:e>
        </m:box>
      </m:oMath>
      <w:r>
        <w:t>企业在中国的生产及外国控制份额为：</w:t>
      </w:r>
    </w:p>
    <w:p>
      <w:pPr>
        <w:pStyle w:val="Equation"/>
        <w:keepNext/>
      </w:pPr>
      <w:r>
        <w:tab/>
      </w:r>
      <m:oMath>
        <m:sSub>
          <m:e>
            <m:r>
              <w:rPr>
                <w:rFonts w:ascii="Cambria Math" w:hAnsi="Cambria Math" w:eastAsia="宋体"/>
                <w:sz w:val="23"/>
              </w:rPr>
              <m:t>Q</m:t>
            </m:r>
          </m:e>
          <m:sub>
            <m:r>
              <w:rPr>
                <w:rFonts w:ascii="Cambria Math" w:hAnsi="Cambria Math" w:eastAsia="宋体"/>
                <w:sz w:val="23"/>
              </w:rPr>
              <m:t>Cmj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 w:eastAsia="宋体"/>
                <w:sz w:val="23"/>
              </w:rPr>
              <m:t>n</m:t>
            </m:r>
          </m:sub>
          <m:sup/>
          <m:e>
            <m:sSub>
              <m:e>
                <m:r>
                  <w:rPr>
                    <w:rFonts w:ascii="Cambria Math" w:hAnsi="Cambria Math" w:eastAsia="宋体"/>
                    <w:sz w:val="23"/>
                  </w:rPr>
                  <m:t>V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j</m:t>
                </m:r>
              </m:sub>
            </m:sSub>
          </m:e>
        </m:nary>
        <m:r>
          <w:rPr>
            <w:rFonts w:ascii="Cambria Math" w:hAnsi="Cambria Math" w:eastAsia="宋体"/>
            <w:sz w:val="23"/>
          </w:rPr>
          <m:t>(</m:t>
        </m:r>
        <m:sSub>
          <m:e>
            <m:r>
              <w:rPr>
                <w:rFonts w:ascii="Cambria Math" w:hAnsi="Cambria Math" w:eastAsia="宋体"/>
                <w:sz w:val="23"/>
              </w:rPr>
              <m:t>X</m:t>
            </m:r>
          </m:e>
          <m:sub>
            <m:r>
              <w:rPr>
                <w:rFonts w:ascii="Cambria Math" w:hAnsi="Cambria Math" w:eastAsia="宋体"/>
                <w:sz w:val="23"/>
              </w:rPr>
              <m:t>nCmj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sSub>
          <m:e>
            <m:r>
              <w:rPr>
                <w:rFonts w:ascii="Cambria Math" w:hAnsi="Cambria Math" w:eastAsia="宋体"/>
                <w:sz w:val="23"/>
              </w:rPr>
              <m:t>τ</m:t>
            </m:r>
          </m:e>
          <m:sub>
            <m:r>
              <w:rPr>
                <w:rFonts w:ascii="Cambria Math" w:hAnsi="Cambria Math" w:eastAsia="宋体"/>
                <w:sz w:val="23"/>
              </w:rPr>
              <m:t>nCj</m:t>
            </m:r>
          </m:sub>
        </m:sSub>
        <m:r>
          <w:rPr>
            <w:rFonts w:ascii="Cambria Math" w:hAnsi="Cambria Math" w:eastAsia="宋体"/>
            <w:sz w:val="23"/>
          </w:rPr>
          <m:t>,</m:t>
        </m:r>
        <m:r>
          <w:rPr>
            <w:rFonts w:ascii="Cambria Math" w:hAnsi="Cambria Math" w:eastAsia="宋体"/>
            <w:sz w:val="23"/>
          </w:rPr>
          <m:rPr>
            <m:sty m:val="bi"/>
          </m:rPr>
          <m:t>P</m:t>
        </m:r>
        <m:r>
          <w:rPr>
            <w:rFonts w:ascii="Cambria Math" w:hAnsi="Cambria Math" w:eastAsia="宋体"/>
            <w:sz w:val="23"/>
          </w:rPr>
          <m:t>),</m:t>
        </m:r>
        <m:sSub>
          <m:e>
            <m:r>
              <w:rPr>
                <w:rFonts w:ascii="Cambria Math" w:hAnsi="Cambria Math" w:eastAsia="宋体"/>
                <w:sz w:val="23"/>
              </w:rPr>
              <m:t>M</m:t>
            </m:r>
          </m:e>
          <m:sub>
            <m:r>
              <w:rPr>
                <w:rFonts w:ascii="Cambria Math" w:hAnsi="Cambria Math" w:eastAsia="宋体"/>
                <w:sz w:val="23"/>
              </w:rPr>
              <m:t>Cj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 w:eastAsia="宋体"/>
                    <w:sz w:val="23"/>
                  </w:rPr>
                  <m:t>m≠C</m:t>
                </m:r>
              </m:sub>
              <m:sup/>
              <m:e>
                <m:sSub>
                  <m:e>
                    <m:r>
                      <w:rPr>
                        <w:rFonts w:ascii="Cambria Math" w:hAnsi="Cambria Math" w:eastAsia="宋体"/>
                        <w:sz w:val="23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宋体"/>
                        <w:sz w:val="23"/>
                      </w:rPr>
                      <m:t>Cmj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 w:eastAsia="宋体"/>
                    <w:sz w:val="23"/>
                  </w:rPr>
                  <m:t>m</m:t>
                </m:r>
              </m:sub>
              <m:sup/>
              <m:e>
                <m:sSub>
                  <m:e>
                    <m:r>
                      <w:rPr>
                        <w:rFonts w:ascii="Cambria Math" w:hAnsi="Cambria Math" w:eastAsia="宋体"/>
                        <w:sz w:val="23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宋体"/>
                        <w:sz w:val="23"/>
                      </w:rPr>
                      <m:t>Cmj</m:t>
                    </m:r>
                  </m:sub>
                </m:sSub>
              </m:e>
            </m:nary>
          </m:den>
        </m:f>
        <m:r>
          <w:rPr>
            <w:rFonts w:ascii="Cambria Math" w:hAnsi="Cambria Math" w:eastAsia="宋体"/>
            <w:sz w:val="23"/>
          </w:rPr>
          <m:t>.</m:t>
        </m:r>
      </m:oMath>
      <w:r>
        <w:tab/>
        <w:t>(A11)</w:t>
      </w:r>
    </w:p>
    <w:p>
      <w:pPr>
        <w:keepNext/>
      </w:pPr>
      <w:r>
        <w:t>若采用原模型中的生产者收入，应按相应的</w:t>
      </w:r>
      <m:oMath>
        <m:box>
          <m:boxPr>
            <m:noBreak m:val="1"/>
          </m:boxPr>
          <m:e>
            <m:f>
              <m:fPr>
                <m:type m:val="lin"/>
              </m:fPr>
              <m:num>
                <m:r>
                  <w:rPr>
                    <w:rFonts w:ascii="Cambria Math" w:hAnsi="Cambria Math" w:eastAsia="宋体"/>
                    <w:sz w:val="24"/>
                  </w:rPr>
                  <m:t>X</m:t>
                </m:r>
              </m:num>
              <m:den>
                <m:r>
                  <w:rPr>
                    <w:rFonts w:ascii="Cambria Math" w:hAnsi="Cambria Math" w:eastAsia="宋体"/>
                    <w:sz w:val="24"/>
                  </w:rPr>
                  <m:t>τ</m:t>
                </m:r>
              </m:den>
            </m:f>
          </m:e>
        </m:box>
      </m:oMath>
      <w:r>
        <w:t>关系换算；采用其他估值口径时，先核实其与模型变量的对应。令</w:t>
      </w:r>
      <m:oMath>
        <m:box>
          <m:boxPr>
            <m:noBreak m:val="1"/>
          </m:boxPr>
          <m:e>
            <m:sSup>
              <m:e>
                <m:r>
                  <w:rPr>
                    <w:rFonts w:ascii="Cambria Math" w:hAnsi="Cambria Math" w:eastAsia="宋体"/>
                    <w:sz w:val="24"/>
                  </w:rPr>
                  <m:t>G</m:t>
                </m:r>
              </m:e>
              <m:sup>
                <m:r>
                  <w:rPr>
                    <w:rFonts w:ascii="Cambria Math" w:hAnsi="Cambria Math" w:eastAsia="宋体"/>
                    <w:sz w:val="24"/>
                  </w:rPr>
                  <m:t>χ</m:t>
                </m:r>
              </m:sup>
            </m:sSup>
            <m:r>
              <w:rPr>
                <w:rFonts w:ascii="Cambria Math" w:hAnsi="Cambria Math" w:eastAsia="宋体"/>
                <w:sz w:val="24"/>
              </w:rPr>
              <m:t>(</m:t>
            </m:r>
            <m:r>
              <w:rPr>
                <w:rFonts w:ascii="Cambria Math" w:hAnsi="Cambria Math" w:eastAsia="宋体"/>
                <w:sz w:val="24"/>
              </w:rPr>
              <m:rPr>
                <m:sty m:val="bi"/>
              </m:rPr>
              <m:t>δ</m:t>
            </m:r>
            <m:r>
              <w:rPr>
                <w:rFonts w:ascii="Cambria Math" w:hAnsi="Cambria Math" w:eastAsia="宋体"/>
                <w:sz w:val="24"/>
              </w:rPr>
              <m:t>)</m:t>
            </m:r>
          </m:e>
        </m:box>
      </m:oMath>
      <w:r>
        <w:t>为给定成本变化后的模型解，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χ∈{</m:t>
            </m:r>
            <m:r>
              <w:rPr>
                <w:rFonts w:ascii="Cambria Math" w:hAnsi="Cambria Math" w:eastAsia="宋体"/>
                <w:sz w:val="24"/>
              </w:rPr>
              <m:rPr>
                <m:sty m:val="p"/>
              </m:rPr>
              <m:t>PE</m:t>
            </m:r>
            <m:r>
              <w:rPr>
                <w:rFonts w:ascii="Cambria Math" w:hAnsi="Cambria Math" w:eastAsia="宋体"/>
                <w:sz w:val="24"/>
              </w:rPr>
              <m:t>,</m:t>
            </m:r>
            <m:r>
              <w:rPr>
                <w:rFonts w:ascii="Cambria Math" w:hAnsi="Cambria Math" w:eastAsia="宋体"/>
                <w:sz w:val="24"/>
              </w:rPr>
              <m:rPr>
                <m:sty m:val="p"/>
              </m:rPr>
              <m:t>GE</m:t>
            </m:r>
            <m:r>
              <w:rPr>
                <w:rFonts w:ascii="Cambria Math" w:hAnsi="Cambria Math" w:eastAsia="宋体"/>
                <w:sz w:val="24"/>
              </w:rPr>
              <m:t>}</m:t>
            </m:r>
          </m:e>
        </m:box>
      </m:oMath>
      <w:r>
        <w:t>分别表示局部均衡和一般均衡。以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O</m:t>
            </m:r>
          </m:e>
        </m:box>
      </m:oMath>
      <w:r>
        <w:t>表示按实证口径计算模型结果的函数，统一部门、样本范围、时间及比较方式。以经验生产响应</w:t>
      </w:r>
      <m:oMath>
        <m:box>
          <m:boxPr>
            <m:noBreak m:val="1"/>
          </m:boxPr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ty m:val="bi"/>
                  </m:rPr>
                  <m:t>μ</m:t>
                </m:r>
              </m:e>
            </m:acc>
          </m:e>
        </m:box>
      </m:oMath>
      <w:r>
        <w:t>为目标，定义拟合偏差：</w:t>
      </w:r>
    </w:p>
    <w:p>
      <w:pPr>
        <w:pStyle w:val="Equation"/>
        <w:keepNext/>
      </w:pPr>
      <w:r>
        <w:tab/>
      </w:r>
      <m:oMath>
        <m:r>
          <w:rPr>
            <w:rFonts w:ascii="Cambria Math" w:hAnsi="Cambria Math" w:eastAsia="宋体"/>
            <w:sz w:val="23"/>
          </w:rPr>
          <m:rPr>
            <m:sty m:val="bi"/>
          </m:rPr>
          <m:t>ε</m:t>
        </m:r>
        <m:r>
          <w:rPr>
            <w:rFonts w:ascii="Cambria Math" w:hAnsi="Cambria Math" w:eastAsia="宋体"/>
            <w:sz w:val="23"/>
          </w:rPr>
          <m:t>(</m:t>
        </m:r>
        <m:r>
          <w:rPr>
            <w:rFonts w:ascii="Cambria Math" w:hAnsi="Cambria Math" w:eastAsia="宋体"/>
            <w:sz w:val="23"/>
          </w:rPr>
          <m:rPr>
            <m:sty m:val="bi"/>
          </m:rPr>
          <m:t>δ</m:t>
        </m:r>
        <m:r>
          <w:rPr>
            <w:rFonts w:ascii="Cambria Math" w:hAnsi="Cambria Math" w:eastAsia="宋体"/>
            <w:sz w:val="23"/>
          </w:rPr>
          <m:t>)=ΔO(</m:t>
        </m:r>
        <m:sSup>
          <m:e>
            <m:r>
              <w:rPr>
                <w:rFonts w:ascii="Cambria Math" w:hAnsi="Cambria Math" w:eastAsia="宋体"/>
                <w:sz w:val="23"/>
              </w:rPr>
              <m:t>G</m:t>
            </m:r>
          </m:e>
          <m:sup>
            <m:r>
              <w:rPr>
                <w:rFonts w:ascii="Cambria Math" w:hAnsi="Cambria Math" w:eastAsia="宋体"/>
                <w:sz w:val="23"/>
              </w:rPr>
              <m:t>χ</m:t>
            </m:r>
          </m:sup>
        </m:sSup>
        <m:r>
          <w:rPr>
            <w:rFonts w:ascii="Cambria Math" w:hAnsi="Cambria Math" w:eastAsia="宋体"/>
            <w:sz w:val="23"/>
          </w:rPr>
          <m:t>(</m:t>
        </m:r>
        <m:r>
          <w:rPr>
            <w:rFonts w:ascii="Cambria Math" w:hAnsi="Cambria Math" w:eastAsia="宋体"/>
            <w:sz w:val="23"/>
          </w:rPr>
          <m:rPr>
            <m:sty m:val="bi"/>
          </m:rPr>
          <m:t>δ</m:t>
        </m:r>
        <m:r>
          <w:rPr>
            <w:rFonts w:ascii="Cambria Math" w:hAnsi="Cambria Math" w:eastAsia="宋体"/>
            <w:sz w:val="23"/>
          </w:rPr>
          <m:t>))-</m:t>
        </m:r>
        <m:acc>
          <m:accPr>
            <m:chr m:val="̂"/>
          </m:accPr>
          <m:e>
            <m:r>
              <w:rPr>
                <w:rFonts w:ascii="Cambria Math" w:hAnsi="Cambria Math" w:eastAsia="宋体"/>
                <w:sz w:val="23"/>
              </w:rPr>
              <m:rPr>
                <m:sty m:val="bi"/>
              </m:rPr>
              <m:t>μ</m:t>
            </m:r>
          </m:e>
        </m:acc>
        <m:r>
          <w:rPr>
            <w:rFonts w:ascii="Cambria Math" w:hAnsi="Cambria Math" w:eastAsia="宋体"/>
            <w:sz w:val="23"/>
          </w:rPr>
          <m:t>.</m:t>
        </m:r>
      </m:oMath>
      <w:r>
        <w:tab/>
        <w:t>(A12)</w:t>
      </w:r>
    </w:p>
    <w:p>
      <w:pPr>
        <w:pStyle w:val="Equation"/>
        <w:keepNext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 w:eastAsia="宋体"/>
                <w:sz w:val="23"/>
              </w:rPr>
              <m:rPr>
                <m:sty m:val="bi"/>
              </m:rPr>
              <m:t>δ</m:t>
            </m:r>
          </m:e>
        </m:acc>
        <m:r>
          <w:rPr>
            <w:rFonts w:ascii="Cambria Math" w:hAnsi="Cambria Math" w:eastAsia="宋体"/>
            <w:sz w:val="23"/>
          </w:rPr>
          <m:t>=</m:t>
        </m:r>
        <m:limLow>
          <m:e>
            <m:r>
              <w:rPr>
                <w:rFonts w:ascii="Cambria Math" w:hAnsi="Cambria Math" w:eastAsia="宋体"/>
                <w:sz w:val="23"/>
              </w:rPr>
              <m:rPr>
                <m:sty m:val="p"/>
              </m:rPr>
              <m:t>argmin</m:t>
            </m:r>
          </m:e>
          <m:lim>
            <m:r>
              <w:rPr>
                <w:rFonts w:ascii="Cambria Math" w:hAnsi="Cambria Math" w:eastAsia="宋体"/>
                <w:sz w:val="23"/>
              </w:rPr>
              <m:rPr>
                <m:sty m:val="bi"/>
              </m:rPr>
              <m:t>δ</m:t>
            </m:r>
            <m:r>
              <w:rPr>
                <w:rFonts w:ascii="Cambria Math" w:hAnsi="Cambria Math" w:eastAsia="宋体"/>
                <w:sz w:val="23"/>
              </w:rPr>
              <m:t>∈</m:t>
            </m:r>
            <m:r>
              <w:rPr>
                <w:rFonts w:ascii="Cambria Math" w:hAnsi="Cambria Math" w:eastAsia="宋体"/>
                <w:sz w:val="23"/>
              </w:rPr>
              <m:rPr>
                <m:scr m:val="script"/>
              </m:rPr>
              <m:t>D</m:t>
            </m:r>
          </m:lim>
        </m:limLow>
        <m:r>
          <w:rPr>
            <w:rFonts w:ascii="Cambria Math" w:hAnsi="Cambria Math" w:eastAsia="宋体"/>
            <w:sz w:val="23"/>
          </w:rPr>
          <m:rPr>
            <m:sty m:val="bi"/>
          </m:rPr>
          <m:t>ε</m:t>
        </m:r>
        <m:r>
          <w:rPr>
            <w:rFonts w:ascii="Cambria Math" w:hAnsi="Cambria Math" w:eastAsia="宋体"/>
            <w:sz w:val="23"/>
          </w:rPr>
          <m:t>(</m:t>
        </m:r>
        <m:r>
          <w:rPr>
            <w:rFonts w:ascii="Cambria Math" w:hAnsi="Cambria Math" w:eastAsia="宋体"/>
            <w:sz w:val="23"/>
          </w:rPr>
          <m:rPr>
            <m:sty m:val="bi"/>
          </m:rPr>
          <m:t>δ</m:t>
        </m:r>
        <m:sSup>
          <m:e>
            <m:r>
              <w:rPr>
                <w:rFonts w:ascii="Cambria Math" w:hAnsi="Cambria Math" w:eastAsia="宋体"/>
                <w:sz w:val="23"/>
              </w:rPr>
              <m:t>)</m:t>
            </m:r>
          </m:e>
          <m:sup>
            <m:r>
              <w:rPr>
                <w:rFonts w:ascii="Cambria Math" w:hAnsi="Cambria Math" w:eastAsia="宋体"/>
                <w:sz w:val="23"/>
              </w:rPr>
              <m:t>′</m:t>
            </m:r>
          </m:sup>
        </m:sSup>
        <m:r>
          <w:rPr>
            <w:rFonts w:ascii="Cambria Math" w:hAnsi="Cambria Math" w:eastAsia="宋体"/>
            <w:sz w:val="23"/>
          </w:rPr>
          <m:rPr>
            <m:sty m:val="bi"/>
          </m:rPr>
          <m:t>W</m:t>
        </m:r>
        <m:r>
          <w:rPr>
            <w:rFonts w:ascii="Cambria Math" w:hAnsi="Cambria Math" w:eastAsia="宋体"/>
            <w:sz w:val="23"/>
          </w:rPr>
          <m:rPr>
            <m:sty m:val="bi"/>
          </m:rPr>
          <m:t>ε</m:t>
        </m:r>
        <m:r>
          <w:rPr>
            <w:rFonts w:ascii="Cambria Math" w:hAnsi="Cambria Math" w:eastAsia="宋体"/>
            <w:sz w:val="23"/>
          </w:rPr>
          <m:t>(</m:t>
        </m:r>
        <m:r>
          <w:rPr>
            <w:rFonts w:ascii="Cambria Math" w:hAnsi="Cambria Math" w:eastAsia="宋体"/>
            <w:sz w:val="23"/>
          </w:rPr>
          <m:rPr>
            <m:sty m:val="bi"/>
          </m:rPr>
          <m:t>δ</m:t>
        </m:r>
        <m:r>
          <w:rPr>
            <w:rFonts w:ascii="Cambria Math" w:hAnsi="Cambria Math" w:eastAsia="宋体"/>
            <w:sz w:val="23"/>
          </w:rPr>
          <m:t>).</m:t>
        </m:r>
      </m:oMath>
      <w:r>
        <w:tab/>
        <w:t>(A13)</w:t>
      </w:r>
    </w:p>
    <w:p>
      <w:pPr/>
      <w:r>
        <w:t>其中，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ΔO</m:t>
            </m:r>
          </m:e>
        </m:box>
      </m:oMath>
      <w:r>
        <w:t>比较有无改革两种状态，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rPr>
                <m:scr m:val="script"/>
              </m:rPr>
              <m:t>D</m:t>
            </m:r>
          </m:e>
        </m:box>
      </m:oMath>
      <w:r>
        <w:t>为依据模型及改革设定确定的参数范围，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rPr>
                <m:sty m:val="bi"/>
              </m:rPr>
              <m:t>W</m:t>
            </m:r>
          </m:e>
        </m:box>
      </m:oMath>
      <w:r>
        <w:t>按目标协方差或统一量纲预先设定。基准用外国控制生产份额作为目标，外国和国内生产价值用于检验；数据能够支持时，可事先规定联合拟合指标。总生产等于两组生产之和，不能据此增加独立目标的数量。部门总量在各外国母国面临相同成本变化的假设下识别共同的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δ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</m:t>
                </m:r>
              </m:sub>
            </m:sSub>
          </m:e>
        </m:box>
      </m:oMath>
      <w:r>
        <w:t>，母国别成本需要相应的独立生产目标。</w:t>
      </w:r>
    </w:p>
    <w:p>
      <w:pPr/>
      <w:r>
        <w:t>反演前核对现有模型能否实现经验比较。模型以较宽部门为单位，无法直接复现同一GB小类内不同业务企业的处理与对照。因此，应按A.3.3说明生产范围及补充假设后形成部门目标，并据此解释成本和均衡结果；目标仍不能可靠构造时，该事件只报告微观结果。</w:t>
      </w:r>
    </w:p>
    <w:p>
      <w:pPr/>
      <w:r>
        <w:t>PE反演适用于工资、价格和需求给定的生产目标，其依据须结合估计对象说明，不能由年度固定效应直接推出。目标包含均衡调整且模型能够复现其比较时，采用GE反演。PE成本进入GE求解后，报告生产结果及其与PE目标的差异；GE反演则在同一均衡条件下拟合目标。采用弹性近似时，须从同一模型和生产指标核实弹性，不直接套用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θ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</m:t>
                </m:r>
              </m:sub>
            </m:sSub>
            <m:r>
              <w:rPr>
                <w:rFonts w:ascii="Cambria Math" w:hAnsi="Cambria Math" w:eastAsia="宋体"/>
                <w:sz w:val="24"/>
              </w:rPr>
              <m:t>/(1-</m:t>
            </m:r>
            <m:sSub>
              <m:e>
                <m:r>
                  <w:rPr>
                    <w:rFonts w:ascii="Cambria Math" w:hAnsi="Cambria Math" w:eastAsia="宋体"/>
                    <w:sz w:val="24"/>
                  </w:rPr>
                  <m:t>ρ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</m:t>
                </m:r>
              </m:sub>
            </m:sSub>
            <m:r>
              <w:rPr>
                <w:rFonts w:ascii="Cambria Math" w:hAnsi="Cambria Math" w:eastAsia="宋体"/>
                <w:sz w:val="24"/>
              </w:rPr>
              <m:t>)</m:t>
            </m:r>
          </m:e>
        </m:box>
      </m:oMath>
      <w:r>
        <w:t>。</w:t>
      </w:r>
    </w:p>
    <w:p>
      <w:pPr>
        <w:pStyle w:val="1"/>
      </w:pPr>
      <w:r>
        <w:t>A.4 禁止准入的处理</w:t>
      </w:r>
    </w:p>
    <w:p>
      <w:pPr/>
      <w:r>
        <w:t>禁止准入决定有关业务能否由外资开展，其经济作用与有限股比、控制权及组织形式要求不同。对禁止转为允许的改革，依据固定业务前后的有效法律状态单独确定事件，分别估计新设企业进入、原有企业控制权和实际生产变化。改革前已经存在外资企业时，核查其是否适用例外、过渡安排或不同的业务范围。</w:t>
      </w:r>
    </w:p>
    <w:p>
      <w:pPr/>
      <w:r>
        <w:t>当改革前外资生产份额为零时，现有精确帽子代数将基期份额乘以变化倍数，有限成本调整仍得到零份额。因此，这类事件先报告微观结果，现有模型不据此反演能够产生新进入的成本变化。原模型中的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nj</m:t>
                </m:r>
              </m:sub>
            </m:sSub>
          </m:e>
        </m:box>
      </m:oMath>
      <w:r>
        <w:t>是进入消费市场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n</m:t>
            </m:r>
          </m:e>
        </m:box>
      </m:oMath>
      <w:r>
        <w:t>的固定营销成本，并非外国企业在中国设立企业的固定成本；新进入机制需要另行研究和独立数据支持，不能通过给零份额添加任意小值处理。</w:t>
      </w:r>
    </w:p>
    <w:p>
      <w:pPr>
        <w:pStyle w:val="1"/>
      </w:pPr>
      <w:r>
        <w:t>A.5 从制度型 MP 成本变化到结构模型冲击</w:t>
      </w:r>
    </w:p>
    <w:p>
      <w:pPr>
        <w:pStyle w:val="21"/>
      </w:pPr>
      <w:r>
        <w:t>A.5.1 反演成本与结构效率项</w:t>
      </w:r>
    </w:p>
    <w:p>
      <w:pPr>
        <w:keepNext/>
      </w:pPr>
      <w:r>
        <w:t>模型以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t>ξ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imj</m:t>
                </m:r>
              </m:sub>
            </m:sSub>
          </m:e>
        </m:box>
      </m:oMath>
      <w:r>
        <w:t>表示母国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m</m:t>
            </m:r>
          </m:e>
        </m:box>
      </m:oMath>
      <w:r>
        <w:t>企业在生产国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i</m:t>
            </m:r>
          </m:e>
        </m:box>
      </m:oMath>
      <w:r>
        <w:t>、部门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j</m:t>
            </m:r>
          </m:e>
        </m:box>
      </m:oMath>
      <w:r>
        <w:t>的跨国生产效率。效率提高意味着单位生产成本下降，成本楔子定义为：</w:t>
      </w:r>
    </w:p>
    <w:p>
      <w:pPr>
        <w:pStyle w:val="Equation"/>
        <w:keepNext/>
      </w:pPr>
      <w:r>
        <w:tab/>
      </w:r>
      <m:oMath>
        <m:sSubSup>
          <m:e>
            <m:r>
              <w:rPr>
                <w:rFonts w:ascii="Cambria Math" w:hAnsi="Cambria Math" w:eastAsia="宋体"/>
                <w:sz w:val="23"/>
              </w:rPr>
              <m:t>d</m:t>
            </m:r>
          </m:e>
          <m:sub>
            <m:r>
              <w:rPr>
                <w:rFonts w:ascii="Cambria Math" w:hAnsi="Cambria Math" w:eastAsia="宋体"/>
                <w:sz w:val="23"/>
              </w:rPr>
              <m:t>imj</m:t>
            </m:r>
          </m:sub>
          <m:sup>
            <m:r>
              <w:rPr>
                <w:rFonts w:ascii="Cambria Math" w:hAnsi="Cambria Math" w:eastAsia="宋体"/>
                <w:sz w:val="23"/>
              </w:rPr>
              <m:rPr>
                <m:sty m:val="p"/>
              </m:rPr>
              <m:t>MP</m:t>
            </m:r>
          </m:sup>
        </m:sSubSup>
        <m:r>
          <w:rPr>
            <w:rFonts w:ascii="Cambria Math" w:hAnsi="Cambria Math" w:eastAsia="宋体"/>
            <w:sz w:val="23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3"/>
              </w:rPr>
              <m:t>1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3"/>
                  </w:rPr>
                  <m:t>ξ</m:t>
                </m:r>
              </m:e>
              <m:sub>
                <m:r>
                  <w:rPr>
                    <w:rFonts w:ascii="Cambria Math" w:hAnsi="Cambria Math" w:eastAsia="宋体"/>
                    <w:sz w:val="23"/>
                  </w:rPr>
                  <m:t>imj</m:t>
                </m:r>
              </m:sub>
            </m:sSub>
          </m:den>
        </m:f>
        <m:r>
          <w:rPr>
            <w:rFonts w:ascii="Cambria Math" w:hAnsi="Cambria Math" w:eastAsia="宋体"/>
            <w:sz w:val="23"/>
          </w:rPr>
          <m:t>.</m:t>
        </m:r>
      </m:oMath>
      <w:r>
        <w:tab/>
        <w:t>(A14)</w:t>
      </w:r>
    </w:p>
    <w:p>
      <w:pPr>
        <w:keepNext/>
      </w:pPr>
      <w:r>
        <w:t>反演得到的</w:t>
      </w:r>
      <m:oMath>
        <m:box>
          <m:boxPr>
            <m:noBreak m:val="1"/>
          </m:boxPr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宋体"/>
                        <w:sz w:val="24"/>
                      </w:rPr>
                      <m:t>δ</m:t>
                    </m:r>
                  </m:e>
                </m:acc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j</m:t>
                </m:r>
              </m:sub>
            </m:sSub>
          </m:e>
        </m:box>
      </m:oMath>
      <w:r>
        <w:t>为外国企业在华成本的对数变化，因此其成本和效率变化倍数分别为：</w:t>
      </w:r>
    </w:p>
    <w:p>
      <w:pPr>
        <w:pStyle w:val="Equation"/>
        <w:keepNext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3"/>
                  </w:rPr>
                  <m:t>d</m:t>
                </m:r>
              </m:e>
            </m:acc>
          </m:e>
          <m:sub>
            <m:r>
              <w:rPr>
                <w:rFonts w:ascii="Cambria Math" w:hAnsi="Cambria Math" w:eastAsia="宋体"/>
                <w:sz w:val="23"/>
              </w:rPr>
              <m:t>Cmj</m:t>
            </m:r>
          </m:sub>
          <m:sup>
            <m:r>
              <w:rPr>
                <w:rFonts w:ascii="Cambria Math" w:hAnsi="Cambria Math" w:eastAsia="宋体"/>
                <w:sz w:val="23"/>
              </w:rPr>
              <m:rPr>
                <m:sty m:val="p"/>
              </m:rPr>
              <m:t>MP</m:t>
            </m:r>
          </m:sup>
        </m:sSubSup>
        <m:r>
          <w:rPr>
            <w:rFonts w:ascii="Cambria Math" w:hAnsi="Cambria Math" w:eastAsia="宋体"/>
            <w:sz w:val="23"/>
          </w:rPr>
          <m:t>=</m:t>
        </m:r>
        <m:r>
          <w:rPr>
            <w:rFonts w:ascii="Cambria Math" w:hAnsi="Cambria Math" w:eastAsia="宋体"/>
            <w:sz w:val="23"/>
          </w:rPr>
          <m:rPr>
            <m:sty m:val="p"/>
          </m:rPr>
          <m:t>exp</m:t>
        </m:r>
        <m:r>
          <w:rPr>
            <w:rFonts w:ascii="Cambria Math" w:hAnsi="Cambria Math" w:eastAsia="宋体"/>
            <w:sz w:val="23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3"/>
                  </w:rPr>
                  <m:t>δ</m:t>
                </m:r>
              </m:e>
            </m:acc>
          </m:e>
          <m:sub>
            <m:r>
              <w:rPr>
                <w:rFonts w:ascii="Cambria Math" w:hAnsi="Cambria Math" w:eastAsia="宋体"/>
                <w:sz w:val="23"/>
              </w:rPr>
              <m:t>j</m:t>
            </m:r>
          </m:sub>
        </m:sSub>
        <m:r>
          <w:rPr>
            <w:rFonts w:ascii="Cambria Math" w:hAnsi="Cambria Math" w:eastAsia="宋体"/>
            <w:sz w:val="23"/>
          </w:rPr>
          <m:t>),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3"/>
                  </w:rPr>
                  <m:t>ξ</m:t>
                </m:r>
              </m:e>
            </m:acc>
          </m:e>
          <m:sub>
            <m:r>
              <w:rPr>
                <w:rFonts w:ascii="Cambria Math" w:hAnsi="Cambria Math" w:eastAsia="宋体"/>
                <w:sz w:val="23"/>
              </w:rPr>
              <m:t>Cmj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r>
          <w:rPr>
            <w:rFonts w:ascii="Cambria Math" w:hAnsi="Cambria Math" w:eastAsia="宋体"/>
            <w:sz w:val="23"/>
          </w:rPr>
          <m:rPr>
            <m:sty m:val="p"/>
          </m:rPr>
          <m:t>exp</m:t>
        </m:r>
        <m:r>
          <w:rPr>
            <w:rFonts w:ascii="Cambria Math" w:hAnsi="Cambria Math" w:eastAsia="宋体"/>
            <w:sz w:val="23"/>
          </w:rPr>
          <m:t>(-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3"/>
                  </w:rPr>
                  <m:t>δ</m:t>
                </m:r>
              </m:e>
            </m:acc>
          </m:e>
          <m:sub>
            <m:r>
              <w:rPr>
                <w:rFonts w:ascii="Cambria Math" w:hAnsi="Cambria Math" w:eastAsia="宋体"/>
                <w:sz w:val="23"/>
              </w:rPr>
              <m:t>j</m:t>
            </m:r>
          </m:sub>
        </m:sSub>
        <m:r>
          <w:rPr>
            <w:rFonts w:ascii="Cambria Math" w:hAnsi="Cambria Math" w:eastAsia="宋体"/>
            <w:sz w:val="23"/>
          </w:rPr>
          <m:t>),</m:t>
        </m:r>
        <m:r>
          <w:rPr>
            <w:rFonts w:ascii="Cambria Math" w:hAnsi="Cambria Math" w:eastAsia="宋体"/>
            <w:sz w:val="23"/>
          </w:rPr>
          <m:t>m≠C.</m:t>
        </m:r>
      </m:oMath>
      <w:r>
        <w:tab/>
        <w:t>(A15)</w:t>
      </w:r>
    </w:p>
    <w:p>
      <w:pPr/>
      <w:r>
        <w:t>式（A15）直接沿用模型中成本与效率的关系。基准对同一部门各外国母国施加共同变化；若母国分组结果足以区分成本反应，再另设母国别反演。政策限制变量用于识别改革及其生产效果，进入结构模型的数值由式（A12）—（A15）确定。</w:t>
      </w:r>
    </w:p>
    <w:p>
      <w:pPr>
        <w:pStyle w:val="21"/>
      </w:pPr>
      <w:r>
        <w:t>A.5.2 仅调整跨国生产成本（MP-only）的一般均衡反事实</w:t>
      </w:r>
    </w:p>
    <w:p>
      <w:pPr>
        <w:keepNext/>
      </w:pPr>
      <w:r>
        <w:t>设</w:t>
      </w:r>
      <m:oMath>
        <m:box>
          <m:boxPr>
            <m:noBreak m:val="1"/>
          </m:boxPr>
          <m:e>
            <m:sSub>
              <m:e>
                <m:r>
                  <w:rPr>
                    <w:rFonts w:ascii="Cambria Math" w:hAnsi="Cambria Math" w:eastAsia="宋体"/>
                    <w:sz w:val="24"/>
                  </w:rPr>
                  <m:rPr>
                    <m:scr m:val="script"/>
                  </m:rPr>
                  <m:t>J</m:t>
                </m:r>
              </m:e>
              <m:sub>
                <m:r>
                  <w:rPr>
                    <w:rFonts w:ascii="Cambria Math" w:hAnsi="Cambria Math" w:eastAsia="宋体"/>
                    <w:sz w:val="24"/>
                  </w:rPr>
                  <m:t>R</m:t>
                </m:r>
              </m:sub>
            </m:sSub>
          </m:e>
        </m:box>
      </m:oMath>
      <w:r>
        <w:t>为政策范围和行业归属已经核实、且能够获得成本估计的受改革部门集合。在贸易成本给定的条件下，对外国企业在中国生产施加以下冲击：</w:t>
      </w:r>
    </w:p>
    <w:p>
      <w:pPr>
        <w:pStyle w:val="Equation"/>
        <w:keepNext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宋体"/>
                    <w:sz w:val="23"/>
                  </w:rPr>
                  <m:t>ξ</m:t>
                </m:r>
              </m:e>
            </m:acc>
          </m:e>
          <m:sub>
            <m:r>
              <w:rPr>
                <w:rFonts w:ascii="Cambria Math" w:hAnsi="Cambria Math" w:eastAsia="宋体"/>
                <w:sz w:val="23"/>
              </w:rPr>
              <m:t>imj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d>
          <m:dPr>
            <m:begChr m:val="{"/>
            <m:sepChr m:val=",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 w:eastAsia="宋体"/>
                      <w:sz w:val="23"/>
                    </w:rPr>
                    <m:rPr>
                      <m:sty m:val="p"/>
                    </m:rPr>
                    <m:t>exp</m:t>
                  </m:r>
                  <m:r>
                    <w:rPr>
                      <w:rFonts w:ascii="Cambria Math" w:hAnsi="Cambria Math" w:eastAsia="宋体"/>
                      <w:sz w:val="23"/>
                    </w:rPr>
                    <m:t>(-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w:rPr>
                              <w:rFonts w:ascii="Cambria Math" w:hAnsi="Cambria Math" w:eastAsia="宋体"/>
                              <w:sz w:val="23"/>
                            </w:rPr>
                            <m:t>δ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eastAsia="宋体"/>
                          <w:sz w:val="23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eastAsia="宋体"/>
                      <w:sz w:val="23"/>
                    </w:rPr>
                    <m:t>),</m:t>
                  </m:r>
                </m:e>
                <m:e>
                  <m:r>
                    <w:rPr>
                      <w:rFonts w:ascii="Cambria Math" w:hAnsi="Cambria Math" w:eastAsia="宋体"/>
                      <w:sz w:val="23"/>
                    </w:rPr>
                    <m:t>i=C,</m:t>
                  </m:r>
                  <m:r>
                    <w:rPr>
                      <w:rFonts w:ascii="Cambria Math" w:hAnsi="Cambria Math" w:eastAsia="宋体"/>
                      <w:sz w:val="23"/>
                    </w:rPr>
                    <m:t>m≠C,</m:t>
                  </m:r>
                  <m:r>
                    <w:rPr>
                      <w:rFonts w:ascii="Cambria Math" w:hAnsi="Cambria Math" w:eastAsia="宋体"/>
                      <w:sz w:val="23"/>
                    </w:rPr>
                    <m:t>j∈</m:t>
                  </m:r>
                  <m:sSub>
                    <m:e>
                      <m:r>
                        <w:rPr>
                          <w:rFonts w:ascii="Cambria Math" w:hAnsi="Cambria Math" w:eastAsia="宋体"/>
                          <w:sz w:val="23"/>
                        </w:rPr>
                        <m:rPr>
                          <m:scr m:val="script"/>
                        </m:rPr>
                        <m:t>J</m:t>
                      </m:r>
                    </m:e>
                    <m:sub>
                      <m:r>
                        <w:rPr>
                          <w:rFonts w:ascii="Cambria Math" w:hAnsi="Cambria Math" w:eastAsia="宋体"/>
                          <w:sz w:val="23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eastAsia="宋体"/>
                      <w:sz w:val="23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 w:eastAsia="宋体"/>
                      <w:sz w:val="23"/>
                    </w:rPr>
                    <m:t>1,</m:t>
                  </m:r>
                </m:e>
                <m:e>
                  <m:r>
                    <w:rPr>
                      <w:rFonts w:ascii="Cambria Math" w:hAnsi="Cambria Math" w:eastAsia="宋体"/>
                      <w:sz w:val="23"/>
                    </w:rPr>
                    <m:rPr>
                      <m:nor/>
                    </m:rPr>
                    <m:t>其他关系</m:t>
                  </m:r>
                  <m:r>
                    <w:rPr>
                      <w:rFonts w:ascii="Cambria Math" w:hAnsi="Cambria Math" w:eastAsia="宋体"/>
                      <w:sz w:val="23"/>
                    </w:rPr>
                    <m:t>.</m:t>
                  </m:r>
                </m:e>
              </m:mr>
            </m:m>
          </m:e>
        </m:d>
      </m:oMath>
      <w:r>
        <w:tab/>
        <w:t>(A16)</w:t>
      </w:r>
    </w:p>
    <w:p>
      <w:pPr/>
      <w:r>
        <w:t>一般均衡求解允许生产地选择、三边销售、投入需求、价格、工资、利润、创新及福利随之调整。没有直接政策冲击的部门以及中国企业境外生产，仍可通过需求、投入产出和要素价格受到间接影响。一个部门内仅部分业务改革时，反演结果表示使模型产生该部门生产变化所需的平均成本调整，具体业务的法律适用范围仍按A.2确定。</w:t>
      </w:r>
    </w:p>
    <w:p>
      <w:pPr>
        <w:pStyle w:val="1"/>
      </w:pPr>
      <w:r>
        <w:t>A.6 一般均衡结果的组织与反事实设计</w:t>
      </w:r>
    </w:p>
    <w:p>
      <w:pPr>
        <w:pStyle w:val="21"/>
      </w:pPr>
      <w:r>
        <w:t>A.6.1 三边生产网络</w:t>
      </w:r>
    </w:p>
    <w:p>
      <w:pPr>
        <w:keepNext/>
      </w:pPr>
      <w:r>
        <w:t>针对外国企业在中国生产的准入改革，固定生产国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i=C</m:t>
            </m:r>
          </m:e>
        </m:box>
      </m:oMath>
      <w:r>
        <w:t>，保留母国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m</m:t>
            </m:r>
          </m:e>
        </m:box>
      </m:oMath>
      <w:r>
        <w:t>和销售目的国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n</m:t>
            </m:r>
          </m:e>
        </m:box>
      </m:oMath>
      <w:r>
        <w:t>，计算各部门流量变化：</w:t>
      </w:r>
    </w:p>
    <w:p>
      <w:pPr>
        <w:pStyle w:val="Equation"/>
        <w:keepNext/>
      </w:pPr>
      <w:r>
        <w:tab/>
      </w:r>
      <m:oMath>
        <m:r>
          <w:rPr>
            <w:rFonts w:ascii="Cambria Math" w:hAnsi="Cambria Math" w:eastAsia="宋体"/>
            <w:sz w:val="23"/>
          </w:rPr>
          <m:t>Δ</m:t>
        </m:r>
        <m:sSub>
          <m:e>
            <m:r>
              <w:rPr>
                <w:rFonts w:ascii="Cambria Math" w:hAnsi="Cambria Math" w:eastAsia="宋体"/>
                <w:sz w:val="23"/>
              </w:rPr>
              <m:t>X</m:t>
            </m:r>
          </m:e>
          <m:sub>
            <m:r>
              <w:rPr>
                <w:rFonts w:ascii="Cambria Math" w:hAnsi="Cambria Math" w:eastAsia="宋体"/>
                <w:sz w:val="23"/>
              </w:rPr>
              <m:t>nCmj</m:t>
            </m:r>
          </m:sub>
        </m:sSub>
        <m:r>
          <w:rPr>
            <w:rFonts w:ascii="Cambria Math" w:hAnsi="Cambria Math" w:eastAsia="宋体"/>
            <w:sz w:val="23"/>
          </w:rPr>
          <m:t>=</m:t>
        </m:r>
        <m:sSubSup>
          <m:e>
            <m:r>
              <w:rPr>
                <w:rFonts w:ascii="Cambria Math" w:hAnsi="Cambria Math" w:eastAsia="宋体"/>
                <w:sz w:val="23"/>
              </w:rPr>
              <m:t>X</m:t>
            </m:r>
          </m:e>
          <m:sub>
            <m:r>
              <w:rPr>
                <w:rFonts w:ascii="Cambria Math" w:hAnsi="Cambria Math" w:eastAsia="宋体"/>
                <w:sz w:val="23"/>
              </w:rPr>
              <m:t>nCmj</m:t>
            </m:r>
          </m:sub>
          <m:sup>
            <m:r>
              <w:rPr>
                <w:rFonts w:ascii="Cambria Math" w:hAnsi="Cambria Math" w:eastAsia="宋体"/>
                <w:sz w:val="23"/>
              </w:rPr>
              <m:rPr>
                <m:sty m:val="p"/>
              </m:rPr>
              <m:t>cf</m:t>
            </m:r>
          </m:sup>
        </m:sSubSup>
        <m:r>
          <w:rPr>
            <w:rFonts w:ascii="Cambria Math" w:hAnsi="Cambria Math" w:eastAsia="宋体"/>
            <w:sz w:val="23"/>
          </w:rPr>
          <m:t>-</m:t>
        </m:r>
        <m:sSubSup>
          <m:e>
            <m:r>
              <w:rPr>
                <w:rFonts w:ascii="Cambria Math" w:hAnsi="Cambria Math" w:eastAsia="宋体"/>
                <w:sz w:val="23"/>
              </w:rPr>
              <m:t>X</m:t>
            </m:r>
          </m:e>
          <m:sub>
            <m:r>
              <w:rPr>
                <w:rFonts w:ascii="Cambria Math" w:hAnsi="Cambria Math" w:eastAsia="宋体"/>
                <w:sz w:val="23"/>
              </w:rPr>
              <m:t>nCmj</m:t>
            </m:r>
          </m:sub>
          <m:sup>
            <m:r>
              <w:rPr>
                <w:rFonts w:ascii="Cambria Math" w:hAnsi="Cambria Math" w:eastAsia="宋体"/>
                <w:sz w:val="23"/>
              </w:rPr>
              <m:t>0</m:t>
            </m:r>
          </m:sup>
        </m:sSubSup>
        <m:r>
          <w:rPr>
            <w:rFonts w:ascii="Cambria Math" w:hAnsi="Cambria Math" w:eastAsia="宋体"/>
            <w:sz w:val="23"/>
          </w:rPr>
          <m:t>.</m:t>
        </m:r>
      </m:oMath>
      <w:r>
        <w:tab/>
        <w:t>(A17)</w:t>
      </w:r>
    </w:p>
    <w:p>
      <w:pPr/>
      <w:r>
        <w:t>其中，上标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t>0</m:t>
            </m:r>
          </m:e>
        </m:box>
      </m:oMath>
      <w:r>
        <w:t>和</w:t>
      </w:r>
      <m:oMath>
        <m:box>
          <m:boxPr>
            <m:noBreak m:val="1"/>
          </m:boxPr>
          <m:e>
            <m:r>
              <w:rPr>
                <w:rFonts w:ascii="Cambria Math" w:hAnsi="Cambria Math" w:eastAsia="宋体"/>
                <w:sz w:val="24"/>
              </w:rPr>
              <m:rPr>
                <m:sty m:val="p"/>
              </m:rPr>
              <m:t>cf</m:t>
            </m:r>
          </m:e>
        </m:box>
      </m:oMath>
      <w:r>
        <w:t>分别表示基准及反事实。按母国、目的国和部门加总，可区分在华生产面向中国市场、面向其他市场以及不同母国之间的调整。不同情景采用相同流量定义和经济基准，以比较成本冲击的作用范围。</w:t>
      </w:r>
    </w:p>
    <w:p>
      <w:pPr>
        <w:pStyle w:val="21"/>
      </w:pPr>
      <w:r>
        <w:t>A.6.2 反事实组</w:t>
      </w:r>
    </w:p>
    <w:p>
      <w:pPr/>
      <w:r>
        <w:t>反事实根据已经识别的改革及其部门成本变化设置，先研究真实改革，再讨论具有样本支持的类型或组合。各情景的政策设定和解释范围见表A3。</w:t>
      </w:r>
    </w:p>
    <w:p>
      <w:pPr>
        <w:pStyle w:val="af7"/>
        <w:keepNext/>
      </w:pPr>
      <w:r>
        <w:t>表A3 基准反事实实验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50" w:type="dxa"/>
          <w:bottom w:w="50" w:type="dxa"/>
          <w:left w:w="80" w:type="dxa"/>
          <w:right w:w="80" w:type="dxa"/>
        </w:tblCellMar>
      </w:tblPr>
      <w:tblGrid>
        <w:gridCol w:w="1778"/>
        <w:gridCol w:w="3557"/>
        <w:gridCol w:w="4025"/>
      </w:tblGrid>
      <w:tr>
        <w:trPr>
          <w:cantSplit/>
          <w:tblHeader/>
        </w:trPr>
        <w:tc>
          <w:tcPr>
            <w:tcW w:type="dxa" w:w="1778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情景</w:t>
            </w:r>
          </w:p>
        </w:tc>
        <w:tc>
          <w:tcPr>
            <w:tcW w:type="dxa" w:w="3557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</w:pPr>
            <w:r>
              <w:rPr>
                <w:b/>
              </w:rPr>
              <w:t>政策设定</w:t>
            </w:r>
          </w:p>
        </w:tc>
        <w:tc>
          <w:tcPr>
            <w:tcW w:type="dxa" w:w="4025"/>
            <w:vAlign w:val="center"/>
            <w:tcBorders>
              <w:bottom w:val="single" w:sz="5" w:color="000000"/>
            </w:tcBorders>
          </w:tcPr>
          <w:p>
            <w:pPr>
              <w:pStyle w:val="TableText"/>
              <w:keepNext/>
            </w:pPr>
            <w:r>
              <w:rPr>
                <w:b/>
              </w:rPr>
              <w:t>解释范围</w:t>
            </w:r>
          </w:p>
        </w:tc>
      </w:tr>
      <w:tr>
        <w:trPr>
          <w:cantSplit/>
        </w:trPr>
        <w:tc>
          <w:tcPr>
            <w:tcW w:type="dxa" w:w="1778"/>
            <w:vAlign w:val="center"/>
          </w:tcPr>
          <w:p>
            <w:pPr>
              <w:pStyle w:val="TableText"/>
            </w:pPr>
            <w:r>
              <w:t>CF1 历次真实改革</w:t>
            </w:r>
          </w:p>
        </w:tc>
        <w:tc>
          <w:tcPr>
            <w:tcW w:type="dxa" w:w="3557"/>
            <w:vAlign w:val="center"/>
          </w:tcPr>
          <w:p>
            <w:pPr>
              <w:pStyle w:val="TableText"/>
            </w:pPr>
            <w:r>
              <w:t>比较同一业务在相邻有效版本下的法律待遇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r>
              <w:t>分别计算可识别的有限限制放松及其部门结果</w:t>
            </w:r>
          </w:p>
        </w:tc>
      </w:tr>
      <w:tr>
        <w:trPr>
          <w:cantSplit/>
        </w:trPr>
        <w:tc>
          <w:tcPr>
            <w:tcW w:type="dxa" w:w="1778"/>
            <w:vAlign w:val="center"/>
          </w:tcPr>
          <w:p>
            <w:pPr>
              <w:pStyle w:val="TableText"/>
            </w:pPr>
            <w:r>
              <w:t>CF2 累计改革</w:t>
            </w:r>
          </w:p>
        </w:tc>
        <w:tc>
          <w:tcPr>
            <w:tcW w:type="dxa" w:w="3557"/>
            <w:vAlign w:val="center"/>
          </w:tcPr>
          <w:p>
            <w:pPr>
              <w:pStyle w:val="TableText"/>
            </w:pPr>
            <w:r>
              <w:t>比较选定起止版本，核查期间改革组合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r>
              <w:t>在共同基准下求解累计变化，不直接相加事件系数</w:t>
            </w:r>
          </w:p>
        </w:tc>
      </w:tr>
      <w:tr>
        <w:trPr>
          <w:cantSplit/>
        </w:trPr>
        <w:tc>
          <w:tcPr>
            <w:tcW w:type="dxa" w:w="1778"/>
            <w:vAlign w:val="center"/>
          </w:tcPr>
          <w:p>
            <w:pPr>
              <w:pStyle w:val="TableText"/>
            </w:pPr>
            <w:r>
              <w:t>CF3 无后续改革</w:t>
            </w:r>
          </w:p>
        </w:tc>
        <w:tc>
          <w:tcPr>
            <w:tcW w:type="dxa" w:w="3557"/>
            <w:vAlign w:val="center"/>
          </w:tcPr>
          <w:p>
            <w:pPr>
              <w:pStyle w:val="TableText"/>
            </w:pPr>
            <w:r>
              <w:t>在同一经济基准下保留较早版本的规则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r>
              <w:t>说明所保留版本及政策可逆性和历史路径假设</w:t>
            </w:r>
          </w:p>
        </w:tc>
      </w:tr>
      <w:tr>
        <w:trPr>
          <w:cantSplit/>
        </w:trPr>
        <w:tc>
          <w:tcPr>
            <w:tcW w:type="dxa" w:w="1778"/>
            <w:vAlign w:val="center"/>
          </w:tcPr>
          <w:p>
            <w:pPr>
              <w:pStyle w:val="TableText"/>
            </w:pPr>
            <w:r>
              <w:t>CF4 限制类型或组合</w:t>
            </w:r>
          </w:p>
        </w:tc>
        <w:tc>
          <w:tcPr>
            <w:tcW w:type="dxa" w:w="3557"/>
            <w:vAlign w:val="center"/>
          </w:tcPr>
          <w:p>
            <w:pPr>
              <w:pStyle w:val="TableText"/>
            </w:pPr>
            <w:r>
              <w:t>分别调整有独立识别依据的限制或组合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r>
              <w:t>共同变化的限制按组合报告</w:t>
            </w:r>
          </w:p>
        </w:tc>
      </w:tr>
      <w:tr>
        <w:trPr>
          <w:cantSplit/>
        </w:trPr>
        <w:tc>
          <w:tcPr>
            <w:tcW w:type="dxa" w:w="1778"/>
            <w:vAlign w:val="center"/>
          </w:tcPr>
          <w:p>
            <w:pPr>
              <w:pStyle w:val="TableText"/>
            </w:pPr>
            <w:r>
              <w:t>CF5 进一步开放</w:t>
            </w:r>
          </w:p>
        </w:tc>
        <w:tc>
          <w:tcPr>
            <w:tcW w:type="dxa" w:w="3557"/>
            <w:vAlign w:val="center"/>
          </w:tcPr>
          <w:p>
            <w:pPr>
              <w:pStyle w:val="TableText"/>
            </w:pPr>
            <w:r>
              <w:t>放松仍然存在的有限限制</w:t>
            </w:r>
          </w:p>
        </w:tc>
        <w:tc>
          <w:tcPr>
            <w:tcW w:type="dxa" w:w="4025"/>
            <w:vAlign w:val="center"/>
          </w:tcPr>
          <w:p>
            <w:pPr>
              <w:pStyle w:val="TableText"/>
            </w:pPr>
            <w:r>
              <w:t>区分样本支持的预测与超出已观察政策范围的推演</w:t>
            </w:r>
          </w:p>
        </w:tc>
      </w:tr>
    </w:tbl>
    <w:p>
      <w:pPr>
        <w:spacing w:after="40" w:before="0" w:line="84" w:lineRule="auto"/>
      </w:pPr>
    </w:p>
    <w:p>
      <w:pPr/>
      <w:r>
        <w:t>各情景均从业务层面重新判断适用规则，再使用具有对应依据的生产反应和成本变化。政策版本相隔较远时，需核查中间改革与基期企业构成，不能把文本差异直接换算为成本。全国同幅成本调整仅作为冲击分布假设的对照；进一步开放情景用于讨论可能的经济调整，不解释为严格的福利上限。</w:t>
      </w:r>
    </w:p>
    <w:p>
      <w:pPr>
        <w:pStyle w:val="21"/>
      </w:pPr>
      <w:r>
        <w:t>A.6.3 结果变量与福利</w:t>
      </w:r>
    </w:p>
    <w:p>
      <w:pPr/>
      <w:r>
        <w:t>结果包括外国企业在华生产价值和份额、部门产出与价格、三边流量、工资、利润、研发劳动、产品种类及实际收入。先报告部门和母国差异，再按明确的经济权重加总；简单行业均值不直接解释为全国成本变化。</w:t>
      </w:r>
    </w:p>
    <w:p>
      <w:pPr/>
      <w:r>
        <w:t>福利计算及分解遵循现有模型。对每项可识别改革分别求解相应反事实，并结合微观结果解释生产和福利的变化。共同改革存在交互时，可按事先说明的政策路径或分摊规则分析贡献，但这种分配不替代各类限制的独立因果识别。需要补充生产假设的情景，应同时说明所用假设。</w:t>
      </w:r>
    </w:p>
    <w:p>
      <w:pPr>
        <w:pStyle w:val="1"/>
      </w:pPr>
      <w:r>
        <w:t>A.7 识别边界与稳健性</w:t>
      </w:r>
    </w:p>
    <w:p>
      <w:pPr/>
      <w:r>
        <w:t>政策测度分别报告完整覆盖、部分覆盖、行业候选待定及法律状态未知的记录。人工核验与模型稳定性检查按A.1.3实施，并以有依据的历史代码转换核查直接匹配结果，重点排查行业分类变化、条款删除及目录类别调整造成的误判。</w:t>
      </w:r>
    </w:p>
    <w:p>
      <w:pPr/>
      <w:r>
        <w:t>实证稳健性围绕A.3.1—A.3.2的识别条件展开，检验公告前趋势，并比较不同事件窗口、对照范围和同期政策处理。基准保持改革前业务分组，剔除改革后业务调整企业仅作样本选择检验。推断按政策赋值和共同冲击确定聚类；有效簇较少时补充适当的小样本方法，并报告其局限。</w:t>
      </w:r>
    </w:p>
    <w:p>
      <w:pPr/>
      <w:r>
        <w:t>生产统计按A.3.3核查原有企业与完整行业的覆盖，并考察未知控制关系、部门归属及真实退出对生产目标的影响。若份额主要因所有权转换而改变，结合外国与国内生产判断经营成本机制能否解释。</w:t>
      </w:r>
    </w:p>
    <w:p>
      <w:pPr/>
      <w:r>
        <w:t>结构反演检查生产目标对参数的区分能力及相应雅可比矩阵的秩，并考察目标是否可达、有无边界解或多解。无法拟合或不能唯一求解的部门，报告原因和可支持的结果范围。</w:t>
      </w:r>
    </w:p>
    <w:p>
      <w:pPr/>
      <w:r>
        <w:t>成本与福利的不确定性同时考虑经验估计、政策匹配、企业覆盖、结构参数及均衡条件。按实际政策簇重抽样，重复生产估计、成本反演和均衡求解；结构参数采用有来源的校准值或区间，单独记录未收敛或无法反演的重复。PE与GE按各自目标条件比较。</w:t>
      </w:r>
    </w:p>
    <w:p>
      <w:pPr/>
      <w:r>
        <w:t>实施时先选一次法律状态明确、改革前已有外资生产且对照范围可核实的有限限制改革，完成全过程检验后再扩展。政策资料拟覆盖1995—2024年，微观估计期由业务、所有权、产出及改革前资料共同确定。首次收录的政策仍需核查此前待遇。</w:t>
      </w:r>
    </w:p>
    <w:p>
      <w:pPr>
        <w:pStyle w:val="1"/>
      </w:pPr>
      <w:r>
        <w:t>参考文献与政策资料</w:t>
      </w:r>
    </w:p>
    <w:p>
      <w:pPr>
        <w:pStyle w:val="Reference"/>
      </w:pPr>
      <w:r>
        <w:t>Eppinger, P., and H. Ma. 2023. Optimal Ownership and Firm Performance: An Analysis of China’s FDI Liberalization. CESifo Working Paper No. 10551.</w:t>
      </w:r>
    </w:p>
    <w:p>
      <w:pPr>
        <w:pStyle w:val="Reference"/>
      </w:pPr>
      <w:r>
        <w:t>de Chaisemartin, C., and X. D’Haultfœuille. 2023. Two-way Fixed Effects and Differences-in-Differences Estimators with Several Treatments. Journal of Econometrics.</w:t>
      </w:r>
    </w:p>
    <w:p>
      <w:pPr>
        <w:pStyle w:val="Reference"/>
      </w:pPr>
      <w:r>
        <w:t>Santos Silva, J. M. C., and S. Tenreyro. 2006. The Log of Gravity. Review of Economics and Statistics, 88(4), 641–658.</w:t>
      </w:r>
    </w:p>
    <w:p>
      <w:pPr>
        <w:pStyle w:val="Reference"/>
      </w:pPr>
      <w:r>
        <w:t>国家统计局：《国民经济行业分类》GB/T 4754—2017及第1号修改单；《2017年国民经济行业分类注释》。行业及分类对应采用固定版本核验。</w:t>
      </w:r>
      <w:hyperlink r:id="rId11">
        <w:r>
          <w:rPr>
            <w:color w:val="000000"/>
            <w:u w:val="single"/>
          </w:rPr>
          <w:t>行业标准</w:t>
        </w:r>
      </w:hyperlink>
      <w:r>
        <w:t>，</w:t>
      </w:r>
      <w:hyperlink r:id="rId12">
        <w:r>
          <w:rPr>
            <w:color w:val="000000"/>
            <w:u w:val="single"/>
          </w:rPr>
          <w:t>修改单</w:t>
        </w:r>
      </w:hyperlink>
      <w:r>
        <w:t>，</w:t>
      </w:r>
      <w:hyperlink r:id="rId13">
        <w:r>
          <w:rPr>
            <w:color w:val="000000"/>
            <w:u w:val="single"/>
          </w:rPr>
          <w:t>行业注释</w:t>
        </w:r>
      </w:hyperlink>
      <w:r>
        <w:t>。</w:t>
      </w:r>
    </w:p>
    <w:p>
      <w:pPr>
        <w:pStyle w:val="Reference"/>
      </w:pPr>
      <w:r>
        <w:t>国家统计局：《国家统计局统计设计管理司负责人就〈国民经济行业分类〉国家标准修订答记者问》。用于核查行业标准实施与统计资料采用时间。</w:t>
      </w:r>
      <w:hyperlink r:id="rId14">
        <w:r>
          <w:rPr>
            <w:color w:val="000000"/>
            <w:u w:val="single"/>
          </w:rPr>
          <w:t>官方说明</w:t>
        </w:r>
      </w:hyperlink>
      <w:r>
        <w:t>。</w:t>
      </w:r>
    </w:p>
    <w:p>
      <w:pPr>
        <w:pStyle w:val="Reference"/>
      </w:pPr>
      <w:r>
        <w:t>国家发展改革委、商务部：《外商投资产业指导目录》及历年《外商投资准入特别管理措施（负面清单）》。文中案例依据</w:t>
      </w:r>
      <w:hyperlink r:id="rId15">
        <w:r>
          <w:rPr>
            <w:color w:val="000000"/>
            <w:u w:val="single"/>
          </w:rPr>
          <w:t>2018年版</w:t>
        </w:r>
      </w:hyperlink>
      <w:r>
        <w:t>、</w:t>
      </w:r>
      <w:hyperlink r:id="rId16">
        <w:r>
          <w:rPr>
            <w:color w:val="000000"/>
            <w:u w:val="single"/>
          </w:rPr>
          <w:t>2020年版</w:t>
        </w:r>
      </w:hyperlink>
      <w:r>
        <w:t>及</w:t>
      </w:r>
      <w:hyperlink r:id="rId17">
        <w:r>
          <w:rPr>
            <w:color w:val="000000"/>
            <w:u w:val="single"/>
          </w:rPr>
          <w:t>2024年版</w:t>
        </w:r>
      </w:hyperlink>
      <w:r>
        <w:t>；其他事件按实际适用版本核验。</w:t>
      </w:r>
    </w:p>
    <w:p>
      <w:pPr>
        <w:pStyle w:val="Reference"/>
      </w:pPr>
      <w:r>
        <w:t>《中国高水平制度型开放与全球产业链网络重塑》及模型完整推导附录，研究稿；《审稿人回复》，制度型开放测度及流量与成本映射部分；《报告_重点标红版》，成本映射及参数说明。结构定义沿用研究稿，参数数值在模型校准时核实。</w:t>
      </w:r>
    </w:p>
    <w:sectPr w:rsidR="00553CE8" w:rsidSect="00034616">
      <w:footerReference w:type="default" r:id="rId8"/>
      <w:pgSz w:w="12240" w:h="15840"/>
      <w:pgMar w:top="1440" w:right="1440" w:bottom="1440" w:left="1440" w:header="720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8BF6" w14:textId="77777777" w:rsidR="008B3F46" w:rsidRDefault="008B3F46">
      <w:pPr>
        <w:spacing w:after="0" w:line="240" w:lineRule="auto"/>
      </w:pPr>
      <w:r>
        <w:separator/>
      </w:r>
    </w:p>
  </w:endnote>
  <w:endnote w:type="continuationSeparator" w:id="0">
    <w:p w14:paraId="05EB21B5" w14:textId="77777777" w:rsidR="008B3F46" w:rsidRDefault="008B3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FCF2" w14:textId="77777777" w:rsidR="002C0540" w:rsidRDefault="00FE108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例如，2017年目录允许鼓励类与外资特别管理措施重合；2018年种业政策解释还对负面清单条目之外的作物说明准入要求。应结合全部适用规则判断，不能仅凭目录类别或条目是否出现赋值。参见</w:t>
      </w:r>
      <w:hyperlink r:id="rId1">
        <w:r>
          <w:rPr>
            <w:color w:val="000000"/>
            <w:u w:val="single"/>
          </w:rPr>
          <w:t>2017年目录原文</w:t>
        </w:r>
      </w:hyperlink>
      <w:r>
        <w:t>和</w:t>
      </w:r>
      <w:hyperlink r:id="rId2">
        <w:r>
          <w:rPr>
            <w:color w:val="000000"/>
            <w:u w:val="single"/>
          </w:rPr>
          <w:t>2018年农业政策解释</w:t>
        </w:r>
      </w:hyperlink>
      <w:r>
        <w:t>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GB2017于2017年10月1日实施，2017年目录于同年7月28日生效；2002年目录于当年4月生效，而GB2002于10月实施。这些时间提供分类核验参照，不证明目录按同期标准编制。另据国家统计局说明，2017年年度统计仍采用GB2011。参见</w:t>
      </w:r>
      <w:hyperlink r:id="rId3">
        <w:r>
          <w:rPr>
            <w:color w:val="000000"/>
            <w:u w:val="single"/>
          </w:rPr>
          <w:t>GB2017标准信息</w:t>
        </w:r>
      </w:hyperlink>
      <w:r>
        <w:t>、</w:t>
      </w:r>
      <w:hyperlink r:id="rId4">
        <w:r>
          <w:rPr>
            <w:color w:val="000000"/>
            <w:u w:val="single"/>
          </w:rPr>
          <w:t>2017年目录</w:t>
        </w:r>
      </w:hyperlink>
      <w:r>
        <w:t>、</w:t>
      </w:r>
      <w:hyperlink r:id="rId5">
        <w:r>
          <w:rPr>
            <w:color w:val="000000"/>
            <w:u w:val="single"/>
          </w:rPr>
          <w:t>2002年目录</w:t>
        </w:r>
      </w:hyperlink>
      <w:r>
        <w:t>、</w:t>
      </w:r>
      <w:hyperlink r:id="rId6">
        <w:r>
          <w:rPr>
            <w:color w:val="000000"/>
            <w:u w:val="single"/>
          </w:rPr>
          <w:t>GB2002标准信息</w:t>
        </w:r>
      </w:hyperlink>
      <w:r>
        <w:t>及参考资料中的统计说明。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对始终没有外国控制生产的企业，外国生产结果全为零；带企业固定效应的PPML可能因分离而剔除相关观测。应核对实际估计样本及预测覆盖，不能将被剔除企业视为未受改革影响。参见</w:t>
      </w:r>
      <w:hyperlink r:id="rId7">
        <w:r>
          <w:rPr>
            <w:color w:val="000000"/>
            <w:u w:val="single"/>
          </w:rPr>
          <w:t>PPMLHDFE作者文档</w:t>
        </w:r>
      </w:hyperlink>
      <w: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836803">
    <w:abstractNumId w:val="8"/>
  </w:num>
  <w:num w:numId="2" w16cid:durableId="521016866">
    <w:abstractNumId w:val="6"/>
  </w:num>
  <w:num w:numId="3" w16cid:durableId="633095668">
    <w:abstractNumId w:val="5"/>
  </w:num>
  <w:num w:numId="4" w16cid:durableId="403798814">
    <w:abstractNumId w:val="4"/>
  </w:num>
  <w:num w:numId="5" w16cid:durableId="530538523">
    <w:abstractNumId w:val="7"/>
  </w:num>
  <w:num w:numId="6" w16cid:durableId="527375847">
    <w:abstractNumId w:val="3"/>
  </w:num>
  <w:num w:numId="7" w16cid:durableId="470945582">
    <w:abstractNumId w:val="2"/>
  </w:num>
  <w:num w:numId="8" w16cid:durableId="1295403094">
    <w:abstractNumId w:val="1"/>
  </w:num>
  <w:num w:numId="9" w16cid:durableId="6667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C9"/>
    <w:rsid w:val="0015074B"/>
    <w:rsid w:val="0029639D"/>
    <w:rsid w:val="002C0540"/>
    <w:rsid w:val="003268CE"/>
    <w:rsid w:val="00326F90"/>
    <w:rsid w:val="003A1012"/>
    <w:rsid w:val="004B1FF2"/>
    <w:rsid w:val="004F26D2"/>
    <w:rsid w:val="00553CE8"/>
    <w:rsid w:val="005C3041"/>
    <w:rsid w:val="005D0D22"/>
    <w:rsid w:val="006C781C"/>
    <w:rsid w:val="007B166D"/>
    <w:rsid w:val="008B3F46"/>
    <w:rsid w:val="00954789"/>
    <w:rsid w:val="00AA1D8D"/>
    <w:rsid w:val="00B47730"/>
    <w:rsid w:val="00B729EE"/>
    <w:rsid w:val="00CB0664"/>
    <w:rsid w:val="00D56FD2"/>
    <w:rsid w:val="00FC693F"/>
    <w:rsid w:val="00FE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763DA"/>
  <w14:defaultImageDpi w14:val="300"/>
  <w15:docId w15:val="{7ACFBFEA-6D3A-409A-8A60-E45C1D40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36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eastAsia="黑体"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eastAsia="黑体"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80" w:line="240" w:lineRule="auto"/>
      <w:contextualSpacing/>
    </w:pPr>
    <w:rPr>
      <w:rFonts w:eastAsia="黑体"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120" w:after="80" w:line="240" w:lineRule="auto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20"/>
    </w:pPr>
    <w:rPr>
      <w:rFonts w:ascii="Times New Roman" w:eastAsia="宋体" w:hAnsi="Times New Roman"/>
      <w:color w:val="000000"/>
      <w:sz w:val="21"/>
    </w:rPr>
  </w:style>
  <w:style w:type="paragraph" w:customStyle="1" w:styleId="Equation">
    <w:name w:val="Equation"/>
    <w:pPr>
      <w:keepLines/>
      <w:tabs>
        <w:tab w:pos="4349" w:val="center"/>
        <w:tab w:pos="9360" w:val="right"/>
      </w:tabs>
      <w:spacing w:before="80" w:after="140" w:line="264" w:lineRule="auto"/>
    </w:pPr>
    <w:rPr>
      <w:rFonts w:ascii="Times New Roman" w:eastAsia="宋体" w:hAnsi="Times New Roman"/>
      <w:color w:val="000000"/>
      <w:sz w:val="23"/>
    </w:rPr>
  </w:style>
  <w:style w:type="paragraph" w:customStyle="1" w:styleId="Reference">
    <w:name w:val="Reference"/>
    <w:pPr>
      <w:spacing w:after="100" w:line="288" w:lineRule="auto"/>
    </w:pPr>
    <w:rPr>
      <w:rFonts w:ascii="Times New Roman" w:eastAsia="宋体" w:hAnsi="Times New Roman"/>
      <w:color w:val="000000"/>
      <w:sz w:val="21"/>
    </w:rPr>
  </w:style>
  <w:style w:type="paragraph" w:customStyle="1" w:styleId="DateLine">
    <w:name w:val="Date Line"/>
    <w:rPr>
      <w:rFonts w:ascii="Times New Roman" w:eastAsia="宋体" w:hAnsi="Times New Roman"/>
      <w:color w:val="000000"/>
      <w:sz w:val="21"/>
    </w:rPr>
  </w:style>
  <w:style w:type="paragraph" w:customStyle="1" w:styleId="FootnoteText">
    <w:name w:val="Footnote Text"/>
    <w:pPr>
      <w:keepLines/>
      <w:spacing w:line="240" w:lineRule="auto" w:after="20"/>
      <w:ind w:firstLine="0"/>
    </w:pPr>
    <w:rPr>
      <w:rFonts w:ascii="Times New Roman" w:hAnsi="Times New Roman" w:eastAsia="宋体"/>
      <w:b w:val="0"/>
      <w:color w:val="000000"/>
      <w:sz w:val="19"/>
    </w:rPr>
  </w:style>
  <w:style w:type="character" w:customStyle="1" w:styleId="FootnoteReference">
    <w:name w:val="Footnote Referen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www.stats.gov.cn/xxgk/tjbz/gjtjbz/202008/P020200811606493723477.pdf" TargetMode="External"/><Relationship Id="rId12" Type="http://schemas.openxmlformats.org/officeDocument/2006/relationships/hyperlink" Target="https://www.stats.gov.cn/sj/tjbz/gjtjbz/202302/t20230213_1902779.html" TargetMode="External"/><Relationship Id="rId13" Type="http://schemas.openxmlformats.org/officeDocument/2006/relationships/hyperlink" Target="https://www.stats.gov.cn/sj/tjbz/gmjjhyfl/202302/t20230213_1902780.html" TargetMode="External"/><Relationship Id="rId14" Type="http://schemas.openxmlformats.org/officeDocument/2006/relationships/hyperlink" Target="https://www.stats.gov.cn/sj/sjjd/202302/t20230202_1895911.html" TargetMode="External"/><Relationship Id="rId15" Type="http://schemas.openxmlformats.org/officeDocument/2006/relationships/hyperlink" Target="https://www.ndrc.gov.cn/xxgk/zcfb/fzggwl/201806/W020190905495140644002.pdf" TargetMode="External"/><Relationship Id="rId16" Type="http://schemas.openxmlformats.org/officeDocument/2006/relationships/hyperlink" Target="https://www.ndrc.gov.cn/xxgk/zcfb/fzggwl/202006/P020200624549035288187.pdf" TargetMode="External"/><Relationship Id="rId17" Type="http://schemas.openxmlformats.org/officeDocument/2006/relationships/hyperlink" Target="https://www.ndrc.gov.cn/xxgk/zcfb/fzggwl/202409/P020240907514493057643.pdf" TargetMode="Externa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www.ndrc.gov.cn/xwdt/ztzl/gbmjcbzc/swb/201801/t20180122_1209171.html" TargetMode="External"/><Relationship Id="rId2" Type="http://schemas.openxmlformats.org/officeDocument/2006/relationships/hyperlink" Target="https://dcj.mofcom.gov.cn/article/zcjd/jdtzhz/201811/20181102810202.shtml" TargetMode="External"/><Relationship Id="rId3" Type="http://schemas.openxmlformats.org/officeDocument/2006/relationships/hyperlink" Target="https://std.samr.gov.cn/gb/search/gbDetailed?id=71F772D811F1D3A7E05397BE0A0AB82A" TargetMode="External"/><Relationship Id="rId4" Type="http://schemas.openxmlformats.org/officeDocument/2006/relationships/hyperlink" Target="https://zfxxgk.ndrc.gov.cn/web/iteminfo.jsp?id=2808" TargetMode="External"/><Relationship Id="rId5" Type="http://schemas.openxmlformats.org/officeDocument/2006/relationships/hyperlink" Target="https://www.ndrc.gov.cn/xxgk/zcfb/fzggwl/200507/t20050707_960602_ext.html" TargetMode="External"/><Relationship Id="rId6" Type="http://schemas.openxmlformats.org/officeDocument/2006/relationships/hyperlink" Target="https://std.samr.gov.cn/gb/search/gbDetailed?id=71F772D79DA6D3A7E05397BE0A0AB82A" TargetMode="External"/><Relationship Id="rId7" Type="http://schemas.openxmlformats.org/officeDocument/2006/relationships/hyperlink" Target="https://scorreia.com/help/ppmlhdf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11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 外资准入负面清单的政策测度、跨国投资成本识别与一般均衡反事实</dc:title>
  <dc:subject/>
  <dc:creator/>
  <cp:keywords/>
  <dc:description/>
  <cp:lastModifiedBy/>
  <cp:revision>7</cp:revision>
  <dcterms:created xsi:type="dcterms:W3CDTF">2013-12-23T23:15:00Z</dcterms:created>
  <dcterms:modified xsi:type="dcterms:W3CDTF">2026-10-08T01:50:00Z</dcterms:modified>
  <cp:category/>
</cp:coreProperties>
</file>