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C020" w14:textId="77777777" w:rsidR="002C0540" w:rsidRDefault="00FE1083">
      <w:pPr>
        <w:pStyle w:val="aa"/>
        <w:jc w:val="center"/>
        <w:rPr>
          <w:lang w:eastAsia="zh-CN"/>
        </w:rPr>
      </w:pPr>
      <w:r>
        <w:rPr>
          <w:lang w:eastAsia="zh-CN"/>
        </w:rPr>
        <w:t>外资准入改革的企业效应与跨国生产成本反演研究方案</w:t>
      </w:r>
    </w:p>
    <w:p w14:paraId="2379ADF2" w14:textId="77777777" w:rsidR="002C0540" w:rsidRDefault="00FE1083">
      <w:pPr>
        <w:pStyle w:val="1"/>
        <w:rPr>
          <w:lang w:eastAsia="zh-CN"/>
        </w:rPr>
      </w:pPr>
      <w:r>
        <w:rPr>
          <w:lang w:eastAsia="zh-CN"/>
        </w:rPr>
        <w:t xml:space="preserve">A1 </w:t>
      </w:r>
      <w:r>
        <w:rPr>
          <w:lang w:eastAsia="zh-CN"/>
        </w:rPr>
        <w:t>研究目标与总体框架</w:t>
      </w:r>
    </w:p>
    <w:p w14:paraId="0E12EBE4" w14:textId="77777777" w:rsidR="002C0540" w:rsidRDefault="00FE1083">
      <w:pPr>
        <w:rPr>
          <w:lang w:eastAsia="zh-CN"/>
        </w:rPr>
      </w:pPr>
      <w:r>
        <w:rPr>
          <w:lang w:eastAsia="zh-CN"/>
        </w:rPr>
        <w:t>本研究考察中国外资准入规则放松如何改变企业的外国控制、进入和生产，并将可识别的生产响应映射为跨国生产模型中的等价成本变化。研究从具体法律条款出发，建立细活动政策状态面板，以真实改革事件识别企业与活动层面的经济响应，再在统一观察口径下构造结构冲击。基准研究对象为可观测正外资生产基础上的有限限制改革。</w:t>
      </w:r>
    </w:p>
    <w:p w14:paraId="06F04E8B" w14:textId="77777777" w:rsidR="002C0540" w:rsidRDefault="00FE1083">
      <w:pPr>
        <w:pStyle w:val="21"/>
        <w:rPr>
          <w:lang w:eastAsia="zh-CN"/>
        </w:rPr>
      </w:pPr>
      <w:r>
        <w:rPr>
          <w:lang w:eastAsia="zh-CN"/>
        </w:rPr>
        <w:t>研究问题与贡献</w:t>
      </w:r>
    </w:p>
    <w:p w14:paraId="4C01CD43" w14:textId="77777777" w:rsidR="002C0540" w:rsidRDefault="00FE1083">
      <w:pPr>
        <w:rPr>
          <w:lang w:eastAsia="zh-CN"/>
        </w:rPr>
      </w:pPr>
      <w:r>
        <w:rPr>
          <w:lang w:eastAsia="zh-CN"/>
        </w:rPr>
        <w:t>外资准入规则通常适用于具体产品、技术、服务或经营活动，同一行业内企业可能面临不同约束。</w:t>
      </w:r>
      <w:r>
        <w:rPr>
          <w:lang w:eastAsia="zh-CN"/>
        </w:rPr>
        <w:t>Eppinger and Ma</w:t>
      </w:r>
      <w:r>
        <w:rPr>
          <w:lang w:eastAsia="zh-CN"/>
        </w:rPr>
        <w:t>（</w:t>
      </w:r>
      <w:r>
        <w:rPr>
          <w:lang w:eastAsia="zh-CN"/>
        </w:rPr>
        <w:t>2023</w:t>
      </w:r>
      <w:r>
        <w:rPr>
          <w:lang w:eastAsia="zh-CN"/>
        </w:rPr>
        <w:t>）通过产品文本匹配识别中国外资股权限制改革，为细活动政策匹配提供了方法参照。本研究在这一思路上区分禁止、明确股比、中方控制、组织形式、治理和其他限制，考察实际改革组合如何作用于控制权、企业进入与生产。方法贡献在于建立法律变化、微观估计对象和结构观察方程之间可核验的联系。</w:t>
      </w:r>
    </w:p>
    <w:p w14:paraId="7C2C67F7" w14:textId="77777777" w:rsidR="002C0540" w:rsidRDefault="00FE1083">
      <w:pPr>
        <w:rPr>
          <w:lang w:eastAsia="zh-CN"/>
        </w:rPr>
      </w:pPr>
      <w:r>
        <w:rPr>
          <w:lang w:eastAsia="zh-CN"/>
        </w:rPr>
        <w:t>《中国高水平制度型开放与全球产业链网络重塑》的修订材料采用制度文本、经济流量估计和结构成本映射的路线，制度指标具有可追溯的政策内容（研究修订材料，制度型开放测度部分）。本研究以中国单边外资准入规则为政策对象，重新估计其经济效果，借鉴该映射思路，不移植深度贸易协定的系数或得分尺度。成本结果解释为特定改革在给定模型中的等价变化，不用于恢复完整的历史制度成本存量。</w:t>
      </w:r>
    </w:p>
    <w:p w14:paraId="4E9D6CC2" w14:textId="77777777" w:rsidR="002C0540" w:rsidRDefault="00FE1083">
      <w:pPr>
        <w:rPr>
          <w:lang w:eastAsia="zh-CN"/>
        </w:rPr>
      </w:pPr>
      <w:r>
        <w:rPr>
          <w:lang w:eastAsia="zh-CN"/>
        </w:rPr>
        <w:t>研究包含两个相互衔接的层次。微观层识别真实改革对企业行为和活动生产的影响；结构层检验这些影响能否由跨国生产经营成本楔子解释，并评估相应均衡变化。基准结构规格采用部门等价冲击；部门内活动差异及外资设立机制的解释，留在明确增加结构与校准条件的扩展规格中。</w:t>
      </w:r>
    </w:p>
    <w:p w14:paraId="08623C66" w14:textId="77777777" w:rsidR="002C0540" w:rsidRDefault="00FE1083">
      <w:pPr>
        <w:pStyle w:val="21"/>
        <w:rPr>
          <w:lang w:eastAsia="zh-CN"/>
        </w:rPr>
      </w:pPr>
      <w:r>
        <w:rPr>
          <w:lang w:eastAsia="zh-CN"/>
        </w:rPr>
        <w:t>研究对象与符号</w:t>
      </w:r>
    </w:p>
    <w:p w14:paraId="3BB3DA70" w14:textId="77777777" w:rsidR="002C0540" w:rsidRDefault="00FE1083">
      <w:pPr>
        <w:rPr>
          <w:lang w:eastAsia="zh-CN"/>
        </w:rPr>
      </w:pPr>
      <w:r>
        <w:rPr>
          <w:lang w:eastAsia="zh-CN"/>
        </w:rPr>
        <w:t>设</w:t>
      </w:r>
      <w:r>
        <w:rPr>
          <w:lang w:eastAsia="zh-CN"/>
        </w:rPr>
        <w:t xml:space="preserve"> </w:t>
      </w:r>
      <m:oMath>
        <m:r>
          <w:rPr>
            <w:rFonts w:ascii="Cambria Math" w:hAnsi="Cambria Math"/>
            <w:lang w:eastAsia="zh-CN"/>
          </w:rPr>
          <m:t>f</m:t>
        </m:r>
      </m:oMath>
      <w:r>
        <w:rPr>
          <w:lang w:eastAsia="zh-CN"/>
        </w:rPr>
        <w:t xml:space="preserve"> </w:t>
      </w:r>
      <w:r>
        <w:rPr>
          <w:lang w:eastAsia="zh-CN"/>
        </w:rPr>
        <w:t>为企业，</w:t>
      </w:r>
      <m:oMath>
        <m:r>
          <w:rPr>
            <w:rFonts w:ascii="Cambria Math" w:hAnsi="Cambria Math"/>
            <w:lang w:eastAsia="zh-CN"/>
          </w:rPr>
          <m:t>u</m:t>
        </m:r>
      </m:oMath>
      <w:r>
        <w:rPr>
          <w:lang w:eastAsia="zh-CN"/>
        </w:rPr>
        <w:t xml:space="preserve"> </w:t>
      </w:r>
      <w:r>
        <w:rPr>
          <w:lang w:eastAsia="zh-CN"/>
        </w:rPr>
        <w:t>为跨版本稳定的经济活动，</w:t>
      </w:r>
      <m:oMath>
        <m:r>
          <w:rPr>
            <w:rFonts w:ascii="Cambria Math" w:hAnsi="Cambria Math"/>
            <w:lang w:eastAsia="zh-CN"/>
          </w:rPr>
          <m:t>r</m:t>
        </m:r>
      </m:oMath>
      <w:r>
        <w:rPr>
          <w:lang w:eastAsia="zh-CN"/>
        </w:rPr>
        <w:t xml:space="preserve"> </w:t>
      </w:r>
      <w:r>
        <w:rPr>
          <w:lang w:eastAsia="zh-CN"/>
        </w:rPr>
        <w:t>为生产地区，</w:t>
      </w:r>
      <m:oMath>
        <m:r>
          <w:rPr>
            <w:rFonts w:ascii="Cambria Math" w:hAnsi="Cambria Math"/>
            <w:lang w:eastAsia="zh-CN"/>
          </w:rPr>
          <m:t>t</m:t>
        </m:r>
      </m:oMath>
      <w:r>
        <w:rPr>
          <w:lang w:eastAsia="zh-CN"/>
        </w:rPr>
        <w:t xml:space="preserve"> </w:t>
      </w:r>
      <w:r>
        <w:rPr>
          <w:lang w:eastAsia="zh-CN"/>
        </w:rPr>
        <w:t>为年份，</w:t>
      </w:r>
      <m:oMath>
        <m:r>
          <w:rPr>
            <w:rFonts w:ascii="Cambria Math" w:hAnsi="Cambria Math"/>
            <w:lang w:eastAsia="zh-CN"/>
          </w:rPr>
          <m:t>e</m:t>
        </m:r>
      </m:oMath>
      <w:r>
        <w:rPr>
          <w:lang w:eastAsia="zh-CN"/>
        </w:rPr>
        <w:t xml:space="preserve"> </w:t>
      </w:r>
      <w:r>
        <w:rPr>
          <w:lang w:eastAsia="zh-CN"/>
        </w:rPr>
        <w:t>为改革事件，</w:t>
      </w:r>
      <m:oMath>
        <m:r>
          <w:rPr>
            <w:rFonts w:ascii="Cambria Math" w:hAnsi="Cambria Math"/>
            <w:lang w:eastAsia="zh-CN"/>
          </w:rPr>
          <m:t>j</m:t>
        </m:r>
      </m:oMath>
      <w:r>
        <w:rPr>
          <w:lang w:eastAsia="zh-CN"/>
        </w:rPr>
        <w:t xml:space="preserve"> </w:t>
      </w:r>
      <w:r>
        <w:rPr>
          <w:lang w:eastAsia="zh-CN"/>
        </w:rPr>
        <w:t>为结构部门，</w:t>
      </w:r>
      <m:oMath>
        <m:r>
          <w:rPr>
            <w:rFonts w:ascii="Cambria Math" w:hAnsi="Cambria Math"/>
            <w:lang w:eastAsia="zh-CN"/>
          </w:rPr>
          <m:t>m</m:t>
        </m:r>
      </m:oMath>
      <w:r>
        <w:rPr>
          <w:lang w:eastAsia="zh-CN"/>
        </w:rPr>
        <w:t xml:space="preserve"> </w:t>
      </w:r>
      <w:r>
        <w:rPr>
          <w:lang w:eastAsia="zh-CN"/>
        </w:rPr>
        <w:t>为企业最终控制母国，</w:t>
      </w:r>
      <m:oMath>
        <m:r>
          <w:rPr>
            <w:rFonts w:ascii="Cambria Math" w:hAnsi="Cambria Math"/>
            <w:lang w:eastAsia="zh-CN"/>
          </w:rPr>
          <m:t>i</m:t>
        </m:r>
      </m:oMath>
      <w:r>
        <w:rPr>
          <w:lang w:eastAsia="zh-CN"/>
        </w:rPr>
        <w:t xml:space="preserve"> </w:t>
      </w:r>
      <w:r>
        <w:rPr>
          <w:lang w:eastAsia="zh-CN"/>
        </w:rPr>
        <w:t>为生产国，</w:t>
      </w:r>
      <m:oMath>
        <m:r>
          <w:rPr>
            <w:rFonts w:ascii="Cambria Math" w:hAnsi="Cambria Math"/>
            <w:lang w:eastAsia="zh-CN"/>
          </w:rPr>
          <m:t>n</m:t>
        </m:r>
      </m:oMath>
      <w:r>
        <w:rPr>
          <w:lang w:eastAsia="zh-CN"/>
        </w:rPr>
        <w:t xml:space="preserve"> </w:t>
      </w:r>
      <w:r>
        <w:rPr>
          <w:lang w:eastAsia="zh-CN"/>
        </w:rPr>
        <w:t>为销售目的国，</w:t>
      </w:r>
      <m:oMath>
        <m:r>
          <w:rPr>
            <w:rFonts w:ascii="Cambria Math" w:hAnsi="Cambria Math"/>
            <w:lang w:eastAsia="zh-CN"/>
          </w:rPr>
          <m:t>C</m:t>
        </m:r>
      </m:oMath>
      <w:r>
        <w:rPr>
          <w:lang w:eastAsia="zh-CN"/>
        </w:rPr>
        <w:t xml:space="preserve"> </w:t>
      </w:r>
      <w:r>
        <w:rPr>
          <w:lang w:eastAsia="zh-CN"/>
        </w:rPr>
        <w:t>为中国。外资指最终控制母国位于中国以外的企业；港澳台、间接控制和境外中资回流按与结构数据一致的经济体边界和最终控制规则处理，法律登记身份另行保存。</w:t>
      </w:r>
    </w:p>
    <w:p w14:paraId="7DCFDC2A" w14:textId="77777777" w:rsidR="002C0540" w:rsidRDefault="00FE1083">
      <w:pPr>
        <w:rPr>
          <w:lang w:eastAsia="zh-CN"/>
        </w:rPr>
      </w:pPr>
      <w:r>
        <w:rPr>
          <w:lang w:eastAsia="zh-CN"/>
        </w:rPr>
        <w:lastRenderedPageBreak/>
        <w:t>设计以完整企业所有权、活动生产价值、主营业务文本和进入退出信息为数据前提。多业务企业按真实活动生产价值分拆。统计生产国为中国的经营活动，企业境外生产不并入中国外资生产分母。结构部门、币值、时期与计价方式在估计前确定，生产价值与增加值保持区分。</w:t>
      </w:r>
    </w:p>
    <w:p w14:paraId="2A3E4386" w14:textId="77777777" w:rsidR="002C0540" w:rsidRDefault="00FE1083">
      <w:pPr>
        <w:rPr>
          <w:lang w:eastAsia="zh-CN"/>
        </w:rPr>
      </w:pPr>
      <w:r>
        <w:rPr>
          <w:lang w:eastAsia="zh-CN"/>
        </w:rPr>
        <w:t>研究流程为：政策原文和适用范围核查，形成稳定活动法律面板；将政策匹配到企业改革前业务，并汇总活动当期生产；构造改革事件及对照，估计生产与企业行为响应；按识别支持估计限制类型或组合；在模型观察口径下反演部门等价成本；求解反事实均衡并检验机制与不确定性。</w:t>
      </w:r>
    </w:p>
    <w:p w14:paraId="31B146B8" w14:textId="77777777" w:rsidR="002C0540" w:rsidRDefault="00FE1083">
      <w:pPr>
        <w:pStyle w:val="1"/>
        <w:rPr>
          <w:lang w:eastAsia="zh-CN"/>
        </w:rPr>
      </w:pPr>
      <w:r>
        <w:rPr>
          <w:lang w:eastAsia="zh-CN"/>
        </w:rPr>
        <w:t xml:space="preserve">A2 </w:t>
      </w:r>
      <w:r>
        <w:rPr>
          <w:lang w:eastAsia="zh-CN"/>
        </w:rPr>
        <w:t>政策编码与跨年活动匹配</w:t>
      </w:r>
    </w:p>
    <w:p w14:paraId="78F2CEEA" w14:textId="77777777" w:rsidR="002C0540" w:rsidRDefault="00FE1083">
      <w:pPr>
        <w:pStyle w:val="21"/>
        <w:rPr>
          <w:lang w:eastAsia="zh-CN"/>
        </w:rPr>
      </w:pPr>
      <w:r>
        <w:rPr>
          <w:lang w:eastAsia="zh-CN"/>
        </w:rPr>
        <w:t>政策版本与稳定活动台账</w:t>
      </w:r>
    </w:p>
    <w:p w14:paraId="15F8F18E" w14:textId="77777777" w:rsidR="002C0540" w:rsidRDefault="00FE1083">
      <w:pPr>
        <w:rPr>
          <w:lang w:eastAsia="zh-CN"/>
        </w:rPr>
      </w:pPr>
      <w:r>
        <w:rPr>
          <w:lang w:eastAsia="zh-CN"/>
        </w:rPr>
        <w:t>以正式生效的全国性外资准入文件为主，负面清单制度实施前采用连续可比的外商投资产业指导目录衔接。保存发布日期、生效日期、年度适用方式、过渡安排和例外。地区试点、特殊经济区域、投资者资格及优惠安排作为适用范围单独编码；不能用全国清单替代全部企业的实际法律待遇。</w:t>
      </w:r>
    </w:p>
    <w:p w14:paraId="0A578285" w14:textId="77777777" w:rsidR="002C0540" w:rsidRDefault="00FE1083">
      <w:pPr>
        <w:rPr>
          <w:lang w:eastAsia="zh-CN"/>
        </w:rPr>
      </w:pPr>
      <w:r>
        <w:rPr>
          <w:lang w:eastAsia="zh-CN"/>
        </w:rPr>
        <w:t>经济活动定义为能够独立判断法律状态的最小政策对象。条文包含不同股比、控制、例外或地域条件时分别编码；同一活动受到多类约束时保留完整限制向量。每版条款使用唯一</w:t>
      </w:r>
      <w:r>
        <w:rPr>
          <w:lang w:eastAsia="zh-CN"/>
        </w:rPr>
        <w:t xml:space="preserve"> </w:t>
      </w:r>
      <w:r>
        <w:rPr>
          <w:rFonts w:ascii="Consolas" w:hAnsi="Consolas"/>
          <w:sz w:val="21"/>
          <w:lang w:eastAsia="zh-CN"/>
        </w:rPr>
        <w:t>policy_unit_id</w:t>
      </w:r>
      <w:r>
        <w:rPr>
          <w:lang w:eastAsia="zh-CN"/>
        </w:rPr>
        <w:t xml:space="preserve"> </w:t>
      </w:r>
      <w:r>
        <w:rPr>
          <w:lang w:eastAsia="zh-CN"/>
        </w:rPr>
        <w:t>回溯原文，同时设置跨年稳定</w:t>
      </w:r>
      <w:r>
        <w:rPr>
          <w:lang w:eastAsia="zh-CN"/>
        </w:rPr>
        <w:t xml:space="preserve"> </w:t>
      </w:r>
      <w:r>
        <w:rPr>
          <w:rFonts w:ascii="Consolas" w:hAnsi="Consolas"/>
          <w:sz w:val="21"/>
          <w:lang w:eastAsia="zh-CN"/>
        </w:rPr>
        <w:t>activity_id</w:t>
      </w:r>
      <w:r>
        <w:rPr>
          <w:lang w:eastAsia="zh-CN"/>
        </w:rPr>
        <w:t>，记录延续、修改、拆分、合并、删除及重新出现的对应关系。台账覆盖各版活动及经核实未受对应特别限制的活动，条目删除不删除活动记录。</w:t>
      </w:r>
    </w:p>
    <w:p w14:paraId="5A36E90E" w14:textId="77777777" w:rsidR="002C0540" w:rsidRDefault="00FE1083">
      <w:pPr>
        <w:pStyle w:val="af7"/>
        <w:rPr>
          <w:lang w:eastAsia="zh-CN"/>
        </w:rPr>
      </w:pPr>
      <w:r>
        <w:rPr>
          <w:lang w:eastAsia="zh-CN"/>
        </w:rPr>
        <w:t>表</w:t>
      </w:r>
      <w:r>
        <w:rPr>
          <w:lang w:eastAsia="zh-CN"/>
        </w:rPr>
        <w:t xml:space="preserve">A1 </w:t>
      </w:r>
      <w:r>
        <w:rPr>
          <w:lang w:eastAsia="zh-CN"/>
        </w:rPr>
        <w:t>政策台账的核心字段</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1778"/>
        <w:gridCol w:w="3557"/>
        <w:gridCol w:w="4025"/>
      </w:tblGrid>
      <w:tr w:rsidR="002C0540" w14:paraId="55A154BD" w14:textId="77777777">
        <w:trPr>
          <w:cantSplit/>
          <w:tblHeader/>
          <w:jc w:val="center"/>
        </w:trPr>
        <w:tc>
          <w:tcPr>
            <w:tcW w:w="1778" w:type="dxa"/>
            <w:tcBorders>
              <w:bottom w:val="single" w:sz="5" w:space="0" w:color="000000"/>
            </w:tcBorders>
            <w:vAlign w:val="center"/>
          </w:tcPr>
          <w:p w14:paraId="07979588" w14:textId="77777777" w:rsidR="002C0540" w:rsidRDefault="00FE1083">
            <w:pPr>
              <w:pStyle w:val="TableText"/>
              <w:keepNext/>
              <w:jc w:val="center"/>
            </w:pPr>
            <w:r>
              <w:rPr>
                <w:b/>
              </w:rPr>
              <w:t>字段组</w:t>
            </w:r>
          </w:p>
        </w:tc>
        <w:tc>
          <w:tcPr>
            <w:tcW w:w="3557" w:type="dxa"/>
            <w:tcBorders>
              <w:bottom w:val="single" w:sz="5" w:space="0" w:color="000000"/>
            </w:tcBorders>
            <w:vAlign w:val="center"/>
          </w:tcPr>
          <w:p w14:paraId="5D5034E8" w14:textId="77777777" w:rsidR="002C0540" w:rsidRDefault="00FE1083">
            <w:pPr>
              <w:pStyle w:val="TableText"/>
              <w:keepNext/>
            </w:pPr>
            <w:r>
              <w:rPr>
                <w:b/>
              </w:rPr>
              <w:t>主要内容</w:t>
            </w:r>
          </w:p>
        </w:tc>
        <w:tc>
          <w:tcPr>
            <w:tcW w:w="4025" w:type="dxa"/>
            <w:tcBorders>
              <w:bottom w:val="single" w:sz="5" w:space="0" w:color="000000"/>
            </w:tcBorders>
            <w:vAlign w:val="center"/>
          </w:tcPr>
          <w:p w14:paraId="690A9274" w14:textId="77777777" w:rsidR="002C0540" w:rsidRDefault="00FE1083">
            <w:pPr>
              <w:pStyle w:val="TableText"/>
              <w:keepNext/>
            </w:pPr>
            <w:r>
              <w:rPr>
                <w:b/>
              </w:rPr>
              <w:t>用途</w:t>
            </w:r>
          </w:p>
        </w:tc>
      </w:tr>
      <w:tr w:rsidR="002C0540" w14:paraId="4ACC294F" w14:textId="77777777">
        <w:trPr>
          <w:cantSplit/>
          <w:jc w:val="center"/>
        </w:trPr>
        <w:tc>
          <w:tcPr>
            <w:tcW w:w="1778" w:type="dxa"/>
            <w:vAlign w:val="center"/>
          </w:tcPr>
          <w:p w14:paraId="293CC661" w14:textId="77777777" w:rsidR="002C0540" w:rsidRDefault="00FE1083">
            <w:pPr>
              <w:pStyle w:val="TableText"/>
            </w:pPr>
            <w:r>
              <w:t>稳定标识</w:t>
            </w:r>
          </w:p>
        </w:tc>
        <w:tc>
          <w:tcPr>
            <w:tcW w:w="3557" w:type="dxa"/>
            <w:vAlign w:val="center"/>
          </w:tcPr>
          <w:p w14:paraId="1B934A69" w14:textId="77777777" w:rsidR="002C0540" w:rsidRDefault="00FE1083">
            <w:pPr>
              <w:pStyle w:val="TableText"/>
            </w:pPr>
            <w:r>
              <w:t xml:space="preserve">activity_id policy_unit_id </w:t>
            </w:r>
            <w:r>
              <w:t>前后继关系</w:t>
            </w:r>
          </w:p>
        </w:tc>
        <w:tc>
          <w:tcPr>
            <w:tcW w:w="4025" w:type="dxa"/>
            <w:vAlign w:val="center"/>
          </w:tcPr>
          <w:p w14:paraId="7C9A6972" w14:textId="77777777" w:rsidR="002C0540" w:rsidRDefault="00FE1083">
            <w:pPr>
              <w:pStyle w:val="TableText"/>
              <w:rPr>
                <w:lang w:eastAsia="zh-CN"/>
              </w:rPr>
            </w:pPr>
            <w:r>
              <w:rPr>
                <w:lang w:eastAsia="zh-CN"/>
              </w:rPr>
              <w:t>连接活动及版本</w:t>
            </w:r>
            <w:r>
              <w:rPr>
                <w:lang w:eastAsia="zh-CN"/>
              </w:rPr>
              <w:t xml:space="preserve"> </w:t>
            </w:r>
            <w:r>
              <w:rPr>
                <w:lang w:eastAsia="zh-CN"/>
              </w:rPr>
              <w:t>保留条文谱系</w:t>
            </w:r>
          </w:p>
        </w:tc>
      </w:tr>
      <w:tr w:rsidR="002C0540" w14:paraId="54436573" w14:textId="77777777">
        <w:trPr>
          <w:cantSplit/>
          <w:jc w:val="center"/>
        </w:trPr>
        <w:tc>
          <w:tcPr>
            <w:tcW w:w="1778" w:type="dxa"/>
            <w:vAlign w:val="center"/>
          </w:tcPr>
          <w:p w14:paraId="15598EF3" w14:textId="77777777" w:rsidR="002C0540" w:rsidRDefault="00FE1083">
            <w:pPr>
              <w:pStyle w:val="TableText"/>
            </w:pPr>
            <w:r>
              <w:t>原文证据</w:t>
            </w:r>
          </w:p>
        </w:tc>
        <w:tc>
          <w:tcPr>
            <w:tcW w:w="3557" w:type="dxa"/>
            <w:vAlign w:val="center"/>
          </w:tcPr>
          <w:p w14:paraId="27CDAC30" w14:textId="77777777" w:rsidR="002C0540" w:rsidRDefault="00FE1083">
            <w:pPr>
              <w:pStyle w:val="TableText"/>
              <w:rPr>
                <w:lang w:eastAsia="zh-CN"/>
              </w:rPr>
            </w:pPr>
            <w:r>
              <w:rPr>
                <w:lang w:eastAsia="zh-CN"/>
              </w:rPr>
              <w:t>活动描述</w:t>
            </w:r>
            <w:r>
              <w:rPr>
                <w:lang w:eastAsia="zh-CN"/>
              </w:rPr>
              <w:t xml:space="preserve"> </w:t>
            </w:r>
            <w:r>
              <w:rPr>
                <w:lang w:eastAsia="zh-CN"/>
              </w:rPr>
              <w:t>限制</w:t>
            </w:r>
            <w:r>
              <w:rPr>
                <w:lang w:eastAsia="zh-CN"/>
              </w:rPr>
              <w:t xml:space="preserve"> </w:t>
            </w:r>
            <w:r>
              <w:rPr>
                <w:lang w:eastAsia="zh-CN"/>
              </w:rPr>
              <w:t>例外</w:t>
            </w:r>
            <w:r>
              <w:rPr>
                <w:lang w:eastAsia="zh-CN"/>
              </w:rPr>
              <w:t xml:space="preserve"> </w:t>
            </w:r>
            <w:r>
              <w:rPr>
                <w:lang w:eastAsia="zh-CN"/>
              </w:rPr>
              <w:t>文件位置</w:t>
            </w:r>
          </w:p>
        </w:tc>
        <w:tc>
          <w:tcPr>
            <w:tcW w:w="4025" w:type="dxa"/>
            <w:vAlign w:val="center"/>
          </w:tcPr>
          <w:p w14:paraId="185371DA" w14:textId="77777777" w:rsidR="002C0540" w:rsidRDefault="00FE1083">
            <w:pPr>
              <w:pStyle w:val="TableText"/>
              <w:rPr>
                <w:lang w:eastAsia="zh-CN"/>
              </w:rPr>
            </w:pPr>
            <w:r>
              <w:rPr>
                <w:lang w:eastAsia="zh-CN"/>
              </w:rPr>
              <w:t>核实法律状态及语义范围</w:t>
            </w:r>
          </w:p>
        </w:tc>
      </w:tr>
      <w:tr w:rsidR="002C0540" w14:paraId="510B967E" w14:textId="77777777">
        <w:trPr>
          <w:cantSplit/>
          <w:jc w:val="center"/>
        </w:trPr>
        <w:tc>
          <w:tcPr>
            <w:tcW w:w="1778" w:type="dxa"/>
            <w:vAlign w:val="center"/>
          </w:tcPr>
          <w:p w14:paraId="3897E1E4" w14:textId="77777777" w:rsidR="002C0540" w:rsidRDefault="00FE1083">
            <w:pPr>
              <w:pStyle w:val="TableText"/>
            </w:pPr>
            <w:r>
              <w:t>时间与范围</w:t>
            </w:r>
          </w:p>
        </w:tc>
        <w:tc>
          <w:tcPr>
            <w:tcW w:w="3557" w:type="dxa"/>
            <w:vAlign w:val="center"/>
          </w:tcPr>
          <w:p w14:paraId="35C1BDFF" w14:textId="77777777" w:rsidR="002C0540" w:rsidRDefault="00FE1083">
            <w:pPr>
              <w:pStyle w:val="TableText"/>
              <w:rPr>
                <w:lang w:eastAsia="zh-CN"/>
              </w:rPr>
            </w:pPr>
            <w:r>
              <w:rPr>
                <w:lang w:eastAsia="zh-CN"/>
              </w:rPr>
              <w:t>生效时间</w:t>
            </w:r>
            <w:r>
              <w:rPr>
                <w:lang w:eastAsia="zh-CN"/>
              </w:rPr>
              <w:t xml:space="preserve"> </w:t>
            </w:r>
            <w:r>
              <w:rPr>
                <w:lang w:eastAsia="zh-CN"/>
              </w:rPr>
              <w:t>过渡安排</w:t>
            </w:r>
            <w:r>
              <w:rPr>
                <w:lang w:eastAsia="zh-CN"/>
              </w:rPr>
              <w:t xml:space="preserve"> </w:t>
            </w:r>
            <w:r>
              <w:rPr>
                <w:lang w:eastAsia="zh-CN"/>
              </w:rPr>
              <w:t>地区</w:t>
            </w:r>
            <w:r>
              <w:rPr>
                <w:lang w:eastAsia="zh-CN"/>
              </w:rPr>
              <w:t xml:space="preserve"> </w:t>
            </w:r>
            <w:r>
              <w:rPr>
                <w:lang w:eastAsia="zh-CN"/>
              </w:rPr>
              <w:t>投资者资格</w:t>
            </w:r>
          </w:p>
        </w:tc>
        <w:tc>
          <w:tcPr>
            <w:tcW w:w="4025" w:type="dxa"/>
            <w:vAlign w:val="center"/>
          </w:tcPr>
          <w:p w14:paraId="64A2B521" w14:textId="77777777" w:rsidR="002C0540" w:rsidRDefault="00FE1083">
            <w:pPr>
              <w:pStyle w:val="TableText"/>
              <w:rPr>
                <w:lang w:eastAsia="zh-CN"/>
              </w:rPr>
            </w:pPr>
            <w:r>
              <w:rPr>
                <w:lang w:eastAsia="zh-CN"/>
              </w:rPr>
              <w:t>判定企业与年度真实适用规则</w:t>
            </w:r>
          </w:p>
        </w:tc>
      </w:tr>
      <w:tr w:rsidR="002C0540" w14:paraId="2BF81A61" w14:textId="77777777">
        <w:trPr>
          <w:cantSplit/>
          <w:jc w:val="center"/>
        </w:trPr>
        <w:tc>
          <w:tcPr>
            <w:tcW w:w="1778" w:type="dxa"/>
            <w:vAlign w:val="center"/>
          </w:tcPr>
          <w:p w14:paraId="44994201" w14:textId="77777777" w:rsidR="002C0540" w:rsidRDefault="00FE1083">
            <w:pPr>
              <w:pStyle w:val="TableText"/>
            </w:pPr>
            <w:r>
              <w:t>匹配信息</w:t>
            </w:r>
          </w:p>
        </w:tc>
        <w:tc>
          <w:tcPr>
            <w:tcW w:w="3557" w:type="dxa"/>
            <w:vAlign w:val="center"/>
          </w:tcPr>
          <w:p w14:paraId="4685FF39" w14:textId="77777777" w:rsidR="002C0540" w:rsidRDefault="00FE1083">
            <w:pPr>
              <w:pStyle w:val="TableText"/>
            </w:pPr>
            <w:r>
              <w:t>分类版本</w:t>
            </w:r>
            <w:r>
              <w:t xml:space="preserve"> GB4 ISIC4 </w:t>
            </w:r>
            <w:r>
              <w:t>匹配类型</w:t>
            </w:r>
          </w:p>
        </w:tc>
        <w:tc>
          <w:tcPr>
            <w:tcW w:w="4025" w:type="dxa"/>
            <w:vAlign w:val="center"/>
          </w:tcPr>
          <w:p w14:paraId="1D9D05E6" w14:textId="77777777" w:rsidR="002C0540" w:rsidRDefault="00FE1083">
            <w:pPr>
              <w:pStyle w:val="TableText"/>
              <w:rPr>
                <w:lang w:eastAsia="zh-CN"/>
              </w:rPr>
            </w:pPr>
            <w:r>
              <w:rPr>
                <w:lang w:eastAsia="zh-CN"/>
              </w:rPr>
              <w:t>限定候选并保留不确定性</w:t>
            </w:r>
          </w:p>
        </w:tc>
      </w:tr>
      <w:tr w:rsidR="002C0540" w14:paraId="0DA501AD" w14:textId="77777777">
        <w:trPr>
          <w:cantSplit/>
          <w:jc w:val="center"/>
        </w:trPr>
        <w:tc>
          <w:tcPr>
            <w:tcW w:w="1778" w:type="dxa"/>
            <w:vAlign w:val="center"/>
          </w:tcPr>
          <w:p w14:paraId="6818BC33" w14:textId="77777777" w:rsidR="002C0540" w:rsidRDefault="00FE1083">
            <w:pPr>
              <w:pStyle w:val="TableText"/>
            </w:pPr>
            <w:r>
              <w:t>审核状态</w:t>
            </w:r>
          </w:p>
        </w:tc>
        <w:tc>
          <w:tcPr>
            <w:tcW w:w="3557" w:type="dxa"/>
            <w:vAlign w:val="center"/>
          </w:tcPr>
          <w:p w14:paraId="17F8DCE0" w14:textId="77777777" w:rsidR="002C0540" w:rsidRDefault="00FE1083">
            <w:pPr>
              <w:pStyle w:val="TableText"/>
              <w:rPr>
                <w:lang w:eastAsia="zh-CN"/>
              </w:rPr>
            </w:pPr>
            <w:r>
              <w:rPr>
                <w:lang w:eastAsia="zh-CN"/>
              </w:rPr>
              <w:t>LLM</w:t>
            </w:r>
            <w:r>
              <w:rPr>
                <w:lang w:eastAsia="zh-CN"/>
              </w:rPr>
              <w:t>输出</w:t>
            </w:r>
            <w:r>
              <w:rPr>
                <w:lang w:eastAsia="zh-CN"/>
              </w:rPr>
              <w:t xml:space="preserve"> </w:t>
            </w:r>
            <w:r>
              <w:rPr>
                <w:lang w:eastAsia="zh-CN"/>
              </w:rPr>
              <w:t>人工决定</w:t>
            </w:r>
            <w:r>
              <w:rPr>
                <w:lang w:eastAsia="zh-CN"/>
              </w:rPr>
              <w:t xml:space="preserve"> </w:t>
            </w:r>
            <w:r>
              <w:rPr>
                <w:lang w:eastAsia="zh-CN"/>
              </w:rPr>
              <w:t>变更依据</w:t>
            </w:r>
          </w:p>
        </w:tc>
        <w:tc>
          <w:tcPr>
            <w:tcW w:w="4025" w:type="dxa"/>
            <w:vAlign w:val="center"/>
          </w:tcPr>
          <w:p w14:paraId="413E49E1" w14:textId="77777777" w:rsidR="002C0540" w:rsidRDefault="00FE1083">
            <w:pPr>
              <w:pStyle w:val="TableText"/>
            </w:pPr>
            <w:r>
              <w:t>复现编码及变更过程</w:t>
            </w:r>
          </w:p>
        </w:tc>
      </w:tr>
    </w:tbl>
    <w:p w14:paraId="0E3E0186" w14:textId="77777777" w:rsidR="002C0540" w:rsidRDefault="002C0540">
      <w:pPr>
        <w:spacing w:after="40" w:line="84" w:lineRule="auto"/>
      </w:pPr>
    </w:p>
    <w:p w14:paraId="7BCD2394" w14:textId="77777777" w:rsidR="002C0540" w:rsidRDefault="00FE1083">
      <w:pPr>
        <w:pStyle w:val="21"/>
      </w:pPr>
      <w:r>
        <w:lastRenderedPageBreak/>
        <w:t>六类限制及取值方向</w:t>
      </w:r>
    </w:p>
    <w:p w14:paraId="07DAE3EC" w14:textId="77777777" w:rsidR="002C0540" w:rsidRDefault="00FE1083">
      <w:pPr>
        <w:rPr>
          <w:lang w:eastAsia="zh-CN"/>
        </w:rPr>
      </w:pPr>
      <w:r>
        <w:rPr>
          <w:lang w:eastAsia="zh-CN"/>
        </w:rPr>
        <w:t>活动</w:t>
      </w:r>
      <w:r>
        <w:rPr>
          <w:lang w:eastAsia="zh-CN"/>
        </w:rPr>
        <w:t xml:space="preserve"> </w:t>
      </w:r>
      <m:oMath>
        <m:r>
          <w:rPr>
            <w:rFonts w:ascii="Cambria Math" w:hAnsi="Cambria Math"/>
            <w:lang w:eastAsia="zh-CN"/>
          </w:rPr>
          <m:t>u</m:t>
        </m:r>
      </m:oMath>
      <w:r>
        <w:rPr>
          <w:lang w:eastAsia="zh-CN"/>
        </w:rPr>
        <w:t xml:space="preserve"> </w:t>
      </w:r>
      <w:r>
        <w:rPr>
          <w:lang w:eastAsia="zh-CN"/>
        </w:rPr>
        <w:t>在地区</w:t>
      </w:r>
      <w:r>
        <w:rPr>
          <w:lang w:eastAsia="zh-CN"/>
        </w:rPr>
        <w:t xml:space="preserve"> </w:t>
      </w:r>
      <m:oMath>
        <m:r>
          <w:rPr>
            <w:rFonts w:ascii="Cambria Math" w:hAnsi="Cambria Math"/>
            <w:lang w:eastAsia="zh-CN"/>
          </w:rPr>
          <m:t>r</m:t>
        </m:r>
      </m:oMath>
      <w:r>
        <w:rPr>
          <w:lang w:eastAsia="zh-CN"/>
        </w:rPr>
        <w:t xml:space="preserve"> </w:t>
      </w:r>
      <w:r>
        <w:rPr>
          <w:lang w:eastAsia="zh-CN"/>
        </w:rPr>
        <w:t>适用的年份</w:t>
      </w:r>
      <w:r>
        <w:rPr>
          <w:lang w:eastAsia="zh-CN"/>
        </w:rPr>
        <w:t xml:space="preserve"> </w:t>
      </w:r>
      <m:oMath>
        <m:r>
          <w:rPr>
            <w:rFonts w:ascii="Cambria Math" w:hAnsi="Cambria Math"/>
            <w:lang w:eastAsia="zh-CN"/>
          </w:rPr>
          <m:t>t</m:t>
        </m:r>
      </m:oMath>
      <w:r>
        <w:rPr>
          <w:lang w:eastAsia="zh-CN"/>
        </w:rPr>
        <w:t xml:space="preserve"> </w:t>
      </w:r>
      <w:r>
        <w:rPr>
          <w:lang w:eastAsia="zh-CN"/>
        </w:rPr>
        <w:t>限制向量定义为</w:t>
      </w:r>
    </w:p>
    <w:p w14:paraId="736691A6" w14:textId="77777777" w:rsidR="002C0540" w:rsidRDefault="00FE1083">
      <w:pPr>
        <w:pStyle w:val="Equation"/>
      </w:pPr>
      <w:r>
        <w:rPr>
          <w:lang w:eastAsia="zh-CN"/>
        </w:rPr>
        <w:tab/>
      </w:r>
      <m:oMath>
        <m:sSub>
          <m:sSubPr>
            <m:ctrlPr>
              <w:rPr>
                <w:rFonts w:ascii="Cambria Math" w:hAnsi="Cambria Math"/>
              </w:rPr>
            </m:ctrlPr>
          </m:sSubPr>
          <m:e>
            <m:r>
              <w:rPr>
                <w:rFonts w:ascii="Cambria Math" w:hAnsi="Cambria Math"/>
              </w:rPr>
              <m:t>z</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urt</m:t>
            </m:r>
          </m:sub>
        </m:sSub>
        <m:r>
          <w:rPr>
            <w:rFonts w:ascii="Cambria Math" w:hAnsi="Cambria Math"/>
          </w:rPr>
          <m:t>).</m:t>
        </m:r>
      </m:oMath>
      <w:r>
        <w:tab/>
        <w:t>(1)</w:t>
      </w:r>
    </w:p>
    <w:p w14:paraId="40EE80FF" w14:textId="77777777" w:rsidR="002C0540" w:rsidRDefault="00FE1083">
      <w:pPr>
        <w:rPr>
          <w:lang w:eastAsia="zh-CN"/>
        </w:rPr>
      </w:pPr>
      <w:r>
        <w:rPr>
          <w:lang w:eastAsia="zh-CN"/>
        </w:rPr>
        <w:t>六类变量均按限制强度增大方向定义。股比数据库保留原始上限</w:t>
      </w:r>
      <w:r>
        <w:rPr>
          <w:lang w:eastAsia="zh-CN"/>
        </w:rPr>
        <w:t xml:space="preserve"> </w:t>
      </w:r>
      <m:oMath>
        <m:sSub>
          <m:sSubPr>
            <m:ctrlPr>
              <w:rPr>
                <w:rFonts w:ascii="Cambria Math" w:hAnsi="Cambria Math"/>
              </w:rPr>
            </m:ctrlPr>
          </m:sSubPr>
          <m:e>
            <m:r>
              <w:rPr>
                <w:rFonts w:ascii="Cambria Math" w:hAnsi="Cambria Math"/>
                <w:lang w:eastAsia="zh-CN"/>
              </w:rPr>
              <m:t>cap</m:t>
            </m:r>
          </m:e>
          <m:sub>
            <m:r>
              <w:rPr>
                <w:rFonts w:ascii="Cambria Math" w:hAnsi="Cambria Math"/>
                <w:lang w:eastAsia="zh-CN"/>
              </w:rPr>
              <m:t>urt</m:t>
            </m:r>
          </m:sub>
        </m:sSub>
      </m:oMath>
      <w:r>
        <w:rPr>
          <w:lang w:eastAsia="zh-CN"/>
        </w:rPr>
        <w:t>，仅在条款明确给出或可以机械换算比例时记录；明确数值股比限制的强度为</w:t>
      </w:r>
    </w:p>
    <w:p w14:paraId="18D77B80" w14:textId="77777777" w:rsidR="002C0540" w:rsidRDefault="00FE1083">
      <w:pPr>
        <w:pStyle w:val="Equation"/>
      </w:pPr>
      <w:r>
        <w:rPr>
          <w:lang w:eastAsia="zh-CN"/>
        </w:rPr>
        <w:tab/>
      </w:r>
      <m:oMath>
        <m:sSub>
          <m:sSubPr>
            <m:ctrlPr>
              <w:rPr>
                <w:rFonts w:ascii="Cambria Math" w:hAnsi="Cambria Math"/>
              </w:rPr>
            </m:ctrlPr>
          </m:sSubPr>
          <m:e>
            <m:r>
              <w:rPr>
                <w:rFonts w:ascii="Cambria Math" w:hAnsi="Cambria Math"/>
              </w:rPr>
              <m:t>E</m:t>
            </m:r>
          </m:e>
          <m:sub>
            <m:r>
              <w:rPr>
                <w:rFonts w:ascii="Cambria Math" w:hAnsi="Cambria Math"/>
              </w:rPr>
              <m:t>urt</m:t>
            </m:r>
          </m:sub>
        </m:sSub>
        <m:r>
          <w:rPr>
            <w:rFonts w:ascii="Cambria Math" w:hAnsi="Cambria Math"/>
          </w:rPr>
          <m:t>=1-</m:t>
        </m:r>
        <m:sSub>
          <m:sSubPr>
            <m:ctrlPr>
              <w:rPr>
                <w:rFonts w:ascii="Cambria Math" w:hAnsi="Cambria Math"/>
              </w:rPr>
            </m:ctrlPr>
          </m:sSubPr>
          <m:e>
            <m:r>
              <w:rPr>
                <w:rFonts w:ascii="Cambria Math" w:hAnsi="Cambria Math"/>
              </w:rPr>
              <m:t>cap</m:t>
            </m:r>
          </m:e>
          <m:sub>
            <m:r>
              <w:rPr>
                <w:rFonts w:ascii="Cambria Math" w:hAnsi="Cambria Math"/>
              </w:rPr>
              <m:t>urt</m:t>
            </m:r>
          </m:sub>
        </m:sSub>
        <m:r>
          <w:rPr>
            <w:rFonts w:ascii="Cambria Math" w:hAnsi="Cambria Math"/>
          </w:rPr>
          <m:t>.</m:t>
        </m:r>
      </m:oMath>
      <w:r>
        <w:tab/>
        <w:t>(2)</w:t>
      </w:r>
    </w:p>
    <w:p w14:paraId="1DA98E35" w14:textId="77777777" w:rsidR="002C0540" w:rsidRDefault="00FE1083">
      <w:pPr>
        <w:rPr>
          <w:lang w:eastAsia="zh-CN"/>
        </w:rPr>
      </w:pPr>
      <w:r>
        <w:rPr>
          <w:lang w:eastAsia="zh-CN"/>
        </w:rPr>
        <w:t>经核实不存在明确数值股比约束时，</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urt</m:t>
            </m:r>
          </m:sub>
        </m:sSub>
        <m:r>
          <w:rPr>
            <w:rFonts w:ascii="Cambria Math" w:hAnsi="Cambria Math"/>
            <w:lang w:eastAsia="zh-CN"/>
          </w:rPr>
          <m:t>=0</m:t>
        </m:r>
      </m:oMath>
      <w:r>
        <w:rPr>
          <w:lang w:eastAsia="zh-CN"/>
        </w:rPr>
        <w:t>；仅有中方控制等非数值要求时，原始数值上限保持未给定状态，由其他对应维度记录约束，不把有效股比上限视为已经知道。法律信息不足则限制状态保持缺失。禁止状态与允许状态分开分析，不将禁止机械换算为股比限制为</w:t>
      </w:r>
      <w:r>
        <w:rPr>
          <w:lang w:eastAsia="zh-CN"/>
        </w:rPr>
        <w:t>1</w:t>
      </w:r>
      <w:r>
        <w:rPr>
          <w:lang w:eastAsia="zh-CN"/>
        </w:rPr>
        <w:t>或无限经营成本。</w:t>
      </w:r>
    </w:p>
    <w:p w14:paraId="0CC13D48" w14:textId="77777777" w:rsidR="002C0540" w:rsidRDefault="00FE1083">
      <w:pPr>
        <w:pStyle w:val="af7"/>
      </w:pPr>
      <w:r>
        <w:t>表</w:t>
      </w:r>
      <w:r>
        <w:t xml:space="preserve">A2 </w:t>
      </w:r>
      <w:r>
        <w:t>细活动限制向量</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1778"/>
        <w:gridCol w:w="3557"/>
        <w:gridCol w:w="4025"/>
      </w:tblGrid>
      <w:tr w:rsidR="002C0540" w14:paraId="66F5F8C8" w14:textId="77777777">
        <w:trPr>
          <w:cantSplit/>
          <w:tblHeader/>
          <w:jc w:val="center"/>
        </w:trPr>
        <w:tc>
          <w:tcPr>
            <w:tcW w:w="1778" w:type="dxa"/>
            <w:tcBorders>
              <w:bottom w:val="single" w:sz="5" w:space="0" w:color="000000"/>
            </w:tcBorders>
            <w:vAlign w:val="center"/>
          </w:tcPr>
          <w:p w14:paraId="6C58A535" w14:textId="77777777" w:rsidR="002C0540" w:rsidRDefault="00FE1083">
            <w:pPr>
              <w:pStyle w:val="TableText"/>
              <w:keepNext/>
              <w:jc w:val="center"/>
            </w:pPr>
            <w:r>
              <w:rPr>
                <w:b/>
              </w:rPr>
              <w:t>变量</w:t>
            </w:r>
          </w:p>
        </w:tc>
        <w:tc>
          <w:tcPr>
            <w:tcW w:w="3557" w:type="dxa"/>
            <w:tcBorders>
              <w:bottom w:val="single" w:sz="5" w:space="0" w:color="000000"/>
            </w:tcBorders>
            <w:vAlign w:val="center"/>
          </w:tcPr>
          <w:p w14:paraId="1FC6C8FC" w14:textId="77777777" w:rsidR="002C0540" w:rsidRDefault="00FE1083">
            <w:pPr>
              <w:pStyle w:val="TableText"/>
              <w:keepNext/>
            </w:pPr>
            <w:r>
              <w:rPr>
                <w:b/>
              </w:rPr>
              <w:t>编码对象</w:t>
            </w:r>
          </w:p>
        </w:tc>
        <w:tc>
          <w:tcPr>
            <w:tcW w:w="4025" w:type="dxa"/>
            <w:tcBorders>
              <w:bottom w:val="single" w:sz="5" w:space="0" w:color="000000"/>
            </w:tcBorders>
            <w:vAlign w:val="center"/>
          </w:tcPr>
          <w:p w14:paraId="28192039" w14:textId="77777777" w:rsidR="002C0540" w:rsidRDefault="00FE1083">
            <w:pPr>
              <w:pStyle w:val="TableText"/>
              <w:keepNext/>
            </w:pPr>
            <w:r>
              <w:rPr>
                <w:b/>
              </w:rPr>
              <w:t>基准规则</w:t>
            </w:r>
          </w:p>
        </w:tc>
      </w:tr>
      <w:tr w:rsidR="002C0540" w14:paraId="11DE4411" w14:textId="77777777">
        <w:trPr>
          <w:cantSplit/>
          <w:jc w:val="center"/>
        </w:trPr>
        <w:tc>
          <w:tcPr>
            <w:tcW w:w="1778" w:type="dxa"/>
            <w:vAlign w:val="center"/>
          </w:tcPr>
          <w:p w14:paraId="0555F4D7" w14:textId="77777777" w:rsidR="002C0540" w:rsidRDefault="00FE1083">
            <w:pPr>
              <w:pStyle w:val="TableText"/>
              <w:jc w:val="center"/>
            </w:pPr>
            <w:r>
              <w:t>P</w:t>
            </w:r>
          </w:p>
        </w:tc>
        <w:tc>
          <w:tcPr>
            <w:tcW w:w="3557" w:type="dxa"/>
            <w:vAlign w:val="center"/>
          </w:tcPr>
          <w:p w14:paraId="4D9E89F6" w14:textId="77777777" w:rsidR="002C0540" w:rsidRDefault="00FE1083">
            <w:pPr>
              <w:pStyle w:val="TableText"/>
            </w:pPr>
            <w:r>
              <w:t>禁止准入</w:t>
            </w:r>
          </w:p>
        </w:tc>
        <w:tc>
          <w:tcPr>
            <w:tcW w:w="4025" w:type="dxa"/>
            <w:vAlign w:val="center"/>
          </w:tcPr>
          <w:p w14:paraId="561F8280" w14:textId="77777777" w:rsidR="002C0540" w:rsidRDefault="00FE1083">
            <w:pPr>
              <w:pStyle w:val="TableText"/>
            </w:pPr>
            <w:r>
              <w:t>明确禁止为</w:t>
            </w:r>
            <w:r>
              <w:t xml:space="preserve">1 </w:t>
            </w:r>
            <w:r>
              <w:t>允许为</w:t>
            </w:r>
            <w:r>
              <w:t>0</w:t>
            </w:r>
          </w:p>
        </w:tc>
      </w:tr>
      <w:tr w:rsidR="002C0540" w14:paraId="5A4CD236" w14:textId="77777777">
        <w:trPr>
          <w:cantSplit/>
          <w:jc w:val="center"/>
        </w:trPr>
        <w:tc>
          <w:tcPr>
            <w:tcW w:w="1778" w:type="dxa"/>
            <w:vAlign w:val="center"/>
          </w:tcPr>
          <w:p w14:paraId="16E5F24E" w14:textId="77777777" w:rsidR="002C0540" w:rsidRDefault="00FE1083">
            <w:pPr>
              <w:pStyle w:val="TableText"/>
              <w:jc w:val="center"/>
            </w:pPr>
            <w:r>
              <w:t>E</w:t>
            </w:r>
          </w:p>
        </w:tc>
        <w:tc>
          <w:tcPr>
            <w:tcW w:w="3557" w:type="dxa"/>
            <w:vAlign w:val="center"/>
          </w:tcPr>
          <w:p w14:paraId="0E8D61AC" w14:textId="77777777" w:rsidR="002C0540" w:rsidRDefault="00FE1083">
            <w:pPr>
              <w:pStyle w:val="TableText"/>
            </w:pPr>
            <w:r>
              <w:t>明确数值股比限制</w:t>
            </w:r>
          </w:p>
        </w:tc>
        <w:tc>
          <w:tcPr>
            <w:tcW w:w="4025" w:type="dxa"/>
            <w:vAlign w:val="center"/>
          </w:tcPr>
          <w:p w14:paraId="60E8B3F6" w14:textId="77777777" w:rsidR="002C0540" w:rsidRDefault="00FE1083">
            <w:pPr>
              <w:pStyle w:val="TableText"/>
              <w:rPr>
                <w:lang w:eastAsia="zh-CN"/>
              </w:rPr>
            </w:pPr>
            <w:r>
              <w:rPr>
                <w:lang w:eastAsia="zh-CN"/>
              </w:rPr>
              <w:t>有明确上限时为</w:t>
            </w:r>
            <w:r>
              <w:rPr>
                <w:lang w:eastAsia="zh-CN"/>
              </w:rPr>
              <w:t>1</w:t>
            </w:r>
            <w:r>
              <w:rPr>
                <w:lang w:eastAsia="zh-CN"/>
              </w:rPr>
              <w:t>减上限</w:t>
            </w:r>
            <w:r>
              <w:rPr>
                <w:lang w:eastAsia="zh-CN"/>
              </w:rPr>
              <w:t xml:space="preserve"> </w:t>
            </w:r>
            <w:r>
              <w:rPr>
                <w:lang w:eastAsia="zh-CN"/>
              </w:rPr>
              <w:t>无此类数值要求经核实为</w:t>
            </w:r>
            <w:r>
              <w:rPr>
                <w:lang w:eastAsia="zh-CN"/>
              </w:rPr>
              <w:t>0</w:t>
            </w:r>
          </w:p>
        </w:tc>
      </w:tr>
      <w:tr w:rsidR="002C0540" w14:paraId="7C638A7C" w14:textId="77777777">
        <w:trPr>
          <w:cantSplit/>
          <w:jc w:val="center"/>
        </w:trPr>
        <w:tc>
          <w:tcPr>
            <w:tcW w:w="1778" w:type="dxa"/>
            <w:vAlign w:val="center"/>
          </w:tcPr>
          <w:p w14:paraId="50294665" w14:textId="77777777" w:rsidR="002C0540" w:rsidRDefault="00FE1083">
            <w:pPr>
              <w:pStyle w:val="TableText"/>
              <w:jc w:val="center"/>
            </w:pPr>
            <w:r>
              <w:t>C</w:t>
            </w:r>
          </w:p>
        </w:tc>
        <w:tc>
          <w:tcPr>
            <w:tcW w:w="3557" w:type="dxa"/>
            <w:vAlign w:val="center"/>
          </w:tcPr>
          <w:p w14:paraId="5A7E764B" w14:textId="77777777" w:rsidR="002C0540" w:rsidRDefault="00FE1083">
            <w:pPr>
              <w:pStyle w:val="TableText"/>
            </w:pPr>
            <w:r>
              <w:t>中方控制要求</w:t>
            </w:r>
          </w:p>
        </w:tc>
        <w:tc>
          <w:tcPr>
            <w:tcW w:w="4025" w:type="dxa"/>
            <w:vAlign w:val="center"/>
          </w:tcPr>
          <w:p w14:paraId="408D00C6" w14:textId="77777777" w:rsidR="002C0540" w:rsidRDefault="00FE1083">
            <w:pPr>
              <w:pStyle w:val="TableText"/>
              <w:rPr>
                <w:lang w:eastAsia="zh-CN"/>
              </w:rPr>
            </w:pPr>
            <w:r>
              <w:rPr>
                <w:lang w:eastAsia="zh-CN"/>
              </w:rPr>
              <w:t>控股</w:t>
            </w:r>
            <w:r>
              <w:rPr>
                <w:lang w:eastAsia="zh-CN"/>
              </w:rPr>
              <w:t xml:space="preserve"> </w:t>
            </w:r>
            <w:r>
              <w:rPr>
                <w:lang w:eastAsia="zh-CN"/>
              </w:rPr>
              <w:t>相对控股</w:t>
            </w:r>
            <w:r>
              <w:rPr>
                <w:lang w:eastAsia="zh-CN"/>
              </w:rPr>
              <w:t xml:space="preserve"> </w:t>
            </w:r>
            <w:r>
              <w:rPr>
                <w:lang w:eastAsia="zh-CN"/>
              </w:rPr>
              <w:t>主导等要求为</w:t>
            </w:r>
            <w:r>
              <w:rPr>
                <w:lang w:eastAsia="zh-CN"/>
              </w:rPr>
              <w:t>1</w:t>
            </w:r>
          </w:p>
        </w:tc>
      </w:tr>
      <w:tr w:rsidR="002C0540" w14:paraId="5B6231AA" w14:textId="77777777">
        <w:trPr>
          <w:cantSplit/>
          <w:jc w:val="center"/>
        </w:trPr>
        <w:tc>
          <w:tcPr>
            <w:tcW w:w="1778" w:type="dxa"/>
            <w:vAlign w:val="center"/>
          </w:tcPr>
          <w:p w14:paraId="11C4C018" w14:textId="77777777" w:rsidR="002C0540" w:rsidRDefault="00FE1083">
            <w:pPr>
              <w:pStyle w:val="TableText"/>
              <w:jc w:val="center"/>
            </w:pPr>
            <w:r>
              <w:t>O</w:t>
            </w:r>
          </w:p>
        </w:tc>
        <w:tc>
          <w:tcPr>
            <w:tcW w:w="3557" w:type="dxa"/>
            <w:vAlign w:val="center"/>
          </w:tcPr>
          <w:p w14:paraId="440A14BD" w14:textId="77777777" w:rsidR="002C0540" w:rsidRDefault="00FE1083">
            <w:pPr>
              <w:pStyle w:val="TableText"/>
            </w:pPr>
            <w:r>
              <w:t>组织形式限制</w:t>
            </w:r>
          </w:p>
        </w:tc>
        <w:tc>
          <w:tcPr>
            <w:tcW w:w="4025" w:type="dxa"/>
            <w:vAlign w:val="center"/>
          </w:tcPr>
          <w:p w14:paraId="51CA5D18" w14:textId="77777777" w:rsidR="002C0540" w:rsidRDefault="00FE1083">
            <w:pPr>
              <w:pStyle w:val="TableText"/>
              <w:rPr>
                <w:lang w:eastAsia="zh-CN"/>
              </w:rPr>
            </w:pPr>
            <w:r>
              <w:rPr>
                <w:lang w:eastAsia="zh-CN"/>
              </w:rPr>
              <w:t>必须合资</w:t>
            </w:r>
            <w:r>
              <w:rPr>
                <w:lang w:eastAsia="zh-CN"/>
              </w:rPr>
              <w:t xml:space="preserve"> </w:t>
            </w:r>
            <w:r>
              <w:rPr>
                <w:lang w:eastAsia="zh-CN"/>
              </w:rPr>
              <w:t>合作等特定形式为</w:t>
            </w:r>
            <w:r>
              <w:rPr>
                <w:lang w:eastAsia="zh-CN"/>
              </w:rPr>
              <w:t>1</w:t>
            </w:r>
          </w:p>
        </w:tc>
      </w:tr>
      <w:tr w:rsidR="002C0540" w14:paraId="77EE6ABC" w14:textId="77777777">
        <w:trPr>
          <w:cantSplit/>
          <w:jc w:val="center"/>
        </w:trPr>
        <w:tc>
          <w:tcPr>
            <w:tcW w:w="1778" w:type="dxa"/>
            <w:vAlign w:val="center"/>
          </w:tcPr>
          <w:p w14:paraId="61183FB1" w14:textId="77777777" w:rsidR="002C0540" w:rsidRDefault="00FE1083">
            <w:pPr>
              <w:pStyle w:val="TableText"/>
              <w:jc w:val="center"/>
            </w:pPr>
            <w:r>
              <w:t>G</w:t>
            </w:r>
          </w:p>
        </w:tc>
        <w:tc>
          <w:tcPr>
            <w:tcW w:w="3557" w:type="dxa"/>
            <w:vAlign w:val="center"/>
          </w:tcPr>
          <w:p w14:paraId="7A504995" w14:textId="77777777" w:rsidR="002C0540" w:rsidRDefault="00FE1083">
            <w:pPr>
              <w:pStyle w:val="TableText"/>
            </w:pPr>
            <w:r>
              <w:t>治理限制</w:t>
            </w:r>
          </w:p>
        </w:tc>
        <w:tc>
          <w:tcPr>
            <w:tcW w:w="4025" w:type="dxa"/>
            <w:vAlign w:val="center"/>
          </w:tcPr>
          <w:p w14:paraId="7523C2A0" w14:textId="77777777" w:rsidR="002C0540" w:rsidRDefault="00FE1083">
            <w:pPr>
              <w:pStyle w:val="TableText"/>
              <w:rPr>
                <w:lang w:eastAsia="zh-CN"/>
              </w:rPr>
            </w:pPr>
            <w:r>
              <w:rPr>
                <w:lang w:eastAsia="zh-CN"/>
              </w:rPr>
              <w:t>董事会</w:t>
            </w:r>
            <w:r>
              <w:rPr>
                <w:lang w:eastAsia="zh-CN"/>
              </w:rPr>
              <w:t xml:space="preserve"> </w:t>
            </w:r>
            <w:r>
              <w:rPr>
                <w:lang w:eastAsia="zh-CN"/>
              </w:rPr>
              <w:t>高管</w:t>
            </w:r>
            <w:r>
              <w:rPr>
                <w:lang w:eastAsia="zh-CN"/>
              </w:rPr>
              <w:t xml:space="preserve"> </w:t>
            </w:r>
            <w:r>
              <w:rPr>
                <w:lang w:eastAsia="zh-CN"/>
              </w:rPr>
              <w:t>法定代表人等中方要求为</w:t>
            </w:r>
            <w:r>
              <w:rPr>
                <w:lang w:eastAsia="zh-CN"/>
              </w:rPr>
              <w:t>1</w:t>
            </w:r>
          </w:p>
        </w:tc>
      </w:tr>
      <w:tr w:rsidR="002C0540" w14:paraId="30761E24" w14:textId="77777777">
        <w:trPr>
          <w:cantSplit/>
          <w:jc w:val="center"/>
        </w:trPr>
        <w:tc>
          <w:tcPr>
            <w:tcW w:w="1778" w:type="dxa"/>
            <w:vAlign w:val="center"/>
          </w:tcPr>
          <w:p w14:paraId="10819CD2" w14:textId="77777777" w:rsidR="002C0540" w:rsidRDefault="00FE1083">
            <w:pPr>
              <w:pStyle w:val="TableText"/>
              <w:jc w:val="center"/>
            </w:pPr>
            <w:r>
              <w:t>R</w:t>
            </w:r>
          </w:p>
        </w:tc>
        <w:tc>
          <w:tcPr>
            <w:tcW w:w="3557" w:type="dxa"/>
            <w:vAlign w:val="center"/>
          </w:tcPr>
          <w:p w14:paraId="5769D4C4" w14:textId="77777777" w:rsidR="002C0540" w:rsidRDefault="00FE1083">
            <w:pPr>
              <w:pStyle w:val="TableText"/>
            </w:pPr>
            <w:r>
              <w:t>其他有限准入限制</w:t>
            </w:r>
          </w:p>
        </w:tc>
        <w:tc>
          <w:tcPr>
            <w:tcW w:w="4025" w:type="dxa"/>
            <w:vAlign w:val="center"/>
          </w:tcPr>
          <w:p w14:paraId="1214510D" w14:textId="77777777" w:rsidR="002C0540" w:rsidRDefault="00FE1083">
            <w:pPr>
              <w:pStyle w:val="TableText"/>
              <w:rPr>
                <w:lang w:eastAsia="zh-CN"/>
              </w:rPr>
            </w:pPr>
            <w:r>
              <w:rPr>
                <w:lang w:eastAsia="zh-CN"/>
              </w:rPr>
              <w:t>数量</w:t>
            </w:r>
            <w:r>
              <w:rPr>
                <w:lang w:eastAsia="zh-CN"/>
              </w:rPr>
              <w:t xml:space="preserve"> </w:t>
            </w:r>
            <w:r>
              <w:rPr>
                <w:lang w:eastAsia="zh-CN"/>
              </w:rPr>
              <w:t>业务</w:t>
            </w:r>
            <w:r>
              <w:rPr>
                <w:lang w:eastAsia="zh-CN"/>
              </w:rPr>
              <w:t xml:space="preserve"> </w:t>
            </w:r>
            <w:r>
              <w:rPr>
                <w:lang w:eastAsia="zh-CN"/>
              </w:rPr>
              <w:t>地域</w:t>
            </w:r>
            <w:r>
              <w:rPr>
                <w:lang w:eastAsia="zh-CN"/>
              </w:rPr>
              <w:t xml:space="preserve"> </w:t>
            </w:r>
            <w:r>
              <w:rPr>
                <w:lang w:eastAsia="zh-CN"/>
              </w:rPr>
              <w:t>单一外商股比等要求分子类记录</w:t>
            </w:r>
          </w:p>
        </w:tc>
      </w:tr>
    </w:tbl>
    <w:p w14:paraId="3E6F0A51" w14:textId="77777777" w:rsidR="002C0540" w:rsidRDefault="002C0540">
      <w:pPr>
        <w:spacing w:after="40" w:line="84" w:lineRule="auto"/>
        <w:rPr>
          <w:lang w:eastAsia="zh-CN"/>
        </w:rPr>
      </w:pPr>
    </w:p>
    <w:p w14:paraId="44EBAAF4" w14:textId="77777777" w:rsidR="002C0540" w:rsidRDefault="00FE1083">
      <w:pPr>
        <w:rPr>
          <w:lang w:eastAsia="zh-CN"/>
        </w:rPr>
      </w:pPr>
      <w:r>
        <w:rPr>
          <w:lang w:eastAsia="zh-CN"/>
        </w:rPr>
        <w:t>六个维度的零值都表示相应限制经核实不存在，而非整个活动没有监管。其他限制保留子类，避免将经济含义不同的要求仅凭一个总二元变量解释为同样强度。禁止状态下不依赖其余维度识别有限限制的独立效应。</w:t>
      </w:r>
    </w:p>
    <w:p w14:paraId="200A3134" w14:textId="77777777" w:rsidR="002C0540" w:rsidRDefault="00FE1083">
      <w:pPr>
        <w:pStyle w:val="21"/>
        <w:rPr>
          <w:lang w:eastAsia="zh-CN"/>
        </w:rPr>
      </w:pPr>
      <w:r>
        <w:rPr>
          <w:lang w:eastAsia="zh-CN"/>
        </w:rPr>
        <w:t>删除条目与未匹配记录</w:t>
      </w:r>
    </w:p>
    <w:p w14:paraId="420E5435" w14:textId="77777777" w:rsidR="002C0540" w:rsidRDefault="00FE1083">
      <w:pPr>
        <w:rPr>
          <w:lang w:eastAsia="zh-CN"/>
        </w:rPr>
      </w:pPr>
      <w:r>
        <w:rPr>
          <w:lang w:eastAsia="zh-CN"/>
        </w:rPr>
        <w:t>原条文删除后，核查是否真正解除该活动的相应限制，还是改名、合并、转移或保留特殊适用条件。确认解除时，在同一</w:t>
      </w:r>
      <w:r>
        <w:rPr>
          <w:lang w:eastAsia="zh-CN"/>
        </w:rPr>
        <w:t xml:space="preserve"> </w:t>
      </w:r>
      <w:r>
        <w:rPr>
          <w:rFonts w:ascii="Consolas" w:hAnsi="Consolas"/>
          <w:sz w:val="21"/>
          <w:lang w:eastAsia="zh-CN"/>
        </w:rPr>
        <w:t>activity_id</w:t>
      </w:r>
      <w:r>
        <w:rPr>
          <w:lang w:eastAsia="zh-CN"/>
        </w:rPr>
        <w:t xml:space="preserve"> </w:t>
      </w:r>
      <w:r>
        <w:rPr>
          <w:lang w:eastAsia="zh-CN"/>
        </w:rPr>
        <w:t>下将该维度更新为</w:t>
      </w:r>
      <w:r>
        <w:rPr>
          <w:lang w:eastAsia="zh-CN"/>
        </w:rPr>
        <w:t>0</w:t>
      </w:r>
      <w:r>
        <w:rPr>
          <w:lang w:eastAsia="zh-CN"/>
        </w:rPr>
        <w:t>，并保存解除依据；确</w:t>
      </w:r>
      <w:r>
        <w:rPr>
          <w:lang w:eastAsia="zh-CN"/>
        </w:rPr>
        <w:lastRenderedPageBreak/>
        <w:t>认仍有要求时按现行条文编码；未查明时保留缺失。长期未列入清单但法律状态已核实的活动可以作为无对应限制状态，语义匹配失败不能据此赋零。</w:t>
      </w:r>
    </w:p>
    <w:p w14:paraId="3AC1578F" w14:textId="77777777" w:rsidR="002C0540" w:rsidRDefault="00FE1083">
      <w:pPr>
        <w:rPr>
          <w:lang w:eastAsia="zh-CN"/>
        </w:rPr>
      </w:pPr>
      <w:r>
        <w:rPr>
          <w:lang w:eastAsia="zh-CN"/>
        </w:rPr>
        <w:t>政策状态台账至少区分已列入受限、已核实无对应特别限制、已取消原限制、适用范围不明及未匹配。计算限制变量时将法律结论与匹配置信度分开保存。不得为了增加回归样本，将未知值替换为无约束。</w:t>
      </w:r>
    </w:p>
    <w:p w14:paraId="2648EEC7" w14:textId="77777777" w:rsidR="002C0540" w:rsidRDefault="00FE1083">
      <w:pPr>
        <w:pStyle w:val="21"/>
        <w:rPr>
          <w:lang w:eastAsia="zh-CN"/>
        </w:rPr>
      </w:pPr>
      <w:r>
        <w:rPr>
          <w:lang w:eastAsia="zh-CN"/>
        </w:rPr>
        <w:t>分类转换与文本匹配</w:t>
      </w:r>
    </w:p>
    <w:p w14:paraId="56FD1C5D" w14:textId="77777777" w:rsidR="002C0540" w:rsidRDefault="00FE1083">
      <w:pPr>
        <w:rPr>
          <w:lang w:eastAsia="zh-CN"/>
        </w:rPr>
      </w:pPr>
      <w:r>
        <w:rPr>
          <w:lang w:eastAsia="zh-CN"/>
        </w:rPr>
        <w:t>活动原文、例外与行业分类说明用于构造</w:t>
      </w:r>
      <w:r>
        <w:rPr>
          <w:lang w:eastAsia="zh-CN"/>
        </w:rPr>
        <w:t>GB/T 4754</w:t>
      </w:r>
      <w:r>
        <w:rPr>
          <w:lang w:eastAsia="zh-CN"/>
        </w:rPr>
        <w:t>四位代码候选。跨分类版本保留对应关系；向</w:t>
      </w:r>
      <w:r>
        <w:rPr>
          <w:lang w:eastAsia="zh-CN"/>
        </w:rPr>
        <w:t>ISIC Rev.4</w:t>
      </w:r>
      <w:r>
        <w:rPr>
          <w:lang w:eastAsia="zh-CN"/>
        </w:rPr>
        <w:t>的转换用于统一行业与限定候选，一对多关系不强行唯一化。覆盖小类内部分活动时记录</w:t>
      </w:r>
      <w:r>
        <w:rPr>
          <w:lang w:eastAsia="zh-CN"/>
        </w:rPr>
        <w:t>partial</w:t>
      </w:r>
      <w:r>
        <w:rPr>
          <w:lang w:eastAsia="zh-CN"/>
        </w:rPr>
        <w:t>，不把整个小类企业自动视为受限。</w:t>
      </w:r>
    </w:p>
    <w:p w14:paraId="4735EDFB" w14:textId="77777777" w:rsidR="002C0540" w:rsidRDefault="00FE1083">
      <w:pPr>
        <w:rPr>
          <w:lang w:eastAsia="zh-CN"/>
        </w:rPr>
      </w:pPr>
      <w:r>
        <w:rPr>
          <w:lang w:eastAsia="zh-CN"/>
        </w:rPr>
        <w:t>文本匹配基于活动描述、企业产品或业务描述及可核验行业信息，给出候选与语义相似度。模型和阈值由独立人工核验样本确定，再冻结用于主规格；不依据回归符号或显著性选择阈值。前两名相近、存在多个合理适用条款或范围不明时进行人工判断。限制向量来自活动全部适用规则，不仅从最相似的一条规则取值。</w:t>
      </w:r>
    </w:p>
    <w:p w14:paraId="7AF799FC" w14:textId="77777777" w:rsidR="002C0540" w:rsidRDefault="00FE1083">
      <w:pPr>
        <w:rPr>
          <w:lang w:eastAsia="zh-CN"/>
        </w:rPr>
      </w:pPr>
      <w:r>
        <w:rPr>
          <w:lang w:eastAsia="zh-CN"/>
        </w:rPr>
        <w:t>LLM</w:t>
      </w:r>
      <w:r>
        <w:rPr>
          <w:lang w:eastAsia="zh-CN"/>
        </w:rPr>
        <w:t>负责辅助抽取法律要求、候选活动和证据位置，不直接赋予经济成本权重。保留模型版本、提示词、调用参数、原始结果与人工修改。核验样本包含随机抽样和困难案例，分别报告总体及分层精确率、召回率和</w:t>
      </w:r>
      <w:r>
        <w:rPr>
          <w:lang w:eastAsia="zh-CN"/>
        </w:rPr>
        <w:t>F1</w:t>
      </w:r>
      <w:r>
        <w:rPr>
          <w:lang w:eastAsia="zh-CN"/>
        </w:rPr>
        <w:t>；双模型一致性只衡量稳定性，不替代相对于人工标准的准确性。</w:t>
      </w:r>
    </w:p>
    <w:p w14:paraId="07DB56A8" w14:textId="77777777" w:rsidR="002C0540" w:rsidRDefault="00FE1083">
      <w:pPr>
        <w:pStyle w:val="1"/>
        <w:rPr>
          <w:lang w:eastAsia="zh-CN"/>
        </w:rPr>
      </w:pPr>
      <w:r>
        <w:rPr>
          <w:lang w:eastAsia="zh-CN"/>
        </w:rPr>
        <w:t xml:space="preserve">A3 </w:t>
      </w:r>
      <w:r>
        <w:rPr>
          <w:lang w:eastAsia="zh-CN"/>
        </w:rPr>
        <w:t>企业活动与实际生产指标</w:t>
      </w:r>
    </w:p>
    <w:p w14:paraId="0498131F" w14:textId="77777777" w:rsidR="002C0540" w:rsidRDefault="00FE1083">
      <w:pPr>
        <w:pStyle w:val="21"/>
        <w:rPr>
          <w:lang w:eastAsia="zh-CN"/>
        </w:rPr>
      </w:pPr>
      <w:r>
        <w:rPr>
          <w:lang w:eastAsia="zh-CN"/>
        </w:rPr>
        <w:t>稳定活动单元与生产价值</w:t>
      </w:r>
    </w:p>
    <w:p w14:paraId="5922468E" w14:textId="77777777" w:rsidR="002C0540" w:rsidRDefault="00FE1083">
      <w:pPr>
        <w:rPr>
          <w:lang w:eastAsia="zh-CN"/>
        </w:rPr>
      </w:pPr>
      <w:r>
        <w:rPr>
          <w:lang w:eastAsia="zh-CN"/>
        </w:rPr>
        <w:t>企业记录归入跨年稳定的经济活动</w:t>
      </w:r>
      <w:r>
        <w:rPr>
          <w:lang w:eastAsia="zh-CN"/>
        </w:rPr>
        <w:t xml:space="preserve"> </w:t>
      </w:r>
      <m:oMath>
        <m:r>
          <w:rPr>
            <w:rFonts w:ascii="Cambria Math" w:hAnsi="Cambria Math"/>
            <w:lang w:eastAsia="zh-CN"/>
          </w:rPr>
          <m:t>u</m:t>
        </m:r>
      </m:oMath>
      <w:r>
        <w:rPr>
          <w:lang w:eastAsia="zh-CN"/>
        </w:rPr>
        <w:t>、政策适用地区</w:t>
      </w:r>
      <w:r>
        <w:rPr>
          <w:lang w:eastAsia="zh-CN"/>
        </w:rPr>
        <w:t xml:space="preserve"> </w:t>
      </w:r>
      <m:oMath>
        <m:r>
          <w:rPr>
            <w:rFonts w:ascii="Cambria Math" w:hAnsi="Cambria Math"/>
            <w:lang w:eastAsia="zh-CN"/>
          </w:rPr>
          <m:t>r</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多业务企业按各活动的真实生产记录分拆，活动分类保持可比，企业的产品组合可以变化。以最终控制主体所在地判定外国控制；控制权变化、企业进入退出和产出扩张均进入当期统计。基期暴露不按改革后的经营结果倒推，也不能将同一企业总产出重复计入多个活动。</w:t>
      </w:r>
    </w:p>
    <w:p w14:paraId="12F99B91" w14:textId="77777777" w:rsidR="002C0540" w:rsidRDefault="00FE1083">
      <w:pPr>
        <w:rPr>
          <w:lang w:eastAsia="zh-CN"/>
        </w:rPr>
      </w:pPr>
      <w:r>
        <w:rPr>
          <w:lang w:eastAsia="zh-CN"/>
        </w:rPr>
        <w:t>令</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furt</m:t>
            </m:r>
          </m:sub>
        </m:sSub>
      </m:oMath>
      <w:r>
        <w:rPr>
          <w:lang w:eastAsia="zh-CN"/>
        </w:rPr>
        <w:t xml:space="preserve"> </w:t>
      </w:r>
      <w:r>
        <w:rPr>
          <w:lang w:eastAsia="zh-CN"/>
        </w:rPr>
        <w:t>为企业在活动</w:t>
      </w:r>
      <w:r>
        <w:rPr>
          <w:lang w:eastAsia="zh-CN"/>
        </w:rPr>
        <w:t xml:space="preserve"> </w:t>
      </w:r>
      <m:oMath>
        <m:r>
          <w:rPr>
            <w:rFonts w:ascii="Cambria Math" w:hAnsi="Cambria Math"/>
            <w:lang w:eastAsia="zh-CN"/>
          </w:rPr>
          <m:t>u</m:t>
        </m:r>
      </m:oMath>
      <w:r>
        <w:rPr>
          <w:lang w:eastAsia="zh-CN"/>
        </w:rPr>
        <w:t>、生产地区</w:t>
      </w:r>
      <w:r>
        <w:rPr>
          <w:lang w:eastAsia="zh-CN"/>
        </w:rPr>
        <w:t xml:space="preserve"> </w:t>
      </w:r>
      <m:oMath>
        <m:r>
          <w:rPr>
            <w:rFonts w:ascii="Cambria Math" w:hAnsi="Cambria Math"/>
            <w:lang w:eastAsia="zh-CN"/>
          </w:rPr>
          <m:t>r</m:t>
        </m:r>
      </m:oMath>
      <w:r>
        <w:rPr>
          <w:lang w:eastAsia="zh-CN"/>
        </w:rPr>
        <w:t xml:space="preserve"> </w:t>
      </w:r>
      <w:r>
        <w:rPr>
          <w:lang w:eastAsia="zh-CN"/>
        </w:rPr>
        <w:t>的生产价值，币种、估值价格、总产出及销售目的地覆盖与结构模型一致。企业销售额只有经过库存和转售等口径核对后才可替代生产价值。产出按企业所在地而非母国统计；</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 xml:space="preserve"> </w:t>
      </w:r>
      <w:r>
        <w:rPr>
          <w:lang w:eastAsia="zh-CN"/>
        </w:rPr>
        <w:t>为外国控制指示变量，国内控制是其可核验的互补</w:t>
      </w:r>
      <w:r>
        <w:rPr>
          <w:lang w:eastAsia="zh-CN"/>
        </w:rPr>
        <w:lastRenderedPageBreak/>
        <w:t>状态，最终控制信息缺失的企业另行报告覆盖，不自动归入国内。外国与国内控制企业的活动产出及部门份额分别定义。活动产出为：</w:t>
      </w:r>
    </w:p>
    <w:p w14:paraId="0CD1C552" w14:textId="77777777" w:rsidR="002C0540" w:rsidRDefault="00FE1083">
      <w:pPr>
        <w:pStyle w:val="Equation"/>
        <w:rPr>
          <w:lang w:eastAsia="zh-CN"/>
        </w:rPr>
      </w:pPr>
      <w:r>
        <w:rPr>
          <w:lang w:eastAsia="zh-CN"/>
        </w:rPr>
        <w:tab/>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urt</m:t>
            </m:r>
          </m:sub>
        </m:sSub>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f</m:t>
            </m:r>
          </m:sub>
          <m:sup/>
          <m:e>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e>
        </m:nary>
        <m:sSub>
          <m:sSubPr>
            <m:ctrlPr>
              <w:rPr>
                <w:rFonts w:ascii="Cambria Math" w:hAnsi="Cambria Math"/>
              </w:rPr>
            </m:ctrlPr>
          </m:sSubPr>
          <m:e>
            <m:r>
              <w:rPr>
                <w:rFonts w:ascii="Cambria Math" w:hAnsi="Cambria Math"/>
                <w:lang w:eastAsia="zh-CN"/>
              </w:rPr>
              <m:t>Q</m:t>
            </m:r>
          </m:e>
          <m:sub>
            <m:r>
              <w:rPr>
                <w:rFonts w:ascii="Cambria Math" w:hAnsi="Cambria Math"/>
                <w:lang w:eastAsia="zh-CN"/>
              </w:rPr>
              <m:t>furt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urt</m:t>
            </m:r>
          </m:sub>
        </m:sSub>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f</m:t>
            </m:r>
          </m:sub>
          <m:sup/>
          <m:e>
            <m:r>
              <w:rPr>
                <w:rFonts w:ascii="Cambria Math" w:hAnsi="Cambria Math"/>
                <w:lang w:eastAsia="zh-CN"/>
              </w:rPr>
              <m:t>(1-</m:t>
            </m:r>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furt</m:t>
            </m:r>
          </m:sub>
        </m:sSub>
        <m:r>
          <w:rPr>
            <w:rFonts w:ascii="Cambria Math" w:hAnsi="Cambria Math"/>
            <w:lang w:eastAsia="zh-CN"/>
          </w:rPr>
          <m:t>.</m:t>
        </m:r>
      </m:oMath>
      <w:r>
        <w:rPr>
          <w:lang w:eastAsia="zh-CN"/>
        </w:rPr>
        <w:tab/>
        <w:t>(3)</w:t>
      </w:r>
    </w:p>
    <w:p w14:paraId="668BA4BE" w14:textId="77777777" w:rsidR="002C0540" w:rsidRDefault="00FE1083">
      <w:pPr>
        <w:rPr>
          <w:lang w:eastAsia="zh-CN"/>
        </w:rPr>
      </w:pPr>
      <w:r>
        <w:rPr>
          <w:lang w:eastAsia="zh-CN"/>
        </w:rPr>
        <w:t>部门观测份额为：</w:t>
      </w:r>
    </w:p>
    <w:p w14:paraId="163BF195" w14:textId="77777777" w:rsidR="002C0540" w:rsidRDefault="00FE1083">
      <w:pPr>
        <w:pStyle w:val="Equation"/>
        <w:rPr>
          <w:lang w:eastAsia="zh-CN"/>
        </w:rPr>
      </w:pPr>
      <w:r>
        <w:rPr>
          <w:lang w:eastAsia="zh-CN"/>
        </w:rPr>
        <w:tab/>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obs</m:t>
            </m:r>
          </m:sup>
        </m:sSubSup>
        <m:r>
          <w:rPr>
            <w:rFonts w:ascii="Cambria Math" w:hAnsi="Cambria Math"/>
            <w:lang w:eastAsia="zh-CN"/>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lang w:eastAsia="zh-CN"/>
                  </w:rPr>
                  <m:t>u</m:t>
                </m:r>
                <m:r>
                  <w:rPr>
                    <w:rFonts w:ascii="Cambria Math" w:hAnsi="Cambria Math"/>
                    <w:lang w:eastAsia="zh-CN"/>
                  </w:rPr>
                  <m:t>∈</m:t>
                </m:r>
                <m:r>
                  <w:rPr>
                    <w:rFonts w:ascii="Cambria Math" w:hAnsi="Cambria Math"/>
                    <w:lang w:eastAsia="zh-CN"/>
                  </w:rPr>
                  <m:t>j</m:t>
                </m:r>
                <m:r>
                  <w:rPr>
                    <w:rFonts w:ascii="Cambria Math" w:hAnsi="Cambria Math"/>
                    <w:lang w:eastAsia="zh-CN"/>
                  </w:rPr>
                  <m:t>,</m:t>
                </m:r>
                <m:r>
                  <w:rPr>
                    <w:rFonts w:ascii="Cambria Math" w:hAnsi="Cambria Math"/>
                    <w:lang w:eastAsia="zh-CN"/>
                  </w:rPr>
                  <m:t>r</m:t>
                </m:r>
              </m:sub>
              <m:sup/>
              <m:e>
                <m:sSub>
                  <m:sSubPr>
                    <m:ctrlPr>
                      <w:rPr>
                        <w:rFonts w:ascii="Cambria Math" w:hAnsi="Cambria Math"/>
                      </w:rPr>
                    </m:ctrlPr>
                  </m:sSubPr>
                  <m:e>
                    <m:r>
                      <w:rPr>
                        <w:rFonts w:ascii="Cambria Math" w:hAnsi="Cambria Math"/>
                        <w:lang w:eastAsia="zh-CN"/>
                      </w:rPr>
                      <m:t>F</m:t>
                    </m:r>
                  </m:e>
                  <m:sub>
                    <m:r>
                      <w:rPr>
                        <w:rFonts w:ascii="Cambria Math" w:hAnsi="Cambria Math"/>
                        <w:lang w:eastAsia="zh-CN"/>
                      </w:rPr>
                      <m:t>urt</m:t>
                    </m:r>
                  </m:sub>
                </m:sSub>
              </m:e>
            </m:nary>
          </m:num>
          <m:den>
            <m:nary>
              <m:naryPr>
                <m:chr m:val="∑"/>
                <m:limLoc m:val="undOvr"/>
                <m:grow m:val="1"/>
                <m:supHide m:val="1"/>
                <m:ctrlPr>
                  <w:rPr>
                    <w:rFonts w:ascii="Cambria Math" w:hAnsi="Cambria Math"/>
                  </w:rPr>
                </m:ctrlPr>
              </m:naryPr>
              <m:sub>
                <m:r>
                  <w:rPr>
                    <w:rFonts w:ascii="Cambria Math" w:hAnsi="Cambria Math"/>
                    <w:lang w:eastAsia="zh-CN"/>
                  </w:rPr>
                  <m:t>u</m:t>
                </m:r>
                <m:r>
                  <w:rPr>
                    <w:rFonts w:ascii="Cambria Math" w:hAnsi="Cambria Math"/>
                    <w:lang w:eastAsia="zh-CN"/>
                  </w:rPr>
                  <m:t>∈</m:t>
                </m:r>
                <m:r>
                  <w:rPr>
                    <w:rFonts w:ascii="Cambria Math" w:hAnsi="Cambria Math"/>
                    <w:lang w:eastAsia="zh-CN"/>
                  </w:rPr>
                  <m:t>j</m:t>
                </m:r>
                <m:r>
                  <w:rPr>
                    <w:rFonts w:ascii="Cambria Math" w:hAnsi="Cambria Math"/>
                    <w:lang w:eastAsia="zh-CN"/>
                  </w:rPr>
                  <m:t>,</m:t>
                </m:r>
                <m:r>
                  <w:rPr>
                    <w:rFonts w:ascii="Cambria Math" w:hAnsi="Cambria Math"/>
                    <w:lang w:eastAsia="zh-CN"/>
                  </w:rPr>
                  <m:t>r</m:t>
                </m:r>
              </m:sub>
              <m:sup/>
              <m:e>
                <m:r>
                  <w:rPr>
                    <w:rFonts w:ascii="Cambria Math" w:hAnsi="Cambria Math"/>
                    <w:lang w:eastAsia="zh-CN"/>
                  </w:rPr>
                  <m:t>(</m:t>
                </m:r>
              </m:e>
            </m:nary>
            <m:sSub>
              <m:sSubPr>
                <m:ctrlPr>
                  <w:rPr>
                    <w:rFonts w:ascii="Cambria Math" w:hAnsi="Cambria Math"/>
                  </w:rPr>
                </m:ctrlPr>
              </m:sSubPr>
              <m:e>
                <m:r>
                  <w:rPr>
                    <w:rFonts w:ascii="Cambria Math" w:hAnsi="Cambria Math"/>
                    <w:lang w:eastAsia="zh-CN"/>
                  </w:rPr>
                  <m:t>F</m:t>
                </m:r>
              </m:e>
              <m:sub>
                <m:r>
                  <w:rPr>
                    <w:rFonts w:ascii="Cambria Math" w:hAnsi="Cambria Math"/>
                    <w:lang w:eastAsia="zh-CN"/>
                  </w:rPr>
                  <m:t>urt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urt</m:t>
                </m:r>
              </m:sub>
            </m:sSub>
            <m:r>
              <w:rPr>
                <w:rFonts w:ascii="Cambria Math" w:hAnsi="Cambria Math"/>
                <w:lang w:eastAsia="zh-CN"/>
              </w:rPr>
              <m:t>)</m:t>
            </m:r>
          </m:den>
        </m:f>
        <m:r>
          <w:rPr>
            <w:rFonts w:ascii="Cambria Math" w:hAnsi="Cambria Math"/>
            <w:lang w:eastAsia="zh-CN"/>
          </w:rPr>
          <m:t>.</m:t>
        </m:r>
      </m:oMath>
      <w:r>
        <w:rPr>
          <w:lang w:eastAsia="zh-CN"/>
        </w:rPr>
        <w:tab/>
        <w:t>(4)</w:t>
      </w:r>
    </w:p>
    <w:p w14:paraId="14AF8B77" w14:textId="77777777" w:rsidR="002C0540" w:rsidRDefault="00FE1083">
      <w:pPr>
        <w:rPr>
          <w:lang w:eastAsia="zh-CN"/>
        </w:rPr>
      </w:pPr>
      <w:r>
        <w:rPr>
          <w:lang w:eastAsia="zh-CN"/>
        </w:rPr>
        <w:t>部门口径始终先加总生产价值，再计算份额；分母为零时份额未定义。式（</w:t>
      </w:r>
      <w:r>
        <w:rPr>
          <w:lang w:eastAsia="zh-CN"/>
        </w:rPr>
        <w:t>4</w:t>
      </w:r>
      <w:r>
        <w:rPr>
          <w:lang w:eastAsia="zh-CN"/>
        </w:rPr>
        <w:t>）是观测份额，包含同期所有变化，本身没有因果含义。固定基期规模加权的外资控制指标保留为所有权变化的辅助结果，不承担结构反演。辅助分析分别报告新进入、退出、控制权转换和持续经营企业的生产变化，用于判断单一生产成本楔子能否解释主要响应。</w:t>
      </w:r>
    </w:p>
    <w:p w14:paraId="2D861FC2" w14:textId="77777777" w:rsidR="002C0540" w:rsidRDefault="00FE1083">
      <w:pPr>
        <w:pStyle w:val="21"/>
        <w:rPr>
          <w:lang w:eastAsia="zh-CN"/>
        </w:rPr>
      </w:pPr>
      <w:r>
        <w:rPr>
          <w:lang w:eastAsia="zh-CN"/>
        </w:rPr>
        <w:t>条件预测与结构目标</w:t>
      </w:r>
    </w:p>
    <w:p w14:paraId="0D7D32EA" w14:textId="77777777" w:rsidR="002C0540" w:rsidRDefault="00FE1083">
      <w:pPr>
        <w:rPr>
          <w:lang w:eastAsia="zh-CN"/>
        </w:rPr>
      </w:pPr>
      <w:r>
        <w:rPr>
          <w:lang w:eastAsia="zh-CN"/>
        </w:rPr>
        <w:t>外国和国内控制企业的产出分别估计，不将国内企业自动视为未受改革影响的对照。利用同一事件样本中的条件均值模型，保持协变量与固定效应相同，仅改变已识别的政策项，并保持比较组及其他改革状态不变，构造有改革</w:t>
      </w:r>
      <w:r>
        <w:rPr>
          <w:lang w:eastAsia="zh-CN"/>
        </w:rPr>
        <w:t xml:space="preserve"> </w:t>
      </w:r>
      <m:oMath>
        <m:r>
          <w:rPr>
            <w:rFonts w:ascii="Cambria Math" w:hAnsi="Cambria Math"/>
            <w:lang w:eastAsia="zh-CN"/>
          </w:rPr>
          <m:t>v</m:t>
        </m:r>
        <m:r>
          <w:rPr>
            <w:rFonts w:ascii="Cambria Math" w:hAnsi="Cambria Math"/>
            <w:lang w:eastAsia="zh-CN"/>
          </w:rPr>
          <m:t>=1</m:t>
        </m:r>
      </m:oMath>
      <w:r>
        <w:rPr>
          <w:lang w:eastAsia="zh-CN"/>
        </w:rPr>
        <w:t xml:space="preserve"> </w:t>
      </w:r>
      <w:r>
        <w:rPr>
          <w:lang w:eastAsia="zh-CN"/>
        </w:rPr>
        <w:t>与无该改革</w:t>
      </w:r>
      <w:r>
        <w:rPr>
          <w:lang w:eastAsia="zh-CN"/>
        </w:rPr>
        <w:t xml:space="preserve"> </w:t>
      </w:r>
      <m:oMath>
        <m:r>
          <w:rPr>
            <w:rFonts w:ascii="Cambria Math" w:hAnsi="Cambria Math"/>
            <w:lang w:eastAsia="zh-CN"/>
          </w:rPr>
          <m:t>v</m:t>
        </m:r>
        <m:r>
          <w:rPr>
            <w:rFonts w:ascii="Cambria Math" w:hAnsi="Cambria Math"/>
            <w:lang w:eastAsia="zh-CN"/>
          </w:rPr>
          <m:t>=0</m:t>
        </m:r>
      </m:oMath>
      <w:r>
        <w:rPr>
          <w:lang w:eastAsia="zh-CN"/>
        </w:rPr>
        <w:t xml:space="preserve"> </w:t>
      </w:r>
      <w:r>
        <w:rPr>
          <w:lang w:eastAsia="zh-CN"/>
        </w:rPr>
        <w:t>的预测。令</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je</m:t>
            </m:r>
          </m:sub>
        </m:sSub>
      </m:oMath>
      <w:r>
        <w:rPr>
          <w:lang w:eastAsia="zh-CN"/>
        </w:rPr>
        <w:t xml:space="preserve"> </w:t>
      </w:r>
      <w:r>
        <w:rPr>
          <w:lang w:eastAsia="zh-CN"/>
        </w:rPr>
        <w:t>为部门</w:t>
      </w:r>
      <w:r>
        <w:rPr>
          <w:lang w:eastAsia="zh-CN"/>
        </w:rPr>
        <w:t xml:space="preserve"> </w:t>
      </w:r>
      <m:oMath>
        <m:r>
          <w:rPr>
            <w:rFonts w:ascii="Cambria Math" w:hAnsi="Cambria Math"/>
            <w:lang w:eastAsia="zh-CN"/>
          </w:rPr>
          <m:t>j</m:t>
        </m:r>
      </m:oMath>
      <w:r>
        <w:rPr>
          <w:lang w:eastAsia="zh-CN"/>
        </w:rPr>
        <w:t xml:space="preserve"> </w:t>
      </w:r>
      <w:r>
        <w:rPr>
          <w:lang w:eastAsia="zh-CN"/>
        </w:rPr>
        <w:t>中实际进入事件</w:t>
      </w:r>
      <w:r>
        <w:rPr>
          <w:lang w:eastAsia="zh-CN"/>
        </w:rPr>
        <w:t xml:space="preserve"> </w:t>
      </w:r>
      <m:oMath>
        <m:r>
          <w:rPr>
            <w:rFonts w:ascii="Cambria Math" w:hAnsi="Cambria Math"/>
            <w:lang w:eastAsia="zh-CN"/>
          </w:rPr>
          <m:t>e</m:t>
        </m:r>
      </m:oMath>
      <w:r>
        <w:rPr>
          <w:lang w:eastAsia="zh-CN"/>
        </w:rPr>
        <w:t xml:space="preserve"> </w:t>
      </w:r>
      <w:r>
        <w:rPr>
          <w:lang w:eastAsia="zh-CN"/>
        </w:rPr>
        <w:t>估计和预测的活动</w:t>
      </w:r>
      <w:r>
        <w:rPr>
          <w:lang w:eastAsia="zh-CN"/>
        </w:rPr>
        <w:t>—</w:t>
      </w:r>
      <w:r>
        <w:rPr>
          <w:lang w:eastAsia="zh-CN"/>
        </w:rPr>
        <w:t>地区集合，仅在该集合上汇总：</w:t>
      </w:r>
    </w:p>
    <w:p w14:paraId="171701E5" w14:textId="77777777" w:rsidR="002C0540" w:rsidRDefault="00FE1083">
      <w:pPr>
        <w:pStyle w:val="Equation"/>
      </w:pPr>
      <w:r>
        <w:rPr>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rPr>
                  <m:t>M</m:t>
                </m:r>
              </m:e>
            </m:acc>
          </m:e>
          <m:sub>
            <m:r>
              <w:rPr>
                <w:rFonts w:ascii="Cambria Math" w:hAnsi="Cambria Math"/>
              </w:rPr>
              <m:t>jte</m:t>
            </m:r>
          </m:sub>
          <m:sup>
            <m:r>
              <w:rPr>
                <w:rFonts w:ascii="Cambria Math" w:hAnsi="Cambria Math"/>
              </w:rPr>
              <m:t>v</m:t>
            </m:r>
          </m:sup>
        </m:sSubSup>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m:t>
                </m:r>
                <m:r>
                  <w:rPr>
                    <w:rFonts w:ascii="Cambria Math" w:hAnsi="Cambria Math"/>
                  </w:rPr>
                  <m:t>u</m:t>
                </m:r>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je</m:t>
                    </m:r>
                  </m:sub>
                </m:sSub>
              </m:sub>
              <m:sup/>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urte</m:t>
                    </m:r>
                  </m:sub>
                  <m:sup>
                    <m:r>
                      <w:rPr>
                        <w:rFonts w:ascii="Cambria Math" w:hAnsi="Cambria Math"/>
                      </w:rPr>
                      <m:t>v</m:t>
                    </m:r>
                  </m:sup>
                </m:sSubSup>
              </m:e>
            </m:nary>
          </m:num>
          <m:den>
            <m:nary>
              <m:naryPr>
                <m:chr m:val="∑"/>
                <m:limLoc m:val="undOvr"/>
                <m:grow m:val="1"/>
                <m:supHide m:val="1"/>
                <m:ctrlPr>
                  <w:rPr>
                    <w:rFonts w:ascii="Cambria Math" w:hAnsi="Cambria Math"/>
                  </w:rPr>
                </m:ctrlPr>
              </m:naryPr>
              <m:sub>
                <m:r>
                  <w:rPr>
                    <w:rFonts w:ascii="Cambria Math" w:hAnsi="Cambria Math"/>
                  </w:rPr>
                  <m:t>(</m:t>
                </m:r>
                <m:r>
                  <w:rPr>
                    <w:rFonts w:ascii="Cambria Math" w:hAnsi="Cambria Math"/>
                  </w:rPr>
                  <m:t>u</m:t>
                </m:r>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je</m:t>
                    </m:r>
                  </m:sub>
                </m:sSub>
              </m:sub>
              <m:sup/>
              <m:e>
                <m:r>
                  <w:rPr>
                    <w:rFonts w:ascii="Cambria Math" w:hAnsi="Cambria Math"/>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urte</m:t>
                </m:r>
              </m:sub>
              <m:sup>
                <m:r>
                  <w:rPr>
                    <w:rFonts w:ascii="Cambria Math" w:hAnsi="Cambria Math"/>
                  </w:rPr>
                  <m:t>v</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urte</m:t>
                </m:r>
              </m:sub>
              <m:sup>
                <m:r>
                  <w:rPr>
                    <w:rFonts w:ascii="Cambria Math" w:hAnsi="Cambria Math"/>
                  </w:rPr>
                  <m:t>v</m:t>
                </m:r>
              </m:sup>
            </m:sSubSup>
            <m:r>
              <w:rPr>
                <w:rFonts w:ascii="Cambria Math" w:hAnsi="Cambria Math"/>
              </w:rPr>
              <m:t>)</m:t>
            </m:r>
          </m:den>
        </m:f>
        <m:r>
          <w:rPr>
            <w:rFonts w:ascii="Cambria Math" w:hAnsi="Cambria Math"/>
          </w:rPr>
          <m:t>.</m:t>
        </m:r>
      </m:oMath>
      <w:r>
        <w:tab/>
        <w:t>(5)</w:t>
      </w:r>
    </w:p>
    <w:p w14:paraId="68B05B39" w14:textId="77777777" w:rsidR="002C0540" w:rsidRDefault="00FE1083">
      <w:pPr>
        <w:rPr>
          <w:lang w:eastAsia="zh-CN"/>
        </w:rPr>
      </w:pPr>
      <w:r>
        <w:t>令</w:t>
      </w:r>
      <w:r>
        <w:t xml:space="preserve">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jte</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M</m:t>
                </m:r>
              </m:e>
            </m:acc>
          </m:e>
          <m:sub>
            <m:r>
              <w:rPr>
                <w:rFonts w:ascii="Cambria Math" w:hAnsi="Cambria Math"/>
              </w:rPr>
              <m:t>jte</m:t>
            </m:r>
          </m:sub>
          <m:sup>
            <m:r>
              <w:rPr>
                <w:rFonts w:ascii="Cambria Math" w:hAnsi="Cambria Math"/>
              </w:rPr>
              <m:t>1</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M</m:t>
                </m:r>
              </m:e>
            </m:acc>
          </m:e>
          <m:sub>
            <m:r>
              <w:rPr>
                <w:rFonts w:ascii="Cambria Math" w:hAnsi="Cambria Math"/>
              </w:rPr>
              <m:t>jte</m:t>
            </m:r>
          </m:sub>
          <m:sup>
            <m:r>
              <w:rPr>
                <w:rFonts w:ascii="Cambria Math" w:hAnsi="Cambria Math"/>
              </w:rPr>
              <m:t>0</m:t>
            </m:r>
          </m:sup>
        </m:sSubSup>
      </m:oMath>
      <w:r>
        <w:t>。</w:t>
      </w:r>
      <w:r>
        <w:rPr>
          <w:lang w:eastAsia="zh-CN"/>
        </w:rPr>
        <w:t>这是给定集合</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je</m:t>
            </m:r>
          </m:sub>
        </m:sSub>
      </m:oMath>
      <w:r>
        <w:rPr>
          <w:lang w:eastAsia="zh-CN"/>
        </w:rPr>
        <w:t>、固定效应和识别假设的条件预测份额，不能直接等同于全国一般均衡净变化。若需要构造全部门目标，必须预先说明未进入</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je</m:t>
            </m:r>
          </m:sub>
        </m:sSub>
      </m:oMath>
      <w:r>
        <w:rPr>
          <w:lang w:eastAsia="zh-CN"/>
        </w:rPr>
        <w:t xml:space="preserve"> </w:t>
      </w:r>
      <w:r>
        <w:rPr>
          <w:lang w:eastAsia="zh-CN"/>
        </w:rPr>
        <w:t>单元的补全规则。例如将这些单元在有改革和无该改革两状态的参考产出保持相同，是额外的条件情景假设，不能宣称它们的响应已被识别。结构目标同时保留外国及国内生产的预测响应；份额变化用于辅助核对，避免同一份额变化由分子增长和分母下降产生不同经济解释。若组间估计排除了共同变化或受到溢出影响，模型须复现同一处理</w:t>
      </w:r>
      <w:r>
        <w:rPr>
          <w:lang w:eastAsia="zh-CN"/>
        </w:rPr>
        <w:t>—</w:t>
      </w:r>
      <w:r>
        <w:rPr>
          <w:lang w:eastAsia="zh-CN"/>
        </w:rPr>
        <w:t>对照统计量；粗部门模型不能复现时，结构结果限定为条件情景。</w:t>
      </w:r>
    </w:p>
    <w:p w14:paraId="50A879EA" w14:textId="77777777" w:rsidR="002C0540" w:rsidRDefault="00FE1083">
      <w:pPr>
        <w:pStyle w:val="1"/>
        <w:rPr>
          <w:lang w:eastAsia="zh-CN"/>
        </w:rPr>
      </w:pPr>
      <w:r>
        <w:rPr>
          <w:lang w:eastAsia="zh-CN"/>
        </w:rPr>
        <w:lastRenderedPageBreak/>
        <w:t xml:space="preserve">A4 </w:t>
      </w:r>
      <w:r>
        <w:rPr>
          <w:lang w:eastAsia="zh-CN"/>
        </w:rPr>
        <w:t>改革事件与因果识别</w:t>
      </w:r>
    </w:p>
    <w:p w14:paraId="6A59E889" w14:textId="77777777" w:rsidR="002C0540" w:rsidRDefault="00FE1083">
      <w:pPr>
        <w:pStyle w:val="21"/>
        <w:rPr>
          <w:lang w:eastAsia="zh-CN"/>
        </w:rPr>
      </w:pPr>
      <w:r>
        <w:rPr>
          <w:lang w:eastAsia="zh-CN"/>
        </w:rPr>
        <w:t>改革事件与比较窗口</w:t>
      </w:r>
    </w:p>
    <w:p w14:paraId="163ACA81" w14:textId="77777777" w:rsidR="002C0540" w:rsidRDefault="00FE1083">
      <w:pPr>
        <w:rPr>
          <w:lang w:eastAsia="zh-CN"/>
        </w:rPr>
      </w:pPr>
      <w:r>
        <w:rPr>
          <w:lang w:eastAsia="zh-CN"/>
        </w:rPr>
        <w:t>改革事件</w:t>
      </w:r>
      <w:r>
        <w:rPr>
          <w:lang w:eastAsia="zh-CN"/>
        </w:rPr>
        <w:t xml:space="preserve"> </w:t>
      </w:r>
      <m:oMath>
        <m:r>
          <w:rPr>
            <w:rFonts w:ascii="Cambria Math" w:hAnsi="Cambria Math"/>
            <w:lang w:eastAsia="zh-CN"/>
          </w:rPr>
          <m:t>e</m:t>
        </m:r>
      </m:oMath>
      <w:r>
        <w:rPr>
          <w:lang w:eastAsia="zh-CN"/>
        </w:rPr>
        <w:t xml:space="preserve"> </w:t>
      </w:r>
      <w:r>
        <w:rPr>
          <w:lang w:eastAsia="zh-CN"/>
        </w:rPr>
        <w:t>以正式生效日及完整六维限制变化定义，记录公告与生效的间隔、适用活动、地区和投资者条件。候选对照来自同一可比粗行业中、改革前制度状态和趋势相近、事件窗口内未经历其他相关改革的活动。分别检验公告前动态和可能的提前反应；年度记录按生效时间定义暴露，完整年度效应与过渡年度效应分开。若利用年度平均暴露，须明确生产月份与生效月份的对应关系；不把年内生效直接处理为全年实施。比较窗口与改革后的报告期限在估计前锁定，不按结果显著性调整。</w:t>
      </w:r>
    </w:p>
    <w:p w14:paraId="68777E91" w14:textId="77777777" w:rsidR="002C0540" w:rsidRDefault="00FE1083">
      <w:pPr>
        <w:rPr>
          <w:lang w:eastAsia="zh-CN"/>
        </w:rPr>
      </w:pPr>
      <w:r>
        <w:rPr>
          <w:lang w:eastAsia="zh-CN"/>
        </w:rPr>
        <w:t>对分批或重复改革，建立分事件窗口，允许事件特定效应；已经改革的活动不自动充当对照。后续改革污染窗口时缩短窗口，或将完整制度状态转移单列为新的改革组合。堆叠估计需处理重复对照的权重，避免重复出现次数决定结果权重，不用简单双向固定效应将所有改革合并成一个系数。</w:t>
      </w:r>
    </w:p>
    <w:p w14:paraId="4B3F7A5C" w14:textId="77777777" w:rsidR="002C0540" w:rsidRDefault="00FE1083">
      <w:pPr>
        <w:pStyle w:val="21"/>
      </w:pPr>
      <w:r>
        <w:t>活动产出事件研究</w:t>
      </w:r>
    </w:p>
    <w:p w14:paraId="5D45F4A9" w14:textId="77777777" w:rsidR="002C0540" w:rsidRDefault="00FE1083">
      <w:pPr>
        <w:rPr>
          <w:lang w:eastAsia="zh-CN"/>
        </w:rPr>
      </w:pPr>
      <w:r>
        <w:t>对</w:t>
      </w:r>
      <w:r>
        <w:t xml:space="preserve"> </w:t>
      </w:r>
      <m:oMath>
        <m:r>
          <w:rPr>
            <w:rFonts w:ascii="Cambria Math" w:hAnsi="Cambria Math"/>
          </w:rPr>
          <m:t>q</m:t>
        </m:r>
        <m:r>
          <w:rPr>
            <w:rFonts w:ascii="Cambria Math" w:hAnsi="Cambria Math"/>
          </w:rPr>
          <m:t>∈{</m:t>
        </m:r>
        <m:r>
          <w:rPr>
            <w:rFonts w:ascii="Cambria Math" w:hAnsi="Cambria Math"/>
          </w:rPr>
          <m:t>F</m:t>
        </m:r>
        <m:r>
          <w:rPr>
            <w:rFonts w:ascii="Cambria Math" w:hAnsi="Cambria Math"/>
          </w:rPr>
          <m:t>,</m:t>
        </m:r>
        <m:r>
          <w:rPr>
            <w:rFonts w:ascii="Cambria Math" w:hAnsi="Cambria Math"/>
          </w:rPr>
          <m:t>D</m:t>
        </m:r>
        <m:r>
          <w:rPr>
            <w:rFonts w:ascii="Cambria Math" w:hAnsi="Cambria Math"/>
          </w:rPr>
          <m:t>}</m:t>
        </m:r>
      </m:oMath>
      <w:r>
        <w:t xml:space="preserve"> </w:t>
      </w:r>
      <w:r>
        <w:t>的非负产出</w:t>
      </w:r>
      <w:r>
        <w:t xml:space="preserve"> </w:t>
      </w:r>
      <m:oMath>
        <m:sSubSup>
          <m:sSubSupPr>
            <m:ctrlPr>
              <w:rPr>
                <w:rFonts w:ascii="Cambria Math" w:hAnsi="Cambria Math"/>
              </w:rPr>
            </m:ctrlPr>
          </m:sSubSupPr>
          <m:e>
            <m:r>
              <w:rPr>
                <w:rFonts w:ascii="Cambria Math" w:hAnsi="Cambria Math"/>
              </w:rPr>
              <m:t>Y</m:t>
            </m:r>
          </m:e>
          <m:sub>
            <m:r>
              <w:rPr>
                <w:rFonts w:ascii="Cambria Math" w:hAnsi="Cambria Math"/>
              </w:rPr>
              <m:t>urt</m:t>
            </m:r>
          </m:sub>
          <m:sup>
            <m:r>
              <w:rPr>
                <w:rFonts w:ascii="Cambria Math" w:hAnsi="Cambria Math"/>
              </w:rPr>
              <m:t>q</m:t>
            </m:r>
          </m:sup>
        </m:sSubSup>
      </m:oMath>
      <w:r>
        <w:t>，基准使用泊松伪最大似然（</w:t>
      </w:r>
      <w:r>
        <w:t>PPML</w:t>
      </w:r>
      <w:r>
        <w:t>）条件均值方法（</w:t>
      </w:r>
      <w:r>
        <w:t>Santos Silva and Tenreyro</w:t>
      </w:r>
      <w:r>
        <w:t>，</w:t>
      </w:r>
      <w:r>
        <w:t>2006</w:t>
      </w:r>
      <w:r>
        <w:t>）；它允许真实零产出，缺失或未匹配记录不能填零。</w:t>
      </w:r>
      <w:r>
        <w:rPr>
          <w:lang w:eastAsia="zh-CN"/>
        </w:rPr>
        <w:t>事件窗口内的示意规格为：</w:t>
      </w:r>
    </w:p>
    <w:p w14:paraId="5FC7DE0B" w14:textId="77777777" w:rsidR="002C0540" w:rsidRDefault="00FE1083">
      <w:pPr>
        <w:pStyle w:val="Equation"/>
        <w:rPr>
          <w:lang w:eastAsia="zh-CN"/>
        </w:rPr>
      </w:pPr>
      <w:r>
        <w:rPr>
          <w:lang w:eastAsia="zh-CN"/>
        </w:rPr>
        <w:tab/>
      </w:r>
      <m:oMath>
        <m:r>
          <w:rPr>
            <w:rFonts w:ascii="Cambria Math" w:hAnsi="Cambria Math"/>
            <w:lang w:eastAsia="zh-CN"/>
          </w:rPr>
          <m:t>E</m:t>
        </m:r>
        <m:r>
          <w:rPr>
            <w:rFonts w:ascii="Cambria Math" w:hAnsi="Cambria Math"/>
            <w:lang w:eastAsia="zh-CN"/>
          </w:rPr>
          <m:t>[</m:t>
        </m:r>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urt</m:t>
            </m:r>
          </m:sub>
          <m:sup>
            <m:r>
              <w:rPr>
                <w:rFonts w:ascii="Cambria Math" w:hAnsi="Cambria Math"/>
                <w:lang w:eastAsia="zh-CN"/>
              </w:rPr>
              <m:t>q</m:t>
            </m:r>
          </m:sup>
        </m:sSubSup>
        <m:r>
          <w:rPr>
            <w:rFonts w:ascii="Cambria Math" w:hAnsi="Cambria Math"/>
            <w:lang w:eastAsia="zh-CN"/>
          </w:rPr>
          <m:t>|</m:t>
        </m:r>
        <m:r>
          <w:rPr>
            <w:rFonts w:ascii="Cambria Math" w:hAnsi="Cambria Math"/>
            <w:lang w:eastAsia="zh-CN"/>
          </w:rPr>
          <m:t>X</m:t>
        </m:r>
        <m:r>
          <w:rPr>
            <w:rFonts w:ascii="Cambria Math" w:hAnsi="Cambria Math"/>
            <w:lang w:eastAsia="zh-CN"/>
          </w:rPr>
          <m:t>,</m:t>
        </m:r>
        <m:r>
          <w:rPr>
            <w:rFonts w:ascii="Cambria Math" w:hAnsi="Cambria Math"/>
            <w:lang w:eastAsia="zh-CN"/>
          </w:rPr>
          <m:t>e</m:t>
        </m:r>
        <m:r>
          <w:rPr>
            <w:rFonts w:ascii="Cambria Math" w:hAnsi="Cambria Math"/>
            <w:lang w:eastAsia="zh-CN"/>
          </w:rPr>
          <m:t>]=</m:t>
        </m:r>
        <m:r>
          <m:rPr>
            <m:sty m:val="p"/>
          </m:rPr>
          <w:rPr>
            <w:rFonts w:ascii="Cambria Math" w:hAnsi="Cambria Math"/>
            <w:lang w:eastAsia="zh-CN"/>
          </w:rPr>
          <m:t>exp</m:t>
        </m:r>
        <m:r>
          <w:rPr>
            <w:rFonts w:ascii="Cambria Math" w:hAnsi="Cambria Math"/>
            <w:lang w:eastAsia="zh-CN"/>
          </w:rPr>
          <m:t>[</m:t>
        </m:r>
        <m:sSubSup>
          <m:sSubSupPr>
            <m:ctrlPr>
              <w:rPr>
                <w:rFonts w:ascii="Cambria Math" w:hAnsi="Cambria Math"/>
              </w:rPr>
            </m:ctrlPr>
          </m:sSubSupPr>
          <m:e>
            <m:r>
              <w:rPr>
                <w:rFonts w:ascii="Cambria Math" w:hAnsi="Cambria Math"/>
                <w:lang w:eastAsia="zh-CN"/>
              </w:rPr>
              <m:t>α</m:t>
            </m:r>
          </m:e>
          <m:sub>
            <m:r>
              <w:rPr>
                <w:rFonts w:ascii="Cambria Math" w:hAnsi="Cambria Math"/>
                <w:lang w:eastAsia="zh-CN"/>
              </w:rPr>
              <m:t>ur</m:t>
            </m:r>
            <m:r>
              <w:rPr>
                <w:rFonts w:ascii="Cambria Math" w:hAnsi="Cambria Math"/>
                <w:lang w:eastAsia="zh-CN"/>
              </w:rPr>
              <m:t>,</m:t>
            </m:r>
            <m:r>
              <w:rPr>
                <w:rFonts w:ascii="Cambria Math" w:hAnsi="Cambria Math"/>
                <w:lang w:eastAsia="zh-CN"/>
              </w:rPr>
              <m:t>e</m:t>
            </m:r>
          </m:sub>
          <m:sup>
            <m:r>
              <w:rPr>
                <w:rFonts w:ascii="Cambria Math" w:hAnsi="Cambria Math"/>
                <w:lang w:eastAsia="zh-CN"/>
              </w:rPr>
              <m:t>q</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λ</m:t>
            </m:r>
          </m:e>
          <m:sub>
            <m:r>
              <w:rPr>
                <w:rFonts w:ascii="Cambria Math" w:hAnsi="Cambria Math"/>
                <w:lang w:eastAsia="zh-CN"/>
              </w:rPr>
              <m:t>j</m:t>
            </m:r>
            <m:r>
              <w:rPr>
                <w:rFonts w:ascii="Cambria Math" w:hAnsi="Cambria Math"/>
                <w:lang w:eastAsia="zh-CN"/>
              </w:rPr>
              <m:t>(</m:t>
            </m:r>
            <m:r>
              <w:rPr>
                <w:rFonts w:ascii="Cambria Math" w:hAnsi="Cambria Math"/>
                <w:lang w:eastAsia="zh-CN"/>
              </w:rPr>
              <m:t>u</m:t>
            </m:r>
            <m:r>
              <w:rPr>
                <w:rFonts w:ascii="Cambria Math" w:hAnsi="Cambria Math"/>
                <w:lang w:eastAsia="zh-CN"/>
              </w:rPr>
              <m:t>)</m:t>
            </m:r>
            <m:r>
              <w:rPr>
                <w:rFonts w:ascii="Cambria Math" w:hAnsi="Cambria Math"/>
                <w:lang w:eastAsia="zh-CN"/>
              </w:rPr>
              <m:t>t</m:t>
            </m:r>
            <m:r>
              <w:rPr>
                <w:rFonts w:ascii="Cambria Math" w:hAnsi="Cambria Math"/>
                <w:lang w:eastAsia="zh-CN"/>
              </w:rPr>
              <m:t>,</m:t>
            </m:r>
            <m:r>
              <w:rPr>
                <w:rFonts w:ascii="Cambria Math" w:hAnsi="Cambria Math"/>
                <w:lang w:eastAsia="zh-CN"/>
              </w:rPr>
              <m:t>e</m:t>
            </m:r>
          </m:sub>
          <m:sup>
            <m:r>
              <w:rPr>
                <w:rFonts w:ascii="Cambria Math" w:hAnsi="Cambria Math"/>
                <w:lang w:eastAsia="zh-CN"/>
              </w:rPr>
              <m:t>q</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η</m:t>
            </m:r>
          </m:e>
          <m:sub>
            <m:r>
              <w:rPr>
                <w:rFonts w:ascii="Cambria Math" w:hAnsi="Cambria Math"/>
                <w:lang w:eastAsia="zh-CN"/>
              </w:rPr>
              <m:t>rt</m:t>
            </m:r>
            <m:r>
              <w:rPr>
                <w:rFonts w:ascii="Cambria Math" w:hAnsi="Cambria Math"/>
                <w:lang w:eastAsia="zh-CN"/>
              </w:rPr>
              <m:t>,</m:t>
            </m:r>
            <m:r>
              <w:rPr>
                <w:rFonts w:ascii="Cambria Math" w:hAnsi="Cambria Math"/>
                <w:lang w:eastAsia="zh-CN"/>
              </w:rPr>
              <m:t>e</m:t>
            </m:r>
          </m:sub>
          <m:sup>
            <m:r>
              <w:rPr>
                <w:rFonts w:ascii="Cambria Math" w:hAnsi="Cambria Math"/>
                <w:lang w:eastAsia="zh-CN"/>
              </w:rPr>
              <m:t>q</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ur</m:t>
            </m:r>
            <m:r>
              <w:rPr>
                <w:rFonts w:ascii="Cambria Math" w:hAnsi="Cambria Math"/>
                <w:lang w:eastAsia="zh-CN"/>
              </w:rPr>
              <m:t>,</m:t>
            </m:r>
            <m:r>
              <w:rPr>
                <w:rFonts w:ascii="Cambria Math" w:hAnsi="Cambria Math"/>
                <w:lang w:eastAsia="zh-CN"/>
              </w:rPr>
              <m:t>e</m:t>
            </m:r>
          </m:sub>
          <m:sup>
            <m:r>
              <w:rPr>
                <w:rFonts w:ascii="Cambria Math" w:hAnsi="Cambria Math"/>
                <w:lang w:eastAsia="zh-CN"/>
              </w:rPr>
              <m:t>'</m:t>
            </m:r>
          </m:sup>
        </m:sSubSup>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t</m:t>
            </m:r>
          </m:sub>
          <m:sup>
            <m:r>
              <w:rPr>
                <w:rFonts w:ascii="Cambria Math" w:hAnsi="Cambria Math"/>
                <w:lang w:eastAsia="zh-CN"/>
              </w:rPr>
              <m:t>q</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L</m:t>
            </m:r>
          </m:e>
          <m:sub>
            <m:r>
              <w:rPr>
                <w:rFonts w:ascii="Cambria Math" w:hAnsi="Cambria Math"/>
                <w:lang w:eastAsia="zh-CN"/>
              </w:rPr>
              <m:t>ur</m:t>
            </m:r>
            <m:r>
              <w:rPr>
                <w:rFonts w:ascii="Cambria Math" w:hAnsi="Cambria Math"/>
                <w:lang w:eastAsia="zh-CN"/>
              </w:rPr>
              <m:t>,</m:t>
            </m:r>
            <m:r>
              <w:rPr>
                <w:rFonts w:ascii="Cambria Math" w:hAnsi="Cambria Math"/>
                <w:lang w:eastAsia="zh-CN"/>
              </w:rPr>
              <m:t>e</m:t>
            </m:r>
          </m:sub>
          <m:sup>
            <m:r>
              <w:rPr>
                <w:rFonts w:ascii="Cambria Math" w:hAnsi="Cambria Math"/>
                <w:lang w:eastAsia="zh-CN"/>
              </w:rPr>
              <m:t>q</m:t>
            </m:r>
          </m:sup>
        </m:sSubSup>
        <m:r>
          <w:rPr>
            <w:rFonts w:ascii="Cambria Math" w:hAnsi="Cambria Math"/>
            <w:lang w:eastAsia="zh-CN"/>
          </w:rPr>
          <m:t>(</m:t>
        </m:r>
        <m:r>
          <w:rPr>
            <w:rFonts w:ascii="Cambria Math" w:hAnsi="Cambria Math"/>
            <w:lang w:eastAsia="zh-CN"/>
          </w:rPr>
          <m:t>t</m:t>
        </m:r>
        <m:r>
          <w:rPr>
            <w:rFonts w:ascii="Cambria Math" w:hAnsi="Cambria Math"/>
            <w:lang w:eastAsia="zh-CN"/>
          </w:rPr>
          <m:t>)].</m:t>
        </m:r>
      </m:oMath>
      <w:r>
        <w:rPr>
          <w:lang w:eastAsia="zh-CN"/>
        </w:rPr>
        <w:tab/>
        <w:t>(6)</w:t>
      </w:r>
    </w:p>
    <w:p w14:paraId="119E465B" w14:textId="77777777" w:rsidR="002C0540" w:rsidRDefault="00FE1083">
      <w:pPr>
        <w:rPr>
          <w:lang w:eastAsia="zh-CN"/>
        </w:rPr>
      </w:pPr>
      <w:r>
        <w:rPr>
          <w:lang w:eastAsia="zh-CN"/>
        </w:rPr>
        <w:t>其中事件动态项为：</w:t>
      </w:r>
    </w:p>
    <w:p w14:paraId="7FFDDC48" w14:textId="77777777" w:rsidR="002C0540" w:rsidRDefault="00FE1083">
      <w:pPr>
        <w:pStyle w:val="Equation"/>
        <w:rPr>
          <w:lang w:eastAsia="zh-CN"/>
        </w:rPr>
      </w:pPr>
      <w:r>
        <w:rPr>
          <w:lang w:eastAsia="zh-CN"/>
        </w:rPr>
        <w:tab/>
      </w:r>
      <m:oMath>
        <m:sSubSup>
          <m:sSubSupPr>
            <m:ctrlPr>
              <w:rPr>
                <w:rFonts w:ascii="Cambria Math" w:hAnsi="Cambria Math"/>
              </w:rPr>
            </m:ctrlPr>
          </m:sSubSupPr>
          <m:e>
            <m:r>
              <w:rPr>
                <w:rFonts w:ascii="Cambria Math" w:hAnsi="Cambria Math"/>
                <w:lang w:eastAsia="zh-CN"/>
              </w:rPr>
              <m:t>L</m:t>
            </m:r>
          </m:e>
          <m:sub>
            <m:r>
              <w:rPr>
                <w:rFonts w:ascii="Cambria Math" w:hAnsi="Cambria Math"/>
                <w:lang w:eastAsia="zh-CN"/>
              </w:rPr>
              <m:t>ur</m:t>
            </m:r>
            <m:r>
              <w:rPr>
                <w:rFonts w:ascii="Cambria Math" w:hAnsi="Cambria Math"/>
                <w:lang w:eastAsia="zh-CN"/>
              </w:rPr>
              <m:t>,</m:t>
            </m:r>
            <m:r>
              <w:rPr>
                <w:rFonts w:ascii="Cambria Math" w:hAnsi="Cambria Math"/>
                <w:lang w:eastAsia="zh-CN"/>
              </w:rPr>
              <m:t>e</m:t>
            </m:r>
          </m:sub>
          <m:sup>
            <m:r>
              <w:rPr>
                <w:rFonts w:ascii="Cambria Math" w:hAnsi="Cambria Math"/>
                <w:lang w:eastAsia="zh-CN"/>
              </w:rPr>
              <m:t>q</m:t>
            </m:r>
          </m:sup>
        </m:sSubSup>
        <m:r>
          <w:rPr>
            <w:rFonts w:ascii="Cambria Math" w:hAnsi="Cambria Math"/>
            <w:lang w:eastAsia="zh-CN"/>
          </w:rPr>
          <m:t>(</m:t>
        </m:r>
        <m:r>
          <w:rPr>
            <w:rFonts w:ascii="Cambria Math" w:hAnsi="Cambria Math"/>
            <w:lang w:eastAsia="zh-CN"/>
          </w:rPr>
          <m:t>t</m:t>
        </m:r>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h≠-</m:t>
            </m:r>
            <m:r>
              <w:rPr>
                <w:rFonts w:ascii="Cambria Math" w:hAnsi="Cambria Math"/>
                <w:lang w:eastAsia="zh-CN"/>
              </w:rPr>
              <m:t>1</m:t>
            </m:r>
          </m:sub>
          <m:sup/>
          <m:e>
            <m:sSubSup>
              <m:sSubSupPr>
                <m:ctrlPr>
                  <w:rPr>
                    <w:rFonts w:ascii="Cambria Math" w:hAnsi="Cambria Math"/>
                  </w:rPr>
                </m:ctrlPr>
              </m:sSubSupPr>
              <m:e>
                <m:r>
                  <w:rPr>
                    <w:rFonts w:ascii="Cambria Math" w:hAnsi="Cambria Math"/>
                    <w:lang w:eastAsia="zh-CN"/>
                  </w:rPr>
                  <m:t>β</m:t>
                </m:r>
              </m:e>
              <m:sub>
                <m:r>
                  <w:rPr>
                    <w:rFonts w:ascii="Cambria Math" w:hAnsi="Cambria Math"/>
                    <w:lang w:eastAsia="zh-CN"/>
                  </w:rPr>
                  <m:t>e</m:t>
                </m:r>
                <m:r>
                  <w:rPr>
                    <w:rFonts w:ascii="Cambria Math" w:hAnsi="Cambria Math"/>
                    <w:lang w:eastAsia="zh-CN"/>
                  </w:rPr>
                  <m:t>,h</m:t>
                </m:r>
              </m:sub>
              <m:sup>
                <m:r>
                  <w:rPr>
                    <w:rFonts w:ascii="Cambria Math" w:hAnsi="Cambria Math"/>
                    <w:lang w:eastAsia="zh-CN"/>
                  </w:rPr>
                  <m:t>q</m:t>
                </m:r>
              </m:sup>
            </m:sSubSup>
          </m:e>
        </m:nary>
        <m:sSub>
          <m:sSubPr>
            <m:ctrlPr>
              <w:rPr>
                <w:rFonts w:ascii="Cambria Math" w:hAnsi="Cambria Math"/>
              </w:rPr>
            </m:ctrlPr>
          </m:sSubPr>
          <m:e>
            <m:r>
              <w:rPr>
                <w:rFonts w:ascii="Cambria Math" w:hAnsi="Cambria Math"/>
                <w:lang w:eastAsia="zh-CN"/>
              </w:rPr>
              <m:t>T</m:t>
            </m:r>
          </m:e>
          <m:sub>
            <m:r>
              <w:rPr>
                <w:rFonts w:ascii="Cambria Math" w:hAnsi="Cambria Math"/>
                <w:lang w:eastAsia="zh-CN"/>
              </w:rPr>
              <m:t>ur</m:t>
            </m:r>
            <m:r>
              <w:rPr>
                <w:rFonts w:ascii="Cambria Math" w:hAnsi="Cambria Math"/>
                <w:lang w:eastAsia="zh-CN"/>
              </w:rPr>
              <m:t>,</m:t>
            </m:r>
            <m:r>
              <w:rPr>
                <w:rFonts w:ascii="Cambria Math" w:hAnsi="Cambria Math"/>
                <w:lang w:eastAsia="zh-CN"/>
              </w:rPr>
              <m:t>e</m:t>
            </m:r>
          </m:sub>
        </m:sSub>
        <m:r>
          <w:rPr>
            <w:rFonts w:ascii="Cambria Math" w:hAnsi="Cambria Math"/>
            <w:lang w:eastAsia="zh-CN"/>
          </w:rPr>
          <m:t>1(</m:t>
        </m:r>
        <m:r>
          <w:rPr>
            <w:rFonts w:ascii="Cambria Math" w:hAnsi="Cambria Math"/>
            <w:lang w:eastAsia="zh-CN"/>
          </w:rPr>
          <m:t>t</m:t>
        </m:r>
        <m: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e</m:t>
            </m:r>
          </m:sub>
        </m:sSub>
        <m:r>
          <w:rPr>
            <w:rFonts w:ascii="Cambria Math" w:hAnsi="Cambria Math"/>
            <w:lang w:eastAsia="zh-CN"/>
          </w:rPr>
          <m:t>=h).</m:t>
        </m:r>
      </m:oMath>
      <w:r>
        <w:rPr>
          <w:lang w:eastAsia="zh-CN"/>
        </w:rPr>
        <w:tab/>
        <w:t>(7)</w:t>
      </w:r>
    </w:p>
    <w:p w14:paraId="48F8C472" w14:textId="77777777" w:rsidR="002C0540" w:rsidRDefault="00FE1083">
      <w:pPr>
        <w:rPr>
          <w:lang w:eastAsia="zh-CN"/>
        </w:rPr>
      </w:p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ur</m:t>
            </m:r>
            <m:r>
              <w:rPr>
                <w:rFonts w:ascii="Cambria Math" w:hAnsi="Cambria Math"/>
                <w:lang w:eastAsia="zh-CN"/>
              </w:rPr>
              <m:t>,</m:t>
            </m:r>
            <m:r>
              <w:rPr>
                <w:rFonts w:ascii="Cambria Math" w:hAnsi="Cambria Math"/>
                <w:lang w:eastAsia="zh-CN"/>
              </w:rPr>
              <m:t>e</m:t>
            </m:r>
          </m:sub>
        </m:sSub>
      </m:oMath>
      <w:r>
        <w:rPr>
          <w:lang w:eastAsia="zh-CN"/>
        </w:rPr>
        <w:t xml:space="preserve"> </w:t>
      </w:r>
      <w:r>
        <w:rPr>
          <w:lang w:eastAsia="zh-CN"/>
        </w:rPr>
        <w:t>表示该活动</w:t>
      </w:r>
      <w:r>
        <w:rPr>
          <w:lang w:eastAsia="zh-CN"/>
        </w:rPr>
        <w:t>—</w:t>
      </w:r>
      <w:r>
        <w:rPr>
          <w:lang w:eastAsia="zh-CN"/>
        </w:rPr>
        <w:t>地区单元适用该次改革。投资者资格或特殊待遇不同的情况，按预先定义的法律待遇组分别建立事件及比较单元；式（</w:t>
      </w:r>
      <w:r>
        <w:rPr>
          <w:lang w:eastAsia="zh-CN"/>
        </w:rPr>
        <w:t>6</w:t>
      </w:r>
      <w:r>
        <w:rPr>
          <w:lang w:eastAsia="zh-CN"/>
        </w:rPr>
        <w:t>）</w:t>
      </w:r>
      <w:r>
        <w:rPr>
          <w:lang w:eastAsia="zh-CN"/>
        </w:rPr>
        <w:t>—</w:t>
      </w:r>
      <w:r>
        <w:rPr>
          <w:lang w:eastAsia="zh-CN"/>
        </w:rPr>
        <w:t>（</w:t>
      </w:r>
      <w:r>
        <w:rPr>
          <w:lang w:eastAsia="zh-CN"/>
        </w:rPr>
        <w:t>7</w:t>
      </w:r>
      <w:r>
        <w:rPr>
          <w:lang w:eastAsia="zh-CN"/>
        </w:rPr>
        <w:t>）在一个固定待遇组内使用，省略其组下标。</w:t>
      </w:r>
      <m:oMath>
        <m:r>
          <w:rPr>
            <w:rFonts w:ascii="Cambria Math" w:hAnsi="Cambria Math"/>
            <w:lang w:eastAsia="zh-CN"/>
          </w:rPr>
          <m:t>h</m:t>
        </m:r>
        <m:r>
          <w:rPr>
            <w:rFonts w:ascii="Cambria Math" w:hAnsi="Cambria Math"/>
            <w:lang w:eastAsia="zh-CN"/>
          </w:rPr>
          <m:t>=-1</m:t>
        </m:r>
      </m:oMath>
      <w:r>
        <w:rPr>
          <w:lang w:eastAsia="zh-CN"/>
        </w:rPr>
        <w:t xml:space="preserve"> </w:t>
      </w:r>
      <w:r>
        <w:rPr>
          <w:lang w:eastAsia="zh-CN"/>
        </w:rPr>
        <w:t>为参照期；</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ur</m:t>
            </m:r>
            <m:r>
              <w:rPr>
                <w:rFonts w:ascii="Cambria Math" w:hAnsi="Cambria Math"/>
                <w:lang w:eastAsia="zh-CN"/>
              </w:rPr>
              <m:t>,</m:t>
            </m:r>
            <m:r>
              <w:rPr>
                <w:rFonts w:ascii="Cambria Math" w:hAnsi="Cambria Math"/>
                <w:lang w:eastAsia="zh-CN"/>
              </w:rPr>
              <m:t>e</m:t>
            </m:r>
          </m:sub>
        </m:sSub>
      </m:oMath>
      <w:r>
        <w:rPr>
          <w:lang w:eastAsia="zh-CN"/>
        </w:rPr>
        <w:t xml:space="preserve"> </w:t>
      </w:r>
      <w:r>
        <w:rPr>
          <w:lang w:eastAsia="zh-CN"/>
        </w:rPr>
        <w:t>仅包含改革前确定的特征。固定效应控制活动</w:t>
      </w:r>
      <w:r>
        <w:rPr>
          <w:lang w:eastAsia="zh-CN"/>
        </w:rPr>
        <w:t>—</w:t>
      </w:r>
      <w:r>
        <w:rPr>
          <w:lang w:eastAsia="zh-CN"/>
        </w:rPr>
        <w:t>地区的稳定差异、粗行业年度冲击和地区年度冲击。行业层级须保留处理差异；若政策只在该行业层级变化，其行业</w:t>
      </w:r>
      <w:r>
        <w:rPr>
          <w:lang w:eastAsia="zh-CN"/>
        </w:rPr>
        <w:t>×</w:t>
      </w:r>
      <w:r>
        <w:rPr>
          <w:lang w:eastAsia="zh-CN"/>
        </w:rPr>
        <w:t>年份固定效应会吸收全部暴露，不能用于该规格。</w:t>
      </w:r>
    </w:p>
    <w:p w14:paraId="0A9520DC" w14:textId="77777777" w:rsidR="002C0540" w:rsidRDefault="00FE1083">
      <w:pPr>
        <w:rPr>
          <w:lang w:eastAsia="zh-CN"/>
        </w:rPr>
      </w:pPr>
      <w:r>
        <w:rPr>
          <w:lang w:eastAsia="zh-CN"/>
        </w:rPr>
        <w:t>在无提前反应、相应乘法平行趋势、比较状态可比及干扰边界成立时，</w:t>
      </w:r>
      <m:oMath>
        <m:r>
          <m:rPr>
            <m:sty m:val="p"/>
          </m:rPr>
          <w:rPr>
            <w:rFonts w:ascii="Cambria Math" w:hAnsi="Cambria Math"/>
            <w:lang w:eastAsia="zh-CN"/>
          </w:rPr>
          <m:t>exp</m:t>
        </m:r>
        <m:r>
          <w:rPr>
            <w:rFonts w:ascii="Cambria Math" w:hAnsi="Cambria Math"/>
            <w:lang w:eastAsia="zh-CN"/>
          </w:rPr>
          <m:t>(</m:t>
        </m:r>
        <m:sSubSup>
          <m:sSubSupPr>
            <m:ctrlPr>
              <w:rPr>
                <w:rFonts w:ascii="Cambria Math" w:hAnsi="Cambria Math"/>
              </w:rPr>
            </m:ctrlPr>
          </m:sSubSupPr>
          <m:e>
            <m:r>
              <w:rPr>
                <w:rFonts w:ascii="Cambria Math" w:hAnsi="Cambria Math"/>
                <w:lang w:eastAsia="zh-CN"/>
              </w:rPr>
              <m:t>β</m:t>
            </m:r>
          </m:e>
          <m:sub>
            <m:r>
              <w:rPr>
                <w:rFonts w:ascii="Cambria Math" w:hAnsi="Cambria Math"/>
                <w:lang w:eastAsia="zh-CN"/>
              </w:rPr>
              <m:t>e</m:t>
            </m:r>
            <m:r>
              <w:rPr>
                <w:rFonts w:ascii="Cambria Math" w:hAnsi="Cambria Math"/>
                <w:lang w:eastAsia="zh-CN"/>
              </w:rPr>
              <m:t>,h</m:t>
            </m:r>
          </m:sub>
          <m:sup>
            <m:r>
              <w:rPr>
                <w:rFonts w:ascii="Cambria Math" w:hAnsi="Cambria Math"/>
                <w:lang w:eastAsia="zh-CN"/>
              </w:rPr>
              <m:t>q</m:t>
            </m:r>
          </m:sup>
        </m:sSubSup>
        <m:r>
          <w:rPr>
            <w:rFonts w:ascii="Cambria Math" w:hAnsi="Cambria Math"/>
            <w:lang w:eastAsia="zh-CN"/>
          </w:rPr>
          <m:t>)-1</m:t>
        </m:r>
      </m:oMath>
      <w:r>
        <w:rPr>
          <w:lang w:eastAsia="zh-CN"/>
        </w:rPr>
        <w:t xml:space="preserve"> </w:t>
      </w:r>
      <w:r>
        <w:rPr>
          <w:lang w:eastAsia="zh-CN"/>
        </w:rPr>
        <w:t>解释为该事件的组间条件均值相对响应。</w:t>
      </w:r>
      <w:r>
        <w:rPr>
          <w:lang w:eastAsia="zh-CN"/>
        </w:rPr>
        <w:t>PPML</w:t>
      </w:r>
      <w:r>
        <w:rPr>
          <w:lang w:eastAsia="zh-CN"/>
        </w:rPr>
        <w:t>不能自行保证上述假设。对照活动可能受到竞</w:t>
      </w:r>
      <w:r>
        <w:rPr>
          <w:lang w:eastAsia="zh-CN"/>
        </w:rPr>
        <w:lastRenderedPageBreak/>
        <w:t>争或供应链溢出，应记录这种联系并进行对照替换、关联活动排除或显式溢出分析；无法排除时，估计对象收敛为受改革活动相对对照的响应。改革后规模、融资、产品组合等可能是政策作用渠道，不纳入基准控制。</w:t>
      </w:r>
    </w:p>
    <w:p w14:paraId="161A4A6D" w14:textId="77777777" w:rsidR="002C0540" w:rsidRDefault="00FE1083">
      <w:pPr>
        <w:pStyle w:val="21"/>
        <w:rPr>
          <w:lang w:eastAsia="zh-CN"/>
        </w:rPr>
      </w:pPr>
      <w:r>
        <w:rPr>
          <w:lang w:eastAsia="zh-CN"/>
        </w:rPr>
        <w:t>存量企业的基期暴露</w:t>
      </w:r>
    </w:p>
    <w:p w14:paraId="09A5FB69" w14:textId="77777777" w:rsidR="002C0540" w:rsidRDefault="00FE1083">
      <w:pPr>
        <w:rPr>
          <w:lang w:eastAsia="zh-CN"/>
        </w:rPr>
      </w:pPr>
      <w:r>
        <w:rPr>
          <w:lang w:eastAsia="zh-CN"/>
        </w:rPr>
        <w:t>为研究原有企业调整，在每次事件前固定企业的活动组合及适用身份。令</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fur</m:t>
            </m:r>
            <m:r>
              <w:rPr>
                <w:rFonts w:ascii="Cambria Math" w:hAnsi="Cambria Math"/>
                <w:lang w:eastAsia="zh-CN"/>
              </w:rPr>
              <m:t>,</m:t>
            </m:r>
            <m:r>
              <w:rPr>
                <w:rFonts w:ascii="Cambria Math" w:hAnsi="Cambria Math"/>
                <w:lang w:eastAsia="zh-CN"/>
              </w:rPr>
              <m:t>e</m:t>
            </m:r>
            <m:r>
              <w:rPr>
                <w:rFonts w:ascii="Cambria Math" w:hAnsi="Cambria Math"/>
                <w:lang w:eastAsia="zh-CN"/>
              </w:rPr>
              <m:t>0</m:t>
            </m:r>
          </m:sub>
        </m:sSub>
      </m:oMath>
      <w:r>
        <w:rPr>
          <w:lang w:eastAsia="zh-CN"/>
        </w:rPr>
        <w:t xml:space="preserve"> </w:t>
      </w:r>
      <w:r>
        <w:rPr>
          <w:lang w:eastAsia="zh-CN"/>
        </w:rPr>
        <w:t>为改革前活动与生产地区联合生产比重，则第</w:t>
      </w:r>
      <w:r>
        <w:rPr>
          <w:lang w:eastAsia="zh-CN"/>
        </w:rPr>
        <w:t xml:space="preserve"> </w:t>
      </w:r>
      <m:oMath>
        <m:r>
          <w:rPr>
            <w:rFonts w:ascii="Cambria Math" w:hAnsi="Cambria Math"/>
            <w:lang w:eastAsia="zh-CN"/>
          </w:rPr>
          <m:t>k</m:t>
        </m:r>
      </m:oMath>
      <w:r>
        <w:rPr>
          <w:lang w:eastAsia="zh-CN"/>
        </w:rPr>
        <w:t xml:space="preserve"> </w:t>
      </w:r>
      <w:r>
        <w:rPr>
          <w:lang w:eastAsia="zh-CN"/>
        </w:rPr>
        <w:t>类暴露为：</w:t>
      </w:r>
    </w:p>
    <w:p w14:paraId="3FAAAD62" w14:textId="77777777" w:rsidR="002C0540" w:rsidRDefault="00FE1083">
      <w:pPr>
        <w:pStyle w:val="Equation"/>
      </w:pPr>
      <w:r>
        <w:rPr>
          <w:lang w:eastAsia="zh-CN"/>
        </w:rPr>
        <w:tab/>
      </w:r>
      <m:oMath>
        <m:sSubSup>
          <m:sSubSupPr>
            <m:ctrlPr>
              <w:rPr>
                <w:rFonts w:ascii="Cambria Math" w:hAnsi="Cambria Math"/>
              </w:rPr>
            </m:ctrlPr>
          </m:sSubSupPr>
          <m:e>
            <m:r>
              <w:rPr>
                <w:rFonts w:ascii="Cambria Math" w:hAnsi="Cambria Math"/>
              </w:rPr>
              <m:t>Z</m:t>
            </m:r>
          </m:e>
          <m:sub>
            <m:r>
              <w:rPr>
                <w:rFonts w:ascii="Cambria Math" w:hAnsi="Cambria Math"/>
              </w:rPr>
              <m:t>ft</m:t>
            </m:r>
            <m:r>
              <w:rPr>
                <w:rFonts w:ascii="Cambria Math" w:hAnsi="Cambria Math"/>
              </w:rPr>
              <m:t>,</m:t>
            </m:r>
            <m:r>
              <w:rPr>
                <w:rFonts w:ascii="Cambria Math" w:hAnsi="Cambria Math"/>
              </w:rPr>
              <m:t>e</m:t>
            </m:r>
          </m:sub>
          <m:sup>
            <m:r>
              <w:rPr>
                <w:rFonts w:ascii="Cambria Math" w:hAnsi="Cambria Math"/>
              </w:rPr>
              <m:t>k</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m:t>
            </m:r>
            <m: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a</m:t>
                </m:r>
              </m:e>
              <m:sub>
                <m:r>
                  <w:rPr>
                    <w:rFonts w:ascii="Cambria Math" w:hAnsi="Cambria Math"/>
                  </w:rPr>
                  <m:t>fur</m:t>
                </m:r>
                <m:r>
                  <w:rPr>
                    <w:rFonts w:ascii="Cambria Math" w:hAnsi="Cambria Math"/>
                  </w:rPr>
                  <m:t>,</m:t>
                </m:r>
                <m:r>
                  <w:rPr>
                    <w:rFonts w:ascii="Cambria Math" w:hAnsi="Cambria Math"/>
                  </w:rPr>
                  <m:t>e</m:t>
                </m:r>
                <m:r>
                  <w:rPr>
                    <w:rFonts w:ascii="Cambria Math" w:hAnsi="Cambria Math"/>
                  </w:rPr>
                  <m:t>0</m:t>
                </m:r>
              </m:sub>
            </m:sSub>
          </m:e>
        </m:nary>
        <m:sSubSup>
          <m:sSubSupPr>
            <m:ctrlPr>
              <w:rPr>
                <w:rFonts w:ascii="Cambria Math" w:hAnsi="Cambria Math"/>
              </w:rPr>
            </m:ctrlPr>
          </m:sSubSupPr>
          <m:e>
            <m:r>
              <w:rPr>
                <w:rFonts w:ascii="Cambria Math" w:hAnsi="Cambria Math"/>
              </w:rPr>
              <m:t>z</m:t>
            </m:r>
          </m:e>
          <m:sub>
            <m:r>
              <w:rPr>
                <w:rFonts w:ascii="Cambria Math" w:hAnsi="Cambria Math"/>
              </w:rPr>
              <m:t>urt</m:t>
            </m:r>
          </m:sub>
          <m:sup>
            <m:r>
              <w:rPr>
                <w:rFonts w:ascii="Cambria Math" w:hAnsi="Cambria Math"/>
              </w:rPr>
              <m:t>k</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m:t>
            </m:r>
            <m: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a</m:t>
                </m:r>
              </m:e>
              <m:sub>
                <m:r>
                  <w:rPr>
                    <w:rFonts w:ascii="Cambria Math" w:hAnsi="Cambria Math"/>
                  </w:rPr>
                  <m:t>fur</m:t>
                </m:r>
                <m:r>
                  <w:rPr>
                    <w:rFonts w:ascii="Cambria Math" w:hAnsi="Cambria Math"/>
                  </w:rPr>
                  <m:t>,</m:t>
                </m:r>
                <m:r>
                  <w:rPr>
                    <w:rFonts w:ascii="Cambria Math" w:hAnsi="Cambria Math"/>
                  </w:rPr>
                  <m:t>e</m:t>
                </m:r>
                <m:r>
                  <w:rPr>
                    <w:rFonts w:ascii="Cambria Math" w:hAnsi="Cambria Math"/>
                  </w:rPr>
                  <m:t>0</m:t>
                </m:r>
              </m:sub>
            </m:sSub>
          </m:e>
        </m:nary>
        <m:r>
          <w:rPr>
            <w:rFonts w:ascii="Cambria Math" w:hAnsi="Cambria Math"/>
          </w:rPr>
          <m:t>=1.</m:t>
        </m:r>
      </m:oMath>
      <w:r>
        <w:tab/>
        <w:t>(8)</w:t>
      </w:r>
    </w:p>
    <w:p w14:paraId="11CA51F6" w14:textId="77777777" w:rsidR="002C0540" w:rsidRDefault="00FE1083">
      <w:pPr>
        <w:rPr>
          <w:lang w:eastAsia="zh-CN"/>
        </w:rPr>
      </w:pPr>
      <w:r>
        <w:rPr>
          <w:lang w:eastAsia="zh-CN"/>
        </w:rPr>
        <w:t>式（</w:t>
      </w:r>
      <w:r>
        <w:rPr>
          <w:lang w:eastAsia="zh-CN"/>
        </w:rPr>
        <w:t>8</w:t>
      </w:r>
      <w:r>
        <w:rPr>
          <w:lang w:eastAsia="zh-CN"/>
        </w:rPr>
        <w:t>）的政策状态按冻结的改革前法律待遇组取值，企业同时在多个地区生产时仍采用联合基期权重。以该暴露定义意向处理（</w:t>
      </w:r>
      <w:r>
        <w:rPr>
          <w:lang w:eastAsia="zh-CN"/>
        </w:rPr>
        <w:t>ITT</w:t>
      </w:r>
      <w:r>
        <w:rPr>
          <w:lang w:eastAsia="zh-CN"/>
        </w:rPr>
        <w:t>），跟踪控制权、存续、进入其他业务及产出变化；不因企业改革后换业务而重新分配处理。企业固定效应与基期行业、地区年度效应可用于这层分析，另行处理退出造成的结果不可观测。它回答原有企业的调整；新企业和活动重配置通过式（</w:t>
      </w:r>
      <w:r>
        <w:rPr>
          <w:lang w:eastAsia="zh-CN"/>
        </w:rPr>
        <w:t>3</w:t>
      </w:r>
      <w:r>
        <w:rPr>
          <w:lang w:eastAsia="zh-CN"/>
        </w:rPr>
        <w:t>）</w:t>
      </w:r>
      <w:r>
        <w:rPr>
          <w:lang w:eastAsia="zh-CN"/>
        </w:rPr>
        <w:t>—</w:t>
      </w:r>
      <w:r>
        <w:rPr>
          <w:lang w:eastAsia="zh-CN"/>
        </w:rPr>
        <w:t>（</w:t>
      </w:r>
      <w:r>
        <w:rPr>
          <w:lang w:eastAsia="zh-CN"/>
        </w:rPr>
        <w:t>4</w:t>
      </w:r>
      <w:r>
        <w:rPr>
          <w:lang w:eastAsia="zh-CN"/>
        </w:rPr>
        <w:t>）覆盖，二者估计量不直接相加。</w:t>
      </w:r>
    </w:p>
    <w:p w14:paraId="19B6F72D" w14:textId="77777777" w:rsidR="002C0540" w:rsidRDefault="00FE1083">
      <w:pPr>
        <w:pStyle w:val="21"/>
        <w:rPr>
          <w:lang w:eastAsia="zh-CN"/>
        </w:rPr>
      </w:pPr>
      <w:r>
        <w:rPr>
          <w:lang w:eastAsia="zh-CN"/>
        </w:rPr>
        <w:t>推断与可识别支持</w:t>
      </w:r>
    </w:p>
    <w:p w14:paraId="1B3544A7" w14:textId="77777777" w:rsidR="002C0540" w:rsidRDefault="00FE1083">
      <w:pPr>
        <w:rPr>
          <w:lang w:eastAsia="zh-CN"/>
        </w:rPr>
      </w:pPr>
      <w:r>
        <w:rPr>
          <w:lang w:eastAsia="zh-CN"/>
        </w:rPr>
        <w:t>报告独立活动数、政策共变组数、改革次数和实际处理</w:t>
      </w:r>
      <w:r>
        <w:rPr>
          <w:lang w:eastAsia="zh-CN"/>
        </w:rPr>
        <w:t>—</w:t>
      </w:r>
      <w:r>
        <w:rPr>
          <w:lang w:eastAsia="zh-CN"/>
        </w:rPr>
        <w:t>对照支持，聚类围绕稳定政策赋值单元及共同改革冲击设置，不按企业数宣称冲击充足。重复事件的相关性须保留。有效簇较少时评估适用的小簇推断方法，同时降低结论强度；自助法不能补充不存在的独立变化。事件前趋势、安慰剂和敏感性分析提供诊断，不能证明所有混杂因素已排除。</w:t>
      </w:r>
    </w:p>
    <w:p w14:paraId="65978332" w14:textId="77777777" w:rsidR="002C0540" w:rsidRDefault="00FE1083">
      <w:pPr>
        <w:pStyle w:val="1"/>
        <w:rPr>
          <w:lang w:eastAsia="zh-CN"/>
        </w:rPr>
      </w:pPr>
      <w:r>
        <w:rPr>
          <w:lang w:eastAsia="zh-CN"/>
        </w:rPr>
        <w:t xml:space="preserve">A5 </w:t>
      </w:r>
      <w:r>
        <w:rPr>
          <w:lang w:eastAsia="zh-CN"/>
        </w:rPr>
        <w:t>六类限制的净效应与改革组合</w:t>
      </w:r>
    </w:p>
    <w:p w14:paraId="00910EC7" w14:textId="77777777" w:rsidR="002C0540" w:rsidRDefault="00FE1083">
      <w:r>
        <w:rPr>
          <w:lang w:eastAsia="zh-CN"/>
        </w:rPr>
        <w:t>构造</w:t>
      </w:r>
      <w:r>
        <w:rPr>
          <w:lang w:eastAsia="zh-CN"/>
        </w:rPr>
        <w:t>“</w:t>
      </w:r>
      <w:r>
        <w:rPr>
          <w:lang w:eastAsia="zh-CN"/>
        </w:rPr>
        <w:t>事件</w:t>
      </w:r>
      <w:r>
        <w:rPr>
          <w:lang w:eastAsia="zh-CN"/>
        </w:rPr>
        <w:t>×</w:t>
      </w:r>
      <w:r>
        <w:rPr>
          <w:lang w:eastAsia="zh-CN"/>
        </w:rPr>
        <w:t>限制变化</w:t>
      </w:r>
      <w:r>
        <w:rPr>
          <w:lang w:eastAsia="zh-CN"/>
        </w:rPr>
        <w:t>”</w:t>
      </w:r>
      <w:r>
        <w:rPr>
          <w:lang w:eastAsia="zh-CN"/>
        </w:rPr>
        <w:t>矩阵</w:t>
      </w:r>
      <w:r>
        <w:rPr>
          <w:lang w:eastAsia="zh-CN"/>
        </w:rPr>
        <w:t xml:space="preserve"> </w:t>
      </w:r>
      <m:oMath>
        <m:r>
          <w:rPr>
            <w:rFonts w:ascii="Cambria Math" w:hAnsi="Cambria Math"/>
            <w:lang w:eastAsia="zh-CN"/>
          </w:rPr>
          <m:t>Δ</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ue</m:t>
            </m:r>
          </m:sub>
          <m:sup>
            <m:r>
              <w:rPr>
                <w:rFonts w:ascii="Cambria Math" w:hAnsi="Cambria Math"/>
                <w:lang w:eastAsia="zh-CN"/>
              </w:rPr>
              <m:t>k</m:t>
            </m:r>
          </m:sup>
        </m:sSubSup>
      </m:oMath>
      <w:r>
        <w:rPr>
          <w:lang w:eastAsia="zh-CN"/>
        </w:rPr>
        <w:t>，先检验各列共变、独立转移次数、改革前状态覆盖和联合规格的支持。股比、控制、组织形式等同次变动时，主结果解释为该制度组合；不将六个单变量系数解释为六类净效应。</w:t>
      </w:r>
      <w:r>
        <w:t>设计矩阵满列秩只是必要条件，仍需可比状态和反事实支持；多处理效应异质性也可能使联合固定效应系数混合其他处理效果（</w:t>
      </w:r>
      <w:r>
        <w:t>de Chaisemartin and D’Haultfœuille</w:t>
      </w:r>
      <w:r>
        <w:t>，</w:t>
      </w:r>
      <w:r>
        <w:t>2023</w:t>
      </w:r>
      <w:r>
        <w:t>）。</w:t>
      </w:r>
    </w:p>
    <w:p w14:paraId="57F09433" w14:textId="77777777" w:rsidR="002C0540" w:rsidRDefault="00FE1083">
      <w:pPr>
        <w:pStyle w:val="af7"/>
      </w:pPr>
      <w:r>
        <w:lastRenderedPageBreak/>
        <w:t>表</w:t>
      </w:r>
      <w:r>
        <w:t xml:space="preserve">A3 </w:t>
      </w:r>
      <w:r>
        <w:t>限制类型与可识别对象</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3744"/>
        <w:gridCol w:w="5616"/>
      </w:tblGrid>
      <w:tr w:rsidR="002C0540" w14:paraId="5B8D562E" w14:textId="77777777">
        <w:trPr>
          <w:cantSplit/>
          <w:tblHeader/>
          <w:jc w:val="center"/>
        </w:trPr>
        <w:tc>
          <w:tcPr>
            <w:tcW w:w="3744" w:type="dxa"/>
            <w:tcBorders>
              <w:bottom w:val="single" w:sz="5" w:space="0" w:color="000000"/>
            </w:tcBorders>
            <w:vAlign w:val="center"/>
          </w:tcPr>
          <w:p w14:paraId="4372534D" w14:textId="77777777" w:rsidR="002C0540" w:rsidRDefault="00FE1083">
            <w:pPr>
              <w:pStyle w:val="TableText"/>
              <w:keepNext/>
            </w:pPr>
            <w:r>
              <w:rPr>
                <w:b/>
              </w:rPr>
              <w:t>政策变异</w:t>
            </w:r>
          </w:p>
        </w:tc>
        <w:tc>
          <w:tcPr>
            <w:tcW w:w="5616" w:type="dxa"/>
            <w:tcBorders>
              <w:bottom w:val="single" w:sz="5" w:space="0" w:color="000000"/>
            </w:tcBorders>
            <w:vAlign w:val="center"/>
          </w:tcPr>
          <w:p w14:paraId="13F2900F" w14:textId="77777777" w:rsidR="002C0540" w:rsidRDefault="00FE1083">
            <w:pPr>
              <w:pStyle w:val="TableText"/>
              <w:keepNext/>
            </w:pPr>
            <w:r>
              <w:rPr>
                <w:b/>
              </w:rPr>
              <w:t>主估计对象</w:t>
            </w:r>
          </w:p>
        </w:tc>
      </w:tr>
      <w:tr w:rsidR="002C0540" w14:paraId="112C3658" w14:textId="77777777">
        <w:trPr>
          <w:cantSplit/>
          <w:jc w:val="center"/>
        </w:trPr>
        <w:tc>
          <w:tcPr>
            <w:tcW w:w="3744" w:type="dxa"/>
            <w:vAlign w:val="center"/>
          </w:tcPr>
          <w:p w14:paraId="58300E88" w14:textId="77777777" w:rsidR="002C0540" w:rsidRDefault="00FE1083">
            <w:pPr>
              <w:pStyle w:val="TableText"/>
              <w:keepNext/>
              <w:rPr>
                <w:lang w:eastAsia="zh-CN"/>
              </w:rPr>
            </w:pPr>
            <w:r>
              <w:rPr>
                <w:lang w:eastAsia="zh-CN"/>
              </w:rPr>
              <w:t>某一类变化，其他限制稳定</w:t>
            </w:r>
          </w:p>
        </w:tc>
        <w:tc>
          <w:tcPr>
            <w:tcW w:w="5616" w:type="dxa"/>
            <w:vAlign w:val="center"/>
          </w:tcPr>
          <w:p w14:paraId="46AA5FDB" w14:textId="77777777" w:rsidR="002C0540" w:rsidRDefault="00FE1083">
            <w:pPr>
              <w:pStyle w:val="TableText"/>
              <w:keepNext/>
              <w:rPr>
                <w:lang w:eastAsia="zh-CN"/>
              </w:rPr>
            </w:pPr>
            <w:r>
              <w:rPr>
                <w:lang w:eastAsia="zh-CN"/>
              </w:rPr>
              <w:t>在相应改革前状态下的单类改革效果</w:t>
            </w:r>
          </w:p>
        </w:tc>
      </w:tr>
      <w:tr w:rsidR="002C0540" w14:paraId="13F50917" w14:textId="77777777">
        <w:trPr>
          <w:cantSplit/>
          <w:jc w:val="center"/>
        </w:trPr>
        <w:tc>
          <w:tcPr>
            <w:tcW w:w="3744" w:type="dxa"/>
            <w:vAlign w:val="center"/>
          </w:tcPr>
          <w:p w14:paraId="682D8304" w14:textId="77777777" w:rsidR="002C0540" w:rsidRDefault="00FE1083">
            <w:pPr>
              <w:pStyle w:val="TableText"/>
              <w:keepNext/>
              <w:rPr>
                <w:lang w:eastAsia="zh-CN"/>
              </w:rPr>
            </w:pPr>
            <w:r>
              <w:rPr>
                <w:lang w:eastAsia="zh-CN"/>
              </w:rPr>
              <w:t>多类共同变化，但存在可比的独立转移</w:t>
            </w:r>
          </w:p>
        </w:tc>
        <w:tc>
          <w:tcPr>
            <w:tcW w:w="5616" w:type="dxa"/>
            <w:vAlign w:val="center"/>
          </w:tcPr>
          <w:p w14:paraId="3508215F" w14:textId="77777777" w:rsidR="002C0540" w:rsidRDefault="00FE1083">
            <w:pPr>
              <w:pStyle w:val="TableText"/>
              <w:keepNext/>
              <w:rPr>
                <w:lang w:eastAsia="zh-CN"/>
              </w:rPr>
            </w:pPr>
            <w:r>
              <w:rPr>
                <w:lang w:eastAsia="zh-CN"/>
              </w:rPr>
              <w:t>分状态比较各类及有支持的组合效果</w:t>
            </w:r>
          </w:p>
        </w:tc>
      </w:tr>
      <w:tr w:rsidR="002C0540" w14:paraId="186C0095" w14:textId="77777777">
        <w:trPr>
          <w:cantSplit/>
          <w:jc w:val="center"/>
        </w:trPr>
        <w:tc>
          <w:tcPr>
            <w:tcW w:w="3744" w:type="dxa"/>
            <w:vAlign w:val="center"/>
          </w:tcPr>
          <w:p w14:paraId="3A6A6716" w14:textId="77777777" w:rsidR="002C0540" w:rsidRDefault="00FE1083">
            <w:pPr>
              <w:pStyle w:val="TableText"/>
            </w:pPr>
            <w:r>
              <w:t>多类始终共同变化</w:t>
            </w:r>
          </w:p>
        </w:tc>
        <w:tc>
          <w:tcPr>
            <w:tcW w:w="5616" w:type="dxa"/>
            <w:vAlign w:val="center"/>
          </w:tcPr>
          <w:p w14:paraId="1F018585" w14:textId="77777777" w:rsidR="002C0540" w:rsidRDefault="00FE1083">
            <w:pPr>
              <w:pStyle w:val="TableText"/>
              <w:rPr>
                <w:lang w:eastAsia="zh-CN"/>
              </w:rPr>
            </w:pPr>
            <w:r>
              <w:rPr>
                <w:lang w:eastAsia="zh-CN"/>
              </w:rPr>
              <w:t>合并改革效果，不作类型净贡献排序</w:t>
            </w:r>
          </w:p>
        </w:tc>
      </w:tr>
    </w:tbl>
    <w:p w14:paraId="025F0FA0" w14:textId="77777777" w:rsidR="002C0540" w:rsidRDefault="002C0540">
      <w:pPr>
        <w:spacing w:after="40" w:line="84" w:lineRule="auto"/>
        <w:rPr>
          <w:lang w:eastAsia="zh-CN"/>
        </w:rPr>
      </w:pPr>
    </w:p>
    <w:p w14:paraId="13E72925" w14:textId="77777777" w:rsidR="002C0540" w:rsidRDefault="00FE1083">
      <w:pPr>
        <w:rPr>
          <w:lang w:eastAsia="zh-CN"/>
        </w:rPr>
      </w:pPr>
      <w:r>
        <w:rPr>
          <w:lang w:eastAsia="zh-CN"/>
        </w:rPr>
        <w:t>联合六变量规格仅作为独立变异足够时的补充，允许有经济依据且数据支持的状态异质性，不以模型设定强行拆分完全共变的限制。对于不同类型政策松绑，事先统一限制强度方向；数值股比上限提高意味着股比限制减弱，不能套用二元限制取消的编码或默认相同剂量。交互和非线性剂量响应仅在实际改革支持范围内解释。贡献比较限定于可识别的类型或组合，并使用同一基准、样本和期限；存在交互时，明确采用的政策路径或分摊规则，分摊不解释为独立因果识别。禁止准入的解除单列事件，有限限制回归不承担从原来不允许生产到允许生产的结构映射。</w:t>
      </w:r>
    </w:p>
    <w:p w14:paraId="262236E1" w14:textId="77777777" w:rsidR="002C0540" w:rsidRDefault="00FE1083">
      <w:pPr>
        <w:pStyle w:val="1"/>
        <w:rPr>
          <w:lang w:eastAsia="zh-CN"/>
        </w:rPr>
      </w:pPr>
      <w:r>
        <w:rPr>
          <w:lang w:eastAsia="zh-CN"/>
        </w:rPr>
        <w:t xml:space="preserve">A6 </w:t>
      </w:r>
      <w:r>
        <w:rPr>
          <w:lang w:eastAsia="zh-CN"/>
        </w:rPr>
        <w:t>从政策生产响应到结构等价经营成本</w:t>
      </w:r>
    </w:p>
    <w:p w14:paraId="09A01655" w14:textId="77777777" w:rsidR="002C0540" w:rsidRDefault="00FE1083">
      <w:pPr>
        <w:pStyle w:val="21"/>
        <w:rPr>
          <w:lang w:eastAsia="zh-CN"/>
        </w:rPr>
      </w:pPr>
      <w:r>
        <w:rPr>
          <w:lang w:eastAsia="zh-CN"/>
        </w:rPr>
        <w:t>反演对象与计价口径</w:t>
      </w:r>
    </w:p>
    <w:p w14:paraId="5D855E05" w14:textId="77777777" w:rsidR="002C0540" w:rsidRDefault="00FE1083">
      <w:pPr>
        <w:rPr>
          <w:lang w:eastAsia="zh-CN"/>
        </w:rPr>
      </w:pPr>
      <w:r>
        <w:rPr>
          <w:lang w:eastAsia="zh-CN"/>
        </w:rPr>
        <w:t>结构分析识别特定负面清单改革对应的相对经营成本变化。研究修订材料采用</w:t>
      </w:r>
      <w:r>
        <w:rPr>
          <w:lang w:eastAsia="zh-CN"/>
        </w:rPr>
        <w:t>“</w:t>
      </w:r>
      <w:r>
        <w:rPr>
          <w:lang w:eastAsia="zh-CN"/>
        </w:rPr>
        <w:t>制度文本</w:t>
      </w:r>
      <w:r>
        <w:rPr>
          <w:lang w:eastAsia="zh-CN"/>
        </w:rPr>
        <w:t>—</w:t>
      </w:r>
      <w:r>
        <w:rPr>
          <w:lang w:eastAsia="zh-CN"/>
        </w:rPr>
        <w:t>流量响应</w:t>
      </w:r>
      <w:r>
        <w:rPr>
          <w:lang w:eastAsia="zh-CN"/>
        </w:rPr>
        <w:t>—</w:t>
      </w:r>
      <w:r>
        <w:rPr>
          <w:lang w:eastAsia="zh-CN"/>
        </w:rPr>
        <w:t>等价成本</w:t>
      </w:r>
      <w:r>
        <w:rPr>
          <w:lang w:eastAsia="zh-CN"/>
        </w:rPr>
        <w:t>”</w:t>
      </w:r>
      <w:r>
        <w:rPr>
          <w:lang w:eastAsia="zh-CN"/>
        </w:rPr>
        <w:t>的方法，本方案沿用其思路，重新估计中国单边准入改革的生产响应，不套用深度贸易协定（</w:t>
      </w:r>
      <w:r>
        <w:rPr>
          <w:lang w:eastAsia="zh-CN"/>
        </w:rPr>
        <w:t>DTA</w:t>
      </w:r>
      <w:r>
        <w:rPr>
          <w:lang w:eastAsia="zh-CN"/>
        </w:rPr>
        <w:t>）的系数、指数尺度或成本数值。基准总摩擦可以继续用于模型校准，但不将距离无法解释的残差定义为制度成本，也不识别完整的历史制度成本存量。</w:t>
      </w:r>
    </w:p>
    <w:p w14:paraId="6074C6EC" w14:textId="77777777" w:rsidR="002C0540" w:rsidRDefault="00FE1083">
      <w:pPr>
        <w:rPr>
          <w:lang w:eastAsia="zh-CN"/>
        </w:rPr>
      </w:pPr>
      <w:r>
        <w:rPr>
          <w:lang w:eastAsia="zh-CN"/>
        </w:rPr>
        <w:t>模型中，母国</w:t>
      </w:r>
      <w:r>
        <w:rPr>
          <w:lang w:eastAsia="zh-CN"/>
        </w:rPr>
        <w:t xml:space="preserve"> </w:t>
      </w:r>
      <m:oMath>
        <m:r>
          <w:rPr>
            <w:rFonts w:ascii="Cambria Math" w:hAnsi="Cambria Math"/>
            <w:lang w:eastAsia="zh-CN"/>
          </w:rPr>
          <m:t>m</m:t>
        </m:r>
      </m:oMath>
      <w:r>
        <w:rPr>
          <w:lang w:eastAsia="zh-CN"/>
        </w:rPr>
        <w:t xml:space="preserve"> </w:t>
      </w:r>
      <w:r>
        <w:rPr>
          <w:lang w:eastAsia="zh-CN"/>
        </w:rPr>
        <w:t>的企业在生产国</w:t>
      </w:r>
      <w:r>
        <w:rPr>
          <w:lang w:eastAsia="zh-CN"/>
        </w:rPr>
        <w:t xml:space="preserve"> </w:t>
      </w:r>
      <m:oMath>
        <m:r>
          <w:rPr>
            <w:rFonts w:ascii="Cambria Math" w:hAnsi="Cambria Math"/>
            <w:lang w:eastAsia="zh-CN"/>
          </w:rPr>
          <m:t>i</m:t>
        </m:r>
      </m:oMath>
      <w:r>
        <w:rPr>
          <w:lang w:eastAsia="zh-CN"/>
        </w:rPr>
        <w:t>、部门</w:t>
      </w:r>
      <w:r>
        <w:rPr>
          <w:lang w:eastAsia="zh-CN"/>
        </w:rPr>
        <w:t xml:space="preserve"> </w:t>
      </w:r>
      <m:oMath>
        <m:r>
          <w:rPr>
            <w:rFonts w:ascii="Cambria Math" w:hAnsi="Cambria Math"/>
            <w:lang w:eastAsia="zh-CN"/>
          </w:rPr>
          <m:t>j</m:t>
        </m:r>
      </m:oMath>
      <w:r>
        <w:rPr>
          <w:lang w:eastAsia="zh-CN"/>
        </w:rPr>
        <w:t xml:space="preserve"> </w:t>
      </w:r>
      <w:r>
        <w:rPr>
          <w:lang w:eastAsia="zh-CN"/>
        </w:rPr>
        <w:t>的效率项</w:t>
      </w:r>
      <w:r>
        <w:rPr>
          <w:lang w:eastAsia="zh-CN"/>
        </w:rPr>
        <w:t xml:space="preserve"> </w:t>
      </w:r>
      <m:oMath>
        <m:sSub>
          <m:sSubPr>
            <m:ctrlPr>
              <w:rPr>
                <w:rFonts w:ascii="Cambria Math" w:hAnsi="Cambria Math"/>
              </w:rPr>
            </m:ctrlPr>
          </m:sSubPr>
          <m:e>
            <m:r>
              <w:rPr>
                <w:rFonts w:ascii="Cambria Math" w:hAnsi="Cambria Math"/>
                <w:lang w:eastAsia="zh-CN"/>
              </w:rPr>
              <m:t>ξ</m:t>
            </m:r>
          </m:e>
          <m:sub>
            <m:r>
              <w:rPr>
                <w:rFonts w:ascii="Cambria Math" w:hAnsi="Cambria Math"/>
                <w:lang w:eastAsia="zh-CN"/>
              </w:rPr>
              <m:t>imj</m:t>
            </m:r>
          </m:sub>
        </m:sSub>
      </m:oMath>
      <w:r>
        <w:rPr>
          <w:lang w:eastAsia="zh-CN"/>
        </w:rPr>
        <w:t xml:space="preserve"> </w:t>
      </w:r>
      <w:r>
        <w:rPr>
          <w:lang w:eastAsia="zh-CN"/>
        </w:rPr>
        <w:t>以倒数进入单位成本。定义成本楔子及其相对冲击：</w:t>
      </w:r>
    </w:p>
    <w:p w14:paraId="7B003528" w14:textId="77777777" w:rsidR="002C0540" w:rsidRDefault="00FE1083">
      <w:pPr>
        <w:pStyle w:val="Equation"/>
      </w:pPr>
      <w:r>
        <w:rPr>
          <w:lang w:eastAsia="zh-CN"/>
        </w:rPr>
        <w:tab/>
      </w:r>
      <m:oMath>
        <m:sSubSup>
          <m:sSubSupPr>
            <m:ctrlPr>
              <w:rPr>
                <w:rFonts w:ascii="Cambria Math" w:hAnsi="Cambria Math"/>
              </w:rPr>
            </m:ctrlPr>
          </m:sSubSupPr>
          <m:e>
            <m:r>
              <w:rPr>
                <w:rFonts w:ascii="Cambria Math" w:hAnsi="Cambria Math"/>
              </w:rPr>
              <m:t>d</m:t>
            </m:r>
          </m:e>
          <m:sub>
            <m:r>
              <w:rPr>
                <w:rFonts w:ascii="Cambria Math" w:hAnsi="Cambria Math"/>
              </w:rPr>
              <m:t>imj</m:t>
            </m:r>
          </m:sub>
          <m:sup>
            <m:r>
              <w:rPr>
                <w:rFonts w:ascii="Cambria Math" w:hAnsi="Cambria Math"/>
              </w:rPr>
              <m:t>MP</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ξ</m:t>
                </m:r>
              </m:e>
              <m:sub>
                <m:r>
                  <w:rPr>
                    <w:rFonts w:ascii="Cambria Math" w:hAnsi="Cambria Math"/>
                  </w:rPr>
                  <m:t>imj</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mj</m:t>
            </m:r>
          </m:sub>
        </m:sSub>
        <m:r>
          <w:rPr>
            <w:rFonts w:ascii="Cambria Math" w:hAnsi="Cambria Math"/>
          </w:rPr>
          <m:t>≡</m:t>
        </m:r>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Cmj</m:t>
                </m:r>
              </m:sub>
              <m:sup>
                <m:r>
                  <w:rPr>
                    <w:rFonts w:ascii="Cambria Math" w:hAnsi="Cambria Math"/>
                  </w:rPr>
                  <m:t>MP</m:t>
                </m:r>
                <m:r>
                  <w:rPr>
                    <w:rFonts w:ascii="Cambria Math" w:hAnsi="Cambria Math"/>
                  </w:rPr>
                  <m:t>,</m:t>
                </m:r>
                <m:r>
                  <w:rPr>
                    <w:rFonts w:ascii="Cambria Math" w:hAnsi="Cambria Math"/>
                  </w:rPr>
                  <m:t>cf</m:t>
                </m:r>
              </m:sup>
            </m:sSubSup>
          </m:num>
          <m:den>
            <m:sSubSup>
              <m:sSubSupPr>
                <m:ctrlPr>
                  <w:rPr>
                    <w:rFonts w:ascii="Cambria Math" w:hAnsi="Cambria Math"/>
                  </w:rPr>
                </m:ctrlPr>
              </m:sSubSupPr>
              <m:e>
                <m:r>
                  <w:rPr>
                    <w:rFonts w:ascii="Cambria Math" w:hAnsi="Cambria Math"/>
                  </w:rPr>
                  <m:t>d</m:t>
                </m:r>
              </m:e>
              <m:sub>
                <m:r>
                  <w:rPr>
                    <w:rFonts w:ascii="Cambria Math" w:hAnsi="Cambria Math"/>
                  </w:rPr>
                  <m:t>Cmj</m:t>
                </m:r>
              </m:sub>
              <m:sup>
                <m:r>
                  <w:rPr>
                    <w:rFonts w:ascii="Cambria Math" w:hAnsi="Cambria Math"/>
                  </w:rPr>
                  <m:t>MP</m:t>
                </m:r>
                <m:r>
                  <w:rPr>
                    <w:rFonts w:ascii="Cambria Math" w:hAnsi="Cambria Math"/>
                  </w:rPr>
                  <m:t>,0</m:t>
                </m:r>
              </m:sup>
            </m:sSubSup>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Cmj</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mj</m:t>
            </m:r>
          </m:sub>
        </m:sSub>
        <m:r>
          <w:rPr>
            <w:rFonts w:ascii="Cambria Math" w:hAnsi="Cambria Math"/>
          </w:rPr>
          <m:t>).</m:t>
        </m:r>
      </m:oMath>
      <w:r>
        <w:tab/>
        <w:t>(9)</w:t>
      </w:r>
    </w:p>
    <w:p w14:paraId="52042F2C" w14:textId="77777777" w:rsidR="002C0540" w:rsidRDefault="00FE1083">
      <w:pPr>
        <w:rPr>
          <w:lang w:eastAsia="zh-CN"/>
        </w:rPr>
      </w:pPr>
      <m:oMath>
        <m:r>
          <w:rPr>
            <w:rFonts w:ascii="Cambria Math" w:hAnsi="Cambria Math"/>
            <w:lang w:eastAsia="zh-CN"/>
          </w:rPr>
          <m:t>C</m:t>
        </m:r>
      </m:oMath>
      <w:r>
        <w:rPr>
          <w:lang w:eastAsia="zh-CN"/>
        </w:rPr>
        <w:t xml:space="preserve"> </w:t>
      </w:r>
      <w:r>
        <w:rPr>
          <w:lang w:eastAsia="zh-CN"/>
        </w:rPr>
        <w:t>表示中国，</w:t>
      </w:r>
      <m:oMath>
        <m:r>
          <w:rPr>
            <w:rFonts w:ascii="Cambria Math" w:hAnsi="Cambria Math"/>
            <w:lang w:eastAsia="zh-CN"/>
          </w:rPr>
          <m:t>0</m:t>
        </m:r>
      </m:oMath>
      <w:r>
        <w:rPr>
          <w:lang w:eastAsia="zh-CN"/>
        </w:rPr>
        <w:t xml:space="preserve"> </w:t>
      </w:r>
      <w:r>
        <w:rPr>
          <w:lang w:eastAsia="zh-CN"/>
        </w:rPr>
        <w:t>与</w:t>
      </w:r>
      <w:r>
        <w:rPr>
          <w:lang w:eastAsia="zh-CN"/>
        </w:rPr>
        <w:t xml:space="preserve"> </w:t>
      </w:r>
      <m:oMath>
        <m:r>
          <w:rPr>
            <w:rFonts w:ascii="Cambria Math" w:hAnsi="Cambria Math"/>
            <w:lang w:eastAsia="zh-CN"/>
          </w:rPr>
          <m:t>cf</m:t>
        </m:r>
      </m:oMath>
      <w:r>
        <w:rPr>
          <w:lang w:eastAsia="zh-CN"/>
        </w:rPr>
        <w:t xml:space="preserve"> </w:t>
      </w:r>
      <w:r>
        <w:rPr>
          <w:lang w:eastAsia="zh-CN"/>
        </w:rPr>
        <w:t>分别表示基准和反事实。成本下降对应</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mj</m:t>
            </m:r>
          </m:sub>
        </m:sSub>
        <m:r>
          <w:rPr>
            <w:rFonts w:ascii="Cambria Math" w:hAnsi="Cambria Math"/>
            <w:lang w:eastAsia="zh-CN"/>
          </w:rPr>
          <m:t>&lt;0</m:t>
        </m:r>
      </m:oMath>
      <w:r>
        <w:rPr>
          <w:lang w:eastAsia="zh-CN"/>
        </w:rPr>
        <w:t>。本研究直接以</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mj</m:t>
            </m:r>
          </m:sub>
        </m:sSub>
      </m:oMath>
      <w:r>
        <w:rPr>
          <w:lang w:eastAsia="zh-CN"/>
        </w:rPr>
        <w:t xml:space="preserve"> </w:t>
      </w:r>
      <w:r>
        <w:rPr>
          <w:lang w:eastAsia="zh-CN"/>
        </w:rPr>
        <w:t>描述政策引起的模型相对成本，不另引入经验成本到结构成本的尺度转换参数。</w:t>
      </w:r>
    </w:p>
    <w:p w14:paraId="05929DB4" w14:textId="77777777" w:rsidR="002C0540" w:rsidRDefault="00FE1083">
      <w:pPr>
        <w:rPr>
          <w:lang w:eastAsia="zh-CN"/>
        </w:rPr>
      </w:pPr>
      <w:r>
        <w:rPr>
          <w:lang w:eastAsia="zh-CN"/>
        </w:rPr>
        <w:lastRenderedPageBreak/>
        <w:t>企业产出与三边流量须先统一计价。模型附录式（</w:t>
      </w:r>
      <w:r>
        <w:rPr>
          <w:lang w:eastAsia="zh-CN"/>
        </w:rPr>
        <w:t>18</w:t>
      </w:r>
      <w:r>
        <w:rPr>
          <w:lang w:eastAsia="zh-CN"/>
        </w:rPr>
        <w:t>）将</w:t>
      </w:r>
      <w:r>
        <w:rPr>
          <w:lang w:eastAsia="zh-CN"/>
        </w:rP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lang w:eastAsia="zh-CN"/>
                  </w:rPr>
                  <m:t>X</m:t>
                </m:r>
              </m:e>
              <m:sub>
                <m:r>
                  <w:rPr>
                    <w:rFonts w:ascii="Cambria Math" w:hAnsi="Cambria Math"/>
                    <w:lang w:eastAsia="zh-CN"/>
                  </w:rPr>
                  <m:t>nCmj</m:t>
                </m:r>
              </m:sub>
            </m:sSub>
          </m:num>
          <m:den>
            <m:sSub>
              <m:sSubPr>
                <m:ctrlPr>
                  <w:rPr>
                    <w:rFonts w:ascii="Cambria Math" w:hAnsi="Cambria Math"/>
                  </w:rPr>
                </m:ctrlPr>
              </m:sSubPr>
              <m:e>
                <m:r>
                  <w:rPr>
                    <w:rFonts w:ascii="Cambria Math" w:hAnsi="Cambria Math"/>
                    <w:lang w:eastAsia="zh-CN"/>
                  </w:rPr>
                  <m:t>τ</m:t>
                </m:r>
              </m:e>
              <m:sub>
                <m:r>
                  <w:rPr>
                    <w:rFonts w:ascii="Cambria Math" w:hAnsi="Cambria Math"/>
                    <w:lang w:eastAsia="zh-CN"/>
                  </w:rPr>
                  <m:t>nCj</m:t>
                </m:r>
              </m:sub>
            </m:sSub>
          </m:den>
        </m:f>
      </m:oMath>
      <w:r>
        <w:rPr>
          <w:lang w:eastAsia="zh-CN"/>
        </w:rPr>
        <w:t xml:space="preserve"> </w:t>
      </w:r>
      <w:r>
        <w:rPr>
          <w:lang w:eastAsia="zh-CN"/>
        </w:rPr>
        <w:t>写为生产者端收入，而式（</w:t>
      </w:r>
      <w:r>
        <w:rPr>
          <w:lang w:eastAsia="zh-CN"/>
        </w:rPr>
        <w:t>19</w:t>
      </w:r>
      <w:r>
        <w:rPr>
          <w:lang w:eastAsia="zh-CN"/>
        </w:rPr>
        <w:t>）使用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nCmj</m:t>
            </m:r>
          </m:sub>
        </m:sSub>
      </m:oMath>
      <w:r>
        <w:rPr>
          <w:lang w:eastAsia="zh-CN"/>
        </w:rPr>
        <w:t xml:space="preserve"> </w:t>
      </w:r>
      <w:r>
        <w:rPr>
          <w:lang w:eastAsia="zh-CN"/>
        </w:rPr>
        <w:t>表示目的市场流量，二者不能自动替代。定义观测算子</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，将三边流量转换为与企业数据相同的生产者或购买者价格、价格年份与货币口径：</w:t>
      </w:r>
    </w:p>
    <w:p w14:paraId="64B8B963" w14:textId="77777777" w:rsidR="002C0540" w:rsidRDefault="00FE1083">
      <w:pPr>
        <w:pStyle w:val="Equation"/>
      </w:pPr>
      <w:r>
        <w:rPr>
          <w:lang w:eastAsia="zh-CN"/>
        </w:rPr>
        <w:tab/>
      </w:r>
      <m:oMath>
        <m:sSub>
          <m:sSubPr>
            <m:ctrlPr>
              <w:rPr>
                <w:rFonts w:ascii="Cambria Math" w:hAnsi="Cambria Math"/>
              </w:rPr>
            </m:ctrlPr>
          </m:sSubPr>
          <m:e>
            <m:r>
              <w:rPr>
                <w:rFonts w:ascii="Cambria Math" w:hAnsi="Cambria Math"/>
              </w:rPr>
              <m:t>Q</m:t>
            </m:r>
          </m:e>
          <m:sub>
            <m:r>
              <w:rPr>
                <w:rFonts w:ascii="Cambria Math" w:hAnsi="Cambria Math"/>
              </w:rPr>
              <m:t>Cmj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V</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nCmj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nCj</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Cj</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m</m:t>
                </m:r>
                <m:r>
                  <w:rPr>
                    <w:rFonts w:ascii="Cambria Math" w:hAnsi="Cambria Math"/>
                  </w:rPr>
                  <m:t>≠</m:t>
                </m:r>
                <m:r>
                  <w:rPr>
                    <w:rFonts w:ascii="Cambria Math" w:hAnsi="Cambria Math"/>
                  </w:rPr>
                  <m:t>C</m:t>
                </m:r>
              </m:sub>
              <m:sup/>
              <m:e>
                <m:sSub>
                  <m:sSubPr>
                    <m:ctrlPr>
                      <w:rPr>
                        <w:rFonts w:ascii="Cambria Math" w:hAnsi="Cambria Math"/>
                      </w:rPr>
                    </m:ctrlPr>
                  </m:sSubPr>
                  <m:e>
                    <m:r>
                      <w:rPr>
                        <w:rFonts w:ascii="Cambria Math" w:hAnsi="Cambria Math"/>
                      </w:rPr>
                      <m:t>Q</m:t>
                    </m:r>
                  </m:e>
                  <m:sub>
                    <m:r>
                      <w:rPr>
                        <w:rFonts w:ascii="Cambria Math" w:hAnsi="Cambria Math"/>
                      </w:rPr>
                      <m:t>Cmj</m:t>
                    </m:r>
                  </m:sub>
                </m:sSub>
              </m:e>
            </m:nary>
          </m:num>
          <m:den>
            <m:nary>
              <m:naryPr>
                <m:chr m:val="∑"/>
                <m:limLoc m:val="undOvr"/>
                <m:grow m:val="1"/>
                <m:supHide m:val="1"/>
                <m:ctrlPr>
                  <w:rPr>
                    <w:rFonts w:ascii="Cambria Math" w:hAnsi="Cambria Math"/>
                  </w:rPr>
                </m:ctrlPr>
              </m:naryPr>
              <m:sub>
                <m:r>
                  <w:rPr>
                    <w:rFonts w:ascii="Cambria Math" w:hAnsi="Cambria Math"/>
                  </w:rPr>
                  <m:t>m</m:t>
                </m:r>
              </m:sub>
              <m:sup/>
              <m:e>
                <m:sSub>
                  <m:sSubPr>
                    <m:ctrlPr>
                      <w:rPr>
                        <w:rFonts w:ascii="Cambria Math" w:hAnsi="Cambria Math"/>
                      </w:rPr>
                    </m:ctrlPr>
                  </m:sSubPr>
                  <m:e>
                    <m:r>
                      <w:rPr>
                        <w:rFonts w:ascii="Cambria Math" w:hAnsi="Cambria Math"/>
                      </w:rPr>
                      <m:t>Q</m:t>
                    </m:r>
                  </m:e>
                  <m:sub>
                    <m:r>
                      <w:rPr>
                        <w:rFonts w:ascii="Cambria Math" w:hAnsi="Cambria Math"/>
                      </w:rPr>
                      <m:t>Cmj</m:t>
                    </m:r>
                  </m:sub>
                </m:sSub>
              </m:e>
            </m:nary>
          </m:den>
        </m:f>
        <m:r>
          <w:rPr>
            <w:rFonts w:ascii="Cambria Math" w:hAnsi="Cambria Math"/>
          </w:rPr>
          <m:t>.</m:t>
        </m:r>
      </m:oMath>
      <w:r>
        <w:tab/>
        <w:t>(10)</w:t>
      </w:r>
    </w:p>
    <w:p w14:paraId="1DACF13F" w14:textId="77777777" w:rsidR="002C0540" w:rsidRDefault="00FE1083">
      <w:pPr>
        <w:rPr>
          <w:lang w:eastAsia="zh-CN"/>
        </w:rPr>
      </w:pPr>
      <m:oMath>
        <m:r>
          <w:rPr>
            <w:rFonts w:ascii="Cambria Math" w:hAnsi="Cambria Math"/>
            <w:lang w:eastAsia="zh-CN"/>
          </w:rPr>
          <m:t>P</m:t>
        </m:r>
      </m:oMath>
      <w:r>
        <w:rPr>
          <w:lang w:eastAsia="zh-CN"/>
        </w:rPr>
        <w:t xml:space="preserve"> </w:t>
      </w:r>
      <w:r>
        <w:rPr>
          <w:lang w:eastAsia="zh-CN"/>
        </w:rPr>
        <w:t>表示相应价格或平减指标。采用生产者端收入时，</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 xml:space="preserve"> </w:t>
      </w:r>
      <w:r>
        <w:rPr>
          <w:lang w:eastAsia="zh-CN"/>
        </w:rPr>
        <w:t>必须包含贸易成本处理；当实证采用价格调整后的生产价值时，模型结果也施加一致调整。不得为便于反演而更换目标口径。</w:t>
      </w:r>
    </w:p>
    <w:p w14:paraId="0EAFAF0B" w14:textId="77777777" w:rsidR="002C0540" w:rsidRDefault="00FE1083">
      <w:pPr>
        <w:pStyle w:val="21"/>
        <w:rPr>
          <w:lang w:eastAsia="zh-CN"/>
        </w:rPr>
      </w:pPr>
      <w:r>
        <w:rPr>
          <w:lang w:eastAsia="zh-CN"/>
        </w:rPr>
        <w:t>数值反演与识别算子</w:t>
      </w:r>
    </w:p>
    <w:p w14:paraId="04DAF278" w14:textId="77777777" w:rsidR="002C0540" w:rsidRDefault="00FE1083">
      <w:pPr>
        <w:rPr>
          <w:lang w:eastAsia="zh-CN"/>
        </w:rPr>
      </w:pPr>
      <w:r>
        <w:rPr>
          <w:lang w:eastAsia="zh-CN"/>
        </w:rPr>
        <w:t>主方法为数值反演。令</w:t>
      </w:r>
      <w:r>
        <w:rPr>
          <w:lang w:eastAsia="zh-CN"/>
        </w:rPr>
        <w:t xml:space="preserve"> </w:t>
      </w:r>
      <m:oMath>
        <m:sSup>
          <m:sSupPr>
            <m:ctrlPr>
              <w:rPr>
                <w:rFonts w:ascii="Cambria Math" w:hAnsi="Cambria Math"/>
              </w:rPr>
            </m:ctrlPr>
          </m:sSupPr>
          <m:e>
            <m:r>
              <w:rPr>
                <w:rFonts w:ascii="Cambria Math" w:hAnsi="Cambria Math"/>
                <w:lang w:eastAsia="zh-CN"/>
              </w:rPr>
              <m:t>G</m:t>
            </m:r>
          </m:e>
          <m:sup>
            <m:r>
              <w:rPr>
                <w:rFonts w:ascii="Cambria Math" w:hAnsi="Cambria Math"/>
                <w:lang w:eastAsia="zh-CN"/>
              </w:rPr>
              <m:t>c</m:t>
            </m:r>
          </m:sup>
        </m:sSup>
        <m:r>
          <w:rPr>
            <w:rFonts w:ascii="Cambria Math" w:hAnsi="Cambria Math"/>
            <w:lang w:eastAsia="zh-CN"/>
          </w:rPr>
          <m:t>(</m:t>
        </m:r>
        <m:r>
          <w:rPr>
            <w:rFonts w:ascii="Cambria Math" w:hAnsi="Cambria Math"/>
            <w:lang w:eastAsia="zh-CN"/>
          </w:rPr>
          <m:t>δ</m:t>
        </m:r>
        <m:r>
          <w:rPr>
            <w:rFonts w:ascii="Cambria Math" w:hAnsi="Cambria Math"/>
            <w:lang w:eastAsia="zh-CN"/>
          </w:rPr>
          <m:t>)</m:t>
        </m:r>
      </m:oMath>
      <w:r>
        <w:rPr>
          <w:lang w:eastAsia="zh-CN"/>
        </w:rPr>
        <w:t xml:space="preserve"> </w:t>
      </w:r>
      <w:r>
        <w:rPr>
          <w:lang w:eastAsia="zh-CN"/>
        </w:rPr>
        <w:t>表示给定成本冲击后的模型解，</w:t>
      </w:r>
      <m:oMath>
        <m:r>
          <w:rPr>
            <w:rFonts w:ascii="Cambria Math" w:hAnsi="Cambria Math"/>
            <w:lang w:eastAsia="zh-CN"/>
          </w:rPr>
          <m:t>c</m:t>
        </m:r>
        <m:r>
          <w:rPr>
            <w:rFonts w:ascii="Cambria Math" w:hAnsi="Cambria Math"/>
            <w:lang w:eastAsia="zh-CN"/>
          </w:rPr>
          <m:t>∈{</m:t>
        </m:r>
        <m:r>
          <w:rPr>
            <w:rFonts w:ascii="Cambria Math" w:hAnsi="Cambria Math"/>
            <w:lang w:eastAsia="zh-CN"/>
          </w:rPr>
          <m:t>PE</m:t>
        </m:r>
        <m:r>
          <w:rPr>
            <w:rFonts w:ascii="Cambria Math" w:hAnsi="Cambria Math"/>
            <w:lang w:eastAsia="zh-CN"/>
          </w:rPr>
          <m:t>,</m:t>
        </m:r>
        <m:r>
          <w:rPr>
            <w:rFonts w:ascii="Cambria Math" w:hAnsi="Cambria Math"/>
            <w:lang w:eastAsia="zh-CN"/>
          </w:rPr>
          <m:t>GE</m:t>
        </m:r>
        <m:r>
          <w:rPr>
            <w:rFonts w:ascii="Cambria Math" w:hAnsi="Cambria Math"/>
            <w:lang w:eastAsia="zh-CN"/>
          </w:rPr>
          <m:t>}</m:t>
        </m:r>
      </m:oMath>
      <w:r>
        <w:rPr>
          <w:lang w:eastAsia="zh-CN"/>
        </w:rPr>
        <w:t xml:space="preserve"> </w:t>
      </w:r>
      <w:r>
        <w:rPr>
          <w:lang w:eastAsia="zh-CN"/>
        </w:rPr>
        <w:t>分别表示局部均衡和一般均衡闭合；令</w:t>
      </w:r>
      <w:r>
        <w:rPr>
          <w:lang w:eastAsia="zh-CN"/>
        </w:rPr>
        <w:t xml:space="preserve"> </w:t>
      </w:r>
      <m:oMath>
        <m:r>
          <w:rPr>
            <w:rFonts w:ascii="Cambria Math" w:hAnsi="Cambria Math"/>
            <w:lang w:eastAsia="zh-CN"/>
          </w:rPr>
          <m:t>O</m:t>
        </m:r>
      </m:oMath>
      <w:r>
        <w:rPr>
          <w:lang w:eastAsia="zh-CN"/>
        </w:rPr>
        <w:t xml:space="preserve"> </w:t>
      </w:r>
      <w:r>
        <w:rPr>
          <w:lang w:eastAsia="zh-CN"/>
        </w:rPr>
        <w:t>表示经验观测与比较算子，包括结果变换、部门汇总、事件窗口、处理与对照组及其权重。以实证识别的生产响应向量</w:t>
      </w:r>
      <w:r>
        <w:rPr>
          <w:lang w:eastAsia="zh-CN"/>
        </w:rPr>
        <w:t xml:space="preserve"> </w:t>
      </w:r>
      <m:oMath>
        <m:acc>
          <m:accPr>
            <m:ctrlPr>
              <w:rPr>
                <w:rFonts w:ascii="Cambria Math" w:hAnsi="Cambria Math"/>
              </w:rPr>
            </m:ctrlPr>
          </m:accPr>
          <m:e>
            <m:r>
              <w:rPr>
                <w:rFonts w:ascii="Cambria Math" w:hAnsi="Cambria Math"/>
                <w:lang w:eastAsia="zh-CN"/>
              </w:rPr>
              <m:t>μ</m:t>
            </m:r>
          </m:e>
        </m:acc>
      </m:oMath>
      <w:r>
        <w:rPr>
          <w:lang w:eastAsia="zh-CN"/>
        </w:rPr>
        <w:t xml:space="preserve"> </w:t>
      </w:r>
      <w:r>
        <w:rPr>
          <w:lang w:eastAsia="zh-CN"/>
        </w:rPr>
        <w:t>为目标：</w:t>
      </w:r>
    </w:p>
    <w:p w14:paraId="5E94A548" w14:textId="77777777" w:rsidR="002C0540" w:rsidRDefault="00FE1083">
      <w:pPr>
        <w:pStyle w:val="Equation"/>
        <w:rPr>
          <w:lang w:eastAsia="zh-CN"/>
        </w:rPr>
      </w:pPr>
      <w:r>
        <w:rPr>
          <w:lang w:eastAsia="zh-CN"/>
        </w:rPr>
        <w:tab/>
      </w:r>
      <m:oMath>
        <m:r>
          <w:rPr>
            <w:rFonts w:ascii="Cambria Math" w:hAnsi="Cambria Math"/>
            <w:lang w:eastAsia="zh-CN"/>
          </w:rPr>
          <m:t>v</m:t>
        </m:r>
        <m:r>
          <w:rPr>
            <w:rFonts w:ascii="Cambria Math" w:hAnsi="Cambria Math"/>
            <w:lang w:eastAsia="zh-CN"/>
          </w:rPr>
          <m:t>(</m:t>
        </m:r>
        <m:r>
          <w:rPr>
            <w:rFonts w:ascii="Cambria Math" w:hAnsi="Cambria Math"/>
            <w:lang w:eastAsia="zh-CN"/>
          </w:rPr>
          <m:t>δ</m:t>
        </m:r>
        <m:r>
          <w:rPr>
            <w:rFonts w:ascii="Cambria Math" w:hAnsi="Cambria Math"/>
            <w:lang w:eastAsia="zh-CN"/>
          </w:rPr>
          <m:t>)=</m:t>
        </m:r>
        <m:r>
          <w:rPr>
            <w:rFonts w:ascii="Cambria Math" w:hAnsi="Cambria Math"/>
            <w:lang w:eastAsia="zh-CN"/>
          </w:rPr>
          <m:t>ΔO</m:t>
        </m:r>
        <m:r>
          <w:rPr>
            <w:rFonts w:ascii="Cambria Math" w:hAnsi="Cambria Math"/>
            <w:lang w:eastAsia="zh-CN"/>
          </w:rPr>
          <m:t>(</m:t>
        </m:r>
        <m:sSup>
          <m:sSupPr>
            <m:ctrlPr>
              <w:rPr>
                <w:rFonts w:ascii="Cambria Math" w:hAnsi="Cambria Math"/>
              </w:rPr>
            </m:ctrlPr>
          </m:sSupPr>
          <m:e>
            <m:r>
              <w:rPr>
                <w:rFonts w:ascii="Cambria Math" w:hAnsi="Cambria Math"/>
                <w:lang w:eastAsia="zh-CN"/>
              </w:rPr>
              <m:t>G</m:t>
            </m:r>
          </m:e>
          <m:sup>
            <m:r>
              <w:rPr>
                <w:rFonts w:ascii="Cambria Math" w:hAnsi="Cambria Math"/>
                <w:lang w:eastAsia="zh-CN"/>
              </w:rPr>
              <m:t>c</m:t>
            </m:r>
          </m:sup>
        </m:sSup>
        <m:r>
          <w:rPr>
            <w:rFonts w:ascii="Cambria Math" w:hAnsi="Cambria Math"/>
            <w:lang w:eastAsia="zh-CN"/>
          </w:rPr>
          <m:t>(</m:t>
        </m:r>
        <m:r>
          <w:rPr>
            <w:rFonts w:ascii="Cambria Math" w:hAnsi="Cambria Math"/>
            <w:lang w:eastAsia="zh-CN"/>
          </w:rPr>
          <m:t>δ</m:t>
        </m:r>
        <m:r>
          <w:rPr>
            <w:rFonts w:ascii="Cambria Math" w:hAnsi="Cambria Math"/>
            <w:lang w:eastAsia="zh-CN"/>
          </w:rPr>
          <m:t>))-</m:t>
        </m:r>
        <m:acc>
          <m:accPr>
            <m:ctrlPr>
              <w:rPr>
                <w:rFonts w:ascii="Cambria Math" w:hAnsi="Cambria Math"/>
              </w:rPr>
            </m:ctrlPr>
          </m:accPr>
          <m:e>
            <m:r>
              <w:rPr>
                <w:rFonts w:ascii="Cambria Math" w:hAnsi="Cambria Math"/>
                <w:lang w:eastAsia="zh-CN"/>
              </w:rPr>
              <m:t>μ</m:t>
            </m:r>
          </m:e>
        </m:acc>
        <m:r>
          <w:rPr>
            <w:rFonts w:ascii="Cambria Math" w:hAnsi="Cambria Math"/>
            <w:lang w:eastAsia="zh-CN"/>
          </w:rPr>
          <m:t>.</m:t>
        </m:r>
      </m:oMath>
      <w:r>
        <w:rPr>
          <w:lang w:eastAsia="zh-CN"/>
        </w:rPr>
        <w:tab/>
        <w:t>(11)</w:t>
      </w:r>
    </w:p>
    <w:p w14:paraId="0795A422" w14:textId="77777777" w:rsidR="002C0540" w:rsidRDefault="00FE1083">
      <w:pPr>
        <w:pStyle w:val="Equation"/>
      </w:pPr>
      <w:r>
        <w:rPr>
          <w:lang w:eastAsia="zh-CN"/>
        </w:rPr>
        <w:tab/>
      </w:r>
      <m:oMath>
        <m:acc>
          <m:accPr>
            <m:ctrlPr>
              <w:rPr>
                <w:rFonts w:ascii="Cambria Math" w:hAnsi="Cambria Math"/>
              </w:rPr>
            </m:ctrlPr>
          </m:accPr>
          <m:e>
            <m:r>
              <w:rPr>
                <w:rFonts w:ascii="Cambria Math" w:hAnsi="Cambria Math"/>
              </w:rPr>
              <m:t>δ</m:t>
            </m:r>
          </m:e>
        </m:acc>
        <m: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δ</m:t>
            </m:r>
            <m:r>
              <w:rPr>
                <w:rFonts w:ascii="Cambria Math" w:hAnsi="Cambria Math"/>
              </w:rPr>
              <m:t>∈</m:t>
            </m:r>
            <m:r>
              <w:rPr>
                <w:rFonts w:ascii="Cambria Math" w:hAnsi="Cambria Math"/>
              </w:rPr>
              <m:t>D</m:t>
            </m:r>
          </m:lim>
        </m:limLow>
        <m:r>
          <w:rPr>
            <w:rFonts w:ascii="Cambria Math" w:hAnsi="Cambria Math"/>
          </w:rPr>
          <m:t>v</m:t>
        </m:r>
        <m: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Wv</m:t>
        </m:r>
        <m:r>
          <w:rPr>
            <w:rFonts w:ascii="Cambria Math" w:hAnsi="Cambria Math"/>
          </w:rPr>
          <m:t>(</m:t>
        </m:r>
        <m:r>
          <w:rPr>
            <w:rFonts w:ascii="Cambria Math" w:hAnsi="Cambria Math"/>
          </w:rPr>
          <m:t>δ</m:t>
        </m:r>
        <m:r>
          <w:rPr>
            <w:rFonts w:ascii="Cambria Math" w:hAnsi="Cambria Math"/>
          </w:rPr>
          <m:t>).</m:t>
        </m:r>
      </m:oMath>
      <w:r>
        <w:tab/>
        <w:t>(12)</w:t>
      </w:r>
    </w:p>
    <w:p w14:paraId="12C67230" w14:textId="77777777" w:rsidR="002C0540" w:rsidRDefault="00FE1083">
      <w:pPr>
        <w:rPr>
          <w:lang w:eastAsia="zh-CN"/>
        </w:rPr>
      </w:pPr>
      <m:oMath>
        <m:r>
          <w:rPr>
            <w:rFonts w:ascii="Cambria Math" w:hAnsi="Cambria Math"/>
            <w:lang w:eastAsia="zh-CN"/>
          </w:rPr>
          <m:t>ΔO</m:t>
        </m:r>
      </m:oMath>
      <w:r>
        <w:rPr>
          <w:lang w:eastAsia="zh-CN"/>
        </w:rPr>
        <w:t xml:space="preserve"> </w:t>
      </w:r>
      <w:r>
        <w:rPr>
          <w:lang w:eastAsia="zh-CN"/>
        </w:rPr>
        <w:t>为有改革与无改革状态下的同口径差异，</w:t>
      </w:r>
      <m:oMath>
        <m:r>
          <w:rPr>
            <w:rFonts w:ascii="Cambria Math" w:hAnsi="Cambria Math"/>
            <w:lang w:eastAsia="zh-CN"/>
          </w:rPr>
          <m:t>W</m:t>
        </m:r>
      </m:oMath>
      <w:r>
        <w:rPr>
          <w:lang w:eastAsia="zh-CN"/>
        </w:rPr>
        <w:t xml:space="preserve"> </w:t>
      </w:r>
      <w:r>
        <w:rPr>
          <w:lang w:eastAsia="zh-CN"/>
        </w:rPr>
        <w:t>为预先确定的权重矩阵，</w:t>
      </w:r>
      <m:oMath>
        <m:r>
          <w:rPr>
            <w:rFonts w:ascii="Cambria Math" w:hAnsi="Cambria Math"/>
            <w:lang w:eastAsia="zh-CN"/>
          </w:rPr>
          <m:t>D</m:t>
        </m:r>
      </m:oMath>
      <w:r>
        <w:rPr>
          <w:lang w:eastAsia="zh-CN"/>
        </w:rPr>
        <w:t xml:space="preserve"> </w:t>
      </w:r>
      <w:r>
        <w:rPr>
          <w:lang w:eastAsia="zh-CN"/>
        </w:rPr>
        <w:t>为经模型与政策支持限定的参数域。权重依据目标协方差或统一量纲设定，不能按福利结果调节。基准用外资生产份额反演，再以外资生产价值、国内生产价值及总生产价值检验同一成本楔子能否解释多项结果；也可预先规定联合匹配的矩及检验矩。外资与内资份额互为补数，外资产出、内资产出及总产出存在加总恒等式，不将恒等关系重复计为独立识别信息。目标不足以区分多个参数时不作多参数反演。</w:t>
      </w:r>
    </w:p>
    <w:p w14:paraId="62175A00" w14:textId="77777777" w:rsidR="002C0540" w:rsidRDefault="00FE1083">
      <w:pPr>
        <w:rPr>
          <w:lang w:eastAsia="zh-CN"/>
        </w:rPr>
      </w:pPr>
      <w:r>
        <w:rPr>
          <w:lang w:eastAsia="zh-CN"/>
        </w:rPr>
        <w:t>现有粗部门模型无法自动复现细活动处理与对照。基准规格将可识别的活动生产响应汇总到部门，附加</w:t>
      </w:r>
      <w:r>
        <w:rPr>
          <w:lang w:eastAsia="zh-CN"/>
        </w:rPr>
        <w:t>“</w:t>
      </w:r>
      <w:r>
        <w:rPr>
          <w:lang w:eastAsia="zh-CN"/>
        </w:rPr>
        <w:t>汇总目标可表示该部门条件生产响应</w:t>
      </w:r>
      <w:r>
        <w:rPr>
          <w:lang w:eastAsia="zh-CN"/>
        </w:rPr>
        <w:t>”</w:t>
      </w:r>
      <w:r>
        <w:rPr>
          <w:lang w:eastAsia="zh-CN"/>
        </w:rPr>
        <w:t>的假设，报告部门平均等价成本及条件一般均衡情景。该结果不等同于完整复现细活动识别，也不直接称为全国政策福利的因果估计。增强规格在部门内设置受改革与未改革暴露组，在相同集合</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je</m:t>
            </m:r>
          </m:sub>
        </m:sSub>
      </m:oMath>
      <w:r>
        <w:rPr>
          <w:lang w:eastAsia="zh-CN"/>
        </w:rPr>
        <w:t xml:space="preserve"> </w:t>
      </w:r>
      <w:r>
        <w:rPr>
          <w:lang w:eastAsia="zh-CN"/>
        </w:rPr>
        <w:t>上采用与实证相同的比较算子；此时才检验改革对两组的直接响应和均衡溢出是否同时匹配。</w:t>
      </w:r>
    </w:p>
    <w:p w14:paraId="34E4A58A" w14:textId="77777777" w:rsidR="002C0540" w:rsidRDefault="00FE1083">
      <w:pPr>
        <w:rPr>
          <w:lang w:eastAsia="zh-CN"/>
        </w:rPr>
      </w:pPr>
      <w:r>
        <w:rPr>
          <w:lang w:eastAsia="zh-CN"/>
        </w:rPr>
        <w:t xml:space="preserve">PE </w:t>
      </w:r>
      <w:r>
        <w:rPr>
          <w:lang w:eastAsia="zh-CN"/>
        </w:rPr>
        <w:t>反演须固定工资、投入价格、需求和其他约定状态，并说明经验目标为何可解释为相应条件响应。固定效应本身不证明反馈已经剥离。目标包含均衡调整且模型能够表达其比</w:t>
      </w:r>
      <w:r>
        <w:rPr>
          <w:lang w:eastAsia="zh-CN"/>
        </w:rPr>
        <w:lastRenderedPageBreak/>
        <w:t>较对象时，采用</w:t>
      </w:r>
      <w:r>
        <w:rPr>
          <w:lang w:eastAsia="zh-CN"/>
        </w:rPr>
        <w:t xml:space="preserve"> GE </w:t>
      </w:r>
      <w:r>
        <w:rPr>
          <w:lang w:eastAsia="zh-CN"/>
        </w:rPr>
        <w:t>反演；将</w:t>
      </w:r>
      <w:r>
        <w:rPr>
          <w:lang w:eastAsia="zh-CN"/>
        </w:rPr>
        <w:t xml:space="preserve"> PE </w:t>
      </w:r>
      <w:r>
        <w:rPr>
          <w:lang w:eastAsia="zh-CN"/>
        </w:rPr>
        <w:t>成本送入</w:t>
      </w:r>
      <w:r>
        <w:rPr>
          <w:lang w:eastAsia="zh-CN"/>
        </w:rPr>
        <w:t xml:space="preserve"> GE </w:t>
      </w:r>
      <w:r>
        <w:rPr>
          <w:lang w:eastAsia="zh-CN"/>
        </w:rPr>
        <w:t>后所得结果作为预测，并披露回代差距。事件相对效果不能直接替代全国净生产变化。</w:t>
      </w:r>
    </w:p>
    <w:p w14:paraId="42AF7C6B" w14:textId="77777777" w:rsidR="002C0540" w:rsidRDefault="00FE1083">
      <w:pPr>
        <w:rPr>
          <w:lang w:eastAsia="zh-CN"/>
        </w:rPr>
      </w:pPr>
      <w:r>
        <w:rPr>
          <w:lang w:eastAsia="zh-CN"/>
        </w:rPr>
        <w:t>粗部门基准的目标补全遵守式（</w:t>
      </w:r>
      <w:r>
        <w:rPr>
          <w:lang w:eastAsia="zh-CN"/>
        </w:rPr>
        <w:t>5</w:t>
      </w:r>
      <w:r>
        <w:rPr>
          <w:lang w:eastAsia="zh-CN"/>
        </w:rPr>
        <w:t>）的样本域和补全条件。部门汇总目标至多在额外同质性假设下识别各外国母国共同的</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oMath>
      <w:r>
        <w:rPr>
          <w:lang w:eastAsia="zh-CN"/>
        </w:rPr>
        <w:t>，不能独立识别每个</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mj</m:t>
            </m:r>
          </m:sub>
        </m:sSub>
      </m:oMath>
      <w:r>
        <w:rPr>
          <w:lang w:eastAsia="zh-CN"/>
        </w:rPr>
        <w:t>。母国异质冲击仅在相应分组目标具有独立信息且模型支持时估计。局部近似</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κ</m:t>
            </m:r>
          </m:e>
          <m:sub>
            <m:r>
              <w:rPr>
                <w:rFonts w:ascii="Cambria Math" w:hAnsi="Cambria Math"/>
                <w:lang w:eastAsia="zh-CN"/>
              </w:rPr>
              <m:t>j</m:t>
            </m:r>
          </m:sub>
        </m:sSub>
      </m:oMath>
      <w:r>
        <w:rPr>
          <w:lang w:eastAsia="zh-CN"/>
        </w:rPr>
        <w:t xml:space="preserve"> </w:t>
      </w:r>
      <w:r>
        <w:rPr>
          <w:lang w:eastAsia="zh-CN"/>
        </w:rPr>
        <w:t>仅作为对照，其中</w:t>
      </w:r>
      <w:r>
        <w:rPr>
          <w:lang w:eastAsia="zh-CN"/>
        </w:rPr>
        <w:t xml:space="preserve"> </w:t>
      </w:r>
      <m:oMath>
        <m:sSubSup>
          <m:sSubSupPr>
            <m:ctrlPr>
              <w:rPr>
                <w:rFonts w:ascii="Cambria Math" w:hAnsi="Cambria Math"/>
              </w:rPr>
            </m:ctrlPr>
          </m:sSubSupPr>
          <m:e>
            <m:r>
              <w:rPr>
                <w:rFonts w:ascii="Cambria Math" w:hAnsi="Cambria Math"/>
                <w:lang w:eastAsia="zh-CN"/>
              </w:rPr>
              <m:t>Q</m:t>
            </m:r>
          </m:e>
          <m:sub>
            <m:r>
              <w:rPr>
                <w:rFonts w:ascii="Cambria Math" w:hAnsi="Cambria Math"/>
                <w:lang w:eastAsia="zh-CN"/>
              </w:rPr>
              <m:t>Cj</m:t>
            </m:r>
          </m:sub>
          <m:sup>
            <m:r>
              <w:rPr>
                <w:rFonts w:ascii="Cambria Math" w:hAnsi="Cambria Math"/>
                <w:lang w:eastAsia="zh-CN"/>
              </w:rPr>
              <m:t>F</m:t>
            </m:r>
          </m:sup>
        </m:sSubSup>
      </m:oMath>
      <w:r>
        <w:rPr>
          <w:lang w:eastAsia="zh-CN"/>
        </w:rPr>
        <w:t xml:space="preserve"> </w:t>
      </w:r>
      <w:r>
        <w:rPr>
          <w:lang w:eastAsia="zh-CN"/>
        </w:rPr>
        <w:t>为各外国母国在该部门的在华生产价值之和，</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j</m:t>
            </m:r>
          </m:sub>
        </m:sSub>
      </m:oMath>
      <w:r>
        <w:rPr>
          <w:lang w:eastAsia="zh-CN"/>
        </w:rPr>
        <w:t xml:space="preserve"> </w:t>
      </w:r>
      <w:r>
        <w:rPr>
          <w:lang w:eastAsia="zh-CN"/>
        </w:rPr>
        <w:t>为拟合流量的对数响应，</w:t>
      </w:r>
      <m:oMath>
        <m:sSub>
          <m:sSubPr>
            <m:ctrlPr>
              <w:rPr>
                <w:rFonts w:ascii="Cambria Math" w:hAnsi="Cambria Math"/>
              </w:rPr>
            </m:ctrlPr>
          </m:sSubPr>
          <m:e>
            <m:r>
              <w:rPr>
                <w:rFonts w:ascii="Cambria Math" w:hAnsi="Cambria Math"/>
                <w:lang w:eastAsia="zh-CN"/>
              </w:rPr>
              <m:t>κ</m:t>
            </m:r>
          </m:e>
          <m:sub>
            <m:r>
              <w:rPr>
                <w:rFonts w:ascii="Cambria Math" w:hAnsi="Cambria Math"/>
                <w:lang w:eastAsia="zh-CN"/>
              </w:rPr>
              <m:t>j</m:t>
            </m:r>
          </m:sub>
        </m:sSub>
      </m:oMath>
      <w:r>
        <w:rPr>
          <w:lang w:eastAsia="zh-CN"/>
        </w:rPr>
        <w:t xml:space="preserve"> </w:t>
      </w:r>
      <w:r>
        <w:rPr>
          <w:lang w:eastAsia="zh-CN"/>
        </w:rPr>
        <w:t>须由相同模型、口径及闭合下的导数验证：</w:t>
      </w:r>
    </w:p>
    <w:p w14:paraId="6144F42E" w14:textId="77777777" w:rsidR="002C0540" w:rsidRDefault="00FE1083">
      <w:pPr>
        <w:pStyle w:val="Equation"/>
      </w:pPr>
      <w:r>
        <w:rPr>
          <w:lang w:eastAsia="zh-CN"/>
        </w:rPr>
        <w:tab/>
      </w:r>
      <m:oMath>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ln</m:t>
            </m:r>
            <m:sSubSup>
              <m:sSubSupPr>
                <m:ctrlPr>
                  <w:rPr>
                    <w:rFonts w:ascii="Cambria Math" w:hAnsi="Cambria Math"/>
                  </w:rPr>
                </m:ctrlPr>
              </m:sSubSupPr>
              <m:e>
                <m:r>
                  <w:rPr>
                    <w:rFonts w:ascii="Cambria Math" w:hAnsi="Cambria Math"/>
                  </w:rPr>
                  <m:t>Q</m:t>
                </m:r>
              </m:e>
              <m:sub>
                <m:r>
                  <w:rPr>
                    <w:rFonts w:ascii="Cambria Math" w:hAnsi="Cambria Math"/>
                  </w:rPr>
                  <m:t>Cj</m:t>
                </m:r>
              </m:sub>
              <m:sup>
                <m:r>
                  <w:rPr>
                    <w:rFonts w:ascii="Cambria Math" w:hAnsi="Cambria Math"/>
                  </w:rPr>
                  <m:t>F</m:t>
                </m:r>
              </m:sup>
            </m:sSubSup>
          </m:num>
          <m:den>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den>
        </m:f>
        <m:sSub>
          <m:sSubPr>
            <m:ctrlPr>
              <w:rPr>
                <w:rFonts w:ascii="Cambria Math" w:hAnsi="Cambria Math"/>
              </w:rPr>
            </m:ctrlPr>
          </m:sSubPr>
          <m:e>
            <m:r>
              <w:rPr>
                <w:rFonts w:ascii="Cambria Math" w:hAnsi="Cambria Math"/>
              </w:rPr>
              <m:t>|</m:t>
            </m:r>
          </m:e>
          <m:sub>
            <m:r>
              <w:rPr>
                <w:rFonts w:ascii="Cambria Math" w:hAnsi="Cambria Math"/>
              </w:rPr>
              <m:t>δ</m:t>
            </m:r>
            <m:r>
              <w:rPr>
                <w:rFonts w:ascii="Cambria Math" w:hAnsi="Cambria Math"/>
              </w:rPr>
              <m:t>=0</m:t>
            </m:r>
          </m:sub>
        </m:sSub>
        <m:r>
          <w:rPr>
            <w:rFonts w:ascii="Cambria Math" w:hAnsi="Cambria Math"/>
          </w:rPr>
          <m:t>.</m:t>
        </m:r>
      </m:oMath>
      <w:r>
        <w:tab/>
        <w:t>(13)</w:t>
      </w:r>
    </w:p>
    <w:p w14:paraId="2D58645A" w14:textId="77777777" w:rsidR="002C0540" w:rsidRDefault="00FE1083">
      <w:pPr>
        <w:rPr>
          <w:lang w:eastAsia="zh-CN"/>
        </w:rPr>
      </w:pPr>
      <w:r>
        <w:rPr>
          <w:lang w:eastAsia="zh-CN"/>
        </w:rPr>
        <w:t>生产地选择内核中的</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j</m:t>
            </m:r>
          </m:sub>
        </m:sSub>
        <m:r>
          <w:rPr>
            <w:rFonts w:ascii="Cambria Math" w:hAnsi="Cambria Math"/>
            <w:lang w:eastAsia="zh-CN"/>
          </w:rPr>
          <m:t>/(1-</m:t>
        </m:r>
        <m:sSub>
          <m:sSubPr>
            <m:ctrlPr>
              <w:rPr>
                <w:rFonts w:ascii="Cambria Math" w:hAnsi="Cambria Math"/>
              </w:rPr>
            </m:ctrlPr>
          </m:sSubPr>
          <m:e>
            <m:r>
              <w:rPr>
                <w:rFonts w:ascii="Cambria Math" w:hAnsi="Cambria Math"/>
                <w:lang w:eastAsia="zh-CN"/>
              </w:rPr>
              <m:t>ρ</m:t>
            </m:r>
          </m:e>
          <m:sub>
            <m:r>
              <w:rPr>
                <w:rFonts w:ascii="Cambria Math" w:hAnsi="Cambria Math"/>
                <w:lang w:eastAsia="zh-CN"/>
              </w:rPr>
              <m:t>j</m:t>
            </m:r>
          </m:sub>
        </m:sSub>
        <m:r>
          <w:rPr>
            <w:rFonts w:ascii="Cambria Math" w:hAnsi="Cambria Math"/>
            <w:lang w:eastAsia="zh-CN"/>
          </w:rPr>
          <m:t>)</m:t>
        </m:r>
      </m:oMath>
      <w:r>
        <w:rPr>
          <w:lang w:eastAsia="zh-CN"/>
        </w:rPr>
        <w:t xml:space="preserve"> </w:t>
      </w:r>
      <w:r>
        <w:rPr>
          <w:lang w:eastAsia="zh-CN"/>
        </w:rPr>
        <w:t>不自动等于该聚合流量弹性。成本反演还须检验外国母国市场份额和总需求的响应，不能仅更新生产地条件份额后假定其他构成不变。</w:t>
      </w:r>
    </w:p>
    <w:p w14:paraId="330E89CB" w14:textId="77777777" w:rsidR="002C0540" w:rsidRDefault="00FE1083">
      <w:pPr>
        <w:pStyle w:val="21"/>
        <w:rPr>
          <w:lang w:eastAsia="zh-CN"/>
        </w:rPr>
      </w:pPr>
      <w:r>
        <w:rPr>
          <w:lang w:eastAsia="zh-CN"/>
        </w:rPr>
        <w:t>单成本机制的适用范围</w:t>
      </w:r>
    </w:p>
    <w:p w14:paraId="4FC8F3F5" w14:textId="77777777" w:rsidR="002C0540" w:rsidRDefault="00FE1083">
      <w:pPr>
        <w:rPr>
          <w:lang w:eastAsia="zh-CN"/>
        </w:rPr>
      </w:pPr>
      <w:r>
        <w:rPr>
          <w:lang w:eastAsia="zh-CN"/>
        </w:rPr>
        <w:t>结构基准限于有限限制放松、基期存在正生产支持的改革。外资控制身份变化可能主要反映收购或所有权重分类，未必意味着技术效率提高。若单一经营成本楔子不能同时解释外资产出与总产出，应披露偏差并限制机制解释，不能将控制概率系数直接转换为效率。</w:t>
      </w:r>
    </w:p>
    <w:p w14:paraId="6B43D538" w14:textId="77777777" w:rsidR="002C0540" w:rsidRDefault="00FE1083">
      <w:pPr>
        <w:rPr>
          <w:lang w:eastAsia="zh-CN"/>
        </w:rPr>
      </w:pPr>
      <w:r>
        <w:rPr>
          <w:lang w:eastAsia="zh-CN"/>
        </w:rPr>
        <w:t>原模型的</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nj</m:t>
            </m:r>
          </m:sub>
        </m:sSub>
      </m:oMath>
      <w:r>
        <w:rPr>
          <w:lang w:eastAsia="zh-CN"/>
        </w:rPr>
        <w:t xml:space="preserve"> </w:t>
      </w:r>
      <w:r>
        <w:rPr>
          <w:lang w:eastAsia="zh-CN"/>
        </w:rPr>
        <w:t>是进入消费市场</w:t>
      </w:r>
      <w:r>
        <w:rPr>
          <w:lang w:eastAsia="zh-CN"/>
        </w:rPr>
        <w:t xml:space="preserve"> </w:t>
      </w:r>
      <m:oMath>
        <m:r>
          <w:rPr>
            <w:rFonts w:ascii="Cambria Math" w:hAnsi="Cambria Math"/>
            <w:lang w:eastAsia="zh-CN"/>
          </w:rPr>
          <m:t>n</m:t>
        </m:r>
      </m:oMath>
      <w:r>
        <w:rPr>
          <w:lang w:eastAsia="zh-CN"/>
        </w:rPr>
        <w:t xml:space="preserve"> </w:t>
      </w:r>
      <w:r>
        <w:rPr>
          <w:lang w:eastAsia="zh-CN"/>
        </w:rPr>
        <w:t>的固定营销成本，不是外国企业在中国设立企业的固定成本。分离设立、经营和控制权机制，需要另设外国企业设立成本及相应决策，并利用进入数量、条件规模和控制权等独立结果检验识别。对禁止转允许或原来不可行的生产线路，精确帽子代数中</w:t>
      </w:r>
      <w:r>
        <w:rPr>
          <w:lang w:eastAsia="zh-CN"/>
        </w:rPr>
        <w:t xml:space="preserve"> </w:t>
      </w:r>
      <m:oMath>
        <m:sSub>
          <m:sSubPr>
            <m:ctrlPr>
              <w:rPr>
                <w:rFonts w:ascii="Cambria Math" w:hAnsi="Cambria Math"/>
              </w:rPr>
            </m:ctrlPr>
          </m:sSubPr>
          <m:e>
            <m:r>
              <w:rPr>
                <w:rFonts w:ascii="Cambria Math" w:hAnsi="Cambria Math"/>
                <w:lang w:eastAsia="zh-CN"/>
              </w:rPr>
              <m:t>ψ</m:t>
            </m:r>
          </m:e>
          <m:sub>
            <m:r>
              <w:rPr>
                <w:rFonts w:ascii="Cambria Math" w:hAnsi="Cambria Math"/>
                <w:lang w:eastAsia="zh-CN"/>
              </w:rPr>
              <m:t>0</m:t>
            </m:r>
          </m:sub>
        </m:sSub>
        <m:r>
          <w:rPr>
            <w:rFonts w:ascii="Cambria Math" w:hAnsi="Cambria Math"/>
            <w:lang w:eastAsia="zh-CN"/>
          </w:rPr>
          <m:t>=0</m:t>
        </m:r>
      </m:oMath>
      <w:r>
        <w:rPr>
          <w:lang w:eastAsia="zh-CN"/>
        </w:rPr>
        <w:t xml:space="preserve"> </w:t>
      </w:r>
      <w:r>
        <w:rPr>
          <w:lang w:eastAsia="zh-CN"/>
        </w:rPr>
        <w:t>不能通过有限乘数生成正流量；不添加任意极小值。该类改革在进入机制扩展前保留为微观结果。</w:t>
      </w:r>
    </w:p>
    <w:p w14:paraId="2457AFAB" w14:textId="77777777" w:rsidR="002C0540" w:rsidRDefault="00FE1083">
      <w:pPr>
        <w:pStyle w:val="1"/>
        <w:rPr>
          <w:lang w:eastAsia="zh-CN"/>
        </w:rPr>
      </w:pPr>
      <w:r>
        <w:rPr>
          <w:lang w:eastAsia="zh-CN"/>
        </w:rPr>
        <w:t xml:space="preserve">A7 </w:t>
      </w:r>
      <w:r>
        <w:rPr>
          <w:lang w:eastAsia="zh-CN"/>
        </w:rPr>
        <w:t>反事实设计与结构扩展</w:t>
      </w:r>
    </w:p>
    <w:p w14:paraId="52FB035E" w14:textId="77777777" w:rsidR="002C0540" w:rsidRDefault="00FE1083">
      <w:pPr>
        <w:rPr>
          <w:lang w:eastAsia="zh-CN"/>
        </w:rPr>
      </w:pPr>
      <w:r>
        <w:rPr>
          <w:lang w:eastAsia="zh-CN"/>
        </w:rPr>
        <w:t>基准向受改革部门的外国在华生产施加反演得到的部门平均等价楔子；活动组扩展才将政策楔子限定于实际受改革组。未受改革部门及中国企业境外生产的政策楔子保持不变，工资、价格、投入产出需求、利润和创新可以内生调整。基准冲击为：</w:t>
      </w:r>
    </w:p>
    <w:p w14:paraId="02BD1B99" w14:textId="77777777" w:rsidR="002C0540" w:rsidRDefault="00FE1083">
      <w:pPr>
        <w:pStyle w:val="Equation"/>
        <w:rPr>
          <w:lang w:eastAsia="zh-CN"/>
        </w:rPr>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imj</m:t>
            </m:r>
          </m:sub>
        </m:sSub>
        <m:r>
          <w:rPr>
            <w:rFonts w:ascii="Cambria Math" w:hAnsi="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lang w:eastAsia="zh-CN"/>
                    </w:rPr>
                    <m:t>exp</m:t>
                  </m:r>
                  <m: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δ</m:t>
                          </m:r>
                        </m:e>
                      </m:acc>
                    </m:e>
                    <m:sub>
                      <m:r>
                        <w:rPr>
                          <w:rFonts w:ascii="Cambria Math" w:hAnsi="Cambria Math"/>
                          <w:lang w:eastAsia="zh-CN"/>
                        </w:rPr>
                        <m:t>mj</m:t>
                      </m:r>
                    </m:sub>
                  </m:sSub>
                  <m:r>
                    <w:rPr>
                      <w:rFonts w:ascii="Cambria Math" w:hAnsi="Cambria Math"/>
                      <w:lang w:eastAsia="zh-CN"/>
                    </w:rPr>
                    <m:t>),</m:t>
                  </m:r>
                </m:e>
                <m:e>
                  <m:r>
                    <w:rPr>
                      <w:rFonts w:ascii="Cambria Math" w:hAnsi="Cambria Math"/>
                      <w:lang w:eastAsia="zh-CN"/>
                    </w:rPr>
                    <m:t>i</m:t>
                  </m:r>
                  <m:r>
                    <w:rPr>
                      <w:rFonts w:ascii="Cambria Math" w:hAnsi="Cambria Math"/>
                      <w:lang w:eastAsia="zh-CN"/>
                    </w:rPr>
                    <m:t>=</m:t>
                  </m:r>
                  <m:r>
                    <w:rPr>
                      <w:rFonts w:ascii="Cambria Math" w:hAnsi="Cambria Math"/>
                      <w:lang w:eastAsia="zh-CN"/>
                    </w:rPr>
                    <m:t>C</m:t>
                  </m:r>
                  <m:r>
                    <w:rPr>
                      <w:rFonts w:ascii="Cambria Math" w:hAnsi="Cambria Math"/>
                      <w:lang w:eastAsia="zh-CN"/>
                    </w:rPr>
                    <m:t>,</m:t>
                  </m:r>
                  <m:r>
                    <w:rPr>
                      <w:rFonts w:ascii="Cambria Math" w:hAnsi="Cambria Math"/>
                      <w:lang w:eastAsia="zh-CN"/>
                    </w:rPr>
                    <m:t>m</m:t>
                  </m:r>
                  <m:r>
                    <w:rPr>
                      <w:rFonts w:ascii="Cambria Math" w:hAnsi="Cambria Math"/>
                      <w:lang w:eastAsia="zh-CN"/>
                    </w:rPr>
                    <m:t>≠</m:t>
                  </m:r>
                  <m:r>
                    <w:rPr>
                      <w:rFonts w:ascii="Cambria Math" w:hAnsi="Cambria Math"/>
                      <w:lang w:eastAsia="zh-CN"/>
                    </w:rPr>
                    <m:t>C</m:t>
                  </m:r>
                  <m:r>
                    <w:rPr>
                      <w:rFonts w:ascii="Cambria Math" w:hAnsi="Cambria Math"/>
                      <w:lang w:eastAsia="zh-CN"/>
                    </w:rPr>
                    <m:t>,</m:t>
                  </m:r>
                  <m:r>
                    <w:rPr>
                      <w:rFonts w:ascii="Cambria Math" w:hAnsi="Cambria Math"/>
                      <w:lang w:eastAsia="zh-CN"/>
                    </w:rPr>
                    <m:t>j</m:t>
                  </m:r>
                  <m:r>
                    <w:rPr>
                      <w:rFonts w:ascii="Cambria Math" w:hAnsi="Cambria Math"/>
                      <w:lang w:eastAsia="zh-CN"/>
                    </w:rPr>
                    <m:t>∈</m:t>
                  </m:r>
                  <m:sSub>
                    <m:sSubPr>
                      <m:ctrlPr>
                        <w:rPr>
                          <w:rFonts w:ascii="Cambria Math" w:hAnsi="Cambria Math"/>
                        </w:rPr>
                      </m:ctrlPr>
                    </m:sSubPr>
                    <m:e>
                      <m:r>
                        <w:rPr>
                          <w:rFonts w:ascii="Cambria Math" w:hAnsi="Cambria Math"/>
                          <w:lang w:eastAsia="zh-CN"/>
                        </w:rPr>
                        <m:t>J</m:t>
                      </m:r>
                    </m:e>
                    <m:sub>
                      <m:r>
                        <w:rPr>
                          <w:rFonts w:ascii="Cambria Math" w:hAnsi="Cambria Math"/>
                          <w:lang w:eastAsia="zh-CN"/>
                        </w:rPr>
                        <m:t>R</m:t>
                      </m:r>
                    </m:sub>
                  </m:sSub>
                  <m:r>
                    <w:rPr>
                      <w:rFonts w:ascii="Cambria Math" w:hAnsi="Cambria Math"/>
                      <w:lang w:eastAsia="zh-CN"/>
                    </w:rPr>
                    <m:t>,</m:t>
                  </m:r>
                </m:e>
              </m:mr>
              <m:mr>
                <m:e>
                  <m:r>
                    <w:rPr>
                      <w:rFonts w:ascii="Cambria Math" w:hAnsi="Cambria Math"/>
                      <w:lang w:eastAsia="zh-CN"/>
                    </w:rPr>
                    <m:t>1,</m:t>
                  </m:r>
                </m:e>
                <m:e>
                  <m:r>
                    <m:rPr>
                      <m:nor/>
                    </m:rPr>
                    <w:rPr>
                      <w:rFonts w:ascii="Cambria Math" w:hAnsi="Cambria Math"/>
                      <w:lang w:eastAsia="zh-CN"/>
                    </w:rPr>
                    <m:t>其他关系</m:t>
                  </m:r>
                  <m:r>
                    <w:rPr>
                      <w:rFonts w:ascii="Cambria Math" w:hAnsi="Cambria Math"/>
                      <w:lang w:eastAsia="zh-CN"/>
                    </w:rPr>
                    <m:t>,</m:t>
                  </m:r>
                </m:e>
              </m:mr>
            </m:m>
          </m:e>
        </m:d>
      </m:oMath>
      <w:r>
        <w:rPr>
          <w:lang w:eastAsia="zh-CN"/>
        </w:rPr>
        <w:tab/>
        <w:t>(14)</w:t>
      </w:r>
    </w:p>
    <w:p w14:paraId="2BD86605" w14:textId="77777777" w:rsidR="002C0540" w:rsidRDefault="00FE1083">
      <w:pPr>
        <w:rPr>
          <w:lang w:eastAsia="zh-CN"/>
        </w:rPr>
      </w:pPr>
      <m:oMath>
        <m:sSub>
          <m:sSubPr>
            <m:ctrlPr>
              <w:rPr>
                <w:rFonts w:ascii="Cambria Math" w:hAnsi="Cambria Math"/>
              </w:rPr>
            </m:ctrlPr>
          </m:sSubPr>
          <m:e>
            <m:r>
              <w:rPr>
                <w:rFonts w:ascii="Cambria Math" w:hAnsi="Cambria Math"/>
                <w:lang w:eastAsia="zh-CN"/>
              </w:rPr>
              <m:t>J</m:t>
            </m:r>
          </m:e>
          <m:sub>
            <m:r>
              <w:rPr>
                <w:rFonts w:ascii="Cambria Math" w:hAnsi="Cambria Math"/>
                <w:lang w:eastAsia="zh-CN"/>
              </w:rPr>
              <m:t>R</m:t>
            </m:r>
          </m:sub>
        </m:sSub>
      </m:oMath>
      <w:r>
        <w:rPr>
          <w:lang w:eastAsia="zh-CN"/>
        </w:rPr>
        <w:t xml:space="preserve"> </w:t>
      </w:r>
      <w:r>
        <w:rPr>
          <w:lang w:eastAsia="zh-CN"/>
        </w:rPr>
        <w:t>为具有受改革活动及反演支持的部门。全国同幅冲击保留为分布假设的对照。粗部门平均楔子只表达部门层面的等价变化，不声称同一部门全部活动均受改革。</w:t>
      </w:r>
    </w:p>
    <w:p w14:paraId="27CE9274" w14:textId="77777777" w:rsidR="002C0540" w:rsidRDefault="00FE1083">
      <w:pPr>
        <w:pStyle w:val="af7"/>
        <w:rPr>
          <w:lang w:eastAsia="zh-CN"/>
        </w:rPr>
      </w:pPr>
      <w:r>
        <w:rPr>
          <w:lang w:eastAsia="zh-CN"/>
        </w:rPr>
        <w:t>表</w:t>
      </w:r>
      <w:r>
        <w:rPr>
          <w:lang w:eastAsia="zh-CN"/>
        </w:rPr>
        <w:t xml:space="preserve">A4 </w:t>
      </w:r>
      <w:r>
        <w:rPr>
          <w:lang w:eastAsia="zh-CN"/>
        </w:rPr>
        <w:t>反事实情景与实施边界</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1778"/>
        <w:gridCol w:w="3557"/>
        <w:gridCol w:w="4025"/>
      </w:tblGrid>
      <w:tr w:rsidR="002C0540" w14:paraId="6F35DFAD" w14:textId="77777777">
        <w:trPr>
          <w:cantSplit/>
          <w:tblHeader/>
          <w:jc w:val="center"/>
        </w:trPr>
        <w:tc>
          <w:tcPr>
            <w:tcW w:w="1778" w:type="dxa"/>
            <w:tcBorders>
              <w:bottom w:val="single" w:sz="5" w:space="0" w:color="000000"/>
            </w:tcBorders>
            <w:vAlign w:val="center"/>
          </w:tcPr>
          <w:p w14:paraId="3AD5454E" w14:textId="77777777" w:rsidR="002C0540" w:rsidRDefault="00FE1083">
            <w:pPr>
              <w:pStyle w:val="TableText"/>
              <w:keepNext/>
              <w:jc w:val="center"/>
            </w:pPr>
            <w:r>
              <w:rPr>
                <w:b/>
              </w:rPr>
              <w:t>情景</w:t>
            </w:r>
          </w:p>
        </w:tc>
        <w:tc>
          <w:tcPr>
            <w:tcW w:w="3557" w:type="dxa"/>
            <w:tcBorders>
              <w:bottom w:val="single" w:sz="5" w:space="0" w:color="000000"/>
            </w:tcBorders>
            <w:vAlign w:val="center"/>
          </w:tcPr>
          <w:p w14:paraId="22D0A105" w14:textId="77777777" w:rsidR="002C0540" w:rsidRDefault="00FE1083">
            <w:pPr>
              <w:pStyle w:val="TableText"/>
              <w:keepNext/>
            </w:pPr>
            <w:r>
              <w:rPr>
                <w:b/>
              </w:rPr>
              <w:t>政策设定</w:t>
            </w:r>
          </w:p>
        </w:tc>
        <w:tc>
          <w:tcPr>
            <w:tcW w:w="4025" w:type="dxa"/>
            <w:tcBorders>
              <w:bottom w:val="single" w:sz="5" w:space="0" w:color="000000"/>
            </w:tcBorders>
            <w:vAlign w:val="center"/>
          </w:tcPr>
          <w:p w14:paraId="38BE14EF" w14:textId="77777777" w:rsidR="002C0540" w:rsidRDefault="00FE1083">
            <w:pPr>
              <w:pStyle w:val="TableText"/>
              <w:keepNext/>
            </w:pPr>
            <w:r>
              <w:rPr>
                <w:b/>
              </w:rPr>
              <w:t>报告边界</w:t>
            </w:r>
          </w:p>
        </w:tc>
      </w:tr>
      <w:tr w:rsidR="002C0540" w14:paraId="67872AF8" w14:textId="77777777">
        <w:trPr>
          <w:cantSplit/>
          <w:jc w:val="center"/>
        </w:trPr>
        <w:tc>
          <w:tcPr>
            <w:tcW w:w="1778" w:type="dxa"/>
            <w:vAlign w:val="center"/>
          </w:tcPr>
          <w:p w14:paraId="00D2DB4D" w14:textId="77777777" w:rsidR="002C0540" w:rsidRDefault="00FE1083">
            <w:pPr>
              <w:pStyle w:val="TableText"/>
            </w:pPr>
            <w:r>
              <w:t xml:space="preserve">CF1 </w:t>
            </w:r>
            <w:r>
              <w:t>逐次真实改革</w:t>
            </w:r>
          </w:p>
        </w:tc>
        <w:tc>
          <w:tcPr>
            <w:tcW w:w="3557" w:type="dxa"/>
            <w:vAlign w:val="center"/>
          </w:tcPr>
          <w:p w14:paraId="3433B85E" w14:textId="77777777" w:rsidR="002C0540" w:rsidRDefault="00FE1083">
            <w:pPr>
              <w:pStyle w:val="TableText"/>
              <w:rPr>
                <w:lang w:eastAsia="zh-CN"/>
              </w:rPr>
            </w:pPr>
            <w:r>
              <w:rPr>
                <w:lang w:eastAsia="zh-CN"/>
              </w:rPr>
              <w:t>替换有识别支持的相邻政策状态</w:t>
            </w:r>
          </w:p>
        </w:tc>
        <w:tc>
          <w:tcPr>
            <w:tcW w:w="4025" w:type="dxa"/>
            <w:vAlign w:val="center"/>
          </w:tcPr>
          <w:p w14:paraId="3F34CC1C" w14:textId="77777777" w:rsidR="002C0540" w:rsidRDefault="00FE1083">
            <w:pPr>
              <w:pStyle w:val="TableText"/>
              <w:rPr>
                <w:lang w:eastAsia="zh-CN"/>
              </w:rPr>
            </w:pPr>
            <w:r>
              <w:rPr>
                <w:lang w:eastAsia="zh-CN"/>
              </w:rPr>
              <w:t>报告有限限制改革的边际响应及条件模型结果</w:t>
            </w:r>
          </w:p>
        </w:tc>
      </w:tr>
      <w:tr w:rsidR="002C0540" w14:paraId="181C9154" w14:textId="77777777">
        <w:trPr>
          <w:cantSplit/>
          <w:jc w:val="center"/>
        </w:trPr>
        <w:tc>
          <w:tcPr>
            <w:tcW w:w="1778" w:type="dxa"/>
            <w:vAlign w:val="center"/>
          </w:tcPr>
          <w:p w14:paraId="478857B1" w14:textId="77777777" w:rsidR="002C0540" w:rsidRDefault="00FE1083">
            <w:pPr>
              <w:pStyle w:val="TableText"/>
            </w:pPr>
            <w:r>
              <w:t xml:space="preserve">CF2 </w:t>
            </w:r>
            <w:r>
              <w:t>累计改革</w:t>
            </w:r>
          </w:p>
        </w:tc>
        <w:tc>
          <w:tcPr>
            <w:tcW w:w="3557" w:type="dxa"/>
            <w:vAlign w:val="center"/>
          </w:tcPr>
          <w:p w14:paraId="5498F4D8" w14:textId="77777777" w:rsidR="002C0540" w:rsidRDefault="00FE1083">
            <w:pPr>
              <w:pStyle w:val="TableText"/>
              <w:rPr>
                <w:lang w:eastAsia="zh-CN"/>
              </w:rPr>
            </w:pPr>
            <w:r>
              <w:rPr>
                <w:lang w:eastAsia="zh-CN"/>
              </w:rPr>
              <w:t>比较预先选定的起止版本</w:t>
            </w:r>
          </w:p>
        </w:tc>
        <w:tc>
          <w:tcPr>
            <w:tcW w:w="4025" w:type="dxa"/>
            <w:vAlign w:val="center"/>
          </w:tcPr>
          <w:p w14:paraId="0AF5F09E" w14:textId="77777777" w:rsidR="002C0540" w:rsidRDefault="00FE1083">
            <w:pPr>
              <w:pStyle w:val="TableText"/>
              <w:rPr>
                <w:lang w:eastAsia="zh-CN"/>
              </w:rPr>
            </w:pPr>
            <w:r>
              <w:rPr>
                <w:lang w:eastAsia="zh-CN"/>
              </w:rPr>
              <w:t>检验联合政策状态的支持，不直接累加异质事件系数</w:t>
            </w:r>
          </w:p>
        </w:tc>
      </w:tr>
      <w:tr w:rsidR="002C0540" w14:paraId="01B5C1CA" w14:textId="77777777">
        <w:trPr>
          <w:cantSplit/>
          <w:jc w:val="center"/>
        </w:trPr>
        <w:tc>
          <w:tcPr>
            <w:tcW w:w="1778" w:type="dxa"/>
            <w:vAlign w:val="center"/>
          </w:tcPr>
          <w:p w14:paraId="1AFFF246" w14:textId="77777777" w:rsidR="002C0540" w:rsidRDefault="00FE1083">
            <w:pPr>
              <w:pStyle w:val="TableText"/>
            </w:pPr>
            <w:r>
              <w:t xml:space="preserve">CF3 </w:t>
            </w:r>
            <w:r>
              <w:t>无后续改革</w:t>
            </w:r>
          </w:p>
        </w:tc>
        <w:tc>
          <w:tcPr>
            <w:tcW w:w="3557" w:type="dxa"/>
            <w:vAlign w:val="center"/>
          </w:tcPr>
          <w:p w14:paraId="67FE2817" w14:textId="77777777" w:rsidR="002C0540" w:rsidRDefault="00FE1083">
            <w:pPr>
              <w:pStyle w:val="TableText"/>
              <w:rPr>
                <w:lang w:eastAsia="zh-CN"/>
              </w:rPr>
            </w:pPr>
            <w:r>
              <w:rPr>
                <w:lang w:eastAsia="zh-CN"/>
              </w:rPr>
              <w:t>在同一经济基准下保留早期规则</w:t>
            </w:r>
          </w:p>
        </w:tc>
        <w:tc>
          <w:tcPr>
            <w:tcW w:w="4025" w:type="dxa"/>
            <w:vAlign w:val="center"/>
          </w:tcPr>
          <w:p w14:paraId="1C54F132" w14:textId="77777777" w:rsidR="002C0540" w:rsidRDefault="00FE1083">
            <w:pPr>
              <w:pStyle w:val="TableText"/>
              <w:rPr>
                <w:lang w:eastAsia="zh-CN"/>
              </w:rPr>
            </w:pPr>
            <w:r>
              <w:rPr>
                <w:lang w:eastAsia="zh-CN"/>
              </w:rPr>
              <w:t>明确冻结版本与可逆性、历史依赖假设</w:t>
            </w:r>
          </w:p>
        </w:tc>
      </w:tr>
      <w:tr w:rsidR="002C0540" w14:paraId="45BEBC62" w14:textId="77777777">
        <w:trPr>
          <w:cantSplit/>
          <w:jc w:val="center"/>
        </w:trPr>
        <w:tc>
          <w:tcPr>
            <w:tcW w:w="1778" w:type="dxa"/>
            <w:vAlign w:val="center"/>
          </w:tcPr>
          <w:p w14:paraId="34D825D2" w14:textId="77777777" w:rsidR="002C0540" w:rsidRDefault="00FE1083">
            <w:pPr>
              <w:pStyle w:val="TableText"/>
            </w:pPr>
            <w:r>
              <w:t xml:space="preserve">CF4 </w:t>
            </w:r>
            <w:r>
              <w:t>类型或组合分解</w:t>
            </w:r>
          </w:p>
        </w:tc>
        <w:tc>
          <w:tcPr>
            <w:tcW w:w="3557" w:type="dxa"/>
            <w:vAlign w:val="center"/>
          </w:tcPr>
          <w:p w14:paraId="632FAF0C" w14:textId="77777777" w:rsidR="002C0540" w:rsidRDefault="00FE1083">
            <w:pPr>
              <w:pStyle w:val="TableText"/>
              <w:rPr>
                <w:lang w:eastAsia="zh-CN"/>
              </w:rPr>
            </w:pPr>
            <w:r>
              <w:rPr>
                <w:lang w:eastAsia="zh-CN"/>
              </w:rPr>
              <w:t>分别改变可独立识别的限制或改革组合</w:t>
            </w:r>
          </w:p>
        </w:tc>
        <w:tc>
          <w:tcPr>
            <w:tcW w:w="4025" w:type="dxa"/>
            <w:vAlign w:val="center"/>
          </w:tcPr>
          <w:p w14:paraId="375B5453" w14:textId="77777777" w:rsidR="002C0540" w:rsidRDefault="00FE1083">
            <w:pPr>
              <w:pStyle w:val="TableText"/>
              <w:rPr>
                <w:lang w:eastAsia="zh-CN"/>
              </w:rPr>
            </w:pPr>
            <w:r>
              <w:rPr>
                <w:lang w:eastAsia="zh-CN"/>
              </w:rPr>
              <w:t>缺乏独立变化时只报告组合，不宣称类型净贡献</w:t>
            </w:r>
          </w:p>
        </w:tc>
      </w:tr>
      <w:tr w:rsidR="002C0540" w14:paraId="4F15F95A" w14:textId="77777777">
        <w:trPr>
          <w:cantSplit/>
          <w:jc w:val="center"/>
        </w:trPr>
        <w:tc>
          <w:tcPr>
            <w:tcW w:w="1778" w:type="dxa"/>
            <w:vAlign w:val="center"/>
          </w:tcPr>
          <w:p w14:paraId="414DD956" w14:textId="77777777" w:rsidR="002C0540" w:rsidRDefault="00FE1083">
            <w:pPr>
              <w:pStyle w:val="TableText"/>
            </w:pPr>
            <w:r>
              <w:t xml:space="preserve">CF5 </w:t>
            </w:r>
            <w:r>
              <w:t>进一步开放</w:t>
            </w:r>
          </w:p>
        </w:tc>
        <w:tc>
          <w:tcPr>
            <w:tcW w:w="3557" w:type="dxa"/>
            <w:vAlign w:val="center"/>
          </w:tcPr>
          <w:p w14:paraId="62979AFF" w14:textId="77777777" w:rsidR="002C0540" w:rsidRDefault="00FE1083">
            <w:pPr>
              <w:pStyle w:val="TableText"/>
            </w:pPr>
            <w:r>
              <w:t>放松仍存的有限限制</w:t>
            </w:r>
          </w:p>
        </w:tc>
        <w:tc>
          <w:tcPr>
            <w:tcW w:w="4025" w:type="dxa"/>
            <w:vAlign w:val="center"/>
          </w:tcPr>
          <w:p w14:paraId="6D2211E9" w14:textId="77777777" w:rsidR="002C0540" w:rsidRDefault="00FE1083">
            <w:pPr>
              <w:pStyle w:val="TableText"/>
              <w:rPr>
                <w:lang w:eastAsia="zh-CN"/>
              </w:rPr>
            </w:pPr>
            <w:r>
              <w:rPr>
                <w:lang w:eastAsia="zh-CN"/>
              </w:rPr>
              <w:t>区分支持范围内预测与外推，不称严格福利上限</w:t>
            </w:r>
          </w:p>
        </w:tc>
      </w:tr>
    </w:tbl>
    <w:p w14:paraId="190BC624" w14:textId="77777777" w:rsidR="002C0540" w:rsidRDefault="002C0540">
      <w:pPr>
        <w:spacing w:after="40" w:line="84" w:lineRule="auto"/>
        <w:rPr>
          <w:lang w:eastAsia="zh-CN"/>
        </w:rPr>
      </w:pPr>
    </w:p>
    <w:p w14:paraId="73BD21C0" w14:textId="77777777" w:rsidR="002C0540" w:rsidRDefault="00FE1083">
      <w:pPr>
        <w:rPr>
          <w:lang w:eastAsia="zh-CN"/>
        </w:rPr>
      </w:pPr>
      <w:r>
        <w:rPr>
          <w:lang w:eastAsia="zh-CN"/>
        </w:rPr>
        <w:t>各情景采用共同经济基准并记录政策版本、受影响活动、部门和母国范围。报告在华外资生产、部门总产出、三边流量及实际收入变化；福利分解与模型恒等式一致，不依据分解项正负推断未经验证的现实机制。</w:t>
      </w:r>
    </w:p>
    <w:p w14:paraId="39C4B850" w14:textId="77777777" w:rsidR="002C0540" w:rsidRDefault="00FE1083">
      <w:pPr>
        <w:rPr>
          <w:lang w:eastAsia="zh-CN"/>
        </w:rPr>
      </w:pPr>
      <w:r>
        <w:rPr>
          <w:lang w:eastAsia="zh-CN"/>
        </w:rPr>
        <w:t>增强规格需明确组间产品替代关系、投入来源与母国竞争，而不是仅给粗部门附加处理标签。设置部门内两组</w:t>
      </w:r>
      <w:r>
        <w:rPr>
          <w:lang w:eastAsia="zh-CN"/>
        </w:rPr>
        <w:t xml:space="preserve"> CES </w:t>
      </w:r>
      <w:r>
        <w:rPr>
          <w:lang w:eastAsia="zh-CN"/>
        </w:rPr>
        <w:t>聚合时，应单独定义并校准组间替代弹性，不能把部门间参数直接代用。设立成本或禁止线路扩展需重建可行选择集与水平校准，不能只修改现有帽子冲击。</w:t>
      </w:r>
    </w:p>
    <w:p w14:paraId="4ADFAEC0" w14:textId="77777777" w:rsidR="002C0540" w:rsidRDefault="00FE1083">
      <w:pPr>
        <w:pStyle w:val="1"/>
        <w:rPr>
          <w:lang w:eastAsia="zh-CN"/>
        </w:rPr>
      </w:pPr>
      <w:r>
        <w:rPr>
          <w:lang w:eastAsia="zh-CN"/>
        </w:rPr>
        <w:t xml:space="preserve">A8 </w:t>
      </w:r>
      <w:r>
        <w:rPr>
          <w:lang w:eastAsia="zh-CN"/>
        </w:rPr>
        <w:t>验证与不确定性</w:t>
      </w:r>
    </w:p>
    <w:p w14:paraId="023FE5DA" w14:textId="77777777" w:rsidR="002C0540" w:rsidRDefault="00FE1083">
      <w:pPr>
        <w:rPr>
          <w:lang w:eastAsia="zh-CN"/>
        </w:rPr>
      </w:pPr>
      <w:r>
        <w:rPr>
          <w:lang w:eastAsia="zh-CN"/>
        </w:rPr>
        <w:t>验证贯穿法律编码、因果识别和结构映射。法律层核对条文版本、生效时间、范围与解除依据，并抽查删除后仍保留的活动记录；匹配层报告</w:t>
      </w:r>
      <w:r>
        <w:rPr>
          <w:lang w:eastAsia="zh-CN"/>
        </w:rPr>
        <w:t>exact</w:t>
      </w:r>
      <w:r>
        <w:rPr>
          <w:lang w:eastAsia="zh-CN"/>
        </w:rPr>
        <w:t>、</w:t>
      </w:r>
      <w:r>
        <w:rPr>
          <w:lang w:eastAsia="zh-CN"/>
        </w:rPr>
        <w:t>narrow</w:t>
      </w:r>
      <w:r>
        <w:rPr>
          <w:lang w:eastAsia="zh-CN"/>
        </w:rPr>
        <w:t>、</w:t>
      </w:r>
      <w:r>
        <w:rPr>
          <w:lang w:eastAsia="zh-CN"/>
        </w:rPr>
        <w:t>partial</w:t>
      </w:r>
      <w:r>
        <w:rPr>
          <w:lang w:eastAsia="zh-CN"/>
        </w:rPr>
        <w:t>、不确定与未匹配比例，采用冻结阈值、人工复核及分类版本替代规格评估误差。企业活动生产先核对多业务拆分、最终控制国、企业重复记录及地区边界，再加总到结构部门。</w:t>
      </w:r>
    </w:p>
    <w:p w14:paraId="68619776" w14:textId="77777777" w:rsidR="002C0540" w:rsidRDefault="00FE1083">
      <w:pPr>
        <w:rPr>
          <w:lang w:eastAsia="zh-CN"/>
        </w:rPr>
      </w:pPr>
      <w:r>
        <w:rPr>
          <w:lang w:eastAsia="zh-CN"/>
        </w:rPr>
        <w:t>识别层报告每项改革的完整限制变化、处理与对照活动、有效政策簇和事件时间覆盖；核查改革前动态、提前反应、同期政策、选择进入和跨活动迁移。剔除业务变化企业仅作为</w:t>
      </w:r>
      <w:r>
        <w:rPr>
          <w:lang w:eastAsia="zh-CN"/>
        </w:rPr>
        <w:lastRenderedPageBreak/>
        <w:t>选择样本敏感性，不替代基期分组的主规格。对控制、产出、进入和退出分别估计，检验生产份额变化究竟来自所有权调整、既有企业规模变化还是新企业进入。</w:t>
      </w:r>
    </w:p>
    <w:p w14:paraId="02FC7DB6" w14:textId="77777777" w:rsidR="002C0540" w:rsidRDefault="00FE1083">
      <w:pPr>
        <w:rPr>
          <w:lang w:eastAsia="zh-CN"/>
        </w:rPr>
      </w:pPr>
      <w:r>
        <w:rPr>
          <w:lang w:eastAsia="zh-CN"/>
        </w:rPr>
        <w:t>结构层先检查目标对参数的雅可比秩及可识别支持，再保存基期份额、观察算子、参数版本、冲击边界、优化与均衡日志。报告经验目标、模型拟合值、残差、搜索范围、边界解、目标可达性及均衡收敛状态。先检验单成本机制能否同时解释外资生产与总生产；不匹配时报告机制或粒度不足，不能只凭优化程序返回数值宣布成本已识别。保留粗部门与部门内暴露组、条件</w:t>
      </w:r>
      <w:r>
        <w:rPr>
          <w:lang w:eastAsia="zh-CN"/>
        </w:rPr>
        <w:t>PE</w:t>
      </w:r>
      <w:r>
        <w:rPr>
          <w:lang w:eastAsia="zh-CN"/>
        </w:rPr>
        <w:t>与</w:t>
      </w:r>
      <w:r>
        <w:rPr>
          <w:lang w:eastAsia="zh-CN"/>
        </w:rPr>
        <w:t>GE</w:t>
      </w:r>
      <w:r>
        <w:rPr>
          <w:lang w:eastAsia="zh-CN"/>
        </w:rPr>
        <w:t>一致规格的对照；比较不同结构参数、经验目标与闭合条件下的结果。</w:t>
      </w:r>
    </w:p>
    <w:p w14:paraId="2B6F728E" w14:textId="77777777" w:rsidR="002C0540" w:rsidRDefault="00FE1083">
      <w:pPr>
        <w:rPr>
          <w:lang w:eastAsia="zh-CN"/>
        </w:rPr>
      </w:pPr>
      <w:r>
        <w:rPr>
          <w:lang w:eastAsia="zh-CN"/>
        </w:rPr>
        <w:t>不确定性传播按真实政策赋值簇重抽样，在每次重复中重新估计经济响应、构造部门目标、反演成本并求解均衡。政策匹配与基期生产权重的不确定性通过独立重编码或替代构造评估；结构参数采用有来源的区间或外部校准情景。有效簇较少时采用适当小样本推断，但推断方法不能替代缺少独立政策变化。无法反演或均衡不收敛的重复单独记录，不静默删除后缩窄区间。结果分别给出微观估计不确定性与包含结构假设的情景范围。</w:t>
      </w:r>
    </w:p>
    <w:p w14:paraId="6D8A7758" w14:textId="77777777" w:rsidR="002C0540" w:rsidRDefault="00FE1083">
      <w:pPr>
        <w:pStyle w:val="1"/>
        <w:rPr>
          <w:lang w:eastAsia="zh-CN"/>
        </w:rPr>
      </w:pPr>
      <w:r>
        <w:rPr>
          <w:lang w:eastAsia="zh-CN"/>
        </w:rPr>
        <w:t xml:space="preserve">A9 </w:t>
      </w:r>
      <w:r>
        <w:rPr>
          <w:lang w:eastAsia="zh-CN"/>
        </w:rPr>
        <w:t>实施顺序与阶段产物</w:t>
      </w:r>
    </w:p>
    <w:p w14:paraId="74115FEE" w14:textId="77777777" w:rsidR="002C0540" w:rsidRDefault="00FE1083">
      <w:pPr>
        <w:rPr>
          <w:lang w:eastAsia="zh-CN"/>
        </w:rPr>
      </w:pPr>
      <w:r>
        <w:rPr>
          <w:lang w:eastAsia="zh-CN"/>
        </w:rPr>
        <w:t>先选择一次法律状态清楚、改革前存在外资生产且处理对照可核验的有限限制改革，完成全流程试点。该事件通过法律台账、经济识别和结构观察口径检验后，再扩展至历次改革。阶段选择依据政策支持和口径一致性，不依据估计显著性。</w:t>
      </w:r>
    </w:p>
    <w:p w14:paraId="599A1C21" w14:textId="77777777" w:rsidR="002C0540" w:rsidRDefault="00FE1083">
      <w:pPr>
        <w:pStyle w:val="af7"/>
        <w:rPr>
          <w:lang w:eastAsia="zh-CN"/>
        </w:rPr>
      </w:pPr>
      <w:r>
        <w:rPr>
          <w:lang w:eastAsia="zh-CN"/>
        </w:rPr>
        <w:t>表</w:t>
      </w:r>
      <w:r>
        <w:rPr>
          <w:lang w:eastAsia="zh-CN"/>
        </w:rPr>
        <w:t xml:space="preserve">A5 </w:t>
      </w:r>
      <w:r>
        <w:rPr>
          <w:lang w:eastAsia="zh-CN"/>
        </w:rPr>
        <w:t>实施阶段与验收条件</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1778"/>
        <w:gridCol w:w="3557"/>
        <w:gridCol w:w="4025"/>
      </w:tblGrid>
      <w:tr w:rsidR="002C0540" w14:paraId="3E1A7058" w14:textId="77777777">
        <w:trPr>
          <w:cantSplit/>
          <w:tblHeader/>
          <w:jc w:val="center"/>
        </w:trPr>
        <w:tc>
          <w:tcPr>
            <w:tcW w:w="1778" w:type="dxa"/>
            <w:tcBorders>
              <w:bottom w:val="single" w:sz="5" w:space="0" w:color="000000"/>
            </w:tcBorders>
            <w:vAlign w:val="center"/>
          </w:tcPr>
          <w:p w14:paraId="083602C5" w14:textId="77777777" w:rsidR="002C0540" w:rsidRDefault="00FE1083">
            <w:pPr>
              <w:pStyle w:val="TableText"/>
              <w:keepNext/>
              <w:jc w:val="center"/>
            </w:pPr>
            <w:r>
              <w:rPr>
                <w:b/>
              </w:rPr>
              <w:t>阶段</w:t>
            </w:r>
          </w:p>
        </w:tc>
        <w:tc>
          <w:tcPr>
            <w:tcW w:w="3557" w:type="dxa"/>
            <w:tcBorders>
              <w:bottom w:val="single" w:sz="5" w:space="0" w:color="000000"/>
            </w:tcBorders>
            <w:vAlign w:val="center"/>
          </w:tcPr>
          <w:p w14:paraId="1B14FECF" w14:textId="77777777" w:rsidR="002C0540" w:rsidRDefault="00FE1083">
            <w:pPr>
              <w:pStyle w:val="TableText"/>
              <w:keepNext/>
            </w:pPr>
            <w:r>
              <w:rPr>
                <w:b/>
              </w:rPr>
              <w:t>主要产物</w:t>
            </w:r>
          </w:p>
        </w:tc>
        <w:tc>
          <w:tcPr>
            <w:tcW w:w="4025" w:type="dxa"/>
            <w:tcBorders>
              <w:bottom w:val="single" w:sz="5" w:space="0" w:color="000000"/>
            </w:tcBorders>
            <w:vAlign w:val="center"/>
          </w:tcPr>
          <w:p w14:paraId="0F800A5E" w14:textId="77777777" w:rsidR="002C0540" w:rsidRDefault="00FE1083">
            <w:pPr>
              <w:pStyle w:val="TableText"/>
              <w:keepNext/>
            </w:pPr>
            <w:r>
              <w:rPr>
                <w:b/>
              </w:rPr>
              <w:t>进入下一阶段的条件</w:t>
            </w:r>
          </w:p>
        </w:tc>
      </w:tr>
      <w:tr w:rsidR="002C0540" w14:paraId="5AC88C91" w14:textId="77777777">
        <w:trPr>
          <w:cantSplit/>
          <w:jc w:val="center"/>
        </w:trPr>
        <w:tc>
          <w:tcPr>
            <w:tcW w:w="1778" w:type="dxa"/>
            <w:vAlign w:val="center"/>
          </w:tcPr>
          <w:p w14:paraId="1754C2A7" w14:textId="77777777" w:rsidR="002C0540" w:rsidRDefault="00FE1083">
            <w:pPr>
              <w:pStyle w:val="TableText"/>
            </w:pPr>
            <w:r>
              <w:t>法律面板</w:t>
            </w:r>
          </w:p>
        </w:tc>
        <w:tc>
          <w:tcPr>
            <w:tcW w:w="3557" w:type="dxa"/>
            <w:vAlign w:val="center"/>
          </w:tcPr>
          <w:p w14:paraId="29BC3C9D" w14:textId="77777777" w:rsidR="002C0540" w:rsidRDefault="00FE1083">
            <w:pPr>
              <w:pStyle w:val="TableText"/>
              <w:rPr>
                <w:lang w:eastAsia="zh-CN"/>
              </w:rPr>
            </w:pPr>
            <w:r>
              <w:rPr>
                <w:lang w:eastAsia="zh-CN"/>
              </w:rPr>
              <w:t>跨年活动台账</w:t>
            </w:r>
            <w:r>
              <w:rPr>
                <w:lang w:eastAsia="zh-CN"/>
              </w:rPr>
              <w:t xml:space="preserve"> </w:t>
            </w:r>
            <w:r>
              <w:rPr>
                <w:lang w:eastAsia="zh-CN"/>
              </w:rPr>
              <w:t>六维限制</w:t>
            </w:r>
            <w:r>
              <w:rPr>
                <w:lang w:eastAsia="zh-CN"/>
              </w:rPr>
              <w:t xml:space="preserve"> </w:t>
            </w:r>
            <w:r>
              <w:rPr>
                <w:lang w:eastAsia="zh-CN"/>
              </w:rPr>
              <w:t>适用范围与谱系</w:t>
            </w:r>
          </w:p>
        </w:tc>
        <w:tc>
          <w:tcPr>
            <w:tcW w:w="4025" w:type="dxa"/>
            <w:vAlign w:val="center"/>
          </w:tcPr>
          <w:p w14:paraId="356E1280" w14:textId="77777777" w:rsidR="002C0540" w:rsidRDefault="00FE1083">
            <w:pPr>
              <w:pStyle w:val="TableText"/>
              <w:rPr>
                <w:lang w:eastAsia="zh-CN"/>
              </w:rPr>
            </w:pPr>
            <w:r>
              <w:rPr>
                <w:lang w:eastAsia="zh-CN"/>
              </w:rPr>
              <w:t>取消</w:t>
            </w:r>
            <w:r>
              <w:rPr>
                <w:lang w:eastAsia="zh-CN"/>
              </w:rPr>
              <w:t xml:space="preserve"> </w:t>
            </w:r>
            <w:r>
              <w:rPr>
                <w:lang w:eastAsia="zh-CN"/>
              </w:rPr>
              <w:t>限制与未知状态区分</w:t>
            </w:r>
            <w:r>
              <w:rPr>
                <w:lang w:eastAsia="zh-CN"/>
              </w:rPr>
              <w:t xml:space="preserve"> </w:t>
            </w:r>
            <w:r>
              <w:rPr>
                <w:lang w:eastAsia="zh-CN"/>
              </w:rPr>
              <w:t>生效时间可回溯</w:t>
            </w:r>
          </w:p>
        </w:tc>
      </w:tr>
      <w:tr w:rsidR="002C0540" w14:paraId="10F40151" w14:textId="77777777">
        <w:trPr>
          <w:cantSplit/>
          <w:jc w:val="center"/>
        </w:trPr>
        <w:tc>
          <w:tcPr>
            <w:tcW w:w="1778" w:type="dxa"/>
            <w:vAlign w:val="center"/>
          </w:tcPr>
          <w:p w14:paraId="5AC58F3C" w14:textId="77777777" w:rsidR="002C0540" w:rsidRDefault="00FE1083">
            <w:pPr>
              <w:pStyle w:val="TableText"/>
            </w:pPr>
            <w:r>
              <w:t>企业匹配</w:t>
            </w:r>
          </w:p>
        </w:tc>
        <w:tc>
          <w:tcPr>
            <w:tcW w:w="3557" w:type="dxa"/>
            <w:vAlign w:val="center"/>
          </w:tcPr>
          <w:p w14:paraId="6814D499" w14:textId="77777777" w:rsidR="002C0540" w:rsidRDefault="00FE1083">
            <w:pPr>
              <w:pStyle w:val="TableText"/>
              <w:rPr>
                <w:lang w:eastAsia="zh-CN"/>
              </w:rPr>
            </w:pPr>
            <w:r>
              <w:rPr>
                <w:lang w:eastAsia="zh-CN"/>
              </w:rPr>
              <w:t>基期业务暴露</w:t>
            </w:r>
            <w:r>
              <w:rPr>
                <w:lang w:eastAsia="zh-CN"/>
              </w:rPr>
              <w:t xml:space="preserve"> </w:t>
            </w:r>
            <w:r>
              <w:rPr>
                <w:lang w:eastAsia="zh-CN"/>
              </w:rPr>
              <w:t>活动生产与控制国数据</w:t>
            </w:r>
          </w:p>
        </w:tc>
        <w:tc>
          <w:tcPr>
            <w:tcW w:w="4025" w:type="dxa"/>
            <w:vAlign w:val="center"/>
          </w:tcPr>
          <w:p w14:paraId="022CEFB1" w14:textId="77777777" w:rsidR="002C0540" w:rsidRDefault="00FE1083">
            <w:pPr>
              <w:pStyle w:val="TableText"/>
              <w:rPr>
                <w:lang w:eastAsia="zh-CN"/>
              </w:rPr>
            </w:pPr>
            <w:r>
              <w:rPr>
                <w:lang w:eastAsia="zh-CN"/>
              </w:rPr>
              <w:t>企业及活动键唯一</w:t>
            </w:r>
            <w:r>
              <w:rPr>
                <w:lang w:eastAsia="zh-CN"/>
              </w:rPr>
              <w:t xml:space="preserve"> </w:t>
            </w:r>
            <w:r>
              <w:rPr>
                <w:lang w:eastAsia="zh-CN"/>
              </w:rPr>
              <w:t>加总口径与覆盖一致</w:t>
            </w:r>
          </w:p>
        </w:tc>
      </w:tr>
      <w:tr w:rsidR="002C0540" w14:paraId="1569F303" w14:textId="77777777">
        <w:trPr>
          <w:cantSplit/>
          <w:jc w:val="center"/>
        </w:trPr>
        <w:tc>
          <w:tcPr>
            <w:tcW w:w="1778" w:type="dxa"/>
            <w:vAlign w:val="center"/>
          </w:tcPr>
          <w:p w14:paraId="7BE333C0" w14:textId="77777777" w:rsidR="002C0540" w:rsidRDefault="00FE1083">
            <w:pPr>
              <w:pStyle w:val="TableText"/>
            </w:pPr>
            <w:r>
              <w:t>改革识别</w:t>
            </w:r>
          </w:p>
        </w:tc>
        <w:tc>
          <w:tcPr>
            <w:tcW w:w="3557" w:type="dxa"/>
            <w:vAlign w:val="center"/>
          </w:tcPr>
          <w:p w14:paraId="56454DDA" w14:textId="77777777" w:rsidR="002C0540" w:rsidRDefault="00FE1083">
            <w:pPr>
              <w:pStyle w:val="TableText"/>
              <w:rPr>
                <w:lang w:eastAsia="zh-CN"/>
              </w:rPr>
            </w:pPr>
            <w:r>
              <w:rPr>
                <w:lang w:eastAsia="zh-CN"/>
              </w:rPr>
              <w:t>事件表</w:t>
            </w:r>
            <w:r>
              <w:rPr>
                <w:lang w:eastAsia="zh-CN"/>
              </w:rPr>
              <w:t xml:space="preserve"> </w:t>
            </w:r>
            <w:r>
              <w:rPr>
                <w:lang w:eastAsia="zh-CN"/>
              </w:rPr>
              <w:t>处理对照</w:t>
            </w:r>
            <w:r>
              <w:rPr>
                <w:lang w:eastAsia="zh-CN"/>
              </w:rPr>
              <w:t xml:space="preserve"> </w:t>
            </w:r>
            <w:r>
              <w:rPr>
                <w:lang w:eastAsia="zh-CN"/>
              </w:rPr>
              <w:t>动态效果与限制变化矩阵</w:t>
            </w:r>
          </w:p>
        </w:tc>
        <w:tc>
          <w:tcPr>
            <w:tcW w:w="4025" w:type="dxa"/>
            <w:vAlign w:val="center"/>
          </w:tcPr>
          <w:p w14:paraId="3BC87CD6" w14:textId="77777777" w:rsidR="002C0540" w:rsidRDefault="00FE1083">
            <w:pPr>
              <w:pStyle w:val="TableText"/>
              <w:rPr>
                <w:lang w:eastAsia="zh-CN"/>
              </w:rPr>
            </w:pPr>
            <w:r>
              <w:rPr>
                <w:lang w:eastAsia="zh-CN"/>
              </w:rPr>
              <w:t>有效比较与独立变化支持</w:t>
            </w:r>
            <w:r>
              <w:rPr>
                <w:lang w:eastAsia="zh-CN"/>
              </w:rPr>
              <w:t xml:space="preserve"> </w:t>
            </w:r>
            <w:r>
              <w:rPr>
                <w:lang w:eastAsia="zh-CN"/>
              </w:rPr>
              <w:t>失败事件单独报告</w:t>
            </w:r>
          </w:p>
        </w:tc>
      </w:tr>
      <w:tr w:rsidR="002C0540" w14:paraId="5F4110D5" w14:textId="77777777">
        <w:trPr>
          <w:cantSplit/>
          <w:jc w:val="center"/>
        </w:trPr>
        <w:tc>
          <w:tcPr>
            <w:tcW w:w="1778" w:type="dxa"/>
            <w:vAlign w:val="center"/>
          </w:tcPr>
          <w:p w14:paraId="1C9C88B1" w14:textId="77777777" w:rsidR="002C0540" w:rsidRDefault="00FE1083">
            <w:pPr>
              <w:pStyle w:val="TableText"/>
            </w:pPr>
            <w:r>
              <w:t>成本映射</w:t>
            </w:r>
          </w:p>
        </w:tc>
        <w:tc>
          <w:tcPr>
            <w:tcW w:w="3557" w:type="dxa"/>
            <w:vAlign w:val="center"/>
          </w:tcPr>
          <w:p w14:paraId="3C34B688" w14:textId="77777777" w:rsidR="002C0540" w:rsidRDefault="00FE1083">
            <w:pPr>
              <w:pStyle w:val="TableText"/>
              <w:rPr>
                <w:lang w:eastAsia="zh-CN"/>
              </w:rPr>
            </w:pPr>
            <w:r>
              <w:rPr>
                <w:lang w:eastAsia="zh-CN"/>
              </w:rPr>
              <w:t>结构观察方程</w:t>
            </w:r>
            <w:r>
              <w:rPr>
                <w:lang w:eastAsia="zh-CN"/>
              </w:rPr>
              <w:t xml:space="preserve"> </w:t>
            </w:r>
            <w:r>
              <w:rPr>
                <w:lang w:eastAsia="zh-CN"/>
              </w:rPr>
              <w:t>部门目标</w:t>
            </w:r>
            <w:r>
              <w:rPr>
                <w:lang w:eastAsia="zh-CN"/>
              </w:rPr>
              <w:t xml:space="preserve"> </w:t>
            </w:r>
            <w:r>
              <w:rPr>
                <w:lang w:eastAsia="zh-CN"/>
              </w:rPr>
              <w:t>成本相对变化</w:t>
            </w:r>
          </w:p>
        </w:tc>
        <w:tc>
          <w:tcPr>
            <w:tcW w:w="4025" w:type="dxa"/>
            <w:vAlign w:val="center"/>
          </w:tcPr>
          <w:p w14:paraId="4D4B5D24" w14:textId="77777777" w:rsidR="002C0540" w:rsidRDefault="00FE1083">
            <w:pPr>
              <w:pStyle w:val="TableText"/>
              <w:rPr>
                <w:lang w:eastAsia="zh-CN"/>
              </w:rPr>
            </w:pPr>
            <w:r>
              <w:rPr>
                <w:lang w:eastAsia="zh-CN"/>
              </w:rPr>
              <w:t>PE</w:t>
            </w:r>
            <w:r>
              <w:rPr>
                <w:lang w:eastAsia="zh-CN"/>
              </w:rPr>
              <w:t>或</w:t>
            </w:r>
            <w:r>
              <w:rPr>
                <w:lang w:eastAsia="zh-CN"/>
              </w:rPr>
              <w:t>GE</w:t>
            </w:r>
            <w:r>
              <w:rPr>
                <w:lang w:eastAsia="zh-CN"/>
              </w:rPr>
              <w:t>条件一致</w:t>
            </w:r>
            <w:r>
              <w:rPr>
                <w:lang w:eastAsia="zh-CN"/>
              </w:rPr>
              <w:t xml:space="preserve"> </w:t>
            </w:r>
            <w:r>
              <w:rPr>
                <w:lang w:eastAsia="zh-CN"/>
              </w:rPr>
              <w:t>拟合与多矩机制检验可复核</w:t>
            </w:r>
          </w:p>
        </w:tc>
      </w:tr>
      <w:tr w:rsidR="002C0540" w14:paraId="1E3F6F77" w14:textId="77777777">
        <w:trPr>
          <w:cantSplit/>
          <w:jc w:val="center"/>
        </w:trPr>
        <w:tc>
          <w:tcPr>
            <w:tcW w:w="1778" w:type="dxa"/>
            <w:vAlign w:val="center"/>
          </w:tcPr>
          <w:p w14:paraId="5E2FA4A7" w14:textId="77777777" w:rsidR="002C0540" w:rsidRDefault="00FE1083">
            <w:pPr>
              <w:pStyle w:val="TableText"/>
              <w:jc w:val="center"/>
            </w:pPr>
            <w:r>
              <w:lastRenderedPageBreak/>
              <w:t>反事实</w:t>
            </w:r>
          </w:p>
        </w:tc>
        <w:tc>
          <w:tcPr>
            <w:tcW w:w="3557" w:type="dxa"/>
            <w:vAlign w:val="center"/>
          </w:tcPr>
          <w:p w14:paraId="64CC7C5F" w14:textId="77777777" w:rsidR="002C0540" w:rsidRDefault="00FE1083">
            <w:pPr>
              <w:pStyle w:val="TableText"/>
              <w:rPr>
                <w:lang w:eastAsia="zh-CN"/>
              </w:rPr>
            </w:pPr>
            <w:r>
              <w:rPr>
                <w:lang w:eastAsia="zh-CN"/>
              </w:rPr>
              <w:t>支持范围内改革情景及扩展结果</w:t>
            </w:r>
          </w:p>
        </w:tc>
        <w:tc>
          <w:tcPr>
            <w:tcW w:w="4025" w:type="dxa"/>
            <w:vAlign w:val="center"/>
          </w:tcPr>
          <w:p w14:paraId="13CC4352" w14:textId="77777777" w:rsidR="002C0540" w:rsidRDefault="00FE1083">
            <w:pPr>
              <w:pStyle w:val="TableText"/>
              <w:rPr>
                <w:lang w:eastAsia="zh-CN"/>
              </w:rPr>
            </w:pPr>
            <w:r>
              <w:rPr>
                <w:lang w:eastAsia="zh-CN"/>
              </w:rPr>
              <w:t>冲击范围正确</w:t>
            </w:r>
            <w:r>
              <w:rPr>
                <w:lang w:eastAsia="zh-CN"/>
              </w:rPr>
              <w:t xml:space="preserve"> </w:t>
            </w:r>
            <w:r>
              <w:rPr>
                <w:lang w:eastAsia="zh-CN"/>
              </w:rPr>
              <w:t>均衡收敛</w:t>
            </w:r>
            <w:r>
              <w:rPr>
                <w:lang w:eastAsia="zh-CN"/>
              </w:rPr>
              <w:t xml:space="preserve"> </w:t>
            </w:r>
            <w:r>
              <w:rPr>
                <w:lang w:eastAsia="zh-CN"/>
              </w:rPr>
              <w:t>不确定性和外推明确</w:t>
            </w:r>
          </w:p>
        </w:tc>
      </w:tr>
    </w:tbl>
    <w:p w14:paraId="02A3F76F" w14:textId="77777777" w:rsidR="002C0540" w:rsidRDefault="002C0540">
      <w:pPr>
        <w:spacing w:after="40" w:line="84" w:lineRule="auto"/>
        <w:rPr>
          <w:lang w:eastAsia="zh-CN"/>
        </w:rPr>
      </w:pPr>
    </w:p>
    <w:p w14:paraId="67581093" w14:textId="77777777" w:rsidR="002C0540" w:rsidRDefault="00FE1083">
      <w:pPr>
        <w:rPr>
          <w:lang w:eastAsia="zh-CN"/>
        </w:rPr>
      </w:pPr>
      <w:r>
        <w:rPr>
          <w:lang w:eastAsia="zh-CN"/>
        </w:rPr>
        <w:t>最终交付包括政策及匹配数据库、事件和样本登记表、可复现估计代码、结构冲击文件及均衡结果。结果表区分企业行为效果、观测生产统计、条件预测响应、模型等价成本及均衡情景。无法单独识别的限制类型、无法表示的禁止转允许或部内重配，以及失败的反演与求解，均保留在结果登记中，不以其他规格替代后隐藏。</w:t>
      </w:r>
    </w:p>
    <w:p w14:paraId="3880BA89" w14:textId="77777777" w:rsidR="002C0540" w:rsidRDefault="00FE1083">
      <w:pPr>
        <w:pStyle w:val="1"/>
      </w:pPr>
      <w:r>
        <w:t>参考资料</w:t>
      </w:r>
    </w:p>
    <w:p w14:paraId="3D80F02A" w14:textId="77777777" w:rsidR="002C0540" w:rsidRDefault="00FE1083">
      <w:pPr>
        <w:pStyle w:val="Reference"/>
      </w:pPr>
      <w:r>
        <w:t>Eppinger, P., and H. Ma. 2023. Optimal Ownership and Firm Performance: An Analysis of China’s FDI Liberalization. CESifo Working Paper No. 10551.</w:t>
      </w:r>
    </w:p>
    <w:p w14:paraId="168A3F4C" w14:textId="77777777" w:rsidR="002C0540" w:rsidRDefault="00FE1083">
      <w:pPr>
        <w:pStyle w:val="Reference"/>
      </w:pPr>
      <w:r>
        <w:t>de Chaisemartin, C., and X. D’Haultfœuille. 2023. Two-way Fixed Effects and Differences-in-Differences Estimators with Several Treatments. Journal of Econometrics.</w:t>
      </w:r>
    </w:p>
    <w:p w14:paraId="50AAF763" w14:textId="77777777" w:rsidR="002C0540" w:rsidRDefault="00FE1083">
      <w:pPr>
        <w:pStyle w:val="Reference"/>
      </w:pPr>
      <w:r>
        <w:t>Santos Silva, J. M. C., and S. Tenreyro. 2006. The Log of Gravity. Review of Economics and Statistics, 88(4), 641–658.</w:t>
      </w:r>
    </w:p>
    <w:p w14:paraId="49E17452" w14:textId="77777777" w:rsidR="002C0540" w:rsidRDefault="00FE1083">
      <w:pPr>
        <w:pStyle w:val="Reference"/>
        <w:rPr>
          <w:lang w:eastAsia="zh-CN"/>
        </w:rPr>
      </w:pPr>
      <w:r>
        <w:rPr>
          <w:lang w:eastAsia="zh-CN"/>
        </w:rPr>
        <w:t>国家发展改革委、商务部。历年外商投资产业指导目录及外商投资准入特别管理措施负面清单。各改革按实际适用版本及生效时间引用。</w:t>
      </w:r>
    </w:p>
    <w:p w14:paraId="69384215" w14:textId="77777777" w:rsidR="002C0540" w:rsidRDefault="00FE1083">
      <w:pPr>
        <w:pStyle w:val="Reference"/>
        <w:rPr>
          <w:lang w:eastAsia="zh-CN"/>
        </w:rPr>
      </w:pPr>
      <w:r>
        <w:rPr>
          <w:lang w:eastAsia="zh-CN"/>
        </w:rPr>
        <w:t>中国高水平制度型开放与全球产业链网络重塑。研究稿及模型完整推导附录。</w:t>
      </w:r>
    </w:p>
    <w:p w14:paraId="2E4C06BB" w14:textId="77777777" w:rsidR="002C0540" w:rsidRDefault="00FE1083">
      <w:pPr>
        <w:pStyle w:val="Reference"/>
        <w:rPr>
          <w:lang w:eastAsia="zh-CN"/>
        </w:rPr>
      </w:pPr>
      <w:r>
        <w:rPr>
          <w:lang w:eastAsia="zh-CN"/>
        </w:rPr>
        <w:t>审稿人回复。教师研究修订材料，制度型开放测度及流量与成本映射部分。</w:t>
      </w:r>
    </w:p>
    <w:p w14:paraId="35AB0B60" w14:textId="77777777" w:rsidR="002C0540" w:rsidRDefault="00FE1083">
      <w:pPr>
        <w:pStyle w:val="Reference"/>
        <w:rPr>
          <w:lang w:eastAsia="zh-CN"/>
        </w:rPr>
      </w:pPr>
      <w:r>
        <w:rPr>
          <w:lang w:eastAsia="zh-CN"/>
        </w:rPr>
        <w:t>报告</w:t>
      </w:r>
      <w:r>
        <w:rPr>
          <w:lang w:eastAsia="zh-CN"/>
        </w:rPr>
        <w:t>_</w:t>
      </w:r>
      <w:r>
        <w:rPr>
          <w:lang w:eastAsia="zh-CN"/>
        </w:rPr>
        <w:t>重点标红版。教师研究方法报告，第</w:t>
      </w:r>
      <w:r>
        <w:rPr>
          <w:lang w:eastAsia="zh-CN"/>
        </w:rPr>
        <w:t>5</w:t>
      </w:r>
      <w:r>
        <w:rPr>
          <w:lang w:eastAsia="zh-CN"/>
        </w:rPr>
        <w:t>页成本映射与第</w:t>
      </w:r>
      <w:r>
        <w:rPr>
          <w:lang w:eastAsia="zh-CN"/>
        </w:rPr>
        <w:t>8</w:t>
      </w:r>
      <w:r>
        <w:rPr>
          <w:lang w:eastAsia="zh-CN"/>
        </w:rPr>
        <w:t>页参数衔接说明。本研究借鉴方法条件，不采用其中未核实数值。</w:t>
      </w:r>
    </w:p>
    <w:sectPr w:rsidR="002C0540" w:rsidSect="00034616">
      <w:footerReference w:type="default" r:id="rId8"/>
      <w:pgSz w:w="12240" w:h="15840"/>
      <w:pgMar w:top="1440" w:right="1440" w:bottom="1440"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426B3" w14:textId="77777777" w:rsidR="00FE1083" w:rsidRDefault="00FE1083">
      <w:pPr>
        <w:spacing w:after="0" w:line="240" w:lineRule="auto"/>
      </w:pPr>
      <w:r>
        <w:separator/>
      </w:r>
    </w:p>
  </w:endnote>
  <w:endnote w:type="continuationSeparator" w:id="0">
    <w:p w14:paraId="53BD2A30" w14:textId="77777777" w:rsidR="00FE1083" w:rsidRDefault="00FE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D9AB" w14:textId="77777777" w:rsidR="002C0540" w:rsidRDefault="00FE1083">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40D49" w14:textId="77777777" w:rsidR="00FE1083" w:rsidRDefault="00FE1083">
      <w:pPr>
        <w:spacing w:after="0" w:line="240" w:lineRule="auto"/>
      </w:pPr>
      <w:r>
        <w:separator/>
      </w:r>
    </w:p>
  </w:footnote>
  <w:footnote w:type="continuationSeparator" w:id="0">
    <w:p w14:paraId="164E9FEF" w14:textId="77777777" w:rsidR="00FE1083" w:rsidRDefault="00FE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7836803">
    <w:abstractNumId w:val="8"/>
  </w:num>
  <w:num w:numId="2" w16cid:durableId="521016866">
    <w:abstractNumId w:val="6"/>
  </w:num>
  <w:num w:numId="3" w16cid:durableId="633095668">
    <w:abstractNumId w:val="5"/>
  </w:num>
  <w:num w:numId="4" w16cid:durableId="403798814">
    <w:abstractNumId w:val="4"/>
  </w:num>
  <w:num w:numId="5" w16cid:durableId="530538523">
    <w:abstractNumId w:val="7"/>
  </w:num>
  <w:num w:numId="6" w16cid:durableId="527375847">
    <w:abstractNumId w:val="3"/>
  </w:num>
  <w:num w:numId="7" w16cid:durableId="470945582">
    <w:abstractNumId w:val="2"/>
  </w:num>
  <w:num w:numId="8" w16cid:durableId="1295403094">
    <w:abstractNumId w:val="1"/>
  </w:num>
  <w:num w:numId="9" w16cid:durableId="66671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540"/>
    <w:rsid w:val="00326F90"/>
    <w:rsid w:val="004B1FF2"/>
    <w:rsid w:val="004F26D2"/>
    <w:rsid w:val="00AA1D8D"/>
    <w:rsid w:val="00B47730"/>
    <w:rsid w:val="00CB0664"/>
    <w:rsid w:val="00FC693F"/>
    <w:rsid w:val="00FE10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9D429"/>
  <w14:defaultImageDpi w14:val="300"/>
  <w15:docId w15:val="{7ACFBFEA-6D3A-409A-8A60-E45C1D40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36"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20"/>
      <w:outlineLvl w:val="0"/>
    </w:pPr>
    <w:rPr>
      <w:rFonts w:eastAsia="黑体"/>
      <w:bCs/>
      <w:sz w:val="28"/>
      <w:szCs w:val="28"/>
    </w:rPr>
  </w:style>
  <w:style w:type="paragraph" w:styleId="21">
    <w:name w:val="heading 2"/>
    <w:basedOn w:val="a1"/>
    <w:next w:val="a1"/>
    <w:link w:val="22"/>
    <w:uiPriority w:val="9"/>
    <w:unhideWhenUsed/>
    <w:qFormat/>
    <w:rsid w:val="00FC693F"/>
    <w:pPr>
      <w:keepNext/>
      <w:keepLines/>
      <w:spacing w:before="140"/>
      <w:outlineLvl w:val="1"/>
    </w:pPr>
    <w:rPr>
      <w:rFonts w:eastAsia="黑体"/>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line="240" w:lineRule="auto"/>
      <w:contextualSpacing/>
    </w:pPr>
    <w:rPr>
      <w:rFonts w:eastAsia="黑体"/>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20" w:after="80"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pPr>
    <w:rPr>
      <w:rFonts w:ascii="Times New Roman" w:eastAsia="宋体" w:hAnsi="Times New Roman"/>
      <w:color w:val="000000"/>
      <w:sz w:val="21"/>
    </w:rPr>
  </w:style>
  <w:style w:type="paragraph" w:customStyle="1" w:styleId="Equation">
    <w:name w:val="Equation"/>
    <w:pPr>
      <w:keepLines/>
      <w:tabs>
        <w:tab w:val="center" w:pos="4464"/>
        <w:tab w:val="right" w:pos="9360"/>
      </w:tabs>
      <w:spacing w:before="80" w:after="140" w:line="264" w:lineRule="auto"/>
    </w:pPr>
    <w:rPr>
      <w:rFonts w:ascii="Times New Roman" w:eastAsia="宋体" w:hAnsi="Times New Roman"/>
      <w:color w:val="000000"/>
      <w:sz w:val="23"/>
    </w:rPr>
  </w:style>
  <w:style w:type="paragraph" w:customStyle="1" w:styleId="Reference">
    <w:name w:val="Reference"/>
    <w:pPr>
      <w:spacing w:after="100" w:line="288" w:lineRule="auto"/>
    </w:pPr>
    <w:rPr>
      <w:rFonts w:ascii="Times New Roman" w:eastAsia="宋体" w:hAnsi="Times New Roman"/>
      <w:color w:val="000000"/>
      <w:sz w:val="21"/>
    </w:rPr>
  </w:style>
  <w:style w:type="paragraph" w:customStyle="1" w:styleId="DateLine">
    <w:name w:val="Date Line"/>
    <w:rPr>
      <w:rFonts w:ascii="Times New Roman" w:eastAsia="宋体" w:hAnsi="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13</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外资准入改革的企业效应与跨国生产成本反演研究方案</dc:title>
  <dc:subject/>
  <dc:creator/>
  <cp:keywords/>
  <dc:description/>
  <cp:lastModifiedBy>镇宇 杨</cp:lastModifiedBy>
  <cp:revision>2</cp:revision>
  <dcterms:created xsi:type="dcterms:W3CDTF">2013-12-23T23:15:00Z</dcterms:created>
  <dcterms:modified xsi:type="dcterms:W3CDTF">2026-10-07T02:45:00Z</dcterms:modified>
  <cp:category/>
</cp:coreProperties>
</file>