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987A" w14:textId="77777777" w:rsidR="00B9063B" w:rsidRDefault="0039215E">
      <w:pPr>
        <w:adjustRightInd w:val="0"/>
        <w:snapToGrid w:val="0"/>
        <w:spacing w:line="360" w:lineRule="auto"/>
        <w:jc w:val="center"/>
        <w:rPr>
          <w:b/>
          <w:sz w:val="24"/>
        </w:rPr>
      </w:pPr>
      <w:r>
        <w:rPr>
          <w:rFonts w:hint="eastAsia"/>
          <w:b/>
          <w:sz w:val="28"/>
          <w:szCs w:val="28"/>
        </w:rPr>
        <w:t>对复审报告一的回复</w:t>
      </w:r>
    </w:p>
    <w:p w14:paraId="626E5B48" w14:textId="77777777" w:rsidR="00B9063B" w:rsidRDefault="0039215E">
      <w:pPr>
        <w:adjustRightInd w:val="0"/>
        <w:snapToGrid w:val="0"/>
        <w:spacing w:line="360" w:lineRule="auto"/>
        <w:jc w:val="left"/>
        <w:rPr>
          <w:b/>
          <w:szCs w:val="21"/>
        </w:rPr>
      </w:pPr>
      <w:r>
        <w:rPr>
          <w:rFonts w:hint="eastAsia"/>
          <w:b/>
          <w:szCs w:val="21"/>
        </w:rPr>
        <w:t>尊敬的《经济研究》编审和审稿专家：</w:t>
      </w:r>
    </w:p>
    <w:p w14:paraId="3EB0C6A0" w14:textId="77777777" w:rsidR="00B9063B" w:rsidRDefault="0039215E">
      <w:pPr>
        <w:adjustRightInd w:val="0"/>
        <w:snapToGrid w:val="0"/>
        <w:spacing w:line="360" w:lineRule="auto"/>
        <w:rPr>
          <w:rFonts w:eastAsia="宋体"/>
          <w:szCs w:val="21"/>
        </w:rPr>
      </w:pPr>
      <w:r>
        <w:rPr>
          <w:rFonts w:hint="eastAsia"/>
          <w:bCs/>
          <w:szCs w:val="21"/>
        </w:rPr>
        <w:t xml:space="preserve">    </w:t>
      </w:r>
      <w:r>
        <w:rPr>
          <w:bCs/>
          <w:szCs w:val="21"/>
        </w:rPr>
        <w:t>作者感谢专家审阅本文所花费的宝贵时间与精力，尤其是审稿专家在仔细阅读本文后，</w:t>
      </w:r>
      <w:r>
        <w:rPr>
          <w:rFonts w:hint="eastAsia"/>
          <w:bCs/>
          <w:szCs w:val="21"/>
        </w:rPr>
        <w:t>对本文“选题符合当下国家战略发展的需要，研究方向具有一定边际贡献”的肯定性评价，更加感谢您</w:t>
      </w:r>
      <w:r>
        <w:rPr>
          <w:bCs/>
          <w:szCs w:val="21"/>
        </w:rPr>
        <w:t>对</w:t>
      </w:r>
      <w:r>
        <w:rPr>
          <w:rFonts w:hint="eastAsia"/>
          <w:bCs/>
          <w:szCs w:val="21"/>
        </w:rPr>
        <w:t>本文初稿</w:t>
      </w:r>
      <w:r>
        <w:rPr>
          <w:bCs/>
          <w:szCs w:val="21"/>
        </w:rPr>
        <w:t>在</w:t>
      </w:r>
      <w:r>
        <w:rPr>
          <w:rFonts w:hint="eastAsia"/>
          <w:bCs/>
          <w:szCs w:val="21"/>
        </w:rPr>
        <w:t>文献综述</w:t>
      </w:r>
      <w:r>
        <w:rPr>
          <w:bCs/>
          <w:szCs w:val="21"/>
        </w:rPr>
        <w:t>、</w:t>
      </w:r>
      <w:r>
        <w:rPr>
          <w:rFonts w:hint="eastAsia"/>
          <w:bCs/>
          <w:szCs w:val="21"/>
        </w:rPr>
        <w:t>指标构建、理论分析和边际贡献等方面</w:t>
      </w:r>
      <w:r>
        <w:rPr>
          <w:bCs/>
          <w:szCs w:val="21"/>
        </w:rPr>
        <w:t>提出的宝贵意见和有益建议。</w:t>
      </w:r>
      <w:r>
        <w:rPr>
          <w:szCs w:val="21"/>
        </w:rPr>
        <w:t>我们高度重视、深入思考审稿专家意见以及可能的引申含义，重新审视原文的问题和补充阅读文献，</w:t>
      </w:r>
      <w:r>
        <w:rPr>
          <w:rFonts w:hint="eastAsia"/>
          <w:szCs w:val="21"/>
        </w:rPr>
        <w:t>充分采纳审稿专家所提出的修改建议，</w:t>
      </w:r>
      <w:r>
        <w:rPr>
          <w:szCs w:val="21"/>
        </w:rPr>
        <w:t>严格地执行审稿专家的建设性意见。修改稿中，所有修改及补充的内容均已标注，以便编审老师和审稿专家审阅。</w:t>
      </w:r>
      <w:r>
        <w:rPr>
          <w:bCs/>
          <w:szCs w:val="21"/>
        </w:rPr>
        <w:t>我们首先对核心修改内容做简要说明，然后对审稿专家的问题逐一进行答复。</w:t>
      </w:r>
    </w:p>
    <w:p w14:paraId="1EC0D06D" w14:textId="77777777" w:rsidR="00B9063B" w:rsidRDefault="0039215E">
      <w:pPr>
        <w:widowControl/>
        <w:adjustRightInd w:val="0"/>
        <w:snapToGrid w:val="0"/>
        <w:spacing w:line="360" w:lineRule="auto"/>
        <w:ind w:firstLine="420"/>
        <w:rPr>
          <w:szCs w:val="21"/>
        </w:rPr>
      </w:pPr>
      <w:r>
        <w:rPr>
          <w:rFonts w:ascii="Times New Roman" w:hAnsi="Times New Roman" w:cs="Times New Roman" w:hint="eastAsia"/>
          <w:bCs/>
          <w:szCs w:val="21"/>
        </w:rPr>
        <w:t>第一，</w:t>
      </w:r>
    </w:p>
    <w:p w14:paraId="6608B971" w14:textId="77777777" w:rsidR="00B9063B" w:rsidRDefault="00B9063B">
      <w:pPr>
        <w:adjustRightInd w:val="0"/>
        <w:snapToGrid w:val="0"/>
        <w:spacing w:line="360" w:lineRule="auto"/>
        <w:rPr>
          <w:b/>
          <w:bCs/>
          <w:szCs w:val="21"/>
        </w:rPr>
      </w:pPr>
    </w:p>
    <w:p w14:paraId="77BF07B4" w14:textId="77777777" w:rsidR="00B9063B" w:rsidRDefault="0039215E">
      <w:pPr>
        <w:adjustRightInd w:val="0"/>
        <w:snapToGrid w:val="0"/>
        <w:spacing w:line="360" w:lineRule="auto"/>
        <w:ind w:firstLine="420"/>
        <w:rPr>
          <w:b/>
          <w:bCs/>
          <w:szCs w:val="21"/>
        </w:rPr>
      </w:pPr>
      <w:r>
        <w:rPr>
          <w:rFonts w:hint="eastAsia"/>
          <w:b/>
          <w:bCs/>
          <w:szCs w:val="21"/>
        </w:rPr>
        <w:t>以下是作者针对审稿专家意见作出的具体回复：</w:t>
      </w:r>
    </w:p>
    <w:p w14:paraId="7697748E" w14:textId="77777777" w:rsidR="00B9063B" w:rsidRDefault="0039215E">
      <w:pPr>
        <w:widowControl/>
        <w:adjustRightInd w:val="0"/>
        <w:snapToGrid w:val="0"/>
        <w:spacing w:line="360" w:lineRule="auto"/>
        <w:rPr>
          <w:rFonts w:ascii="宋体" w:hAnsi="宋体" w:hint="eastAsia"/>
          <w:b/>
          <w:color w:val="000000" w:themeColor="text1"/>
          <w:szCs w:val="21"/>
        </w:rPr>
      </w:pPr>
      <w:r>
        <w:rPr>
          <w:rFonts w:ascii="Times New Roman" w:eastAsia="宋体" w:hAnsi="Times New Roman" w:cs="Times New Roman"/>
          <w:color w:val="0432FF"/>
          <w:kern w:val="0"/>
          <w:szCs w:val="21"/>
        </w:rPr>
        <w:tab/>
      </w:r>
      <w:r>
        <w:rPr>
          <w:rFonts w:hint="eastAsia"/>
        </w:rPr>
        <w:t xml:space="preserve"> </w:t>
      </w:r>
      <w:r>
        <w:rPr>
          <w:rFonts w:ascii="Times New Roman" w:eastAsia="宋体" w:hAnsi="Times New Roman" w:cs="Times New Roman" w:hint="eastAsia"/>
          <w:color w:val="0432FF"/>
          <w:kern w:val="0"/>
          <w:szCs w:val="21"/>
        </w:rPr>
        <w:t>1.</w:t>
      </w:r>
      <w:r>
        <w:rPr>
          <w:rFonts w:ascii="Times New Roman" w:eastAsia="宋体" w:hAnsi="Times New Roman" w:cs="Times New Roman" w:hint="eastAsia"/>
          <w:color w:val="0432FF"/>
          <w:kern w:val="0"/>
          <w:szCs w:val="21"/>
        </w:rPr>
        <w:t>在模型和测度方面，本文把制度型开放简单处理为贸易成本下降，不能抓住制度型开放的本质特征。具体爹，文章采用</w:t>
      </w:r>
      <w:r>
        <w:rPr>
          <w:rFonts w:ascii="Times New Roman" w:eastAsia="宋体" w:hAnsi="Times New Roman" w:cs="Times New Roman" w:hint="eastAsia"/>
          <w:color w:val="0432FF"/>
          <w:kern w:val="0"/>
          <w:szCs w:val="21"/>
        </w:rPr>
        <w:t>Head-Ries</w:t>
      </w:r>
      <w:r>
        <w:rPr>
          <w:rFonts w:ascii="Times New Roman" w:eastAsia="宋体" w:hAnsi="Times New Roman" w:cs="Times New Roman" w:hint="eastAsia"/>
          <w:color w:val="0432FF"/>
          <w:kern w:val="0"/>
          <w:szCs w:val="21"/>
        </w:rPr>
        <w:t>指数测算总成本，再通过回归剔除地理距离等客观因素，将残差项定义为“制度型成本”。这种“索洛残差”式的测度方法包含了所有未被地理距离解释的因素，不仅包含制度规则差异，还可能包含文化距离、语言障碍、双边政治关系波动甚至测量误差。将如此宽泛的残差直接等同于“制度型开放”的政策效果，混淆了内生性制度环境与外生性政策冲击。</w:t>
      </w:r>
      <w:r>
        <w:rPr>
          <w:rFonts w:ascii="宋体" w:hAnsi="宋体" w:hint="eastAsia"/>
          <w:b/>
          <w:color w:val="000000" w:themeColor="text1"/>
          <w:szCs w:val="21"/>
        </w:rPr>
        <w:tab/>
      </w:r>
    </w:p>
    <w:p w14:paraId="2B5F68A5" w14:textId="0FF680AB" w:rsidR="00B9063B" w:rsidRDefault="0039215E">
      <w:pPr>
        <w:widowControl/>
        <w:adjustRightInd w:val="0"/>
        <w:snapToGrid w:val="0"/>
        <w:spacing w:line="360" w:lineRule="auto"/>
        <w:ind w:firstLine="420"/>
        <w:rPr>
          <w:color w:val="000000"/>
        </w:rPr>
      </w:pPr>
      <w:r>
        <w:rPr>
          <w:rFonts w:ascii="宋体" w:hAnsi="宋体" w:hint="eastAsia"/>
          <w:b/>
          <w:color w:val="000000" w:themeColor="text1"/>
          <w:szCs w:val="21"/>
        </w:rPr>
        <w:t>作者回复：</w:t>
      </w:r>
      <w:r>
        <w:rPr>
          <w:rFonts w:ascii="宋体" w:eastAsia="宋体" w:hAnsi="宋体" w:cs="宋体" w:hint="eastAsia"/>
          <w:color w:val="000000"/>
          <w:kern w:val="0"/>
          <w:szCs w:val="21"/>
          <w:lang w:bidi="ar"/>
        </w:rPr>
        <w:t>感谢审稿专家对制度型开放测度依据提出的专业性意见。我们认同审稿专家关于原有将残差项定义为制度型成本可能混合多种不可观测因素，并可能对制度型开的的测度产生误差的专业性意见。根据审稿专家的建议，作者重新思考了制度型开放的定义，已有文献关于制度型开放的主题内容可以概括为规则开放、规制开放、管理开放和标准开放四个方</w:t>
      </w:r>
      <w:r>
        <w:rPr>
          <w:rFonts w:ascii="Times New Roman" w:eastAsia="宋体" w:hAnsi="Times New Roman" w:cs="Times New Roman"/>
          <w:color w:val="000000"/>
          <w:kern w:val="0"/>
          <w:szCs w:val="21"/>
          <w:lang w:bidi="ar"/>
        </w:rPr>
        <w:t>面（钱学锋，</w:t>
      </w:r>
      <w:r>
        <w:rPr>
          <w:rFonts w:ascii="Times New Roman" w:eastAsia="宋体" w:hAnsi="Times New Roman" w:cs="Times New Roman"/>
          <w:color w:val="000000"/>
          <w:kern w:val="0"/>
          <w:szCs w:val="21"/>
          <w:lang w:bidi="ar"/>
        </w:rPr>
        <w:t>2024</w:t>
      </w:r>
      <w:r>
        <w:rPr>
          <w:rFonts w:ascii="Times New Roman" w:eastAsia="宋体" w:hAnsi="Times New Roman" w:cs="Times New Roman"/>
          <w:color w:val="000000"/>
          <w:kern w:val="0"/>
          <w:szCs w:val="21"/>
          <w:lang w:bidi="ar"/>
        </w:rPr>
        <w:t>），除了全面深化国内经济体制改革，还包括积极参与国际经济制度建设和全球经济治理体系改革（徐康宁，</w:t>
      </w:r>
      <w:r>
        <w:rPr>
          <w:rFonts w:ascii="Times New Roman" w:eastAsia="宋体" w:hAnsi="Times New Roman" w:cs="Times New Roman"/>
          <w:color w:val="000000"/>
          <w:kern w:val="0"/>
          <w:szCs w:val="21"/>
          <w:lang w:bidi="ar"/>
        </w:rPr>
        <w:t>2024</w:t>
      </w:r>
      <w:r>
        <w:rPr>
          <w:rFonts w:ascii="Times New Roman" w:eastAsia="宋体" w:hAnsi="Times New Roman" w:cs="Times New Roman"/>
          <w:color w:val="000000"/>
          <w:kern w:val="0"/>
          <w:szCs w:val="21"/>
          <w:lang w:bidi="ar"/>
        </w:rPr>
        <w:t>）；制度型开放是推动新质生产力发展、统筹国内国际两个市场两种资源、实现要素便捷流通和优化配置的重要保障（洪俊杰，</w:t>
      </w:r>
      <w:r>
        <w:rPr>
          <w:rFonts w:ascii="Times New Roman" w:eastAsia="宋体" w:hAnsi="Times New Roman" w:cs="Times New Roman"/>
          <w:color w:val="000000"/>
          <w:kern w:val="0"/>
          <w:szCs w:val="21"/>
          <w:lang w:bidi="ar"/>
        </w:rPr>
        <w:t>2024</w:t>
      </w:r>
      <w:r>
        <w:rPr>
          <w:rFonts w:ascii="Times New Roman" w:eastAsia="宋体" w:hAnsi="Times New Roman" w:cs="Times New Roman"/>
          <w:color w:val="000000"/>
          <w:kern w:val="0"/>
          <w:szCs w:val="21"/>
          <w:lang w:bidi="ar"/>
        </w:rPr>
        <w:t>）。</w:t>
      </w:r>
      <w:r w:rsidR="00F12D2B">
        <w:rPr>
          <w:rFonts w:ascii="Times New Roman" w:eastAsia="宋体" w:hAnsi="Times New Roman" w:cs="Times New Roman" w:hint="eastAsia"/>
          <w:color w:val="000000"/>
          <w:kern w:val="0"/>
          <w:szCs w:val="21"/>
          <w:lang w:bidi="ar"/>
        </w:rPr>
        <w:t>此外，深度贸易协定中的条款信息是制度型开放的重要表现之一（盛斌，</w:t>
      </w:r>
      <w:r w:rsidR="00F12D2B">
        <w:rPr>
          <w:rFonts w:ascii="Times New Roman" w:eastAsia="宋体" w:hAnsi="Times New Roman" w:cs="Times New Roman" w:hint="eastAsia"/>
          <w:color w:val="000000"/>
          <w:kern w:val="0"/>
          <w:szCs w:val="21"/>
          <w:lang w:bidi="ar"/>
        </w:rPr>
        <w:t>2</w:t>
      </w:r>
      <w:r w:rsidR="00F12D2B">
        <w:rPr>
          <w:rFonts w:ascii="Times New Roman" w:eastAsia="宋体" w:hAnsi="Times New Roman" w:cs="Times New Roman"/>
          <w:color w:val="000000"/>
          <w:kern w:val="0"/>
          <w:szCs w:val="21"/>
          <w:lang w:bidi="ar"/>
        </w:rPr>
        <w:t>026</w:t>
      </w:r>
      <w:r w:rsidR="00F12D2B">
        <w:rPr>
          <w:rFonts w:ascii="Times New Roman" w:eastAsia="宋体" w:hAnsi="Times New Roman" w:cs="Times New Roman" w:hint="eastAsia"/>
          <w:color w:val="000000"/>
          <w:kern w:val="0"/>
          <w:szCs w:val="21"/>
          <w:lang w:bidi="ar"/>
        </w:rPr>
        <w:t>）。</w:t>
      </w:r>
      <w:r>
        <w:rPr>
          <w:rFonts w:ascii="Times New Roman" w:eastAsia="宋体" w:hAnsi="Times New Roman" w:cs="Times New Roman" w:hint="eastAsia"/>
          <w:color w:val="000000"/>
          <w:kern w:val="0"/>
          <w:szCs w:val="21"/>
          <w:lang w:bidi="ar"/>
        </w:rPr>
        <w:t>因</w:t>
      </w:r>
      <w:r>
        <w:rPr>
          <w:rFonts w:ascii="Times New Roman" w:eastAsia="宋体" w:hAnsi="Times New Roman" w:cs="Times New Roman"/>
          <w:color w:val="000000"/>
          <w:kern w:val="0"/>
          <w:szCs w:val="21"/>
          <w:lang w:bidi="ar"/>
        </w:rPr>
        <w:t>此，修订稿不再以上述残差作为制度型开放的直接测度，而是从可观察、可追溯的制度承诺出发，以深度贸易协定（</w:t>
      </w:r>
      <w:r>
        <w:rPr>
          <w:rFonts w:ascii="Times New Roman" w:eastAsia="宋体" w:hAnsi="Times New Roman" w:cs="Times New Roman"/>
          <w:color w:val="000000"/>
          <w:kern w:val="0"/>
          <w:szCs w:val="21"/>
          <w:lang w:bidi="ar"/>
        </w:rPr>
        <w:t>Deep Trade Agreements</w:t>
      </w: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DTA</w:t>
      </w:r>
      <w:r>
        <w:rPr>
          <w:rFonts w:ascii="Times New Roman" w:eastAsia="宋体" w:hAnsi="Times New Roman" w:cs="Times New Roman"/>
          <w:color w:val="000000"/>
          <w:kern w:val="0"/>
          <w:szCs w:val="21"/>
          <w:lang w:bidi="ar"/>
        </w:rPr>
        <w:t>）中的具体条款作为测度基础，借助大语言模型方法</w:t>
      </w:r>
      <w:r>
        <w:rPr>
          <w:rFonts w:ascii="Times New Roman" w:eastAsia="宋体" w:hAnsi="Times New Roman" w:cs="Times New Roman" w:hint="eastAsia"/>
          <w:color w:val="000000"/>
          <w:kern w:val="0"/>
          <w:szCs w:val="21"/>
          <w:lang w:bidi="ar"/>
        </w:rPr>
        <w:t>，从规则、规制、管理和标准四个维度</w:t>
      </w:r>
      <w:r>
        <w:rPr>
          <w:rFonts w:ascii="Times New Roman" w:eastAsia="宋体" w:hAnsi="Times New Roman" w:cs="Times New Roman"/>
          <w:color w:val="000000"/>
          <w:kern w:val="0"/>
          <w:szCs w:val="21"/>
          <w:lang w:bidi="ar"/>
        </w:rPr>
        <w:t>对条款文本进行分析并识别制度型开放</w:t>
      </w:r>
      <w:r>
        <w:rPr>
          <w:rFonts w:ascii="Times New Roman" w:eastAsia="宋体" w:hAnsi="Times New Roman" w:cs="Times New Roman" w:hint="eastAsia"/>
          <w:color w:val="000000"/>
          <w:kern w:val="0"/>
          <w:szCs w:val="21"/>
          <w:lang w:bidi="ar"/>
        </w:rPr>
        <w:t>的影响</w:t>
      </w:r>
      <w:r>
        <w:rPr>
          <w:rFonts w:ascii="Times New Roman" w:eastAsia="宋体" w:hAnsi="Times New Roman" w:cs="Times New Roman"/>
          <w:color w:val="000000"/>
          <w:kern w:val="0"/>
          <w:szCs w:val="21"/>
          <w:lang w:bidi="ar"/>
        </w:rPr>
        <w:t>。</w:t>
      </w:r>
      <w:r>
        <w:rPr>
          <w:rFonts w:ascii="Times New Roman" w:eastAsia="宋体" w:hAnsi="Times New Roman" w:cs="Times New Roman" w:hint="eastAsia"/>
          <w:color w:val="000000"/>
          <w:kern w:val="0"/>
          <w:szCs w:val="21"/>
          <w:lang w:bidi="ar"/>
        </w:rPr>
        <w:t>具体而言，可以分为以下三个步骤：</w:t>
      </w:r>
      <w:r>
        <w:rPr>
          <w:rFonts w:ascii="Times New Roman" w:eastAsia="宋体" w:hAnsi="Times New Roman" w:cs="Times New Roman" w:hint="eastAsia"/>
          <w:b/>
          <w:bCs/>
          <w:color w:val="000000"/>
          <w:kern w:val="0"/>
          <w:szCs w:val="21"/>
          <w:lang w:bidi="ar"/>
        </w:rPr>
        <w:t>第一步，</w:t>
      </w:r>
      <w:r>
        <w:rPr>
          <w:b/>
          <w:bCs/>
        </w:rPr>
        <w:t>从具体条款出发直接测度</w:t>
      </w:r>
      <w:r>
        <w:rPr>
          <w:rFonts w:hint="eastAsia"/>
          <w:b/>
          <w:bCs/>
        </w:rPr>
        <w:t>国家之间双边的</w:t>
      </w:r>
      <w:r>
        <w:rPr>
          <w:b/>
          <w:bCs/>
        </w:rPr>
        <w:t>制度型开放</w:t>
      </w:r>
      <w:r>
        <w:rPr>
          <w:rFonts w:hint="eastAsia"/>
          <w:b/>
          <w:bCs/>
        </w:rPr>
        <w:t>指数。</w:t>
      </w:r>
      <w:r>
        <w:rPr>
          <w:rFonts w:hint="eastAsia"/>
        </w:rPr>
        <w:t>首先</w:t>
      </w:r>
      <w:r>
        <w:rPr>
          <w:rFonts w:hint="eastAsia"/>
          <w:color w:val="000000"/>
        </w:rPr>
        <w:t>判断条款是否属于制度型开放内容，并进一步按照规则、规制、管理和标准四个维度确定其主导制度属性；在此基础上，根据条款直接作用的经济活动识别其贸易与跨国生产渠道并确定相应权重。为提高条款识别和分类的稳定性，本文采用两个大语言模型独立编码（</w:t>
      </w:r>
      <w:r w:rsidR="003D473E">
        <w:rPr>
          <w:rFonts w:ascii="Times New Roman" w:hAnsi="Times New Roman" w:cs="Times New Roman"/>
          <w:color w:val="000000"/>
        </w:rPr>
        <w:t>D</w:t>
      </w:r>
      <w:r>
        <w:rPr>
          <w:rFonts w:ascii="Times New Roman" w:hAnsi="Times New Roman" w:cs="Times New Roman"/>
          <w:color w:val="000000"/>
        </w:rPr>
        <w:t>eepseek-v4-pro</w:t>
      </w:r>
      <w:r>
        <w:rPr>
          <w:rFonts w:ascii="Times New Roman" w:hAnsi="Times New Roman" w:cs="Times New Roman"/>
          <w:color w:val="000000"/>
        </w:rPr>
        <w:t>和</w:t>
      </w:r>
      <w:r w:rsidR="003D473E">
        <w:rPr>
          <w:rFonts w:ascii="Times New Roman" w:hAnsi="Times New Roman" w:cs="Times New Roman"/>
          <w:color w:val="000000"/>
        </w:rPr>
        <w:t>Q</w:t>
      </w:r>
      <w:r>
        <w:rPr>
          <w:rFonts w:ascii="Times New Roman" w:hAnsi="Times New Roman" w:cs="Times New Roman"/>
          <w:color w:val="000000"/>
        </w:rPr>
        <w:t>wen3.7-plus</w:t>
      </w:r>
      <w:r>
        <w:rPr>
          <w:rFonts w:hint="eastAsia"/>
          <w:color w:val="000000"/>
        </w:rPr>
        <w:t>），产生分类分歧时引入第三个模型进行仲裁</w:t>
      </w:r>
      <w:r>
        <w:rPr>
          <w:rFonts w:hint="eastAsia"/>
          <w:color w:val="000000"/>
        </w:rPr>
        <w:lastRenderedPageBreak/>
        <w:t>（</w:t>
      </w:r>
      <w:r w:rsidR="003D473E">
        <w:rPr>
          <w:rFonts w:ascii="Times New Roman" w:hAnsi="Times New Roman" w:cs="Times New Roman"/>
          <w:color w:val="000000"/>
        </w:rPr>
        <w:t>GLM</w:t>
      </w:r>
      <w:r>
        <w:rPr>
          <w:rFonts w:ascii="Times New Roman" w:hAnsi="Times New Roman" w:cs="Times New Roman"/>
          <w:color w:val="000000"/>
        </w:rPr>
        <w:t>-5</w:t>
      </w:r>
      <w:r>
        <w:rPr>
          <w:rFonts w:ascii="Times New Roman" w:hAnsi="Times New Roman" w:cs="Times New Roman"/>
          <w:color w:val="000000"/>
        </w:rPr>
        <w:t>）</w:t>
      </w:r>
      <w:r>
        <w:rPr>
          <w:rFonts w:hint="eastAsia"/>
          <w:color w:val="000000"/>
        </w:rPr>
        <w:t>。与此同时，协定对具体条款的覆盖强度依据条款语义</w:t>
      </w:r>
      <w:r>
        <w:rPr>
          <w:rFonts w:ascii="Times New Roman" w:hAnsi="Times New Roman" w:cs="Times New Roman"/>
          <w:color w:val="000000"/>
        </w:rPr>
        <w:t>、</w:t>
      </w:r>
      <w:r>
        <w:rPr>
          <w:rFonts w:ascii="Times New Roman" w:hAnsi="Times New Roman" w:cs="Times New Roman"/>
          <w:color w:val="000000"/>
        </w:rPr>
        <w:t>DTA</w:t>
      </w:r>
      <w:r>
        <w:rPr>
          <w:rFonts w:ascii="Times New Roman" w:hAnsi="Times New Roman" w:cs="Times New Roman"/>
          <w:color w:val="000000"/>
        </w:rPr>
        <w:t>编码说明及人工编码规则确定。最终，将</w:t>
      </w:r>
      <w:r>
        <w:rPr>
          <w:rFonts w:ascii="Times New Roman" w:hAnsi="Times New Roman" w:cs="Times New Roman"/>
          <w:color w:val="000000"/>
        </w:rPr>
        <w:t>DTA</w:t>
      </w:r>
      <w:r>
        <w:rPr>
          <w:rFonts w:ascii="Times New Roman" w:hAnsi="Times New Roman" w:cs="Times New Roman"/>
          <w:color w:val="000000"/>
        </w:rPr>
        <w:t>条</w:t>
      </w:r>
      <w:r>
        <w:rPr>
          <w:rFonts w:hint="eastAsia"/>
          <w:color w:val="000000"/>
        </w:rPr>
        <w:t>款的制度属性、渠道权重、协定覆盖程度及生效关系相结合，分别构建贸易与跨国生产两个制度型开放指数。由此，每一项制度得分均能够追溯至具体制度条款及其协定覆盖情况，使制度型开放指标具有明确的制度内容和可复核的构造依据，也避免将所有未被传统成本因素解释的剩余部分笼统归入“制度型成本”。</w:t>
      </w:r>
      <w:r>
        <w:rPr>
          <w:rFonts w:hint="eastAsia"/>
        </w:rPr>
        <w:t xml:space="preserve"> </w:t>
      </w:r>
      <w:r>
        <w:rPr>
          <w:rFonts w:hint="eastAsia"/>
          <w:b/>
          <w:bCs/>
        </w:rPr>
        <w:t>第二步</w:t>
      </w:r>
      <w:r>
        <w:rPr>
          <w:rFonts w:hint="eastAsia"/>
          <w:b/>
          <w:bCs/>
          <w:color w:val="000000"/>
        </w:rPr>
        <w:t>，从经验层面估计制度型开放与贸易及跨国生产活动变化之间的关系。</w:t>
      </w:r>
      <w:r>
        <w:t>本文利用国家对层面的制度型开放得分及其跨期变化，分别构建贸易和跨国生产方程，并采用长差分模型估计制度型开放程度变化与相应经济流量变化之间的关系。同时，根据不同方程的经济含义控制关税、协定存在状态、政治距离等相关因素，并通过相应固定效应控制来源国、目的国和部门层面的不可观测异质性。由此得到的估计系数刻画在其他条件给定的情况下，制度承诺深化与贸易或跨国生产流量变化之间的条件性关系，从而避免再通过无法明确识别制度内容的成本残差间接推断制度型开放</w:t>
      </w:r>
      <w:r>
        <w:rPr>
          <w:rFonts w:hint="eastAsia"/>
          <w:color w:val="000000"/>
        </w:rPr>
        <w:t>。</w:t>
      </w:r>
      <w:r>
        <w:rPr>
          <w:rFonts w:hint="eastAsia"/>
          <w:b/>
          <w:bCs/>
          <w:color w:val="000000"/>
        </w:rPr>
        <w:t>最后，将制度型开放对贸易与跨国生产的影响进一步映射为理论模型中的成本变化。</w:t>
      </w:r>
      <w:r>
        <w:t>基于结构模型推导的流量与成本之间的关系，在给定贸易和跨国生产成本弹性的条件下，本文结合制度型开放指数的估计系数以及反事实情景下制度</w:t>
      </w:r>
      <w:r>
        <w:rPr>
          <w:rFonts w:hint="eastAsia"/>
        </w:rPr>
        <w:t>型开放</w:t>
      </w:r>
      <w:r>
        <w:t>的变化，将制度</w:t>
      </w:r>
      <w:r>
        <w:rPr>
          <w:rFonts w:hint="eastAsia"/>
        </w:rPr>
        <w:t>型开放</w:t>
      </w:r>
      <w:r>
        <w:t>所对应的经济流量变化进一步映射为贸易成本和跨国生产成本的等效变化，并据此构造进入量化模型的制度型开放冲击。需要强调的是，修订稿并未将制度型开放简单等同于传统冰山成本的下降。从具体制度条款的作用机制看，制度型开放既可能通过降低通关、监管、技术合规等进入后的贸易与跨国生产成本影响企业决策，也可能通过降低市场准入、企业设立、审批及其他进入壁垒影响企业进入市场的固定成本。</w:t>
      </w:r>
      <w:r>
        <w:rPr>
          <w:b/>
          <w:bCs/>
        </w:rPr>
        <w:t>因此，修订稿同时讨论了</w:t>
      </w:r>
      <w:r>
        <w:rPr>
          <w:rFonts w:hint="eastAsia"/>
          <w:b/>
          <w:bCs/>
        </w:rPr>
        <w:t>制度型开放对</w:t>
      </w:r>
      <w:r>
        <w:rPr>
          <w:b/>
          <w:bCs/>
        </w:rPr>
        <w:t>边际成本与市场进入固定成本</w:t>
      </w:r>
      <w:r>
        <w:rPr>
          <w:rFonts w:hint="eastAsia"/>
          <w:b/>
          <w:bCs/>
        </w:rPr>
        <w:t>的影响</w:t>
      </w:r>
      <w:r>
        <w:rPr>
          <w:b/>
          <w:bCs/>
        </w:rPr>
        <w:t>。</w:t>
      </w:r>
    </w:p>
    <w:p w14:paraId="063E3B91" w14:textId="77777777" w:rsidR="00B9063B" w:rsidRDefault="0039215E">
      <w:pPr>
        <w:widowControl/>
        <w:adjustRightInd w:val="0"/>
        <w:snapToGrid w:val="0"/>
        <w:spacing w:line="360" w:lineRule="auto"/>
        <w:ind w:firstLine="420"/>
        <w:rPr>
          <w:color w:val="000000"/>
        </w:rPr>
      </w:pPr>
      <w:r>
        <w:rPr>
          <w:rFonts w:hint="eastAsia"/>
          <w:color w:val="000000"/>
        </w:rPr>
        <w:t>具体修改内容如下：</w:t>
      </w:r>
    </w:p>
    <w:p w14:paraId="1C7FD0F1" w14:textId="0FF352A2" w:rsidR="00B9063B" w:rsidRDefault="0039215E">
      <w:pPr>
        <w:widowControl/>
        <w:adjustRightInd w:val="0"/>
        <w:snapToGrid w:val="0"/>
        <w:spacing w:line="360" w:lineRule="auto"/>
        <w:rPr>
          <w:color w:val="000000"/>
        </w:rPr>
      </w:pPr>
      <w:r>
        <w:rPr>
          <w:rFonts w:hint="eastAsia"/>
          <w:color w:val="000000"/>
        </w:rPr>
        <w:t>（</w:t>
      </w:r>
      <w:r>
        <w:rPr>
          <w:rFonts w:hint="eastAsia"/>
          <w:color w:val="000000"/>
        </w:rPr>
        <w:t>1</w:t>
      </w:r>
      <w:r>
        <w:rPr>
          <w:rFonts w:hint="eastAsia"/>
          <w:color w:val="000000"/>
        </w:rPr>
        <w:t>）制度型开放测度的思路图</w:t>
      </w:r>
    </w:p>
    <w:p w14:paraId="6E7F67EB" w14:textId="239ED053" w:rsidR="00B9063B" w:rsidRDefault="003D18D9">
      <w:pPr>
        <w:widowControl/>
        <w:adjustRightInd w:val="0"/>
        <w:snapToGrid w:val="0"/>
        <w:spacing w:line="360" w:lineRule="auto"/>
        <w:rPr>
          <w:color w:val="000000"/>
        </w:rPr>
      </w:pPr>
      <w:r w:rsidRPr="003D18D9">
        <w:rPr>
          <w:color w:val="000000"/>
        </w:rPr>
        <w:lastRenderedPageBreak/>
        <w:drawing>
          <wp:inline distT="0" distB="0" distL="0" distR="0" wp14:anchorId="1EAACCA8" wp14:editId="6E8AC1F1">
            <wp:extent cx="6097536" cy="3282950"/>
            <wp:effectExtent l="0" t="0" r="0" b="0"/>
            <wp:docPr id="77407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907" name=""/>
                    <pic:cNvPicPr/>
                  </pic:nvPicPr>
                  <pic:blipFill>
                    <a:blip r:embed="rId8"/>
                    <a:stretch>
                      <a:fillRect/>
                    </a:stretch>
                  </pic:blipFill>
                  <pic:spPr>
                    <a:xfrm>
                      <a:off x="0" y="0"/>
                      <a:ext cx="6104885" cy="3286907"/>
                    </a:xfrm>
                    <a:prstGeom prst="rect">
                      <a:avLst/>
                    </a:prstGeom>
                  </pic:spPr>
                </pic:pic>
              </a:graphicData>
            </a:graphic>
          </wp:inline>
        </w:drawing>
      </w:r>
    </w:p>
    <w:p w14:paraId="28C28F52" w14:textId="77777777" w:rsidR="00B9063B" w:rsidRDefault="00B9063B">
      <w:pPr>
        <w:keepLines/>
        <w:widowControl/>
        <w:adjustRightInd w:val="0"/>
        <w:snapToGrid w:val="0"/>
        <w:spacing w:line="360" w:lineRule="auto"/>
        <w:rPr>
          <w:rFonts w:eastAsia="宋体"/>
          <w:b/>
          <w:bCs/>
          <w:color w:val="000000"/>
        </w:rPr>
      </w:pPr>
    </w:p>
    <w:p w14:paraId="4B00F450" w14:textId="77777777" w:rsidR="00B9063B" w:rsidRDefault="00B9063B">
      <w:pPr>
        <w:keepLines/>
        <w:widowControl/>
        <w:adjustRightInd w:val="0"/>
        <w:snapToGrid w:val="0"/>
        <w:spacing w:line="360" w:lineRule="auto"/>
        <w:rPr>
          <w:rFonts w:eastAsia="宋体"/>
          <w:b/>
          <w:bCs/>
          <w:color w:val="000000"/>
        </w:rPr>
      </w:pPr>
    </w:p>
    <w:p w14:paraId="2CA60F2E" w14:textId="77777777" w:rsidR="00F931CD" w:rsidRDefault="00F931CD">
      <w:pPr>
        <w:keepLines/>
        <w:widowControl/>
        <w:adjustRightInd w:val="0"/>
        <w:snapToGrid w:val="0"/>
        <w:spacing w:line="360" w:lineRule="auto"/>
        <w:rPr>
          <w:rFonts w:eastAsia="宋体"/>
          <w:b/>
          <w:bCs/>
          <w:color w:val="000000"/>
        </w:rPr>
      </w:pPr>
    </w:p>
    <w:p w14:paraId="7EA96B63" w14:textId="77777777" w:rsidR="00B9063B" w:rsidRDefault="0039215E">
      <w:pPr>
        <w:keepLines/>
        <w:widowControl/>
        <w:adjustRightInd w:val="0"/>
        <w:snapToGrid w:val="0"/>
        <w:spacing w:line="360" w:lineRule="auto"/>
        <w:rPr>
          <w:b/>
          <w:bCs/>
          <w:color w:val="000000"/>
        </w:rPr>
      </w:pPr>
      <w:r>
        <w:rPr>
          <w:rFonts w:ascii="Times New Roman" w:eastAsia="宋体" w:hAnsi="Times New Roman" w:cs="Times New Roman"/>
          <w:b/>
          <w:bCs/>
          <w:color w:val="000000"/>
        </w:rPr>
        <w:t>（</w:t>
      </w:r>
      <w:r>
        <w:rPr>
          <w:rFonts w:ascii="Times New Roman" w:eastAsia="宋体" w:hAnsi="Times New Roman" w:cs="Times New Roman"/>
          <w:b/>
          <w:bCs/>
          <w:color w:val="000000"/>
        </w:rPr>
        <w:t>2</w:t>
      </w:r>
      <w:r>
        <w:rPr>
          <w:rFonts w:ascii="Times New Roman" w:eastAsia="宋体" w:hAnsi="Times New Roman" w:cs="Times New Roman"/>
          <w:b/>
          <w:bCs/>
          <w:color w:val="000000"/>
        </w:rPr>
        <w:t>）</w:t>
      </w:r>
      <w:r w:rsidR="00F146F0">
        <w:rPr>
          <w:rFonts w:eastAsia="宋体" w:hint="eastAsia"/>
          <w:b/>
          <w:bCs/>
          <w:color w:val="000000"/>
        </w:rPr>
        <w:t>具体步骤</w:t>
      </w:r>
    </w:p>
    <w:p w14:paraId="5AA44DA3" w14:textId="49E9E28D" w:rsidR="000474FC" w:rsidRDefault="00A6055D" w:rsidP="000474FC">
      <w:pPr>
        <w:widowControl/>
        <w:adjustRightInd w:val="0"/>
        <w:snapToGrid w:val="0"/>
        <w:spacing w:line="360" w:lineRule="auto"/>
        <w:ind w:firstLineChars="200" w:firstLine="420"/>
        <w:rPr>
          <w:rFonts w:ascii="Times New Roman" w:eastAsia="宋体" w:hAnsi="Times New Roman" w:cs="Times New Roman"/>
          <w:kern w:val="0"/>
          <w:szCs w:val="21"/>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eastAsia="宋体" w:hAnsi="Times New Roman" w:cs="Times New Roman" w:hint="eastAsia"/>
          <w:kern w:val="0"/>
          <w:szCs w:val="21"/>
        </w:rPr>
        <w:t>全球区域间投入产出数据（</w:t>
      </w:r>
      <w:r>
        <w:rPr>
          <w:rFonts w:ascii="Times New Roman" w:eastAsia="宋体" w:hAnsi="Times New Roman" w:cs="Times New Roman" w:hint="eastAsia"/>
          <w:kern w:val="0"/>
          <w:szCs w:val="21"/>
        </w:rPr>
        <w:t>OECD-ICIO</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2023</w:t>
      </w:r>
      <w:r>
        <w:rPr>
          <w:rFonts w:ascii="Times New Roman" w:eastAsia="宋体" w:hAnsi="Times New Roman" w:cs="Times New Roman" w:hint="eastAsia"/>
          <w:kern w:val="0"/>
          <w:szCs w:val="21"/>
        </w:rPr>
        <w:t>版）；</w:t>
      </w:r>
      <w:r w:rsidR="000474FC">
        <w:rPr>
          <w:rFonts w:ascii="Times New Roman" w:eastAsia="宋体" w:hAnsi="Times New Roman" w:cs="Times New Roman" w:hint="eastAsia"/>
          <w:kern w:val="0"/>
          <w:szCs w:val="21"/>
        </w:rPr>
        <w:t>（</w:t>
      </w:r>
      <w:r w:rsidR="000474FC">
        <w:rPr>
          <w:rFonts w:ascii="Times New Roman" w:eastAsia="宋体" w:hAnsi="Times New Roman" w:cs="Times New Roman" w:hint="eastAsia"/>
          <w:kern w:val="0"/>
          <w:szCs w:val="21"/>
        </w:rPr>
        <w:t>2</w:t>
      </w:r>
      <w:r w:rsidR="000474FC">
        <w:rPr>
          <w:rFonts w:ascii="Times New Roman" w:eastAsia="宋体" w:hAnsi="Times New Roman" w:cs="Times New Roman" w:hint="eastAsia"/>
          <w:kern w:val="0"/>
          <w:szCs w:val="21"/>
        </w:rPr>
        <w:t>）经济合作与发展组织（</w:t>
      </w:r>
      <w:r w:rsidR="000474FC">
        <w:rPr>
          <w:rFonts w:ascii="Times New Roman" w:eastAsia="宋体" w:hAnsi="Times New Roman" w:cs="Times New Roman" w:hint="eastAsia"/>
          <w:kern w:val="0"/>
          <w:szCs w:val="21"/>
        </w:rPr>
        <w:t>OECD</w:t>
      </w:r>
      <w:r w:rsidR="000474FC">
        <w:rPr>
          <w:rFonts w:ascii="Times New Roman" w:eastAsia="宋体" w:hAnsi="Times New Roman" w:cs="Times New Roman" w:hint="eastAsia"/>
          <w:kern w:val="0"/>
          <w:szCs w:val="21"/>
        </w:rPr>
        <w:t>）发布的跨国企业活动分析数据库（</w:t>
      </w:r>
      <w:r w:rsidR="000474FC">
        <w:rPr>
          <w:rFonts w:ascii="Times New Roman" w:eastAsia="宋体" w:hAnsi="Times New Roman" w:cs="Times New Roman" w:hint="eastAsia"/>
          <w:kern w:val="0"/>
          <w:szCs w:val="21"/>
        </w:rPr>
        <w:t>The Analytical AMNE Database</w:t>
      </w:r>
      <w:r w:rsidR="000474FC">
        <w:rPr>
          <w:rFonts w:ascii="Times New Roman" w:eastAsia="宋体" w:hAnsi="Times New Roman" w:cs="Times New Roman" w:hint="eastAsia"/>
          <w:kern w:val="0"/>
          <w:szCs w:val="21"/>
        </w:rPr>
        <w:t>）</w:t>
      </w:r>
    </w:p>
    <w:p w14:paraId="6C43466C" w14:textId="77777777" w:rsidR="000474FC" w:rsidRDefault="000474FC" w:rsidP="000474FC">
      <w:pPr>
        <w:widowControl/>
        <w:adjustRightInd w:val="0"/>
        <w:snapToGrid w:val="0"/>
        <w:spacing w:line="360" w:lineRule="auto"/>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3</w:t>
      </w:r>
      <w:r>
        <w:rPr>
          <w:rFonts w:ascii="Times New Roman" w:eastAsia="宋体" w:hAnsi="Times New Roman" w:cs="Times New Roman" w:hint="eastAsia"/>
          <w:kern w:val="0"/>
          <w:szCs w:val="21"/>
        </w:rPr>
        <w:t>）关税数据来自于</w:t>
      </w:r>
      <w:r>
        <w:rPr>
          <w:rFonts w:ascii="Times New Roman" w:eastAsia="宋体" w:hAnsi="Times New Roman" w:cs="Times New Roman" w:hint="eastAsia"/>
          <w:kern w:val="0"/>
          <w:szCs w:val="21"/>
        </w:rPr>
        <w:t>W</w:t>
      </w:r>
      <w:r>
        <w:rPr>
          <w:rFonts w:ascii="Times New Roman" w:eastAsia="宋体" w:hAnsi="Times New Roman" w:cs="Times New Roman"/>
          <w:kern w:val="0"/>
          <w:szCs w:val="21"/>
        </w:rPr>
        <w:t>ITS</w:t>
      </w:r>
      <w:r>
        <w:rPr>
          <w:rFonts w:ascii="Times New Roman" w:eastAsia="宋体" w:hAnsi="Times New Roman" w:cs="Times New Roman" w:hint="eastAsia"/>
          <w:kern w:val="0"/>
          <w:szCs w:val="21"/>
        </w:rPr>
        <w:t>数据库</w:t>
      </w:r>
    </w:p>
    <w:p w14:paraId="6BF17FC3" w14:textId="77777777" w:rsidR="000474FC" w:rsidRDefault="000474FC" w:rsidP="000474FC">
      <w:pPr>
        <w:widowControl/>
        <w:adjustRightInd w:val="0"/>
        <w:snapToGrid w:val="0"/>
        <w:spacing w:line="360" w:lineRule="auto"/>
        <w:ind w:firstLineChars="200" w:firstLine="420"/>
        <w:rPr>
          <w:rFonts w:ascii="Times New Roman" w:eastAsia="宋体" w:hAnsi="Times New Roman" w:cs="Times New Roman"/>
          <w:kern w:val="0"/>
          <w:szCs w:val="21"/>
        </w:rPr>
      </w:pP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4</w:t>
      </w:r>
      <w:r>
        <w:rPr>
          <w:rFonts w:ascii="Times New Roman" w:eastAsia="宋体" w:hAnsi="Times New Roman" w:cs="Times New Roman" w:hint="eastAsia"/>
          <w:kern w:val="0"/>
          <w:szCs w:val="21"/>
        </w:rPr>
        <w:t>）</w:t>
      </w:r>
      <w:r>
        <w:rPr>
          <w:rFonts w:ascii="Times New Roman" w:eastAsia="宋体" w:hAnsi="Times New Roman" w:cs="Times New Roman"/>
          <w:kern w:val="0"/>
          <w:szCs w:val="21"/>
        </w:rPr>
        <w:t>CEPII</w:t>
      </w:r>
      <w:r>
        <w:rPr>
          <w:rFonts w:ascii="Times New Roman" w:eastAsia="宋体" w:hAnsi="Times New Roman" w:cs="Times New Roman" w:hint="eastAsia"/>
          <w:kern w:val="0"/>
          <w:szCs w:val="21"/>
        </w:rPr>
        <w:t>数据库，用于</w:t>
      </w:r>
    </w:p>
    <w:p w14:paraId="2ABF56A6" w14:textId="77777777" w:rsidR="000474FC" w:rsidRPr="000474FC" w:rsidRDefault="000474FC" w:rsidP="000474FC">
      <w:pPr>
        <w:widowControl/>
        <w:adjustRightInd w:val="0"/>
        <w:snapToGrid w:val="0"/>
        <w:spacing w:line="360" w:lineRule="auto"/>
        <w:ind w:firstLineChars="200" w:firstLine="420"/>
        <w:rPr>
          <w:rFonts w:ascii="Times New Roman" w:eastAsia="宋体" w:hAnsi="Times New Roman" w:cs="Times New Roman"/>
          <w:b/>
          <w:bCs/>
          <w:kern w:val="0"/>
          <w:szCs w:val="21"/>
        </w:rPr>
      </w:pPr>
      <w:r>
        <w:rPr>
          <w:rFonts w:ascii="Times New Roman" w:eastAsia="宋体" w:hAnsi="Times New Roman" w:cs="Times New Roman" w:hint="eastAsia"/>
          <w:kern w:val="0"/>
          <w:szCs w:val="21"/>
        </w:rPr>
        <w:t>（</w:t>
      </w:r>
      <w:r>
        <w:rPr>
          <w:rFonts w:ascii="Times New Roman" w:eastAsia="宋体" w:hAnsi="Times New Roman" w:cs="Times New Roman"/>
          <w:kern w:val="0"/>
          <w:szCs w:val="21"/>
        </w:rPr>
        <w:t>5</w:t>
      </w:r>
      <w:r>
        <w:rPr>
          <w:rFonts w:ascii="Times New Roman" w:eastAsia="宋体" w:hAnsi="Times New Roman" w:cs="Times New Roman" w:hint="eastAsia"/>
          <w:kern w:val="0"/>
          <w:szCs w:val="21"/>
        </w:rPr>
        <w:t>）</w:t>
      </w:r>
      <w:r w:rsidRPr="000474FC">
        <w:rPr>
          <w:rFonts w:ascii="Times New Roman" w:eastAsia="宋体" w:hAnsi="Times New Roman" w:cs="Times New Roman" w:hint="eastAsia"/>
          <w:kern w:val="0"/>
          <w:szCs w:val="21"/>
        </w:rPr>
        <w:t>联合国大会投票信息数据</w:t>
      </w:r>
    </w:p>
    <w:p w14:paraId="4AA5CA66" w14:textId="77777777" w:rsidR="000474FC" w:rsidRPr="000474FC" w:rsidRDefault="000474FC" w:rsidP="00D9467B">
      <w:pPr>
        <w:widowControl/>
        <w:adjustRightInd w:val="0"/>
        <w:snapToGrid w:val="0"/>
        <w:spacing w:line="360" w:lineRule="auto"/>
        <w:ind w:firstLineChars="200" w:firstLine="422"/>
        <w:rPr>
          <w:rFonts w:ascii="Times New Roman" w:hAnsi="Times New Roman" w:cs="Times New Roman"/>
          <w:b/>
          <w:bCs/>
          <w:color w:val="FF0000"/>
        </w:rPr>
      </w:pPr>
    </w:p>
    <w:p w14:paraId="77AF86FB" w14:textId="6039D5FF" w:rsidR="00EE438E" w:rsidRPr="00A541C1" w:rsidRDefault="000474FC" w:rsidP="00A541C1">
      <w:pPr>
        <w:widowControl/>
        <w:adjustRightInd w:val="0"/>
        <w:snapToGrid w:val="0"/>
        <w:spacing w:line="360" w:lineRule="auto"/>
        <w:ind w:firstLineChars="200" w:firstLine="422"/>
        <w:rPr>
          <w:rFonts w:ascii="Times New Roman" w:hAnsi="Times New Roman" w:cs="Times New Roman"/>
        </w:rPr>
      </w:pPr>
      <w:commentRangeStart w:id="0"/>
      <w:r>
        <w:rPr>
          <w:rFonts w:ascii="Times New Roman" w:hAnsi="Times New Roman" w:cs="Times New Roman" w:hint="eastAsia"/>
          <w:b/>
          <w:bCs/>
          <w:color w:val="FF0000"/>
        </w:rPr>
        <w:t>核心</w:t>
      </w:r>
      <w:r w:rsidR="008600E1">
        <w:rPr>
          <w:rFonts w:ascii="Times New Roman" w:hAnsi="Times New Roman" w:cs="Times New Roman" w:hint="eastAsia"/>
          <w:b/>
          <w:bCs/>
          <w:color w:val="FF0000"/>
        </w:rPr>
        <w:t>数据</w:t>
      </w:r>
      <w:r w:rsidR="00C371EE">
        <w:rPr>
          <w:rFonts w:ascii="Times New Roman" w:hAnsi="Times New Roman" w:cs="Times New Roman" w:hint="eastAsia"/>
          <w:b/>
          <w:bCs/>
          <w:color w:val="FF0000"/>
        </w:rPr>
        <w:t>介绍与</w:t>
      </w:r>
      <w:r w:rsidR="00307EC5" w:rsidRPr="00345F42">
        <w:rPr>
          <w:rFonts w:ascii="Times New Roman" w:hAnsi="Times New Roman" w:cs="Times New Roman"/>
          <w:b/>
          <w:bCs/>
          <w:color w:val="FF0000"/>
        </w:rPr>
        <w:t>准备</w:t>
      </w:r>
      <w:commentRangeEnd w:id="0"/>
      <w:r w:rsidR="00647621" w:rsidRPr="00345F42">
        <w:rPr>
          <w:rStyle w:val="afd"/>
          <w:rFonts w:ascii="Times New Roman" w:hAnsi="Times New Roman" w:cs="Times New Roman"/>
          <w:b/>
          <w:bCs/>
          <w:color w:val="FF0000"/>
          <w:szCs w:val="24"/>
        </w:rPr>
        <w:commentReference w:id="0"/>
      </w:r>
      <w:r w:rsidR="00345F42" w:rsidRPr="00345F42">
        <w:rPr>
          <w:rFonts w:ascii="Times New Roman" w:hAnsi="Times New Roman" w:cs="Times New Roman"/>
          <w:b/>
          <w:bCs/>
          <w:color w:val="FF0000"/>
        </w:rPr>
        <w:t>。</w:t>
      </w:r>
      <w:r>
        <w:rPr>
          <w:rFonts w:ascii="Times New Roman" w:hAnsi="Times New Roman" w:cs="Times New Roman" w:hint="eastAsia"/>
          <w:color w:val="000000" w:themeColor="text1"/>
        </w:rPr>
        <w:t>本文采用世界银行深度贸易协定数据库（</w:t>
      </w:r>
      <w:r>
        <w:rPr>
          <w:rFonts w:ascii="Times New Roman" w:hAnsi="Times New Roman" w:cs="Times New Roman" w:hint="eastAsia"/>
          <w:color w:val="000000" w:themeColor="text1"/>
        </w:rPr>
        <w:t>Deep Trade Agreements Database</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DTA</w:t>
      </w:r>
      <w:r>
        <w:rPr>
          <w:rFonts w:ascii="Times New Roman" w:hAnsi="Times New Roman" w:cs="Times New Roman" w:hint="eastAsia"/>
          <w:color w:val="000000" w:themeColor="text1"/>
        </w:rPr>
        <w:t>）中的</w:t>
      </w:r>
      <w:r>
        <w:rPr>
          <w:rFonts w:ascii="Times New Roman" w:hAnsi="Times New Roman" w:cs="Times New Roman" w:hint="eastAsia"/>
          <w:color w:val="000000" w:themeColor="text1"/>
        </w:rPr>
        <w:t>DTA2.0</w:t>
      </w:r>
      <w:r>
        <w:rPr>
          <w:rFonts w:ascii="Times New Roman" w:hAnsi="Times New Roman" w:cs="Times New Roman" w:hint="eastAsia"/>
          <w:color w:val="000000" w:themeColor="text1"/>
        </w:rPr>
        <w:t>垂直深度数据，结合大语言模型方法测度各国之间的制度型开放程度。所用数据覆盖</w:t>
      </w:r>
      <w:r>
        <w:rPr>
          <w:rFonts w:ascii="Times New Roman" w:hAnsi="Times New Roman" w:cs="Times New Roman" w:hint="eastAsia"/>
          <w:color w:val="000000" w:themeColor="text1"/>
        </w:rPr>
        <w:t>400</w:t>
      </w:r>
      <w:r>
        <w:rPr>
          <w:rFonts w:ascii="Times New Roman" w:hAnsi="Times New Roman" w:cs="Times New Roman" w:hint="eastAsia"/>
          <w:color w:val="000000" w:themeColor="text1"/>
        </w:rPr>
        <w:t>项协定和</w:t>
      </w:r>
      <w:r>
        <w:rPr>
          <w:rFonts w:ascii="Times New Roman" w:hAnsi="Times New Roman" w:cs="Times New Roman" w:hint="eastAsia"/>
          <w:color w:val="000000" w:themeColor="text1"/>
        </w:rPr>
        <w:t>1,071</w:t>
      </w:r>
      <w:r>
        <w:rPr>
          <w:rFonts w:ascii="Times New Roman" w:hAnsi="Times New Roman" w:cs="Times New Roman" w:hint="eastAsia"/>
          <w:color w:val="000000" w:themeColor="text1"/>
        </w:rPr>
        <w:t>项条款，并记录</w:t>
      </w:r>
      <w:r>
        <w:rPr>
          <w:rFonts w:ascii="Times New Roman" w:hAnsi="Times New Roman" w:cs="Times New Roman" w:hint="eastAsia"/>
          <w:color w:val="000000" w:themeColor="text1"/>
        </w:rPr>
        <w:t>1958</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2023</w:t>
      </w:r>
      <w:r>
        <w:rPr>
          <w:rFonts w:ascii="Times New Roman" w:hAnsi="Times New Roman" w:cs="Times New Roman" w:hint="eastAsia"/>
          <w:color w:val="000000" w:themeColor="text1"/>
        </w:rPr>
        <w:t>年的协定生效关系。数据库提供各条款的描述及所属政策领域、各协定对条款的覆盖记录，以及协定成员和生效年份等信息。条款内容涉及政策目标、实质性承诺、透明度、程序安排和执行机制等方面。本文通过人工编码确定各协定对条款的覆盖强度，并根据协定成员和生效年份，确定各年份在两国之间生效的协定。</w:t>
      </w:r>
      <w:r w:rsidR="00480A8D">
        <w:rPr>
          <w:rStyle w:val="afe"/>
          <w:rFonts w:ascii="Times New Roman" w:hAnsi="Times New Roman" w:cs="Times New Roman"/>
          <w:color w:val="000000" w:themeColor="text1"/>
        </w:rPr>
        <w:footnoteReference w:id="1"/>
      </w:r>
      <w:r>
        <w:rPr>
          <w:rFonts w:ascii="Times New Roman" w:hAnsi="Times New Roman" w:cs="Times New Roman" w:hint="eastAsia"/>
          <w:color w:val="000000" w:themeColor="text1"/>
        </w:rPr>
        <w:t>大语言模型则依据条款描述及其所属政策领域，识别制度属</w:t>
      </w:r>
      <w:r>
        <w:rPr>
          <w:rFonts w:ascii="Times New Roman" w:hAnsi="Times New Roman" w:cs="Times New Roman" w:hint="eastAsia"/>
          <w:color w:val="000000" w:themeColor="text1"/>
        </w:rPr>
        <w:lastRenderedPageBreak/>
        <w:t>性、确定主导维度，并识别贸易与跨国生产类型、分配相应权重。随后，依据条款权重、协定覆盖强度和协定生效关系，分别构建国家对—年份层面的制度型贸易开放指数和制度型跨国生产开放指数。</w:t>
      </w:r>
    </w:p>
    <w:p w14:paraId="354EF069" w14:textId="77777777" w:rsidR="00F52132" w:rsidRDefault="004C356E">
      <w:pPr>
        <w:widowControl/>
        <w:snapToGrid w:val="0"/>
        <w:spacing w:line="360" w:lineRule="auto"/>
        <w:ind w:firstLineChars="200" w:firstLine="422"/>
      </w:pPr>
      <w:commentRangeStart w:id="1"/>
      <w:r>
        <w:rPr>
          <w:rFonts w:ascii="Times New Roman" w:eastAsia="宋体" w:hAnsi="Times New Roman"/>
          <w:b/>
          <w:bCs/>
          <w:color w:val="FF0000"/>
        </w:rPr>
        <w:t xml:space="preserve">Stage 1. </w:t>
      </w:r>
      <w:r>
        <w:rPr>
          <w:rFonts w:ascii="Times New Roman" w:eastAsia="宋体" w:hAnsi="Times New Roman"/>
          <w:b/>
          <w:bCs/>
          <w:color w:val="FF0000"/>
        </w:rPr>
        <w:t>制度属性识别与主导维度分类。</w:t>
      </w:r>
      <w:r>
        <w:rPr>
          <w:rFonts w:ascii="Times New Roman" w:eastAsia="宋体" w:hAnsi="Times New Roman"/>
        </w:rPr>
        <w:t>本文先识别条款是否属于制度型开放，再对制度型开放条款进行主导维度分类。</w:t>
      </w:r>
      <w:r>
        <w:rPr>
          <w:rFonts w:ascii="Times New Roman" w:eastAsia="宋体" w:hAnsi="Times New Roman"/>
        </w:rPr>
        <w:t>Stage 1A</w:t>
      </w:r>
      <w:r>
        <w:rPr>
          <w:rFonts w:ascii="Times New Roman" w:eastAsia="宋体" w:hAnsi="Times New Roman"/>
        </w:rPr>
        <w:t>依据条款描述，将直接确立实体权利义务、监管条件、行政实施程序或技术标准安排的条款识别为制度型开放条款，记为</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=1</m:t>
        </m:r>
      </m:oMath>
      <w:r>
        <w:rPr>
          <w:rFonts w:ascii="Times New Roman" w:eastAsia="宋体" w:hAnsi="Times New Roman"/>
        </w:rPr>
        <w:t>；仅为章节标题、目录指引、一般合作意愿或原则性对话安排，或只规定关税税率、配额数量和削减时间表而不包含制度规则的条款，记为</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=0</m:t>
        </m:r>
      </m:oMath>
      <w:r>
        <w:rPr>
          <w:rFonts w:ascii="Times New Roman" w:eastAsia="宋体" w:hAnsi="Times New Roman"/>
        </w:rPr>
        <w:t>。本文采用</w:t>
      </w:r>
      <w:r>
        <w:rPr>
          <w:rFonts w:ascii="Times New Roman" w:eastAsia="宋体" w:hAnsi="Times New Roman"/>
        </w:rPr>
        <w:t>DeepSeek-v4-pro</w:t>
      </w:r>
      <w:r>
        <w:rPr>
          <w:rFonts w:ascii="Times New Roman" w:eastAsia="宋体" w:hAnsi="Times New Roman"/>
        </w:rPr>
        <w:t>和</w:t>
      </w:r>
      <w:r>
        <w:rPr>
          <w:rFonts w:ascii="Times New Roman" w:eastAsia="宋体" w:hAnsi="Times New Roman"/>
        </w:rPr>
        <w:t>Qwen3.7-plus</w:t>
      </w:r>
      <w:r>
        <w:rPr>
          <w:rFonts w:ascii="Times New Roman" w:eastAsia="宋体" w:hAnsi="Times New Roman"/>
        </w:rPr>
        <w:t>两个大语言模型，在相同的条款信息、识别提示词和判定标准下独立判断。两个模型结论一致时采用该结论；出现分歧时，由</w:t>
      </w:r>
      <w:r>
        <w:rPr>
          <w:rFonts w:ascii="Times New Roman" w:eastAsia="宋体" w:hAnsi="Times New Roman"/>
        </w:rPr>
        <w:t>GLM-5</w:t>
      </w:r>
      <w:r>
        <w:rPr>
          <w:rFonts w:ascii="Times New Roman" w:eastAsia="宋体" w:hAnsi="Times New Roman"/>
        </w:rPr>
        <w:t>依据相同的条款信息和判定标准进行仲裁。</w:t>
      </w:r>
      <w:commentRangeEnd w:id="1"/>
      <w:r>
        <w:rPr>
          <w:rStyle w:val="afd"/>
          <w:szCs w:val="24"/>
        </w:rPr>
        <w:commentReference w:id="1"/>
      </w:r>
    </w:p>
    <w:p w14:paraId="3B8A8861" w14:textId="77777777" w:rsidR="00F52132" w:rsidRDefault="004C356E">
      <w:pPr>
        <w:widowControl/>
        <w:snapToGrid w:val="0"/>
        <w:spacing w:line="360" w:lineRule="auto"/>
        <w:ind w:firstLineChars="200" w:firstLine="420"/>
      </w:pPr>
      <w:commentRangeStart w:id="2"/>
      <w:commentRangeStart w:id="3"/>
      <w:r>
        <w:rPr>
          <w:rFonts w:ascii="Times New Roman" w:eastAsia="宋体" w:hAnsi="Times New Roman"/>
        </w:rPr>
        <w:t>Stage 1B</w:t>
      </w:r>
      <w:r>
        <w:rPr>
          <w:rFonts w:ascii="Times New Roman" w:eastAsia="宋体" w:hAnsi="Times New Roman"/>
        </w:rPr>
        <w:t>仅对</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=1</m:t>
        </m:r>
      </m:oMath>
      <w:r>
        <w:rPr>
          <w:rFonts w:ascii="Times New Roman" w:eastAsia="宋体" w:hAnsi="Times New Roman"/>
        </w:rPr>
        <w:t>的条款进行分类，按照条款最直接改变的制度对象或最主要的可执行功能，将其归入规则（</w:t>
      </w:r>
      <w:r>
        <w:rPr>
          <w:rFonts w:ascii="Times New Roman" w:eastAsia="宋体" w:hAnsi="Times New Roman"/>
        </w:rPr>
        <w:t>rules</w:t>
      </w:r>
      <w:r>
        <w:rPr>
          <w:rFonts w:ascii="Times New Roman" w:eastAsia="宋体" w:hAnsi="Times New Roman"/>
        </w:rPr>
        <w:t>）、规制（</w:t>
      </w:r>
      <w:r>
        <w:rPr>
          <w:rFonts w:ascii="Times New Roman" w:eastAsia="宋体" w:hAnsi="Times New Roman"/>
        </w:rPr>
        <w:t>regulation</w:t>
      </w:r>
      <w:r>
        <w:rPr>
          <w:rFonts w:ascii="Times New Roman" w:eastAsia="宋体" w:hAnsi="Times New Roman"/>
        </w:rPr>
        <w:t>）、管理（</w:t>
      </w:r>
      <w:r>
        <w:rPr>
          <w:rFonts w:ascii="Times New Roman" w:eastAsia="宋体" w:hAnsi="Times New Roman"/>
        </w:rPr>
        <w:t>management</w:t>
      </w:r>
      <w:r>
        <w:rPr>
          <w:rFonts w:ascii="Times New Roman" w:eastAsia="宋体" w:hAnsi="Times New Roman"/>
        </w:rPr>
        <w:t>）和标准（</w:t>
      </w:r>
      <w:r>
        <w:rPr>
          <w:rFonts w:ascii="Times New Roman" w:eastAsia="宋体" w:hAnsi="Times New Roman"/>
        </w:rPr>
        <w:t>standards</w:t>
      </w:r>
      <w:r>
        <w:rPr>
          <w:rFonts w:ascii="Times New Roman" w:eastAsia="宋体" w:hAnsi="Times New Roman"/>
        </w:rPr>
        <w:t>）中的一个主导维度，记为</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Style w:val="afe"/>
        </w:rPr>
        <w:footnoteReference w:id="2"/>
      </w:r>
      <w:r>
        <w:rPr>
          <w:rFonts w:ascii="Times New Roman" w:eastAsia="宋体" w:hAnsi="Times New Roman"/>
        </w:rPr>
        <w:t>。该步骤沿用</w:t>
      </w:r>
      <w:r>
        <w:rPr>
          <w:rFonts w:ascii="Times New Roman" w:eastAsia="宋体" w:hAnsi="Times New Roman"/>
        </w:rPr>
        <w:t>Stage 1A</w:t>
      </w:r>
      <w:r>
        <w:rPr>
          <w:rFonts w:ascii="Times New Roman" w:eastAsia="宋体" w:hAnsi="Times New Roman"/>
        </w:rPr>
        <w:t>的双模型独立判断和分歧仲裁程序。同一条款涉及多种制度安排时，仍确定唯一主导维度，避免重复计数。</w:t>
      </w:r>
      <w:commentRangeEnd w:id="3"/>
      <w:r>
        <w:rPr>
          <w:rStyle w:val="afd"/>
          <w:szCs w:val="24"/>
        </w:rPr>
        <w:commentReference w:id="3"/>
      </w:r>
      <w:commentRangeEnd w:id="2"/>
      <w:r>
        <w:rPr>
          <w:rStyle w:val="afd"/>
          <w:szCs w:val="24"/>
        </w:rPr>
        <w:commentReference w:id="2"/>
      </w:r>
    </w:p>
    <w:p w14:paraId="241DA51C" w14:textId="77777777" w:rsidR="00F52132" w:rsidRDefault="004C356E">
      <w:pPr>
        <w:keepNext/>
        <w:widowControl/>
        <w:snapToGrid w:val="0"/>
        <w:spacing w:line="360" w:lineRule="auto"/>
        <w:ind w:firstLineChars="200" w:firstLine="422"/>
      </w:pPr>
      <w:commentRangeStart w:id="4"/>
      <w:r>
        <w:rPr>
          <w:rFonts w:ascii="Times New Roman" w:eastAsia="宋体" w:hAnsi="Times New Roman"/>
          <w:b/>
          <w:bCs/>
          <w:color w:val="FF0000"/>
        </w:rPr>
        <w:t xml:space="preserve">Stage 2. </w:t>
      </w:r>
      <w:r>
        <w:rPr>
          <w:rFonts w:ascii="Times New Roman" w:eastAsia="宋体" w:hAnsi="Times New Roman"/>
          <w:b/>
          <w:bCs/>
          <w:color w:val="FF0000"/>
        </w:rPr>
        <w:t>贸易与跨国生产类型识别及权重分配。</w:t>
      </w:r>
      <w:r>
        <w:rPr>
          <w:rFonts w:ascii="Times New Roman" w:eastAsia="宋体" w:hAnsi="Times New Roman"/>
        </w:rPr>
        <w:t>本文进一步区分制度型开放条款对贸易与跨国生产的直接作用，并据此确定类型及权重。跨境货物和服务交易、原产地、通关等安排归入贸易类型；外资准入、企业设立、商业存在及外国企业经营条件等安排归入跨国生产类型。只有同时存在可辨认的两类直接作用机制时，才判定为同时涉及两类活动。设</w:t>
      </w:r>
      <m:oMath>
        <m:sSub>
          <m:sSubPr>
            <m:ctrlPr>
              <w:rPr>
                <w:rFonts w:ascii="Cambria Math" w:hAnsi="Cambria Math"/>
              </w:rPr>
            </m:ctrlPr>
          </m:sSubPr>
          <m:e>
            <m:r>
              <w:rPr>
                <w:rFonts w:ascii="Cambria Math" w:hAnsi="Cambria Math"/>
              </w:rPr>
              <m:t>c</m:t>
            </m:r>
          </m:e>
          <m:sub>
            <m:r>
              <w:rPr>
                <w:rFonts w:ascii="Cambria Math" w:hAnsi="Cambria Math"/>
              </w:rPr>
              <m:t>k</m:t>
            </m:r>
          </m:sub>
        </m:sSub>
      </m:oMath>
      <w:r>
        <w:rPr>
          <w:rFonts w:ascii="Times New Roman" w:eastAsia="宋体" w:hAnsi="Times New Roman"/>
        </w:rPr>
        <w:t>为条款类型，</w:t>
      </w:r>
      <m:oMath>
        <m:sSubSup>
          <m:sSubSupPr>
            <m:ctrlPr>
              <w:rPr>
                <w:rFonts w:ascii="Cambria Math" w:hAnsi="Cambria Math"/>
              </w:rPr>
            </m:ctrlPr>
          </m:sSubSupPr>
          <m:e>
            <m:r>
              <w:rPr>
                <w:rFonts w:ascii="Cambria Math" w:hAnsi="Cambria Math"/>
              </w:rPr>
              <m:t>w</m:t>
            </m:r>
          </m:e>
          <m:sub>
            <m:r>
              <w:rPr>
                <w:rFonts w:ascii="Cambria Math" w:hAnsi="Cambria Math"/>
              </w:rPr>
              <m:t>k</m:t>
            </m:r>
          </m:sub>
          <m:sup>
            <m:r>
              <m:rPr>
                <m:nor/>
              </m:rPr>
              <w:rPr>
                <w:rFonts w:ascii="Cambria Math" w:hAnsi="Cambria Math"/>
              </w:rPr>
              <m:t>trade</m:t>
            </m:r>
          </m:sup>
        </m:sSubSup>
      </m:oMath>
      <w:r>
        <w:rPr>
          <w:rFonts w:ascii="Times New Roman" w:eastAsia="宋体" w:hAnsi="Times New Roman"/>
        </w:rPr>
        <w:t>和</w:t>
      </w:r>
      <m:oMath>
        <m:sSubSup>
          <m:sSubSupPr>
            <m:ctrlPr>
              <w:rPr>
                <w:rFonts w:ascii="Cambria Math" w:hAnsi="Cambria Math"/>
              </w:rPr>
            </m:ctrlPr>
          </m:sSubSupPr>
          <m:e>
            <m:r>
              <w:rPr>
                <w:rFonts w:ascii="Cambria Math" w:hAnsi="Cambria Math"/>
              </w:rPr>
              <m:t>w</m:t>
            </m:r>
          </m:e>
          <m:sub>
            <m:r>
              <w:rPr>
                <w:rFonts w:ascii="Cambria Math" w:hAnsi="Cambria Math"/>
              </w:rPr>
              <m:t>k</m:t>
            </m:r>
          </m:sub>
          <m:sup>
            <m:r>
              <m:rPr>
                <m:nor/>
              </m:rPr>
              <w:rPr>
                <w:rFonts w:ascii="Cambria Math" w:hAnsi="Cambria Math"/>
              </w:rPr>
              <m:t>mp</m:t>
            </m:r>
          </m:sup>
        </m:sSubSup>
      </m:oMath>
      <w:r>
        <w:rPr>
          <w:rFonts w:ascii="Times New Roman" w:eastAsia="宋体" w:hAnsi="Times New Roman"/>
        </w:rPr>
        <w:t>分别为贸易权重与跨国生产权重，赋权规则为</w:t>
      </w:r>
      <w:commentRangeEnd w:id="4"/>
      <w:r>
        <w:rPr>
          <w:rStyle w:val="afd"/>
          <w:szCs w:val="24"/>
        </w:rPr>
        <w:commentReference w:id="4"/>
      </w:r>
    </w:p>
    <w:p w14:paraId="16112A32" w14:textId="77777777" w:rsidR="00F52132" w:rsidRDefault="004C356E">
      <w:pPr>
        <w:keepNext/>
        <w:keepLines/>
        <w:widowControl/>
        <w:snapToGrid w:val="0"/>
        <w:spacing w:before="80" w:after="80" w:line="300" w:lineRule="auto"/>
        <w:jc w:val="center"/>
      </w:pPr>
      <m:oMathPara>
        <m:oMathParaPr>
          <m:jc m:val="center"/>
        </m:oMathParaP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m:rPr>
                  <m:nor/>
                </m:rPr>
                <w:rPr>
                  <w:rFonts w:ascii="Cambria Math" w:hAnsi="Cambria Math"/>
                </w:rPr>
                <m:t>trade</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r>
                <m:rPr>
                  <m:nor/>
                </m:rPr>
                <w:rPr>
                  <w:rFonts w:ascii="Cambria Math" w:hAnsi="Cambria Math"/>
                </w:rPr>
                <m:t>mp</m:t>
              </m:r>
            </m:sup>
          </m:sSubSup>
          <m:r>
            <w:rPr>
              <w:rFonts w:ascii="Cambria Math" w:hAnsi="Cambria Math"/>
            </w:rPr>
            <m:t>)=</m:t>
          </m:r>
          <m:d>
            <m:dPr>
              <m:begChr m:val="{"/>
              <m:endChr m:val=""/>
              <m:ctrlPr>
                <w:rPr>
                  <w:rFonts w:ascii="Cambria Math" w:hAnsi="Cambria Math"/>
                </w:rPr>
              </m:ctrlPr>
            </m:dPr>
            <m:e>
              <m:m>
                <m:mPr>
                  <m:mcs>
                    <m:mc>
                      <m:mcPr>
                        <m:count m:val="2"/>
                        <m:mcJc m:val="left"/>
                      </m:mcPr>
                    </m:mc>
                  </m:mcs>
                  <m:ctrlPr>
                    <w:rPr>
                      <w:rFonts w:ascii="Cambria Math" w:hAnsi="Cambria Math"/>
                    </w:rPr>
                  </m:ctrlPr>
                </m:mPr>
                <m:mr>
                  <m:e>
                    <m:r>
                      <w:rPr>
                        <w:rFonts w:ascii="Cambria Math" w:hAnsi="Cambria Math"/>
                      </w:rPr>
                      <m:t>(1,0)</m:t>
                    </m:r>
                  </m:e>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m:rPr>
                        <m:nor/>
                      </m:rPr>
                      <w:rPr>
                        <w:rFonts w:ascii="Cambria Math" w:hAnsi="Cambria Math"/>
                      </w:rPr>
                      <m:t>TRADE</m:t>
                    </m:r>
                  </m:e>
                </m:mr>
                <m:mr>
                  <m:e>
                    <m:r>
                      <w:rPr>
                        <w:rFonts w:ascii="Cambria Math" w:hAnsi="Cambria Math"/>
                      </w:rPr>
                      <m:t>(0,1)</m:t>
                    </m:r>
                  </m:e>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m:rPr>
                        <m:nor/>
                      </m:rPr>
                      <w:rPr>
                        <w:rFonts w:ascii="Cambria Math" w:hAnsi="Cambria Math"/>
                      </w:rPr>
                      <m:t>MP</m:t>
                    </m:r>
                  </m:e>
                </m:mr>
                <m:mr>
                  <m:e>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  0&lt;</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&lt;1</m:t>
                    </m:r>
                  </m:e>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m:rPr>
                        <m:nor/>
                      </m:rPr>
                      <w:rPr>
                        <w:rFonts w:ascii="Cambria Math" w:hAnsi="Cambria Math"/>
                      </w:rPr>
                      <m:t>BOTH</m:t>
                    </m:r>
                  </m:e>
                </m:mr>
                <m:mr>
                  <m:e>
                    <m:r>
                      <w:rPr>
                        <w:rFonts w:ascii="Cambria Math" w:hAnsi="Cambria Math"/>
                      </w:rPr>
                      <m:t>(0,0)</m:t>
                    </m:r>
                  </m:e>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m:rPr>
                        <m:nor/>
                      </m:rPr>
                      <w:rPr>
                        <w:rFonts w:ascii="Cambria Math" w:hAnsi="Cambria Math"/>
                      </w:rPr>
                      <m:t>NONE</m:t>
                    </m:r>
                  </m:e>
                </m:mr>
              </m:m>
            </m:e>
          </m:d>
        </m:oMath>
      </m:oMathPara>
    </w:p>
    <w:p w14:paraId="21CA36B4" w14:textId="77777777" w:rsidR="00F52132" w:rsidRDefault="004C356E">
      <w:pPr>
        <w:keepNext/>
        <w:widowControl/>
        <w:snapToGrid w:val="0"/>
        <w:spacing w:line="360" w:lineRule="auto"/>
        <w:ind w:firstLineChars="200" w:firstLine="420"/>
      </w:pPr>
      <w:r>
        <w:rPr>
          <w:rFonts w:ascii="Times New Roman" w:eastAsia="宋体" w:hAnsi="Times New Roman"/>
        </w:rPr>
        <w:t>其中，</w:t>
      </w:r>
      <w:r>
        <w:rPr>
          <w:rFonts w:ascii="Times New Roman" w:eastAsia="宋体" w:hAnsi="Times New Roman"/>
        </w:rPr>
        <w:t>TRADE</w:t>
      </w:r>
      <w:r>
        <w:rPr>
          <w:rFonts w:ascii="Times New Roman" w:eastAsia="宋体" w:hAnsi="Times New Roman"/>
        </w:rPr>
        <w:t>、</w:t>
      </w:r>
      <w:r>
        <w:rPr>
          <w:rFonts w:ascii="Times New Roman" w:eastAsia="宋体" w:hAnsi="Times New Roman"/>
        </w:rPr>
        <w:t>MP</w:t>
      </w:r>
      <w:r>
        <w:rPr>
          <w:rFonts w:ascii="Times New Roman" w:eastAsia="宋体" w:hAnsi="Times New Roman"/>
        </w:rPr>
        <w:t>、</w:t>
      </w:r>
      <w:r>
        <w:rPr>
          <w:rFonts w:ascii="Times New Roman" w:eastAsia="宋体" w:hAnsi="Times New Roman"/>
        </w:rPr>
        <w:t>BOTH</w:t>
      </w:r>
      <w:r>
        <w:rPr>
          <w:rFonts w:ascii="Times New Roman" w:eastAsia="宋体" w:hAnsi="Times New Roman"/>
        </w:rPr>
        <w:t>和</w:t>
      </w:r>
      <w:r>
        <w:rPr>
          <w:rFonts w:ascii="Times New Roman" w:eastAsia="宋体" w:hAnsi="Times New Roman"/>
        </w:rPr>
        <w:t>NONE</w:t>
      </w:r>
      <w:r>
        <w:rPr>
          <w:rFonts w:ascii="Times New Roman" w:eastAsia="宋体" w:hAnsi="Times New Roman"/>
        </w:rPr>
        <w:t>依次表示仅涉及贸易、仅涉及跨国生产、同时涉及两类活动和对两类活动均无直接作用。两个模型依据相同的类型判定标准独立判断；类型一致时采用该类型，类型不一致时由</w:t>
      </w:r>
      <w:r>
        <w:rPr>
          <w:rFonts w:ascii="Times New Roman" w:eastAsia="宋体" w:hAnsi="Times New Roman"/>
        </w:rPr>
        <w:t>GLM-5</w:t>
      </w:r>
      <w:r>
        <w:rPr>
          <w:rFonts w:ascii="Times New Roman" w:eastAsia="宋体" w:hAnsi="Times New Roman"/>
        </w:rPr>
        <w:t>重新确定类型及相应权重。若两个模型均判为</w:t>
      </w:r>
      <w:r>
        <w:rPr>
          <w:rFonts w:ascii="Times New Roman" w:eastAsia="宋体" w:hAnsi="Times New Roman"/>
        </w:rPr>
        <w:lastRenderedPageBreak/>
        <w:t>BOTH</w:t>
      </w:r>
      <w:r>
        <w:rPr>
          <w:rFonts w:ascii="Times New Roman" w:eastAsia="宋体" w:hAnsi="Times New Roman"/>
        </w:rPr>
        <w:t>，则分别检验各自的两项权重是否均为正且加总为</w:t>
      </w:r>
      <w:r>
        <w:rPr>
          <w:rFonts w:ascii="Times New Roman" w:eastAsia="宋体" w:hAnsi="Times New Roman"/>
        </w:rPr>
        <w:t>1</w:t>
      </w:r>
      <w:r>
        <w:rPr>
          <w:rFonts w:ascii="Times New Roman" w:eastAsia="宋体" w:hAnsi="Times New Roman"/>
        </w:rPr>
        <w:t>，再对两套合格权重取算术平均；数值差异本身不触发类型仲裁。以</w:t>
      </w:r>
      <w:r>
        <w:rPr>
          <w:rFonts w:ascii="Times New Roman" w:eastAsia="宋体" w:hAnsi="Times New Roman"/>
        </w:rPr>
        <w:t>A</w:t>
      </w:r>
      <w:r>
        <w:rPr>
          <w:rFonts w:ascii="Times New Roman" w:eastAsia="宋体" w:hAnsi="Times New Roman"/>
        </w:rPr>
        <w:t>、</w:t>
      </w:r>
      <w:r>
        <w:rPr>
          <w:rFonts w:ascii="Times New Roman" w:eastAsia="宋体" w:hAnsi="Times New Roman"/>
        </w:rPr>
        <w:t>B</w:t>
      </w:r>
      <w:r>
        <w:rPr>
          <w:rFonts w:ascii="Times New Roman" w:eastAsia="宋体" w:hAnsi="Times New Roman"/>
        </w:rPr>
        <w:t>分别表示两个基础模型，对</w:t>
      </w:r>
      <m:oMath>
        <m:r>
          <w:rPr>
            <w:rFonts w:ascii="Cambria Math" w:hAnsi="Cambria Math"/>
          </w:rPr>
          <m:t>q∈{</m:t>
        </m:r>
        <m:r>
          <m:rPr>
            <m:nor/>
          </m:rPr>
          <w:rPr>
            <w:rFonts w:ascii="Cambria Math" w:hAnsi="Cambria Math"/>
          </w:rPr>
          <m:t>trade</m:t>
        </m:r>
        <m:r>
          <w:rPr>
            <w:rFonts w:ascii="Cambria Math" w:hAnsi="Cambria Math"/>
          </w:rPr>
          <m:t>,</m:t>
        </m:r>
        <m:r>
          <m:rPr>
            <m:nor/>
          </m:rPr>
          <w:rPr>
            <w:rFonts w:ascii="Cambria Math" w:hAnsi="Cambria Math"/>
          </w:rPr>
          <m:t>mp</m:t>
        </m:r>
        <m:r>
          <w:rPr>
            <w:rFonts w:ascii="Cambria Math" w:hAnsi="Cambria Math"/>
          </w:rPr>
          <m:t>}</m:t>
        </m:r>
      </m:oMath>
      <w:r>
        <w:rPr>
          <w:rFonts w:ascii="Times New Roman" w:eastAsia="宋体" w:hAnsi="Times New Roman"/>
        </w:rPr>
        <w:t>，</w:t>
      </w:r>
    </w:p>
    <w:p w14:paraId="65A1635E" w14:textId="77777777" w:rsidR="00F52132" w:rsidRDefault="00A00E78">
      <w:pPr>
        <w:keepNext/>
        <w:keepLines/>
        <w:widowControl/>
        <w:snapToGrid w:val="0"/>
        <w:spacing w:before="80" w:after="80" w:line="300" w:lineRule="auto"/>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q</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k,A</m:t>
                  </m:r>
                </m:sub>
                <m:sup>
                  <m:r>
                    <w:rPr>
                      <w:rFonts w:ascii="Cambria Math" w:hAnsi="Cambria Math"/>
                    </w:rPr>
                    <m:t>q</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k,B</m:t>
                  </m:r>
                </m:sub>
                <m:sup>
                  <m:r>
                    <w:rPr>
                      <w:rFonts w:ascii="Cambria Math" w:hAnsi="Cambria Math"/>
                    </w:rPr>
                    <m:t>q</m:t>
                  </m:r>
                </m:sup>
              </m:sSubSup>
            </m:num>
            <m:den>
              <m:r>
                <w:rPr>
                  <w:rFonts w:ascii="Cambria Math" w:hAnsi="Cambria Math"/>
                </w:rPr>
                <m:t>2</m:t>
              </m:r>
            </m:den>
          </m:f>
        </m:oMath>
      </m:oMathPara>
    </w:p>
    <w:p w14:paraId="5A5CFCE2" w14:textId="77777777" w:rsidR="00F52132" w:rsidRDefault="004C356E">
      <w:pPr>
        <w:widowControl/>
        <w:snapToGrid w:val="0"/>
        <w:spacing w:line="360" w:lineRule="auto"/>
        <w:ind w:firstLineChars="200" w:firstLine="420"/>
      </w:pPr>
      <w:r>
        <w:rPr>
          <w:rFonts w:ascii="Times New Roman" w:eastAsia="宋体" w:hAnsi="Times New Roman"/>
        </w:rPr>
        <w:t>例如，条款</w:t>
      </w:r>
      <w:r>
        <w:rPr>
          <w:rFonts w:ascii="Times New Roman" w:eastAsia="宋体" w:hAnsi="Times New Roman"/>
        </w:rPr>
        <w:t>P0048</w:t>
      </w:r>
      <w:r>
        <w:rPr>
          <w:rFonts w:ascii="Times New Roman" w:eastAsia="宋体" w:hAnsi="Times New Roman"/>
        </w:rPr>
        <w:t>所描述的安排禁止将出口数量或价值与进口和</w:t>
      </w:r>
      <w:r>
        <w:rPr>
          <w:rFonts w:ascii="Times New Roman" w:eastAsia="宋体" w:hAnsi="Times New Roman"/>
        </w:rPr>
        <w:t>/</w:t>
      </w:r>
      <w:r>
        <w:rPr>
          <w:rFonts w:ascii="Times New Roman" w:eastAsia="宋体" w:hAnsi="Times New Roman"/>
        </w:rPr>
        <w:t>或投资流入挂钩。该条款被归入规则维度，两个模型均判为</w:t>
      </w:r>
      <w:r>
        <w:rPr>
          <w:rFonts w:ascii="Times New Roman" w:eastAsia="宋体" w:hAnsi="Times New Roman"/>
        </w:rPr>
        <w:t>BOTH</w:t>
      </w:r>
      <w:r>
        <w:rPr>
          <w:rFonts w:ascii="Times New Roman" w:eastAsia="宋体" w:hAnsi="Times New Roman"/>
        </w:rPr>
        <w:t>，最终贸易与跨国生产权重均为</w:t>
      </w:r>
      <w:r>
        <w:rPr>
          <w:rFonts w:ascii="Times New Roman" w:eastAsia="宋体" w:hAnsi="Times New Roman"/>
        </w:rPr>
        <w:t>0.5</w:t>
      </w:r>
      <w:r>
        <w:rPr>
          <w:rStyle w:val="afe"/>
        </w:rPr>
        <w:footnoteReference w:id="3"/>
      </w:r>
      <w:r>
        <w:rPr>
          <w:rFonts w:ascii="Times New Roman" w:eastAsia="宋体" w:hAnsi="Times New Roman"/>
        </w:rPr>
        <w:t>。这些权重反映条款在两类活动之间的计分分配，不表示其经济效果或实际成本降幅。非制度型开放条款不进入类型识别，并将两项权重均设为</w:t>
      </w:r>
      <w:r>
        <w:rPr>
          <w:rFonts w:ascii="Times New Roman" w:eastAsia="宋体" w:hAnsi="Times New Roman"/>
        </w:rPr>
        <w:t>0</w:t>
      </w:r>
      <w:r>
        <w:rPr>
          <w:rFonts w:ascii="Times New Roman" w:eastAsia="宋体" w:hAnsi="Times New Roman"/>
        </w:rPr>
        <w:t>。进入指数计算的有效权重统一记为</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q</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q</m:t>
            </m:r>
          </m:sup>
        </m:sSubSup>
      </m:oMath>
      <w:r>
        <w:rPr>
          <w:rFonts w:ascii="Times New Roman" w:eastAsia="宋体" w:hAnsi="Times New Roman"/>
        </w:rPr>
        <w:t>。</w:t>
      </w:r>
      <w:r>
        <w:rPr>
          <w:rFonts w:ascii="Times New Roman" w:eastAsia="宋体" w:hAnsi="Times New Roman"/>
        </w:rPr>
        <w:t>NONE</w:t>
      </w:r>
      <w:r>
        <w:rPr>
          <w:rFonts w:ascii="Times New Roman" w:eastAsia="宋体" w:hAnsi="Times New Roman"/>
        </w:rPr>
        <w:t>类条款仍具有制度属性，可以计入其主导维度的覆盖描述，但不贡献贸易或跨国生产得分。</w:t>
      </w:r>
    </w:p>
    <w:p w14:paraId="23BBAC60" w14:textId="77777777" w:rsidR="00F52132" w:rsidRDefault="004C356E">
      <w:pPr>
        <w:keepNext/>
        <w:widowControl/>
        <w:snapToGrid w:val="0"/>
        <w:spacing w:line="360" w:lineRule="auto"/>
        <w:ind w:firstLineChars="200" w:firstLine="422"/>
      </w:pPr>
      <w:commentRangeStart w:id="5"/>
      <w:r>
        <w:rPr>
          <w:rFonts w:ascii="Times New Roman" w:eastAsia="宋体" w:hAnsi="Times New Roman"/>
          <w:b/>
          <w:bCs/>
          <w:color w:val="FF0000"/>
        </w:rPr>
        <w:t xml:space="preserve">Stage 3. </w:t>
      </w:r>
      <w:r>
        <w:rPr>
          <w:rFonts w:ascii="Times New Roman" w:eastAsia="宋体" w:hAnsi="Times New Roman"/>
          <w:b/>
          <w:bCs/>
          <w:color w:val="FF0000"/>
        </w:rPr>
        <w:t>制度型开放指数构建。</w:t>
      </w:r>
      <w:r>
        <w:rPr>
          <w:rFonts w:ascii="Times New Roman" w:eastAsia="宋体" w:hAnsi="Times New Roman"/>
        </w:rPr>
        <w:t>本阶段将条款有效权重与协定覆盖强度相结合，分别构建协定层面和国家对</w:t>
      </w:r>
      <w:r>
        <w:rPr>
          <w:rFonts w:ascii="Times New Roman" w:eastAsia="宋体" w:hAnsi="Times New Roman"/>
        </w:rPr>
        <w:t>—</w:t>
      </w:r>
      <w:r>
        <w:rPr>
          <w:rFonts w:ascii="Times New Roman" w:eastAsia="宋体" w:hAnsi="Times New Roman"/>
        </w:rPr>
        <w:t>年份层面的制度型开放指数。设</w:t>
      </w:r>
      <m:oMath>
        <m:r>
          <w:rPr>
            <w:rFonts w:ascii="Cambria Math" w:hAnsi="Cambria Math"/>
          </w:rPr>
          <m:t>a</m:t>
        </m:r>
      </m:oMath>
      <w:r>
        <w:rPr>
          <w:rFonts w:ascii="Times New Roman" w:eastAsia="宋体" w:hAnsi="Times New Roman"/>
        </w:rPr>
        <w:t>表示协定，</w:t>
      </w:r>
      <m:oMath>
        <m:r>
          <w:rPr>
            <w:rFonts w:ascii="Cambria Math" w:hAnsi="Cambria Math"/>
          </w:rPr>
          <m:t>k</m:t>
        </m:r>
      </m:oMath>
      <w:r>
        <w:rPr>
          <w:rFonts w:ascii="Times New Roman" w:eastAsia="宋体" w:hAnsi="Times New Roman"/>
        </w:rPr>
        <w:t>表示条款，</w:t>
      </w:r>
      <m:oMath>
        <m:r>
          <w:rPr>
            <w:rFonts w:ascii="Cambria Math" w:hAnsi="Cambria Math"/>
          </w:rPr>
          <m:t>K</m:t>
        </m:r>
      </m:oMath>
      <w:r>
        <w:rPr>
          <w:rFonts w:ascii="Times New Roman" w:eastAsia="宋体" w:hAnsi="Times New Roman"/>
        </w:rPr>
        <w:t>为条款总数，</w:t>
      </w:r>
      <m:oMath>
        <m:sSub>
          <m:sSubPr>
            <m:ctrlPr>
              <w:rPr>
                <w:rFonts w:ascii="Cambria Math" w:hAnsi="Cambria Math"/>
              </w:rPr>
            </m:ctrlPr>
          </m:sSubPr>
          <m:e>
            <m:r>
              <w:rPr>
                <w:rFonts w:ascii="Cambria Math" w:hAnsi="Cambria Math"/>
              </w:rPr>
              <m:t>x</m:t>
            </m:r>
          </m:e>
          <m:sub>
            <m:r>
              <w:rPr>
                <w:rFonts w:ascii="Cambria Math" w:hAnsi="Cambria Math"/>
              </w:rPr>
              <m:t>ak</m:t>
            </m:r>
          </m:sub>
        </m:sSub>
        <m:r>
          <w:rPr>
            <w:rFonts w:ascii="Cambria Math" w:hAnsi="Cambria Math"/>
          </w:rPr>
          <m:t>∈[0,1]</m:t>
        </m:r>
      </m:oMath>
      <w:r>
        <w:rPr>
          <w:rFonts w:ascii="Times New Roman" w:eastAsia="宋体" w:hAnsi="Times New Roman"/>
        </w:rPr>
        <w:t>为人工编码后各协定对相应条款的覆盖强度。根据条款编号，将各协定的覆盖强度与相应条款的分类结果及有效权重对应起来。对于</w:t>
      </w:r>
      <m:oMath>
        <m:r>
          <w:rPr>
            <w:rFonts w:ascii="Cambria Math" w:hAnsi="Cambria Math"/>
          </w:rPr>
          <m:t>q∈{</m:t>
        </m:r>
        <m:r>
          <m:rPr>
            <m:nor/>
          </m:rPr>
          <w:rPr>
            <w:rFonts w:ascii="Cambria Math" w:hAnsi="Cambria Math"/>
          </w:rPr>
          <m:t>trade</m:t>
        </m:r>
        <m:r>
          <w:rPr>
            <w:rFonts w:ascii="Cambria Math" w:hAnsi="Cambria Math"/>
          </w:rPr>
          <m:t>,</m:t>
        </m:r>
        <m:r>
          <m:rPr>
            <m:nor/>
          </m:rPr>
          <w:rPr>
            <w:rFonts w:ascii="Cambria Math" w:hAnsi="Cambria Math"/>
          </w:rPr>
          <m:t>mp</m:t>
        </m:r>
        <m:r>
          <w:rPr>
            <w:rFonts w:ascii="Cambria Math" w:hAnsi="Cambria Math"/>
          </w:rPr>
          <m:t>}</m:t>
        </m:r>
      </m:oMath>
      <w:r>
        <w:rPr>
          <w:rFonts w:ascii="Times New Roman" w:eastAsia="宋体" w:hAnsi="Times New Roman"/>
        </w:rPr>
        <w:t>，条款</w:t>
      </w:r>
      <m:oMath>
        <m:r>
          <w:rPr>
            <w:rFonts w:ascii="Cambria Math" w:hAnsi="Cambria Math"/>
          </w:rPr>
          <m:t>k</m:t>
        </m:r>
      </m:oMath>
      <w:r>
        <w:rPr>
          <w:rFonts w:ascii="Times New Roman" w:eastAsia="宋体" w:hAnsi="Times New Roman"/>
        </w:rPr>
        <w:t>在协定</w:t>
      </w:r>
      <m:oMath>
        <m:r>
          <w:rPr>
            <w:rFonts w:ascii="Cambria Math" w:hAnsi="Cambria Math"/>
          </w:rPr>
          <m:t>a</m:t>
        </m:r>
      </m:oMath>
      <w:r>
        <w:rPr>
          <w:rFonts w:ascii="Times New Roman" w:eastAsia="宋体" w:hAnsi="Times New Roman"/>
        </w:rPr>
        <w:t>中的得分贡献为</w:t>
      </w:r>
      <m:oMath>
        <m:sSub>
          <m:sSubPr>
            <m:ctrlPr>
              <w:rPr>
                <w:rFonts w:ascii="Cambria Math" w:hAnsi="Cambria Math"/>
              </w:rPr>
            </m:ctrlPr>
          </m:sSubPr>
          <m:e>
            <m:r>
              <w:rPr>
                <w:rFonts w:ascii="Cambria Math" w:hAnsi="Cambria Math"/>
              </w:rPr>
              <m:t>x</m:t>
            </m:r>
          </m:e>
          <m:sub>
            <m:r>
              <w:rPr>
                <w:rFonts w:ascii="Cambria Math" w:hAnsi="Cambria Math"/>
              </w:rPr>
              <m:t>ak</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q</m:t>
            </m:r>
          </m:sup>
        </m:sSubSup>
      </m:oMath>
      <w:r>
        <w:rPr>
          <w:rFonts w:ascii="Times New Roman" w:eastAsia="宋体" w:hAnsi="Times New Roman"/>
        </w:rPr>
        <w:t>，将协定内各条款的贡献加总，得到</w:t>
      </w:r>
      <w:commentRangeEnd w:id="5"/>
      <w:r>
        <w:rPr>
          <w:rStyle w:val="afd"/>
          <w:szCs w:val="24"/>
        </w:rPr>
        <w:commentReference w:id="5"/>
      </w:r>
    </w:p>
    <w:p w14:paraId="63913F6E" w14:textId="77777777" w:rsidR="00F52132" w:rsidRDefault="00A00E78">
      <w:pPr>
        <w:keepNext/>
        <w:keepLines/>
        <w:widowControl/>
        <w:snapToGrid w:val="0"/>
        <w:spacing w:before="80" w:after="80" w:line="300" w:lineRule="auto"/>
        <w:jc w:val="center"/>
      </w:pPr>
      <m:oMathPara>
        <m:oMathParaPr>
          <m:jc m:val="center"/>
        </m:oMathParaPr>
        <m:oMath>
          <m:sSubSup>
            <m:sSubSupPr>
              <m:ctrlPr>
                <w:rPr>
                  <w:rFonts w:ascii="Cambria Math" w:hAnsi="Cambria Math"/>
                </w:rPr>
              </m:ctrlPr>
            </m:sSubSupPr>
            <m:e>
              <m:r>
                <m:rPr>
                  <m:nor/>
                </m:rPr>
                <w:rPr>
                  <w:rFonts w:ascii="Cambria Math" w:hAnsi="Cambria Math"/>
                </w:rPr>
                <m:t>DTA</m:t>
              </m:r>
            </m:e>
            <m:sub>
              <m:r>
                <w:rPr>
                  <w:rFonts w:ascii="Cambria Math" w:hAnsi="Cambria Math"/>
                </w:rPr>
                <m:t>a</m:t>
              </m:r>
            </m:sub>
            <m:sup>
              <m:r>
                <w:rPr>
                  <w:rFonts w:ascii="Cambria Math" w:hAnsi="Cambria Math"/>
                </w:rPr>
                <m:t>q</m:t>
              </m:r>
            </m:sup>
          </m:sSubSup>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ak</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q</m:t>
                  </m:r>
                </m:sup>
              </m:sSubSup>
            </m:e>
          </m:nary>
        </m:oMath>
      </m:oMathPara>
    </w:p>
    <w:p w14:paraId="45E2A0CF" w14:textId="77777777" w:rsidR="00F52132" w:rsidRDefault="004C356E">
      <w:pPr>
        <w:widowControl/>
        <w:snapToGrid w:val="0"/>
        <w:spacing w:line="360" w:lineRule="auto"/>
        <w:ind w:firstLineChars="200" w:firstLine="420"/>
      </w:pPr>
      <w:r>
        <w:rPr>
          <w:rFonts w:ascii="Times New Roman" w:eastAsia="宋体" w:hAnsi="Times New Roman"/>
        </w:rPr>
        <w:t>两类指数均按条款贡献直接加总，反映相关制度承诺的加权覆盖量，并保留部分覆盖信息。四个主导维度的条款覆盖量另按下式计算，用于描述制度内容结构，不对四个维度另行赋权。其中，</w:t>
      </w:r>
      <m:oMath>
        <m:r>
          <w:rPr>
            <w:rFonts w:ascii="Cambria Math" w:hAnsi="Cambria Math"/>
          </w:rPr>
          <m:t>d∈{</m:t>
        </m:r>
        <m:r>
          <m:rPr>
            <m:nor/>
          </m:rPr>
          <w:rPr>
            <w:rFonts w:ascii="Cambria Math" w:hAnsi="Cambria Math"/>
          </w:rPr>
          <m:t>rules</m:t>
        </m:r>
        <m:r>
          <w:rPr>
            <w:rFonts w:ascii="Cambria Math" w:hAnsi="Cambria Math"/>
          </w:rPr>
          <m:t>,</m:t>
        </m:r>
        <m:r>
          <m:rPr>
            <m:nor/>
          </m:rPr>
          <w:rPr>
            <w:rFonts w:ascii="Cambria Math" w:hAnsi="Cambria Math"/>
          </w:rPr>
          <m:t>regulation</m:t>
        </m:r>
        <m:r>
          <w:rPr>
            <w:rFonts w:ascii="Cambria Math" w:hAnsi="Cambria Math"/>
          </w:rPr>
          <m:t>,</m:t>
        </m:r>
        <m:r>
          <m:rPr>
            <m:nor/>
          </m:rPr>
          <w:rPr>
            <w:rFonts w:ascii="Cambria Math" w:hAnsi="Cambria Math"/>
          </w:rPr>
          <m:t>management</m:t>
        </m:r>
        <m:r>
          <w:rPr>
            <w:rFonts w:ascii="Cambria Math" w:hAnsi="Cambria Math"/>
          </w:rPr>
          <m:t>,</m:t>
        </m:r>
        <m:r>
          <m:rPr>
            <m:nor/>
          </m:rPr>
          <w:rPr>
            <w:rFonts w:ascii="Cambria Math" w:hAnsi="Cambria Math"/>
          </w:rPr>
          <m:t>standards</m:t>
        </m:r>
        <m:r>
          <w:rPr>
            <w:rFonts w:ascii="Cambria Math" w:hAnsi="Cambria Math"/>
          </w:rPr>
          <m:t>}</m:t>
        </m:r>
      </m:oMath>
      <w:r>
        <w:rPr>
          <w:rFonts w:ascii="Times New Roman" w:eastAsia="宋体" w:hAnsi="Times New Roman"/>
        </w:rPr>
        <w:t>，</w:t>
      </w:r>
      <m:oMath>
        <m:r>
          <m:rPr>
            <m:nor/>
          </m:rPr>
          <w:rPr>
            <w:rFonts w:ascii="Cambria Math" w:hAnsi="Cambria Math"/>
          </w:rPr>
          <m:t>1(·)</m:t>
        </m:r>
      </m:oMath>
      <w:r>
        <w:rPr>
          <w:rFonts w:ascii="Times New Roman" w:eastAsia="宋体" w:hAnsi="Times New Roman"/>
        </w:rPr>
        <w:t>为指示函数，非制度条款的维度指示值取</w:t>
      </w:r>
      <w:r>
        <w:rPr>
          <w:rFonts w:ascii="Times New Roman" w:eastAsia="宋体" w:hAnsi="Times New Roman"/>
        </w:rPr>
        <w:t>0</w:t>
      </w:r>
      <w:r>
        <w:rPr>
          <w:rFonts w:ascii="Times New Roman" w:eastAsia="宋体" w:hAnsi="Times New Roman"/>
        </w:rPr>
        <w:t>。</w:t>
      </w:r>
    </w:p>
    <w:p w14:paraId="22400A5B" w14:textId="77777777" w:rsidR="00F52132" w:rsidRDefault="00A00E78">
      <w:pPr>
        <w:keepNext/>
        <w:keepLines/>
        <w:widowControl/>
        <w:snapToGrid w:val="0"/>
        <w:spacing w:before="80" w:after="80" w:line="300"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a,d</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ak</m:t>
                  </m:r>
                </m:sub>
              </m:s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=d)</m:t>
              </m:r>
            </m:e>
          </m:nary>
        </m:oMath>
      </m:oMathPara>
    </w:p>
    <w:p w14:paraId="369FAA3A" w14:textId="77777777" w:rsidR="00F52132" w:rsidRDefault="004C356E">
      <w:pPr>
        <w:keepNext/>
        <w:widowControl/>
        <w:snapToGrid w:val="0"/>
        <w:spacing w:line="360" w:lineRule="auto"/>
        <w:ind w:firstLineChars="200" w:firstLine="420"/>
      </w:pPr>
      <w:r>
        <w:rPr>
          <w:rFonts w:ascii="Times New Roman" w:eastAsia="宋体" w:hAnsi="Times New Roman"/>
        </w:rPr>
        <w:t>进一步依据协定成员关系与生效年份，确定年份</w:t>
      </w:r>
      <m:oMath>
        <m:r>
          <w:rPr>
            <w:rFonts w:ascii="Cambria Math" w:hAnsi="Cambria Math"/>
          </w:rPr>
          <m:t>t</m:t>
        </m:r>
      </m:oMath>
      <w:r>
        <w:rPr>
          <w:rFonts w:ascii="Times New Roman" w:eastAsia="宋体" w:hAnsi="Times New Roman"/>
        </w:rPr>
        <w:t>在国家</w:t>
      </w:r>
      <m:oMath>
        <m:r>
          <w:rPr>
            <w:rFonts w:ascii="Cambria Math" w:hAnsi="Cambria Math"/>
          </w:rPr>
          <m:t>l</m:t>
        </m:r>
      </m:oMath>
      <w:r>
        <w:rPr>
          <w:rFonts w:ascii="Times New Roman" w:eastAsia="宋体" w:hAnsi="Times New Roman"/>
        </w:rPr>
        <w:t>和</w:t>
      </w:r>
      <m:oMath>
        <m:r>
          <w:rPr>
            <w:rFonts w:ascii="Cambria Math" w:hAnsi="Cambria Math"/>
          </w:rPr>
          <m:t>n</m:t>
        </m:r>
      </m:oMath>
      <w:r>
        <w:rPr>
          <w:rFonts w:ascii="Times New Roman" w:eastAsia="宋体" w:hAnsi="Times New Roman"/>
        </w:rPr>
        <w:t>之间生效的协定集合</w:t>
      </w:r>
      <m:oMath>
        <m:sSub>
          <m:sSubPr>
            <m:ctrlPr>
              <w:rPr>
                <w:rFonts w:ascii="Cambria Math" w:hAnsi="Cambria Math"/>
              </w:rPr>
            </m:ctrlPr>
          </m:sSubPr>
          <m:e>
            <m:r>
              <m:rPr>
                <m:scr m:val="script"/>
              </m:rPr>
              <w:rPr>
                <w:rFonts w:ascii="Cambria Math" w:hAnsi="Cambria Math"/>
              </w:rPr>
              <m:t>A</m:t>
            </m:r>
          </m:e>
          <m:sub>
            <m:r>
              <w:rPr>
                <w:rFonts w:ascii="Cambria Math" w:hAnsi="Cambria Math"/>
              </w:rPr>
              <m:t>lnt</m:t>
            </m:r>
          </m:sub>
        </m:sSub>
      </m:oMath>
      <w:r>
        <w:rPr>
          <w:rFonts w:ascii="Times New Roman" w:eastAsia="宋体" w:hAnsi="Times New Roman"/>
        </w:rPr>
        <w:t>。同一国家对在同一年适用多项协定时，先在这些协定中逐条款取最高覆盖强度，记为</w:t>
      </w:r>
    </w:p>
    <w:p w14:paraId="3E4E8E25" w14:textId="77777777" w:rsidR="00F52132" w:rsidRDefault="00A00E78">
      <w:pPr>
        <w:keepNext/>
        <w:keepLines/>
        <w:widowControl/>
        <w:snapToGrid w:val="0"/>
        <w:spacing w:before="80" w:after="8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k,lnt</m:t>
              </m:r>
            </m:sub>
          </m:sSub>
          <m:r>
            <w:rPr>
              <w:rFonts w:ascii="Cambria Math" w:hAnsi="Cambria Math"/>
            </w:rPr>
            <m:t>=</m:t>
          </m:r>
          <m:limLow>
            <m:limLowPr>
              <m:ctrlPr>
                <w:rPr>
                  <w:rFonts w:ascii="Cambria Math" w:hAnsi="Cambria Math"/>
                </w:rPr>
              </m:ctrlPr>
            </m:limLowPr>
            <m:e>
              <m:r>
                <m:rPr>
                  <m:nor/>
                </m:rPr>
                <w:rPr>
                  <w:rFonts w:ascii="Cambria Math" w:hAnsi="Cambria Math"/>
                </w:rPr>
                <m:t>max</m:t>
              </m:r>
            </m:e>
            <m:lim>
              <m:r>
                <w:rPr>
                  <w:rFonts w:ascii="Cambria Math" w:hAnsi="Cambria Math"/>
                </w:rPr>
                <m:t>a∈</m:t>
              </m:r>
              <m:sSub>
                <m:sSubPr>
                  <m:ctrlPr>
                    <w:rPr>
                      <w:rFonts w:ascii="Cambria Math" w:hAnsi="Cambria Math"/>
                    </w:rPr>
                  </m:ctrlPr>
                </m:sSubPr>
                <m:e>
                  <m:r>
                    <m:rPr>
                      <m:scr m:val="script"/>
                    </m:rPr>
                    <w:rPr>
                      <w:rFonts w:ascii="Cambria Math" w:hAnsi="Cambria Math"/>
                    </w:rPr>
                    <m:t>A</m:t>
                  </m:r>
                </m:e>
                <m:sub>
                  <m:r>
                    <w:rPr>
                      <w:rFonts w:ascii="Cambria Math" w:hAnsi="Cambria Math"/>
                    </w:rPr>
                    <m:t>lnt</m:t>
                  </m:r>
                </m:sub>
              </m:sSub>
            </m:lim>
          </m:limLow>
          <m:sSub>
            <m:sSubPr>
              <m:ctrlPr>
                <w:rPr>
                  <w:rFonts w:ascii="Cambria Math" w:hAnsi="Cambria Math"/>
                </w:rPr>
              </m:ctrlPr>
            </m:sSubPr>
            <m:e>
              <m:r>
                <w:rPr>
                  <w:rFonts w:ascii="Cambria Math" w:hAnsi="Cambria Math"/>
                </w:rPr>
                <m:t>x</m:t>
              </m:r>
            </m:e>
            <m:sub>
              <m:r>
                <w:rPr>
                  <w:rFonts w:ascii="Cambria Math" w:hAnsi="Cambria Math"/>
                </w:rPr>
                <m:t>ak</m:t>
              </m:r>
            </m:sub>
          </m:sSub>
          <m:r>
            <w:rPr>
              <w:rFonts w:ascii="Cambria Math" w:hAnsi="Cambria Math"/>
            </w:rPr>
            <m:t xml:space="preserve">,  </m:t>
          </m:r>
          <m:sSub>
            <m:sSubPr>
              <m:ctrlPr>
                <w:rPr>
                  <w:rFonts w:ascii="Cambria Math" w:hAnsi="Cambria Math"/>
                </w:rPr>
              </m:ctrlPr>
            </m:sSubPr>
            <m:e>
              <m:r>
                <m:rPr>
                  <m:scr m:val="script"/>
                </m:rPr>
                <w:rPr>
                  <w:rFonts w:ascii="Cambria Math" w:hAnsi="Cambria Math"/>
                </w:rPr>
                <m:t>A</m:t>
              </m:r>
            </m:e>
            <m:sub>
              <m:r>
                <w:rPr>
                  <w:rFonts w:ascii="Cambria Math" w:hAnsi="Cambria Math"/>
                </w:rPr>
                <m:t>lnt</m:t>
              </m:r>
            </m:sub>
          </m:sSub>
          <m:r>
            <w:rPr>
              <w:rFonts w:ascii="Cambria Math" w:hAnsi="Cambria Math"/>
            </w:rPr>
            <m:t>≠∅</m:t>
          </m:r>
        </m:oMath>
      </m:oMathPara>
    </w:p>
    <w:p w14:paraId="52C25086" w14:textId="77777777" w:rsidR="00F52132" w:rsidRDefault="004C356E">
      <w:pPr>
        <w:keepNext/>
        <w:widowControl/>
        <w:snapToGrid w:val="0"/>
        <w:spacing w:line="360" w:lineRule="auto"/>
        <w:ind w:firstLineChars="200" w:firstLine="420"/>
      </w:pPr>
      <w:r>
        <w:rPr>
          <w:rFonts w:ascii="Times New Roman" w:eastAsia="宋体" w:hAnsi="Times New Roman"/>
        </w:rPr>
        <w:t>当</w:t>
      </w:r>
      <m:oMath>
        <m:sSub>
          <m:sSubPr>
            <m:ctrlPr>
              <w:rPr>
                <w:rFonts w:ascii="Cambria Math" w:hAnsi="Cambria Math"/>
              </w:rPr>
            </m:ctrlPr>
          </m:sSubPr>
          <m:e>
            <m:r>
              <m:rPr>
                <m:scr m:val="script"/>
              </m:rPr>
              <w:rPr>
                <w:rFonts w:ascii="Cambria Math" w:hAnsi="Cambria Math"/>
              </w:rPr>
              <m:t>A</m:t>
            </m:r>
          </m:e>
          <m:sub>
            <m:r>
              <w:rPr>
                <w:rFonts w:ascii="Cambria Math" w:hAnsi="Cambria Math"/>
              </w:rPr>
              <m:t>lnt</m:t>
            </m:r>
          </m:sub>
        </m:sSub>
        <m:r>
          <w:rPr>
            <w:rFonts w:ascii="Cambria Math" w:hAnsi="Cambria Math"/>
          </w:rPr>
          <m:t>=∅</m:t>
        </m:r>
      </m:oMath>
      <w:r>
        <w:rPr>
          <w:rFonts w:ascii="Times New Roman" w:eastAsia="宋体" w:hAnsi="Times New Roman"/>
        </w:rPr>
        <w:t>时，令</w:t>
      </w:r>
      <m:oMath>
        <m:sSub>
          <m:sSubPr>
            <m:ctrlPr>
              <w:rPr>
                <w:rFonts w:ascii="Cambria Math" w:hAnsi="Cambria Math"/>
              </w:rPr>
            </m:ctrlPr>
          </m:sSubPr>
          <m:e>
            <m:r>
              <w:rPr>
                <w:rFonts w:ascii="Cambria Math" w:hAnsi="Cambria Math"/>
              </w:rPr>
              <m:t>u</m:t>
            </m:r>
          </m:e>
          <m:sub>
            <m:r>
              <w:rPr>
                <w:rFonts w:ascii="Cambria Math" w:hAnsi="Cambria Math"/>
              </w:rPr>
              <m:t>k,lnt</m:t>
            </m:r>
          </m:sub>
        </m:sSub>
        <m:r>
          <w:rPr>
            <w:rFonts w:ascii="Cambria Math" w:hAnsi="Cambria Math"/>
          </w:rPr>
          <m:t>=0</m:t>
        </m:r>
      </m:oMath>
      <w:r>
        <w:rPr>
          <w:rFonts w:ascii="Times New Roman" w:eastAsia="宋体" w:hAnsi="Times New Roman"/>
        </w:rPr>
        <w:t>。随后将上述条款覆盖强度与相应有效权重相乘并加总，得到国家对</w:t>
      </w:r>
      <w:r>
        <w:rPr>
          <w:rFonts w:ascii="Times New Roman" w:eastAsia="宋体" w:hAnsi="Times New Roman"/>
        </w:rPr>
        <w:t>—</w:t>
      </w:r>
      <w:r>
        <w:rPr>
          <w:rFonts w:ascii="Times New Roman" w:eastAsia="宋体" w:hAnsi="Times New Roman"/>
        </w:rPr>
        <w:t>年份层面的制度型贸易开放指数和制度型跨国生产开放指数，统一表示为</w:t>
      </w:r>
    </w:p>
    <w:p w14:paraId="58494707" w14:textId="77777777" w:rsidR="00F52132" w:rsidRDefault="00A00E78">
      <w:pPr>
        <w:keepNext/>
        <w:keepLines/>
        <w:widowControl/>
        <w:snapToGrid w:val="0"/>
        <w:spacing w:before="80" w:after="80" w:line="300" w:lineRule="auto"/>
        <w:jc w:val="center"/>
      </w:pPr>
      <m:oMathPara>
        <m:oMathParaPr>
          <m:jc m:val="center"/>
        </m:oMathParaPr>
        <m:oMath>
          <m:sSubSup>
            <m:sSubSupPr>
              <m:ctrlPr>
                <w:rPr>
                  <w:rFonts w:ascii="Cambria Math" w:hAnsi="Cambria Math"/>
                </w:rPr>
              </m:ctrlPr>
            </m:sSubSupPr>
            <m:e>
              <m:r>
                <m:rPr>
                  <m:nor/>
                </m:rPr>
                <w:rPr>
                  <w:rFonts w:ascii="Cambria Math" w:hAnsi="Cambria Math"/>
                </w:rPr>
                <m:t>DTA</m:t>
              </m:r>
            </m:e>
            <m:sub>
              <m:r>
                <w:rPr>
                  <w:rFonts w:ascii="Cambria Math" w:hAnsi="Cambria Math"/>
                </w:rPr>
                <m:t>lnt</m:t>
              </m:r>
            </m:sub>
            <m:sup>
              <m:r>
                <w:rPr>
                  <w:rFonts w:ascii="Cambria Math" w:hAnsi="Cambria Math"/>
                </w:rPr>
                <m:t>q</m:t>
              </m:r>
            </m:sup>
          </m:sSubSup>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u</m:t>
                  </m:r>
                </m:e>
                <m:sub>
                  <m:r>
                    <w:rPr>
                      <w:rFonts w:ascii="Cambria Math" w:hAnsi="Cambria Math"/>
                    </w:rPr>
                    <m:t>k,lnt</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q</m:t>
                  </m:r>
                </m:sup>
              </m:sSubSup>
            </m:e>
          </m:nary>
        </m:oMath>
      </m:oMathPara>
    </w:p>
    <w:p w14:paraId="2844A5CA" w14:textId="77777777" w:rsidR="00F52132" w:rsidRDefault="004C356E">
      <w:pPr>
        <w:widowControl/>
        <w:snapToGrid w:val="0"/>
        <w:spacing w:line="360" w:lineRule="auto"/>
        <w:ind w:firstLineChars="200" w:firstLine="420"/>
      </w:pPr>
      <w:r>
        <w:rPr>
          <w:rFonts w:ascii="Times New Roman" w:eastAsia="宋体" w:hAnsi="Times New Roman"/>
        </w:rPr>
        <w:t>例如，同一条款在两项生效协定中的覆盖强度分别为</w:t>
      </w:r>
      <w:r>
        <w:rPr>
          <w:rFonts w:ascii="Times New Roman" w:eastAsia="宋体" w:hAnsi="Times New Roman"/>
        </w:rPr>
        <w:t>0.5</w:t>
      </w:r>
      <w:r>
        <w:rPr>
          <w:rFonts w:ascii="Times New Roman" w:eastAsia="宋体" w:hAnsi="Times New Roman"/>
        </w:rPr>
        <w:t>和</w:t>
      </w:r>
      <w:r>
        <w:rPr>
          <w:rFonts w:ascii="Times New Roman" w:eastAsia="宋体" w:hAnsi="Times New Roman"/>
        </w:rPr>
        <w:t>0.75</w:t>
      </w:r>
      <w:r>
        <w:rPr>
          <w:rFonts w:ascii="Times New Roman" w:eastAsia="宋体" w:hAnsi="Times New Roman"/>
        </w:rPr>
        <w:t>，该条款按</w:t>
      </w:r>
      <w:r>
        <w:rPr>
          <w:rFonts w:ascii="Times New Roman" w:eastAsia="宋体" w:hAnsi="Times New Roman"/>
        </w:rPr>
        <w:t>0.75</w:t>
      </w:r>
      <w:r>
        <w:rPr>
          <w:rFonts w:ascii="Times New Roman" w:eastAsia="宋体" w:hAnsi="Times New Roman"/>
        </w:rPr>
        <w:t>计入。上述处理保留不同协定中相互补充的制度内容，并避免重复累计同一条款。直接加总协定总得分或取协定总得分的最大值，均不能替代逐条款取最高覆盖强度后加权加总。在数据库记录范围内，无生效协定的国家对</w:t>
      </w:r>
      <w:r>
        <w:rPr>
          <w:rFonts w:ascii="Times New Roman" w:eastAsia="宋体" w:hAnsi="Times New Roman"/>
        </w:rPr>
        <w:t>—</w:t>
      </w:r>
      <w:r>
        <w:rPr>
          <w:rFonts w:ascii="Times New Roman" w:eastAsia="宋体" w:hAnsi="Times New Roman"/>
        </w:rPr>
        <w:t>年份，两类指数均记为</w:t>
      </w:r>
      <w:r>
        <w:rPr>
          <w:rFonts w:ascii="Times New Roman" w:eastAsia="宋体" w:hAnsi="Times New Roman"/>
        </w:rPr>
        <w:t>0</w:t>
      </w:r>
      <w:r>
        <w:rPr>
          <w:rFonts w:ascii="Times New Roman" w:eastAsia="宋体" w:hAnsi="Times New Roman"/>
        </w:rPr>
        <w:t>。指数首先按无方向国家对构建，与有方向的贸易及跨国生产流量匹配时，再将同一国家对的年度指数赋予两个方向。</w:t>
      </w:r>
    </w:p>
    <w:p w14:paraId="6C990834" w14:textId="77777777" w:rsidR="00F52132" w:rsidRDefault="004C356E">
      <w:pPr>
        <w:widowControl/>
        <w:snapToGrid w:val="0"/>
        <w:spacing w:line="360" w:lineRule="auto"/>
        <w:ind w:firstLineChars="200" w:firstLine="422"/>
      </w:pPr>
      <w:r>
        <w:rPr>
          <w:rFonts w:ascii="Times New Roman" w:eastAsia="宋体" w:hAnsi="Times New Roman"/>
          <w:b/>
          <w:bCs/>
          <w:color w:val="FF0000"/>
        </w:rPr>
        <w:t xml:space="preserve">Stage 4. </w:t>
      </w:r>
      <w:r>
        <w:rPr>
          <w:rFonts w:ascii="Times New Roman" w:eastAsia="宋体" w:hAnsi="Times New Roman"/>
          <w:b/>
          <w:bCs/>
          <w:color w:val="FF0000"/>
        </w:rPr>
        <w:t>测度结果与数据一致性复核。</w:t>
      </w:r>
      <w:r>
        <w:rPr>
          <w:rFonts w:ascii="Times New Roman" w:eastAsia="宋体" w:hAnsi="Times New Roman"/>
        </w:rPr>
        <w:t>本文复核条款分类、指数计算及数据匹配的一致性。首先，检查条款编号是否唯一，制度属性、主导维度和经济活动类型是否完整，以及各项权重是否满足相应约束。尚未确定的分类或缺失权重须在最终测算前解决，不得通过删除条款或将缺失权重设为</w:t>
      </w:r>
      <w:r>
        <w:rPr>
          <w:rFonts w:ascii="Times New Roman" w:eastAsia="宋体" w:hAnsi="Times New Roman"/>
        </w:rPr>
        <w:t>0</w:t>
      </w:r>
      <w:r>
        <w:rPr>
          <w:rFonts w:ascii="Times New Roman" w:eastAsia="宋体" w:hAnsi="Times New Roman"/>
        </w:rPr>
        <w:t>继续计算。其次，核对协定覆盖强度是否位于</w:t>
      </w:r>
      <w:r>
        <w:rPr>
          <w:rFonts w:ascii="Times New Roman" w:eastAsia="宋体" w:hAnsi="Times New Roman"/>
        </w:rPr>
        <w:t>[0,1]</w:t>
      </w:r>
      <w:r>
        <w:rPr>
          <w:rFonts w:ascii="Times New Roman" w:eastAsia="宋体" w:hAnsi="Times New Roman"/>
        </w:rPr>
        <w:t>区间，协定成员和生效年份是否一致，多协定并存时是否按每项条款的最高覆盖强度计分。最后，按年份及统一后的来源国、目的国代码，将指数匹配到贸易和跨国生产流量数据，检查每个来源国</w:t>
      </w:r>
      <w:r>
        <w:rPr>
          <w:rFonts w:ascii="Times New Roman" w:eastAsia="宋体" w:hAnsi="Times New Roman"/>
        </w:rPr>
        <w:t>—</w:t>
      </w:r>
      <w:r>
        <w:rPr>
          <w:rFonts w:ascii="Times New Roman" w:eastAsia="宋体" w:hAnsi="Times New Roman"/>
        </w:rPr>
        <w:t>目的国</w:t>
      </w:r>
      <w:r>
        <w:rPr>
          <w:rFonts w:ascii="Times New Roman" w:eastAsia="宋体" w:hAnsi="Times New Roman"/>
        </w:rPr>
        <w:t>—</w:t>
      </w:r>
      <w:r>
        <w:rPr>
          <w:rFonts w:ascii="Times New Roman" w:eastAsia="宋体" w:hAnsi="Times New Roman"/>
        </w:rPr>
        <w:t>年份组合是否对应唯一的指数记录，以及匹配前后流量数据的观测数是否保持不变。同时核对部门和控制变量的匹配方式，检查同一国家对两个方向的指数是否一致，区分真实零值与缺失值，并保留控制变量原有的缺失状态。</w:t>
      </w:r>
    </w:p>
    <w:p w14:paraId="45DC9A37" w14:textId="38481D81" w:rsidR="00F52132" w:rsidRDefault="004C356E">
      <w:pPr>
        <w:widowControl/>
        <w:snapToGrid w:val="0"/>
        <w:spacing w:line="360" w:lineRule="auto"/>
        <w:ind w:firstLineChars="200" w:firstLine="420"/>
      </w:pPr>
      <w:r>
        <w:rPr>
          <w:rFonts w:ascii="Times New Roman" w:eastAsia="宋体" w:hAnsi="Times New Roman"/>
        </w:rPr>
        <w:t>本次测度沿用此前冻结的条款分类和权重，并保留其生成版本和来源记录。双模型一致性用于报告编码稳定性，不代表相对于独立人工标准的准确率。指数刻画协定中的制度承诺覆盖，不直接衡量实际执行质量或经济效果。</w:t>
      </w:r>
    </w:p>
    <w:p w14:paraId="7C76AB25" w14:textId="5DB4AF20" w:rsidR="009210A6" w:rsidRDefault="009210A6">
      <w:pPr>
        <w:keepNext/>
        <w:keepLines/>
        <w:snapToGrid w:val="0"/>
        <w:spacing w:before="100" w:after="40"/>
        <w:jc w:val="center"/>
      </w:pPr>
    </w:p>
    <w:p w14:paraId="39D3AE3E" w14:textId="6605BA29" w:rsidR="00193224" w:rsidRPr="007C2A20" w:rsidRDefault="003D18D9" w:rsidP="00193224">
      <w:pPr>
        <w:keepNext/>
        <w:keepLines/>
        <w:snapToGrid w:val="0"/>
        <w:spacing w:before="100" w:after="40"/>
        <w:jc w:val="left"/>
      </w:pPr>
      <w:r w:rsidRPr="003D18D9">
        <w:drawing>
          <wp:inline distT="0" distB="0" distL="0" distR="0" wp14:anchorId="04C3AFE8" wp14:editId="72D8BD40">
            <wp:extent cx="6210300" cy="3343663"/>
            <wp:effectExtent l="0" t="0" r="0" b="9525"/>
            <wp:docPr id="414120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0654" name=""/>
                    <pic:cNvPicPr/>
                  </pic:nvPicPr>
                  <pic:blipFill>
                    <a:blip r:embed="rId8"/>
                    <a:stretch>
                      <a:fillRect/>
                    </a:stretch>
                  </pic:blipFill>
                  <pic:spPr>
                    <a:xfrm>
                      <a:off x="0" y="0"/>
                      <a:ext cx="6217635" cy="3347612"/>
                    </a:xfrm>
                    <a:prstGeom prst="rect">
                      <a:avLst/>
                    </a:prstGeom>
                  </pic:spPr>
                </pic:pic>
              </a:graphicData>
            </a:graphic>
          </wp:inline>
        </w:drawing>
      </w:r>
    </w:p>
    <w:p w14:paraId="33EF6EE4" w14:textId="77777777" w:rsidR="00F52132" w:rsidRDefault="004C356E">
      <w:pPr>
        <w:keepLines/>
        <w:spacing w:after="80"/>
        <w:jc w:val="center"/>
      </w:pPr>
      <w:r>
        <w:rPr>
          <w:rFonts w:ascii="Times New Roman" w:eastAsia="宋体" w:hAnsi="Times New Roman"/>
        </w:rPr>
        <w:t>图</w:t>
      </w:r>
      <w:r>
        <w:rPr>
          <w:rFonts w:ascii="Times New Roman" w:eastAsia="宋体" w:hAnsi="Times New Roman"/>
        </w:rPr>
        <w:t xml:space="preserve">2 </w:t>
      </w:r>
      <w:r>
        <w:rPr>
          <w:rFonts w:ascii="Times New Roman" w:eastAsia="宋体" w:hAnsi="Times New Roman"/>
        </w:rPr>
        <w:t>制度型开放指数测算流程</w:t>
      </w:r>
    </w:p>
    <w:p w14:paraId="475B3936" w14:textId="77777777" w:rsidR="00CB0636" w:rsidRDefault="00393C49" w:rsidP="00AA32D7">
      <w:pPr>
        <w:widowControl/>
        <w:adjustRightInd w:val="0"/>
        <w:snapToGrid w:val="0"/>
        <w:spacing w:line="360" w:lineRule="auto"/>
        <w:ind w:firstLineChars="200" w:firstLine="422"/>
        <w:rPr>
          <w:rFonts w:ascii="Times New Roman" w:hAnsi="Times New Roman" w:cs="Times New Roman"/>
        </w:rPr>
      </w:pPr>
      <w:commentRangeStart w:id="6"/>
      <w:r>
        <w:rPr>
          <w:rFonts w:ascii="Times New Roman" w:hAnsi="Times New Roman" w:cs="Times New Roman" w:hint="eastAsia"/>
          <w:b/>
          <w:bCs/>
        </w:rPr>
        <w:t>由</w:t>
      </w:r>
      <w:r w:rsidR="00AA32D7" w:rsidRPr="00F4021C">
        <w:rPr>
          <w:rFonts w:ascii="Times New Roman" w:hAnsi="Times New Roman" w:cs="Times New Roman"/>
          <w:b/>
          <w:bCs/>
        </w:rPr>
        <w:t>制度型</w:t>
      </w:r>
      <w:r>
        <w:rPr>
          <w:rFonts w:ascii="Times New Roman" w:hAnsi="Times New Roman" w:cs="Times New Roman" w:hint="eastAsia"/>
          <w:b/>
          <w:bCs/>
        </w:rPr>
        <w:t>开放指数到成本</w:t>
      </w:r>
      <w:r w:rsidR="00A0351C">
        <w:rPr>
          <w:rFonts w:ascii="Times New Roman" w:hAnsi="Times New Roman" w:cs="Times New Roman" w:hint="eastAsia"/>
          <w:b/>
          <w:bCs/>
        </w:rPr>
        <w:t>的映射</w:t>
      </w:r>
      <w:commentRangeEnd w:id="6"/>
      <w:r w:rsidR="00A00625" w:rsidRPr="00F4021C">
        <w:rPr>
          <w:rStyle w:val="afd"/>
          <w:rFonts w:ascii="Times New Roman" w:hAnsi="Times New Roman" w:cs="Times New Roman"/>
          <w:b/>
          <w:bCs/>
          <w:szCs w:val="24"/>
        </w:rPr>
        <w:commentReference w:id="6"/>
      </w:r>
      <w:r w:rsidR="00AA32D7" w:rsidRPr="00F4021C">
        <w:rPr>
          <w:rFonts w:ascii="Times New Roman" w:hAnsi="Times New Roman" w:cs="Times New Roman"/>
          <w:b/>
          <w:bCs/>
        </w:rPr>
        <w:t>。</w:t>
      </w:r>
      <w:r w:rsidR="00AA32D7" w:rsidRPr="00345F42">
        <w:rPr>
          <w:rFonts w:ascii="Times New Roman" w:hAnsi="Times New Roman" w:cs="Times New Roman"/>
        </w:rPr>
        <w:t>图</w:t>
      </w:r>
      <w:r w:rsidR="00AA32D7" w:rsidRPr="00345F42">
        <w:rPr>
          <w:rFonts w:ascii="Times New Roman" w:hAnsi="Times New Roman" w:cs="Times New Roman"/>
        </w:rPr>
        <w:t>2</w:t>
      </w:r>
      <w:r w:rsidR="00AA32D7" w:rsidRPr="00345F42">
        <w:rPr>
          <w:rFonts w:ascii="Times New Roman" w:hAnsi="Times New Roman" w:cs="Times New Roman"/>
        </w:rPr>
        <w:t>系统展示从基础数据准备、条款识别与赋权、协定及国家对</w:t>
      </w:r>
      <w:r w:rsidR="00A00625">
        <w:rPr>
          <w:rFonts w:ascii="Times New Roman" w:hAnsi="Times New Roman" w:cs="Times New Roman" w:hint="eastAsia"/>
        </w:rPr>
        <w:t>制度型开放</w:t>
      </w:r>
      <w:r w:rsidR="00AA32D7" w:rsidRPr="00345F42">
        <w:rPr>
          <w:rFonts w:ascii="Times New Roman" w:hAnsi="Times New Roman" w:cs="Times New Roman"/>
        </w:rPr>
        <w:t>指数构建，</w:t>
      </w:r>
      <w:r w:rsidR="00AF1B43">
        <w:rPr>
          <w:rFonts w:ascii="Times New Roman" w:hAnsi="Times New Roman" w:cs="Times New Roman" w:hint="eastAsia"/>
        </w:rPr>
        <w:t>本部分重点介绍使用</w:t>
      </w:r>
      <w:r w:rsidR="00AA32D7" w:rsidRPr="00345F42">
        <w:rPr>
          <w:rFonts w:ascii="Times New Roman" w:hAnsi="Times New Roman" w:cs="Times New Roman"/>
        </w:rPr>
        <w:t>长差分模型</w:t>
      </w:r>
      <w:r w:rsidR="00AF1B43">
        <w:rPr>
          <w:rFonts w:ascii="Times New Roman" w:hAnsi="Times New Roman" w:cs="Times New Roman" w:hint="eastAsia"/>
        </w:rPr>
        <w:t>进行估计的基本结果</w:t>
      </w:r>
      <w:r w:rsidR="009948DC">
        <w:rPr>
          <w:rStyle w:val="afe"/>
          <w:rFonts w:ascii="Times New Roman" w:hAnsi="Times New Roman" w:cs="Times New Roman"/>
        </w:rPr>
        <w:footnoteReference w:id="4"/>
      </w:r>
      <w:r w:rsidR="00AA32D7" w:rsidRPr="00345F42">
        <w:rPr>
          <w:rFonts w:ascii="Times New Roman" w:hAnsi="Times New Roman" w:cs="Times New Roman"/>
        </w:rPr>
        <w:t>。</w:t>
      </w:r>
      <w:r w:rsidR="00AA32D7" w:rsidRPr="009210A6">
        <w:rPr>
          <w:rFonts w:ascii="Times New Roman" w:hAnsi="Times New Roman" w:cs="Times New Roman"/>
        </w:rPr>
        <w:t>首先，利用</w:t>
      </w:r>
      <w:r w:rsidR="00AA32D7" w:rsidRPr="009210A6">
        <w:rPr>
          <w:rFonts w:ascii="Times New Roman" w:hAnsi="Times New Roman" w:cs="Times New Roman"/>
        </w:rPr>
        <w:t>2000</w:t>
      </w:r>
      <w:r w:rsidR="00AA32D7" w:rsidRPr="009210A6">
        <w:rPr>
          <w:rFonts w:ascii="Times New Roman" w:hAnsi="Times New Roman" w:cs="Times New Roman"/>
        </w:rPr>
        <w:t>年和</w:t>
      </w:r>
      <w:r w:rsidR="00AA32D7" w:rsidRPr="009210A6">
        <w:rPr>
          <w:rFonts w:ascii="Times New Roman" w:hAnsi="Times New Roman" w:cs="Times New Roman"/>
        </w:rPr>
        <w:t>2019</w:t>
      </w:r>
      <w:r w:rsidR="00AA32D7" w:rsidRPr="009210A6">
        <w:rPr>
          <w:rFonts w:ascii="Times New Roman" w:hAnsi="Times New Roman" w:cs="Times New Roman"/>
        </w:rPr>
        <w:t>年的数据，分别建立贸易和跨国生产回归方程</w:t>
      </w:r>
      <w:r w:rsidR="00AF1B43">
        <w:rPr>
          <w:rStyle w:val="afe"/>
          <w:rFonts w:ascii="Times New Roman" w:hAnsi="Times New Roman" w:cs="Times New Roman"/>
        </w:rPr>
        <w:footnoteReference w:id="5"/>
      </w:r>
      <w:r w:rsidR="00CB0636">
        <w:rPr>
          <w:rFonts w:ascii="Times New Roman" w:hAnsi="Times New Roman" w:cs="Times New Roman" w:hint="eastAsia"/>
        </w:rPr>
        <w:t>，具体回归模型如下：</w:t>
      </w:r>
    </w:p>
    <w:p w14:paraId="74C181D6" w14:textId="74A41FFB" w:rsidR="00CB0636" w:rsidRPr="00CB0636" w:rsidRDefault="00CB0636" w:rsidP="00AA32D7">
      <w:pPr>
        <w:widowControl/>
        <w:adjustRightInd w:val="0"/>
        <w:snapToGrid w:val="0"/>
        <w:spacing w:line="360" w:lineRule="auto"/>
        <w:ind w:firstLineChars="200" w:firstLine="420"/>
        <w:rPr>
          <w:rFonts w:ascii="Times New Roman" w:hAnsi="Times New Roman" w:cs="Times New Roman"/>
        </w:rPr>
      </w:pPr>
      <m:oMathPara>
        <m:oMath>
          <m:r>
            <m:rPr>
              <m:nor/>
            </m:rPr>
            <w:rPr>
              <w:rFonts w:ascii="Cambria Math" w:hAnsi="Cambria Math" w:cs="Times New Roman"/>
            </w:rPr>
            <m:t>∆</m:t>
          </m:r>
          <m:r>
            <m:rPr>
              <m:nor/>
            </m:rPr>
            <w:rPr>
              <w:rFonts w:ascii="Times New Roman" w:hAnsi="Times New Roman" w:cs="Times New Roman"/>
              <w:i/>
              <w:iCs/>
            </w:rPr>
            <m:t>ln</m:t>
          </m:r>
          <m:sSubSup>
            <m:sSubSupPr>
              <m:ctrlPr>
                <w:rPr>
                  <w:rFonts w:ascii="Cambria Math" w:hAnsi="Cambria Math"/>
                </w:rPr>
              </m:ctrlPr>
            </m:sSubSupPr>
            <m:e>
              <m:r>
                <w:rPr>
                  <w:rFonts w:ascii="Cambria Math" w:hAnsi="Cambria Math"/>
                </w:rPr>
                <m:t>X</m:t>
              </m:r>
            </m:e>
            <m:sub>
              <m:r>
                <w:rPr>
                  <w:rFonts w:ascii="Cambria Math" w:hAnsi="Cambria Math"/>
                </w:rPr>
                <m:t>lnt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trade</m:t>
              </m:r>
            </m:sup>
          </m:sSubSup>
          <m:r>
            <m:rPr>
              <m:nor/>
            </m:rPr>
            <w:rPr>
              <w:rFonts w:ascii="Cambria Math" w:hAnsi="Cambria Math" w:cs="Times New Roman"/>
            </w:rPr>
            <m:t>∆</m:t>
          </m:r>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trade</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nor/>
            </m:rPr>
            <w:rPr>
              <w:rFonts w:ascii="Cambria Math" w:hAnsi="Cambria Math" w:cs="Times New Roman"/>
            </w:rPr>
            <m:t>∆</m:t>
          </m:r>
          <m:r>
            <m:rPr>
              <m:nor/>
            </m:rPr>
            <w:rPr>
              <w:rFonts w:ascii="Times New Roman" w:hAnsi="Times New Roman" w:cs="Times New Roman"/>
              <w:i/>
              <w:iCs/>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tariff</m:t>
              </m:r>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γ</m:t>
              </m:r>
            </m:e>
            <m:sub>
              <m:r>
                <w:rPr>
                  <w:rFonts w:ascii="Cambria Math" w:hAnsi="Cambria Math"/>
                </w:rPr>
                <m:t>j</m:t>
              </m:r>
            </m:sub>
            <m:sup>
              <m:r>
                <w:rPr>
                  <w:rFonts w:ascii="Cambria Math" w:hAnsi="Cambria Math"/>
                </w:rPr>
                <m:t>trade</m:t>
              </m:r>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trade</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ln</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lt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lnt</m:t>
              </m:r>
            </m:sub>
            <m:sup>
              <m:r>
                <w:rPr>
                  <w:rFonts w:ascii="Cambria Math" w:hAnsi="Cambria Math"/>
                </w:rPr>
                <m:t>j</m:t>
              </m:r>
              <m:r>
                <m:rPr>
                  <m:sty m:val="p"/>
                </m:rPr>
                <w:rPr>
                  <w:rFonts w:ascii="Cambria Math" w:hAnsi="Cambria Math"/>
                </w:rPr>
                <m:t>,</m:t>
              </m:r>
              <m:r>
                <w:rPr>
                  <w:rFonts w:ascii="Cambria Math" w:hAnsi="Cambria Math"/>
                </w:rPr>
                <m:t>trade</m:t>
              </m:r>
            </m:sup>
          </m:sSubSup>
        </m:oMath>
      </m:oMathPara>
    </w:p>
    <w:p w14:paraId="2AABCE70" w14:textId="43421A9E" w:rsidR="00CB0636" w:rsidRPr="00CB0636" w:rsidRDefault="00CB0636" w:rsidP="00AA32D7">
      <w:pPr>
        <w:widowControl/>
        <w:adjustRightInd w:val="0"/>
        <w:snapToGrid w:val="0"/>
        <w:spacing w:line="360" w:lineRule="auto"/>
        <w:ind w:firstLineChars="200" w:firstLine="420"/>
        <w:rPr>
          <w:rFonts w:ascii="Times New Roman" w:hAnsi="Times New Roman" w:cs="Times New Roman"/>
        </w:rPr>
      </w:pPr>
      <m:oMathPara>
        <m:oMath>
          <m:r>
            <m:rPr>
              <m:nor/>
            </m:rPr>
            <w:rPr>
              <w:rFonts w:ascii="Cambria Math" w:hAnsi="Cambria Math" w:cs="Times New Roman"/>
            </w:rPr>
            <m:t>∆</m:t>
          </m:r>
          <m:r>
            <m:rPr>
              <m:nor/>
            </m:rPr>
            <w:rPr>
              <w:rFonts w:ascii="Times New Roman" w:hAnsi="Times New Roman" w:cs="Times New Roman"/>
              <w:i/>
              <w:iCs/>
            </w:rPr>
            <m:t>ln</m:t>
          </m:r>
          <m:r>
            <w:rPr>
              <w:rFonts w:ascii="Cambria Math" w:hAnsi="Cambria Math"/>
            </w:rPr>
            <m:t>M</m:t>
          </m:r>
          <m:sSubSup>
            <m:sSubSupPr>
              <m:ctrlPr>
                <w:rPr>
                  <w:rFonts w:ascii="Cambria Math" w:hAnsi="Cambria Math"/>
                </w:rPr>
              </m:ctrlPr>
            </m:sSubSupPr>
            <m:e>
              <m:r>
                <w:rPr>
                  <w:rFonts w:ascii="Cambria Math" w:hAnsi="Cambria Math"/>
                </w:rPr>
                <m:t>P</m:t>
              </m:r>
            </m:e>
            <m:sub>
              <m:r>
                <w:rPr>
                  <w:rFonts w:ascii="Cambria Math" w:hAnsi="Cambria Math"/>
                </w:rPr>
                <m:t>lnt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mp</m:t>
              </m:r>
            </m:sup>
          </m:sSubSup>
          <m:r>
            <m:rPr>
              <m:nor/>
            </m:rPr>
            <w:rPr>
              <w:rFonts w:ascii="Cambria Math" w:hAnsi="Cambria Math" w:cs="Times New Roman"/>
            </w:rPr>
            <m:t>∆</m:t>
          </m:r>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lnt</m:t>
              </m:r>
            </m:sub>
            <m:sup>
              <m:r>
                <w:rPr>
                  <w:rFonts w:ascii="Cambria Math" w:hAnsi="Cambria Math"/>
                </w:rPr>
                <m:t>mp</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γ</m:t>
              </m:r>
            </m:e>
            <m:sub>
              <m:r>
                <w:rPr>
                  <w:rFonts w:ascii="Cambria Math" w:hAnsi="Cambria Math"/>
                </w:rPr>
                <m:t>j</m:t>
              </m:r>
            </m:sub>
            <m:sup>
              <m:r>
                <w:rPr>
                  <w:rFonts w:ascii="Cambria Math" w:hAnsi="Cambria Math"/>
                </w:rPr>
                <m:t>mp</m:t>
              </m:r>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mp</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ln</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lt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nt</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lnt</m:t>
              </m:r>
            </m:sub>
            <m:sup>
              <m:r>
                <w:rPr>
                  <w:rFonts w:ascii="Cambria Math" w:hAnsi="Cambria Math"/>
                </w:rPr>
                <m:t>j</m:t>
              </m:r>
              <m:r>
                <m:rPr>
                  <m:sty m:val="p"/>
                </m:rPr>
                <w:rPr>
                  <w:rFonts w:ascii="Cambria Math" w:hAnsi="Cambria Math"/>
                </w:rPr>
                <m:t>,</m:t>
              </m:r>
              <m:r>
                <w:rPr>
                  <w:rFonts w:ascii="Cambria Math" w:hAnsi="Cambria Math"/>
                </w:rPr>
                <m:t>mp</m:t>
              </m:r>
            </m:sup>
          </m:sSubSup>
        </m:oMath>
      </m:oMathPara>
    </w:p>
    <w:p w14:paraId="6E822210" w14:textId="77777777" w:rsidR="00CB0636" w:rsidRDefault="00CB0636" w:rsidP="00CB0636">
      <w:pPr>
        <w:pStyle w:val="aff5"/>
      </w:pPr>
      <w:r>
        <w:t>其中，</w:t>
      </w:r>
      <m:oMath>
        <m:sSubSup>
          <m:sSubSupPr>
            <m:ctrlPr>
              <w:rPr>
                <w:rFonts w:ascii="Cambria Math" w:hAnsi="Cambria Math"/>
              </w:rPr>
            </m:ctrlPr>
          </m:sSubSupPr>
          <m:e>
            <m:r>
              <w:rPr>
                <w:rFonts w:ascii="Cambria Math" w:hAnsi="Cambria Math"/>
              </w:rPr>
              <m:t>X</m:t>
            </m:r>
          </m:e>
          <m:sub>
            <m:r>
              <w:rPr>
                <w:rFonts w:ascii="Cambria Math" w:hAnsi="Cambria Math"/>
              </w:rPr>
              <m:t>lnt</m:t>
            </m:r>
          </m:sub>
          <m:sup>
            <m:r>
              <w:rPr>
                <w:rFonts w:ascii="Cambria Math" w:hAnsi="Cambria Math"/>
              </w:rPr>
              <m:t>j</m:t>
            </m:r>
          </m:sup>
        </m:sSubSup>
      </m:oMath>
      <w:r>
        <w:t xml:space="preserve"> </w:t>
      </w:r>
      <w:r>
        <w:t>和</w:t>
      </w:r>
      <w:r>
        <w:t xml:space="preserve"> </w:t>
      </w:r>
      <m:oMath>
        <m:r>
          <w:rPr>
            <w:rFonts w:ascii="Cambria Math" w:hAnsi="Cambria Math"/>
          </w:rPr>
          <m:t>M</m:t>
        </m:r>
        <m:sSubSup>
          <m:sSubSupPr>
            <m:ctrlPr>
              <w:rPr>
                <w:rFonts w:ascii="Cambria Math" w:hAnsi="Cambria Math"/>
              </w:rPr>
            </m:ctrlPr>
          </m:sSubSupPr>
          <m:e>
            <m:r>
              <w:rPr>
                <w:rFonts w:ascii="Cambria Math" w:hAnsi="Cambria Math"/>
              </w:rPr>
              <m:t>P</m:t>
            </m:r>
          </m:e>
          <m:sub>
            <m:r>
              <w:rPr>
                <w:rFonts w:ascii="Cambria Math" w:hAnsi="Cambria Math"/>
              </w:rPr>
              <m:t>lnt</m:t>
            </m:r>
          </m:sub>
          <m:sup>
            <m:r>
              <w:rPr>
                <w:rFonts w:ascii="Cambria Math" w:hAnsi="Cambria Math"/>
              </w:rPr>
              <m:t>j</m:t>
            </m:r>
          </m:sup>
        </m:sSubSup>
      </m:oMath>
      <w:r>
        <w:t xml:space="preserve"> </w:t>
      </w:r>
      <w:r>
        <w:t>分别表示部门层面的双边贸易流与跨国生产流，</w:t>
      </w:r>
      <m:oMath>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trade</m:t>
            </m:r>
          </m:sup>
        </m:sSubSup>
      </m:oMath>
      <w:r>
        <w:t xml:space="preserve"> </w:t>
      </w:r>
      <w:r>
        <w:t>和</w:t>
      </w:r>
      <w:r>
        <w:t xml:space="preserve"> </w:t>
      </w:r>
      <m:oMath>
        <m:sSubSup>
          <m:sSubSupPr>
            <m:ctrlPr>
              <w:rPr>
                <w:rFonts w:ascii="Cambria Math" w:hAnsi="Cambria Math"/>
              </w:rPr>
            </m:ctrlPr>
          </m:sSubSupPr>
          <m:e>
            <m:r>
              <m:rPr>
                <m:sty m:val="b"/>
              </m:rPr>
              <w:rPr>
                <w:rFonts w:ascii="Cambria Math" w:hAnsi="Cambria Math"/>
              </w:rPr>
              <m:t>Z</m:t>
            </m:r>
          </m:e>
          <m:sub>
            <m:r>
              <w:rPr>
                <w:rFonts w:ascii="Cambria Math" w:hAnsi="Cambria Math"/>
              </w:rPr>
              <m:t>lnt</m:t>
            </m:r>
          </m:sub>
          <m:sup>
            <m:r>
              <w:rPr>
                <w:rFonts w:ascii="Cambria Math" w:hAnsi="Cambria Math"/>
              </w:rPr>
              <m:t>mp</m:t>
            </m:r>
          </m:sup>
        </m:sSubSup>
      </m:oMath>
      <w:r>
        <w:t xml:space="preserve"> </w:t>
      </w:r>
      <w:r>
        <w:t>为相应方程的其他预定协变量；双边固定效应吸收不随时间变化的双边异质性，来源国</w:t>
      </w:r>
      <w:r>
        <w:t>—</w:t>
      </w:r>
      <w:r>
        <w:t>年份和目的国</w:t>
      </w:r>
      <w:r>
        <w:t>—</w:t>
      </w:r>
      <w:r>
        <w:t>年份固定效应吸收国家层面的年度冲击及多边阻力。</w:t>
      </w:r>
      <m:oMath>
        <m:r>
          <w:rPr>
            <w:rFonts w:ascii="Cambria Math" w:hAnsi="Cambria Math"/>
          </w:rPr>
          <m:t>PT</m:t>
        </m:r>
        <m:sSub>
          <m:sSubPr>
            <m:ctrlPr>
              <w:rPr>
                <w:rFonts w:ascii="Cambria Math" w:hAnsi="Cambria Math"/>
              </w:rPr>
            </m:ctrlPr>
          </m:sSubPr>
          <m:e>
            <m:r>
              <w:rPr>
                <w:rFonts w:ascii="Cambria Math" w:hAnsi="Cambria Math"/>
              </w:rPr>
              <m:t>A</m:t>
            </m:r>
          </m:e>
          <m:sub>
            <m:r>
              <w:rPr>
                <w:rFonts w:ascii="Cambria Math" w:hAnsi="Cambria Math"/>
              </w:rPr>
              <m:t>lnt</m:t>
            </m:r>
          </m:sub>
        </m:sSub>
      </m:oMath>
      <w:r>
        <w:t xml:space="preserve"> </w:t>
      </w:r>
      <w:r>
        <w:t>与制度内容指数同时进入方程，使</w:t>
      </w:r>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trade</m:t>
            </m:r>
          </m:sup>
        </m:sSubSup>
      </m:oMath>
      <w:r>
        <w:t xml:space="preserve"> </w:t>
      </w:r>
      <w:r>
        <w:t>和</w:t>
      </w:r>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j</m:t>
            </m:r>
          </m:sub>
          <m:sup>
            <m:r>
              <w:rPr>
                <w:rFonts w:ascii="Cambria Math" w:hAnsi="Cambria Math"/>
              </w:rPr>
              <m:t>mp</m:t>
            </m:r>
          </m:sup>
        </m:sSubSup>
      </m:oMath>
      <w:r>
        <w:t xml:space="preserve"> </w:t>
      </w:r>
      <w:r>
        <w:t>识别的是在是否存在协定之外，制度条款深度变化与双边经济活动之间的关系。</w:t>
      </w:r>
    </w:p>
    <w:p w14:paraId="69366311" w14:textId="4980FCCC" w:rsidR="00CB0636" w:rsidRPr="00A614E3" w:rsidRDefault="00CB0636" w:rsidP="00A614E3">
      <w:pPr>
        <w:widowControl/>
        <w:adjustRightInd w:val="0"/>
        <w:snapToGrid w:val="0"/>
        <w:spacing w:line="360" w:lineRule="auto"/>
        <w:ind w:firstLineChars="200" w:firstLine="420"/>
        <w:jc w:val="center"/>
        <w:rPr>
          <w:rFonts w:ascii="Times New Roman" w:hAnsi="Times New Roman" w:cs="Times New Roman"/>
          <w:color w:val="FF0000"/>
        </w:rPr>
      </w:pPr>
      <w:r w:rsidRPr="00815343">
        <w:rPr>
          <w:rFonts w:ascii="Times New Roman" w:hAnsi="Times New Roman" w:cs="Times New Roman"/>
          <w:color w:val="000000" w:themeColor="text1"/>
        </w:rPr>
        <w:t>表</w:t>
      </w:r>
      <w:r w:rsidRPr="00815343">
        <w:rPr>
          <w:rFonts w:ascii="Times New Roman" w:hAnsi="Times New Roman" w:cs="Times New Roman"/>
          <w:color w:val="000000" w:themeColor="text1"/>
        </w:rPr>
        <w:t xml:space="preserve">1 </w:t>
      </w:r>
      <w:r>
        <w:rPr>
          <w:rFonts w:hint="eastAsia"/>
          <w:color w:val="000000" w:themeColor="text1"/>
        </w:rPr>
        <w:t xml:space="preserve"> </w:t>
      </w:r>
      <w:r>
        <w:rPr>
          <w:rFonts w:hint="eastAsia"/>
          <w:color w:val="000000" w:themeColor="text1"/>
        </w:rPr>
        <w:t>制度型开放对贸易和跨国生产的影响</w:t>
      </w:r>
    </w:p>
    <w:p w14:paraId="5BE42DF9" w14:textId="12566F30" w:rsidR="00CB0636" w:rsidRDefault="00A614E3" w:rsidP="00A614E3">
      <w:pPr>
        <w:pStyle w:val="aff5"/>
        <w:jc w:val="center"/>
      </w:pPr>
      <w:r w:rsidRPr="00A614E3">
        <w:rPr>
          <w:noProof/>
        </w:rPr>
        <w:lastRenderedPageBreak/>
        <w:drawing>
          <wp:inline distT="0" distB="0" distL="0" distR="0" wp14:anchorId="18F44B19" wp14:editId="02E94176">
            <wp:extent cx="3555242" cy="1859375"/>
            <wp:effectExtent l="0" t="0" r="1270" b="0"/>
            <wp:docPr id="702228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28102" name=""/>
                    <pic:cNvPicPr/>
                  </pic:nvPicPr>
                  <pic:blipFill>
                    <a:blip r:embed="rId13"/>
                    <a:stretch>
                      <a:fillRect/>
                    </a:stretch>
                  </pic:blipFill>
                  <pic:spPr>
                    <a:xfrm>
                      <a:off x="0" y="0"/>
                      <a:ext cx="3573767" cy="1869063"/>
                    </a:xfrm>
                    <a:prstGeom prst="rect">
                      <a:avLst/>
                    </a:prstGeom>
                  </pic:spPr>
                </pic:pic>
              </a:graphicData>
            </a:graphic>
          </wp:inline>
        </w:drawing>
      </w:r>
    </w:p>
    <w:p w14:paraId="1EA5987F" w14:textId="77777777" w:rsidR="00CB0636" w:rsidRDefault="00CB0636" w:rsidP="00CB0636">
      <w:pPr>
        <w:pStyle w:val="aff5"/>
      </w:pPr>
    </w:p>
    <w:p w14:paraId="3CBA3A1B" w14:textId="5BC48EC2" w:rsidR="00CB0636" w:rsidRDefault="00CB0636" w:rsidP="00CB0636">
      <w:pPr>
        <w:pStyle w:val="aff5"/>
      </w:pPr>
      <w:r>
        <w:t>设</w:t>
      </w:r>
      <w:r>
        <w:t xml:space="preserv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t>
      </w:r>
      <w:r>
        <w:t>为贸易流对贸易成本的弹性，</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w:t>
      </w:r>
      <w:r>
        <w:t>为跨国生产流对跨国生产成本的弹性。对于基准情形与反事实情形，制度型贸易成本和制度型跨国生产成本的相对变化分别为</w:t>
      </w:r>
      <w:r>
        <w:rPr>
          <w:rFonts w:hint="eastAsia"/>
        </w:rPr>
        <w:t>：</w:t>
      </w:r>
    </w:p>
    <w:p w14:paraId="4F53E810" w14:textId="103F2408" w:rsidR="00CB0636" w:rsidRDefault="00A00E78" w:rsidP="00CB0636">
      <w:pPr>
        <w:pStyle w:val="aff6"/>
        <w:snapToGrid w:val="0"/>
      </w:pPr>
      <m:oMathPara>
        <m:oMathParaPr>
          <m:jc m:val="center"/>
        </m:oMathParaP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trade</m:t>
              </m:r>
            </m:sup>
          </m:sSubSup>
          <m:r>
            <m:rPr>
              <m:sty m:val="p"/>
            </m:rPr>
            <w:rPr>
              <w:rFonts w:ascii="Cambria Math" w:hAnsi="Cambria Math"/>
            </w:rPr>
            <m:t>=</m:t>
          </m:r>
          <m:r>
            <m:rPr>
              <m:nor/>
            </m: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j</m:t>
                      </m:r>
                    </m:sub>
                    <m:sup>
                      <m:r>
                        <w:rPr>
                          <w:rFonts w:ascii="Cambria Math" w:hAnsi="Cambria Math"/>
                        </w:rPr>
                        <m:t>trade</m:t>
                      </m:r>
                    </m:sup>
                  </m:sSubSup>
                </m:num>
                <m:den>
                  <m:sSub>
                    <m:sSubPr>
                      <m:ctrlPr>
                        <w:rPr>
                          <w:rFonts w:ascii="Cambria Math" w:hAnsi="Cambria Math"/>
                        </w:rPr>
                      </m:ctrlPr>
                    </m:sSubPr>
                    <m:e>
                      <m:r>
                        <w:rPr>
                          <w:rFonts w:ascii="Cambria Math" w:hAnsi="Cambria Math"/>
                        </w:rPr>
                        <m:t>θ</m:t>
                      </m:r>
                    </m:e>
                    <m:sub>
                      <m:r>
                        <w:rPr>
                          <w:rFonts w:ascii="Cambria Math" w:hAnsi="Cambria Math"/>
                        </w:rPr>
                        <m:t>j</m:t>
                      </m:r>
                    </m:sub>
                  </m:sSub>
                </m:den>
              </m:f>
              <m:d>
                <m:dPr>
                  <m:ctrlPr>
                    <w:rPr>
                      <w:rFonts w:ascii="Cambria Math" w:hAnsi="Cambria Math"/>
                    </w:rPr>
                  </m:ctrlPr>
                </m:dPr>
                <m:e>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trade</m:t>
                      </m:r>
                      <m:r>
                        <m:rPr>
                          <m:sty m:val="p"/>
                        </m:rPr>
                        <w:rPr>
                          <w:rFonts w:ascii="Cambria Math" w:hAnsi="Cambria Math"/>
                        </w:rPr>
                        <m:t>,</m:t>
                      </m:r>
                      <m:r>
                        <w:rPr>
                          <w:rFonts w:ascii="Cambria Math" w:hAnsi="Cambria Math"/>
                        </w:rPr>
                        <m:t>cf</m:t>
                      </m:r>
                    </m:sup>
                  </m:sSubSup>
                  <m:r>
                    <m:rPr>
                      <m:sty m:val="p"/>
                    </m:rPr>
                    <w:rPr>
                      <w:rFonts w:ascii="Cambria Math" w:hAnsi="Cambria Math"/>
                    </w:rPr>
                    <m:t>-</m:t>
                  </m:r>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trade</m:t>
                      </m:r>
                      <m:r>
                        <m:rPr>
                          <m:sty m:val="p"/>
                        </m:rPr>
                        <w:rPr>
                          <w:rFonts w:ascii="Cambria Math" w:hAnsi="Cambria Math"/>
                        </w:rPr>
                        <m:t>,</m:t>
                      </m:r>
                      <m:r>
                        <w:rPr>
                          <w:rFonts w:ascii="Cambria Math" w:hAnsi="Cambria Math"/>
                        </w:rPr>
                        <m:t>base</m:t>
                      </m:r>
                    </m:sup>
                  </m:sSubSup>
                </m:e>
              </m:d>
            </m:e>
          </m:d>
        </m:oMath>
      </m:oMathPara>
    </w:p>
    <w:p w14:paraId="60FA87E0" w14:textId="6156004D" w:rsidR="00CB0636" w:rsidRDefault="00A00E78" w:rsidP="00CB0636">
      <w:pPr>
        <w:pStyle w:val="aff6"/>
        <w:snapToGrid w:val="0"/>
      </w:pPr>
      <m:oMathPara>
        <m:oMathParaPr>
          <m:jc m:val="center"/>
        </m:oMathParaP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mp</m:t>
              </m:r>
            </m:sup>
          </m:sSubSup>
          <m:r>
            <m:rPr>
              <m:sty m:val="p"/>
            </m:rPr>
            <w:rPr>
              <w:rFonts w:ascii="Cambria Math" w:hAnsi="Cambria Math"/>
            </w:rPr>
            <m:t>=</m:t>
          </m:r>
          <m:r>
            <m:rPr>
              <m:nor/>
            </m: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j</m:t>
                      </m:r>
                    </m:sub>
                    <m:sup>
                      <m:r>
                        <w:rPr>
                          <w:rFonts w:ascii="Cambria Math" w:hAnsi="Cambria Math"/>
                        </w:rPr>
                        <m:t>mp</m:t>
                      </m:r>
                    </m:sup>
                  </m:sSubSup>
                </m:num>
                <m:den>
                  <m:sSub>
                    <m:sSubPr>
                      <m:ctrlPr>
                        <w:rPr>
                          <w:rFonts w:ascii="Cambria Math" w:hAnsi="Cambria Math"/>
                        </w:rPr>
                      </m:ctrlPr>
                    </m:sSubPr>
                    <m:e>
                      <m:r>
                        <w:rPr>
                          <w:rFonts w:ascii="Cambria Math" w:hAnsi="Cambria Math"/>
                        </w:rPr>
                        <m:t>κ</m:t>
                      </m:r>
                    </m:e>
                    <m:sub>
                      <m:r>
                        <w:rPr>
                          <w:rFonts w:ascii="Cambria Math" w:hAnsi="Cambria Math"/>
                        </w:rPr>
                        <m:t>j</m:t>
                      </m:r>
                    </m:sub>
                  </m:sSub>
                </m:den>
              </m:f>
              <m:d>
                <m:dPr>
                  <m:ctrlPr>
                    <w:rPr>
                      <w:rFonts w:ascii="Cambria Math" w:hAnsi="Cambria Math"/>
                    </w:rPr>
                  </m:ctrlPr>
                </m:dPr>
                <m:e>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mp</m:t>
                      </m:r>
                      <m:r>
                        <m:rPr>
                          <m:sty m:val="p"/>
                        </m:rPr>
                        <w:rPr>
                          <w:rFonts w:ascii="Cambria Math" w:hAnsi="Cambria Math"/>
                        </w:rPr>
                        <m:t>,</m:t>
                      </m:r>
                      <m:r>
                        <w:rPr>
                          <w:rFonts w:ascii="Cambria Math" w:hAnsi="Cambria Math"/>
                        </w:rPr>
                        <m:t>cf</m:t>
                      </m:r>
                    </m:sup>
                  </m:sSubSup>
                  <m:r>
                    <m:rPr>
                      <m:sty m:val="p"/>
                    </m:rPr>
                    <w:rPr>
                      <w:rFonts w:ascii="Cambria Math" w:hAnsi="Cambria Math"/>
                    </w:rPr>
                    <m:t>-</m:t>
                  </m:r>
                  <m:r>
                    <w:rPr>
                      <w:rFonts w:ascii="Cambria Math" w:hAnsi="Cambria Math"/>
                    </w:rPr>
                    <m:t>DT</m:t>
                  </m:r>
                  <m:sSubSup>
                    <m:sSubSupPr>
                      <m:ctrlPr>
                        <w:rPr>
                          <w:rFonts w:ascii="Cambria Math" w:hAnsi="Cambria Math"/>
                        </w:rPr>
                      </m:ctrlPr>
                    </m:sSubSupPr>
                    <m:e>
                      <m:r>
                        <w:rPr>
                          <w:rFonts w:ascii="Cambria Math" w:hAnsi="Cambria Math"/>
                        </w:rPr>
                        <m:t>A</m:t>
                      </m:r>
                    </m:e>
                    <m:sub>
                      <m:r>
                        <w:rPr>
                          <w:rFonts w:ascii="Cambria Math" w:hAnsi="Cambria Math"/>
                        </w:rPr>
                        <m:t>ln</m:t>
                      </m:r>
                    </m:sub>
                    <m:sup>
                      <m:r>
                        <w:rPr>
                          <w:rFonts w:ascii="Cambria Math" w:hAnsi="Cambria Math"/>
                        </w:rPr>
                        <m:t>mp</m:t>
                      </m:r>
                      <m:r>
                        <m:rPr>
                          <m:sty m:val="p"/>
                        </m:rPr>
                        <w:rPr>
                          <w:rFonts w:ascii="Cambria Math" w:hAnsi="Cambria Math"/>
                        </w:rPr>
                        <m:t>,</m:t>
                      </m:r>
                      <m:r>
                        <w:rPr>
                          <w:rFonts w:ascii="Cambria Math" w:hAnsi="Cambria Math"/>
                        </w:rPr>
                        <m:t>base</m:t>
                      </m:r>
                    </m:sup>
                  </m:sSubSup>
                </m:e>
              </m:d>
            </m:e>
          </m:d>
        </m:oMath>
      </m:oMathPara>
    </w:p>
    <w:p w14:paraId="063B82F5" w14:textId="7E690A75" w:rsidR="00CB0636" w:rsidRDefault="00CB0636" w:rsidP="00CB0636">
      <w:pPr>
        <w:pStyle w:val="aff5"/>
      </w:pPr>
      <w:r>
        <w:t>当</w:t>
      </w:r>
      <w:r>
        <w:t xml:space="preserve"> </w:t>
      </w: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trade</m:t>
            </m:r>
          </m:sup>
        </m:sSubSup>
        <m:r>
          <m:rPr>
            <m:sty m:val="p"/>
          </m:rPr>
          <w:rPr>
            <w:rFonts w:ascii="Cambria Math" w:hAnsi="Cambria Math"/>
          </w:rPr>
          <m:t>&lt;</m:t>
        </m:r>
        <m:r>
          <w:rPr>
            <w:rFonts w:ascii="Cambria Math" w:hAnsi="Cambria Math"/>
          </w:rPr>
          <m:t>1</m:t>
        </m:r>
      </m:oMath>
      <w:r>
        <w:t xml:space="preserve"> </w:t>
      </w:r>
      <w:r>
        <w:t>时，表示</w:t>
      </w:r>
      <w:r>
        <w:t xml:space="preserve">DTA </w:t>
      </w:r>
      <w:r>
        <w:t>制度条款深化降低了双边制度型贸易成本；当</w:t>
      </w:r>
      <w:r>
        <w:t xml:space="preserve"> </w:t>
      </w:r>
      <m:oMath>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mp</m:t>
            </m:r>
          </m:sup>
        </m:sSubSup>
        <m:r>
          <m:rPr>
            <m:sty m:val="p"/>
          </m:rPr>
          <w:rPr>
            <w:rFonts w:ascii="Cambria Math" w:hAnsi="Cambria Math"/>
          </w:rPr>
          <m:t>&lt;</m:t>
        </m:r>
        <m:r>
          <w:rPr>
            <w:rFonts w:ascii="Cambria Math" w:hAnsi="Cambria Math"/>
          </w:rPr>
          <m:t>1</m:t>
        </m:r>
      </m:oMath>
      <w:r>
        <w:t xml:space="preserve"> </w:t>
      </w:r>
      <w:r>
        <w:t>时，表示其降低了跨国生产的制度型进入或经营成本。相应的反事实成本由基准成本乘以该相对变化得到，即</w:t>
      </w:r>
    </w:p>
    <w:p w14:paraId="341B97AB" w14:textId="31B21A8B" w:rsidR="00CB0636" w:rsidRDefault="00A00E78" w:rsidP="00CB0636">
      <w:pPr>
        <w:pStyle w:val="aff6"/>
        <w:snapToGrid w:val="0"/>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cf</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base</m:t>
              </m:r>
            </m:sup>
          </m:sSubSup>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trade</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ϕ</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cf</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base</m:t>
              </m:r>
            </m:sup>
          </m:sSubSup>
          <m:sSubSup>
            <m:sSubSupPr>
              <m:ctrlPr>
                <w:rPr>
                  <w:rFonts w:ascii="Cambria Math" w:hAnsi="Cambria Math"/>
                </w:rPr>
              </m:ctrlPr>
            </m:sSubSupPr>
            <m:e>
              <m:r>
                <w:rPr>
                  <w:rFonts w:ascii="Cambria Math" w:hAnsi="Cambria Math"/>
                </w:rPr>
                <m:t>ζ</m:t>
              </m:r>
            </m:e>
            <m:sub>
              <m:r>
                <w:rPr>
                  <w:rFonts w:ascii="Cambria Math" w:hAnsi="Cambria Math"/>
                </w:rPr>
                <m:t>ln</m:t>
              </m:r>
              <m:r>
                <m:rPr>
                  <m:sty m:val="p"/>
                </m:rPr>
                <w:rPr>
                  <w:rFonts w:ascii="Cambria Math" w:hAnsi="Cambria Math"/>
                </w:rPr>
                <m:t>,</m:t>
              </m:r>
              <m:r>
                <w:rPr>
                  <w:rFonts w:ascii="Cambria Math" w:hAnsi="Cambria Math"/>
                </w:rPr>
                <m:t>j</m:t>
              </m:r>
            </m:sub>
            <m:sup>
              <m:r>
                <w:rPr>
                  <w:rFonts w:ascii="Cambria Math" w:hAnsi="Cambria Math"/>
                </w:rPr>
                <m:t>mp</m:t>
              </m:r>
            </m:sup>
          </m:sSubSup>
        </m:oMath>
      </m:oMathPara>
    </w:p>
    <w:p w14:paraId="21964A79" w14:textId="77777777" w:rsidR="00CB0636" w:rsidRDefault="00CB0636" w:rsidP="00CB0636">
      <w:pPr>
        <w:pStyle w:val="aff5"/>
      </w:pPr>
      <w:r>
        <w:t>这一映射使进入量化模型的冲击具有清晰的文本依据：它不是含义宽泛的未观测残差，而是由协定条款变化、经验估计系数和结构弹性共同确定的制度型成本冲击。</w:t>
      </w:r>
    </w:p>
    <w:p w14:paraId="46A2FB68" w14:textId="77777777" w:rsidR="00CB0636" w:rsidRDefault="00CB0636" w:rsidP="00AA32D7">
      <w:pPr>
        <w:widowControl/>
        <w:adjustRightInd w:val="0"/>
        <w:snapToGrid w:val="0"/>
        <w:spacing w:line="360" w:lineRule="auto"/>
        <w:ind w:firstLineChars="200" w:firstLine="420"/>
        <w:rPr>
          <w:rFonts w:ascii="Times New Roman" w:hAnsi="Times New Roman" w:cs="Times New Roman"/>
        </w:rPr>
      </w:pPr>
    </w:p>
    <w:p w14:paraId="429AF9DE" w14:textId="77777777" w:rsidR="0059527F" w:rsidRPr="00AA32D7" w:rsidRDefault="0059527F">
      <w:pPr>
        <w:widowControl/>
        <w:adjustRightInd w:val="0"/>
        <w:snapToGrid w:val="0"/>
        <w:spacing w:line="360" w:lineRule="auto"/>
        <w:ind w:firstLineChars="200" w:firstLine="400"/>
        <w:rPr>
          <w:rFonts w:eastAsia="宋体"/>
          <w:color w:val="000000"/>
          <w:sz w:val="20"/>
          <w:szCs w:val="20"/>
        </w:rPr>
      </w:pPr>
    </w:p>
    <w:p w14:paraId="66FE09D6" w14:textId="6DC89221" w:rsidR="00896941" w:rsidRPr="00530581" w:rsidRDefault="00530581">
      <w:pPr>
        <w:widowControl/>
        <w:adjustRightInd w:val="0"/>
        <w:snapToGrid w:val="0"/>
        <w:spacing w:line="360" w:lineRule="auto"/>
        <w:ind w:firstLineChars="200" w:firstLine="400"/>
        <w:rPr>
          <w:b/>
          <w:bCs/>
          <w:color w:val="000000"/>
          <w:sz w:val="20"/>
          <w:szCs w:val="20"/>
        </w:rPr>
      </w:pPr>
      <w:r w:rsidRPr="00530581">
        <w:rPr>
          <w:rFonts w:eastAsia="宋体"/>
          <w:color w:val="000000"/>
          <w:sz w:val="20"/>
          <w:szCs w:val="20"/>
        </w:rPr>
        <w:t>（</w:t>
      </w:r>
      <w:r w:rsidRPr="00530581">
        <w:rPr>
          <w:rFonts w:eastAsia="宋体"/>
          <w:color w:val="000000"/>
          <w:sz w:val="20"/>
          <w:szCs w:val="20"/>
        </w:rPr>
        <w:t>1</w:t>
      </w:r>
      <w:r w:rsidRPr="00530581">
        <w:rPr>
          <w:rFonts w:eastAsia="宋体"/>
          <w:color w:val="000000"/>
          <w:sz w:val="20"/>
          <w:szCs w:val="20"/>
        </w:rPr>
        <w:t>）</w:t>
      </w:r>
      <w:r w:rsidR="00896941" w:rsidRPr="00530581">
        <w:rPr>
          <w:rFonts w:hint="eastAsia"/>
          <w:b/>
          <w:bCs/>
          <w:color w:val="000000"/>
          <w:sz w:val="20"/>
          <w:szCs w:val="20"/>
        </w:rPr>
        <w:t>制度型开放测度的具体对象</w:t>
      </w:r>
      <w:r w:rsidR="00307EC5" w:rsidRPr="00530581">
        <w:rPr>
          <w:rFonts w:hint="eastAsia"/>
          <w:b/>
          <w:bCs/>
          <w:color w:val="000000"/>
          <w:sz w:val="20"/>
          <w:szCs w:val="20"/>
        </w:rPr>
        <w:t>：</w:t>
      </w:r>
    </w:p>
    <w:p w14:paraId="3ACC3EF8" w14:textId="77777777" w:rsidR="00B9063B" w:rsidRDefault="0039215E">
      <w:pPr>
        <w:widowControl/>
        <w:adjustRightInd w:val="0"/>
        <w:snapToGrid w:val="0"/>
        <w:spacing w:line="360" w:lineRule="auto"/>
        <w:ind w:firstLineChars="200" w:firstLine="420"/>
      </w:pPr>
      <w:r>
        <w:rPr>
          <w:color w:val="000000"/>
        </w:rPr>
        <w:t>本文将制度型开放的可观察内容界定为：深度贸易协定中，直接确立国际经贸活动所需实体权利义务、监管条件、行政实施程序或技术合规安排的制度承诺。按照条款最直接改变的制度对象或主要可执行功能，将制度内容划</w:t>
      </w:r>
      <w:r>
        <w:rPr>
          <w:rFonts w:ascii="Times New Roman" w:hAnsi="Times New Roman" w:cs="Times New Roman"/>
          <w:color w:val="000000"/>
        </w:rPr>
        <w:t>分为规则（</w:t>
      </w:r>
      <w:r>
        <w:rPr>
          <w:rFonts w:ascii="Times New Roman" w:hAnsi="Times New Roman" w:cs="Times New Roman"/>
          <w:color w:val="000000"/>
        </w:rPr>
        <w:t>rules</w:t>
      </w:r>
      <w:r>
        <w:rPr>
          <w:rFonts w:ascii="Times New Roman" w:hAnsi="Times New Roman" w:cs="Times New Roman"/>
          <w:color w:val="000000"/>
        </w:rPr>
        <w:t>）、规制（</w:t>
      </w:r>
      <w:r>
        <w:rPr>
          <w:rFonts w:ascii="Times New Roman" w:hAnsi="Times New Roman" w:cs="Times New Roman"/>
          <w:color w:val="000000"/>
        </w:rPr>
        <w:t>regulation</w:t>
      </w:r>
      <w:r>
        <w:rPr>
          <w:rFonts w:ascii="Times New Roman" w:hAnsi="Times New Roman" w:cs="Times New Roman"/>
          <w:color w:val="000000"/>
        </w:rPr>
        <w:t>）、管理（</w:t>
      </w:r>
      <w:r>
        <w:rPr>
          <w:rFonts w:ascii="Times New Roman" w:hAnsi="Times New Roman" w:cs="Times New Roman"/>
          <w:color w:val="000000"/>
        </w:rPr>
        <w:t>management</w:t>
      </w:r>
      <w:r>
        <w:rPr>
          <w:rFonts w:ascii="Times New Roman" w:hAnsi="Times New Roman" w:cs="Times New Roman"/>
          <w:color w:val="000000"/>
        </w:rPr>
        <w:t>）和标准（</w:t>
      </w:r>
      <w:r>
        <w:rPr>
          <w:rFonts w:ascii="Times New Roman" w:hAnsi="Times New Roman" w:cs="Times New Roman"/>
          <w:color w:val="000000"/>
        </w:rPr>
        <w:t>standards</w:t>
      </w:r>
      <w:r>
        <w:rPr>
          <w:rFonts w:ascii="Times New Roman" w:hAnsi="Times New Roman" w:cs="Times New Roman"/>
          <w:color w:val="000000"/>
        </w:rPr>
        <w:t>）四个主导维度</w:t>
      </w:r>
      <w:r>
        <w:rPr>
          <w:color w:val="000000"/>
        </w:rPr>
        <w:t>。</w:t>
      </w:r>
    </w:p>
    <w:p w14:paraId="48987CF8" w14:textId="77777777" w:rsidR="00B9063B" w:rsidRDefault="0039215E">
      <w:pPr>
        <w:widowControl/>
        <w:adjustRightInd w:val="0"/>
        <w:snapToGrid w:val="0"/>
        <w:spacing w:line="360" w:lineRule="auto"/>
        <w:ind w:firstLineChars="200" w:firstLine="420"/>
      </w:pPr>
      <w:r>
        <w:rPr>
          <w:color w:val="000000"/>
        </w:rPr>
        <w:t>规则维度强调权利、义务、待遇、禁止、适用范围及法律后果；规制维度强调市场准入、许可条件、竞争限制及合规监督；管理维度强调申请、审查、通关、信息公开、机构协调和办理时限等实施程序；标准维度强调技术、质量、安全、卫生或性能要求，以及检验检测、认证认可、合格评定和互认安排。同一条款涉及多个维度时，依据其最主要的可执行功能确定唯一主导维度，以避免在维度统计中重复计数。</w:t>
      </w:r>
    </w:p>
    <w:p w14:paraId="1CFF1DDF" w14:textId="77777777" w:rsidR="00B9063B" w:rsidRDefault="0039215E">
      <w:pPr>
        <w:widowControl/>
        <w:adjustRightInd w:val="0"/>
        <w:snapToGrid w:val="0"/>
        <w:spacing w:line="360" w:lineRule="auto"/>
        <w:ind w:firstLineChars="200" w:firstLine="420"/>
      </w:pPr>
      <w:r>
        <w:rPr>
          <w:color w:val="000000"/>
        </w:rPr>
        <w:lastRenderedPageBreak/>
        <w:t>章节标题、目录指引、一般合作意愿和原则性对话不因包含制度相关关键词就自动认定为制度型开放。仅规定关税税率、配额数量或削减时间表而不包含制度规则的条款，也不直接进入制度型开放指数。因此，本文指标刻画的是协定所确立的制度承诺，区别于一般的关税开放或是否签署协定的虚拟变量。</w:t>
      </w:r>
    </w:p>
    <w:p w14:paraId="0229BD72" w14:textId="77777777" w:rsidR="00B9063B" w:rsidRDefault="0039215E">
      <w:pPr>
        <w:widowControl/>
        <w:adjustRightInd w:val="0"/>
        <w:snapToGrid w:val="0"/>
        <w:spacing w:line="360" w:lineRule="auto"/>
        <w:ind w:firstLineChars="200" w:firstLine="420"/>
      </w:pPr>
      <w:r>
        <w:rPr>
          <w:color w:val="000000"/>
        </w:rPr>
        <w:t>这一测度对象具有明确边界：协定承诺不等同于各国实际执行质量，也不穷尽单边改革和协定之外的国内制度安排。本文通过具体条款度量可观察的制度承诺覆盖，并将其与经济流量的关系置于回归框架中分析，不在条款编码环节预设其经济效果。</w:t>
      </w:r>
    </w:p>
    <w:p w14:paraId="16557231" w14:textId="77777777" w:rsidR="00B9063B" w:rsidRDefault="0039215E">
      <w:pPr>
        <w:pStyle w:val="3"/>
        <w:widowControl/>
        <w:adjustRightInd w:val="0"/>
        <w:snapToGrid w:val="0"/>
        <w:spacing w:before="0" w:after="0"/>
        <w:jc w:val="both"/>
      </w:pPr>
      <w:bookmarkStart w:id="7" w:name="基础数据与01覆盖强度"/>
      <w:r>
        <w:rPr>
          <w:rFonts w:eastAsia="宋体"/>
          <w:color w:val="000000"/>
        </w:rPr>
        <w:t>（</w:t>
      </w:r>
      <w:r>
        <w:rPr>
          <w:rFonts w:eastAsia="宋体"/>
          <w:color w:val="000000"/>
        </w:rPr>
        <w:t>2</w:t>
      </w:r>
      <w:r>
        <w:rPr>
          <w:rFonts w:eastAsia="宋体"/>
          <w:color w:val="000000"/>
        </w:rPr>
        <w:t>）基础数据与</w:t>
      </w:r>
      <w:r>
        <w:rPr>
          <w:rFonts w:eastAsia="宋体"/>
          <w:color w:val="000000"/>
        </w:rPr>
        <w:t>[0,1]</w:t>
      </w:r>
      <w:r>
        <w:rPr>
          <w:rFonts w:eastAsia="宋体"/>
          <w:color w:val="000000"/>
        </w:rPr>
        <w:t>覆盖强度</w:t>
      </w:r>
    </w:p>
    <w:p w14:paraId="670A88FC" w14:textId="77777777" w:rsidR="00B9063B" w:rsidRDefault="0039215E">
      <w:pPr>
        <w:widowControl/>
        <w:adjustRightInd w:val="0"/>
        <w:snapToGrid w:val="0"/>
        <w:spacing w:line="360" w:lineRule="auto"/>
      </w:pPr>
      <w:r>
        <w:rPr>
          <w:color w:val="000000"/>
        </w:rPr>
        <w:t>基础数据为</w:t>
      </w:r>
      <w:r>
        <w:rPr>
          <w:color w:val="000000"/>
        </w:rPr>
        <w:t>DTA 2.0</w:t>
      </w:r>
      <w:r>
        <w:rPr>
          <w:color w:val="000000"/>
        </w:rPr>
        <w:t>垂直条款数据库中的条款内容、协定信息和双边生效关系。本文整理</w:t>
      </w:r>
      <w:r>
        <w:rPr>
          <w:color w:val="000000"/>
        </w:rPr>
        <w:t>400</w:t>
      </w:r>
      <w:r>
        <w:rPr>
          <w:color w:val="000000"/>
        </w:rPr>
        <w:t>项协定和</w:t>
      </w:r>
      <w:r>
        <w:rPr>
          <w:color w:val="000000"/>
        </w:rPr>
        <w:t>1,071</w:t>
      </w:r>
      <w:r>
        <w:rPr>
          <w:color w:val="000000"/>
        </w:rPr>
        <w:t>项可编码条款，以稳定的条款编号连接条款文本与渠道权重，以</w:t>
      </w:r>
      <w:r>
        <w:rPr>
          <w:color w:val="000000"/>
        </w:rPr>
        <w:t>World Bank agreement ID</w:t>
      </w:r>
      <w:r>
        <w:rPr>
          <w:color w:val="000000"/>
        </w:rPr>
        <w:t>连接协定覆盖及成员信息。由此建立协定</w:t>
      </w:r>
      <w:r>
        <w:rPr>
          <w:color w:val="000000"/>
        </w:rPr>
        <w:t>—</w:t>
      </w:r>
      <w:r>
        <w:rPr>
          <w:color w:val="000000"/>
        </w:rPr>
        <w:t>条款覆盖矩阵，再依据协定生效时间确定国家对年度的适用条款集合。</w:t>
      </w:r>
    </w:p>
    <w:p w14:paraId="1A360B75" w14:textId="77777777" w:rsidR="00B9063B" w:rsidRDefault="0039215E">
      <w:pPr>
        <w:keepNext/>
        <w:widowControl/>
        <w:adjustRightInd w:val="0"/>
        <w:snapToGrid w:val="0"/>
        <w:spacing w:line="360" w:lineRule="auto"/>
      </w:pPr>
      <w:r>
        <w:rPr>
          <w:color w:val="000000"/>
        </w:rPr>
        <w:t>设</w:t>
      </w:r>
      <m:oMath>
        <m:r>
          <w:rPr>
            <w:rFonts w:ascii="Cambria Math" w:hAnsi="Cambria Math"/>
          </w:rPr>
          <m:t>a</m:t>
        </m:r>
      </m:oMath>
      <w:r>
        <w:rPr>
          <w:color w:val="000000"/>
        </w:rPr>
        <w:t>表示协定，</w:t>
      </w:r>
      <m:oMath>
        <m:r>
          <w:rPr>
            <w:rFonts w:ascii="Cambria Math" w:hAnsi="Cambria Math"/>
          </w:rPr>
          <m:t>p</m:t>
        </m:r>
      </m:oMath>
      <w:r>
        <w:rPr>
          <w:color w:val="000000"/>
        </w:rPr>
        <w:t>表示条款，</w:t>
      </w:r>
      <m:oMath>
        <m:sSub>
          <m:sSubPr>
            <m:ctrlPr>
              <w:rPr>
                <w:rFonts w:ascii="Cambria Math" w:hAnsi="Cambria Math"/>
              </w:rPr>
            </m:ctrlPr>
          </m:sSubPr>
          <m:e>
            <m:r>
              <w:rPr>
                <w:rFonts w:ascii="Cambria Math" w:hAnsi="Cambria Math"/>
              </w:rPr>
              <m:t>c</m:t>
            </m:r>
          </m:e>
          <m:sub>
            <m:r>
              <w:rPr>
                <w:rFonts w:ascii="Cambria Math" w:hAnsi="Cambria Math"/>
              </w:rPr>
              <m:t>ap</m:t>
            </m:r>
          </m:sub>
        </m:sSub>
      </m:oMath>
      <w:r>
        <w:rPr>
          <w:color w:val="000000"/>
        </w:rPr>
        <w:t>表示协定</w:t>
      </w:r>
      <m:oMath>
        <m:r>
          <w:rPr>
            <w:rFonts w:ascii="Cambria Math" w:hAnsi="Cambria Math"/>
          </w:rPr>
          <m:t>a</m:t>
        </m:r>
      </m:oMath>
      <w:r>
        <w:rPr>
          <w:color w:val="000000"/>
        </w:rPr>
        <w:t>对条款</w:t>
      </w:r>
      <m:oMath>
        <m:r>
          <w:rPr>
            <w:rFonts w:ascii="Cambria Math" w:hAnsi="Cambria Math"/>
          </w:rPr>
          <m:t>p</m:t>
        </m:r>
      </m:oMath>
      <w:r>
        <w:rPr>
          <w:color w:val="000000"/>
        </w:rPr>
        <w:t>的覆盖强度。对可直接判断是否覆盖的条款采用</w:t>
      </w:r>
      <w:r>
        <w:rPr>
          <w:color w:val="000000"/>
        </w:rPr>
        <w:t>0/1</w:t>
      </w:r>
      <w:r>
        <w:rPr>
          <w:color w:val="000000"/>
        </w:rPr>
        <w:t>编码；对具有多个有序答案、覆盖范围或承诺强度的非二元条款，依据问题含义、制度约束强弱和人工编码决策表，逐项构造映射</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color w:val="000000"/>
        </w:rPr>
        <w:t>，将编码结果统一到</w:t>
      </w:r>
      <w:r>
        <w:rPr>
          <w:color w:val="000000"/>
        </w:rPr>
        <w:t>[0,1]</w:t>
      </w:r>
      <w:r>
        <w:rPr>
          <w:color w:val="000000"/>
        </w:rPr>
        <w:t>区间：</w:t>
      </w:r>
    </w:p>
    <w:p w14:paraId="26624E2A" w14:textId="77777777" w:rsidR="00B9063B" w:rsidRDefault="00A00E78">
      <w:pPr>
        <w:widowControl/>
        <w:adjustRightInd w:val="0"/>
        <w:snapToGrid w:val="0"/>
        <w:spacing w:line="360" w:lineRule="auto"/>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ap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nor/>
                </m:rPr>
                <m:t>Answer</m:t>
              </m:r>
            </m:e>
            <m:sub>
              <m:r>
                <w:rPr>
                  <w:rFonts w:ascii="Cambria Math" w:hAnsi="Cambria Math"/>
                </w:rPr>
                <m:t>ap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(1)</m:t>
          </m:r>
        </m:oMath>
      </m:oMathPara>
    </w:p>
    <w:p w14:paraId="245D5FC0" w14:textId="77777777" w:rsidR="00B9063B" w:rsidRDefault="0039215E">
      <w:pPr>
        <w:widowControl/>
        <w:adjustRightInd w:val="0"/>
        <w:snapToGrid w:val="0"/>
        <w:spacing w:line="360" w:lineRule="auto"/>
      </w:pPr>
      <w:r>
        <w:rPr>
          <w:color w:val="000000"/>
        </w:rPr>
        <w:t>其中，</w:t>
      </w:r>
      <w:r>
        <w:rPr>
          <w:color w:val="000000"/>
        </w:rPr>
        <w:t>0</w:t>
      </w:r>
      <w:r>
        <w:rPr>
          <w:color w:val="000000"/>
        </w:rPr>
        <w:t>表示未覆盖，</w:t>
      </w:r>
      <w:r>
        <w:rPr>
          <w:color w:val="000000"/>
        </w:rPr>
        <w:t>1</w:t>
      </w:r>
      <w:r>
        <w:rPr>
          <w:color w:val="000000"/>
        </w:rPr>
        <w:t>表示完全覆盖，介于</w:t>
      </w:r>
      <w:r>
        <w:rPr>
          <w:color w:val="000000"/>
        </w:rPr>
        <w:t>0</w:t>
      </w:r>
      <w:r>
        <w:rPr>
          <w:color w:val="000000"/>
        </w:rPr>
        <w:t>和</w:t>
      </w:r>
      <w:r>
        <w:rPr>
          <w:color w:val="000000"/>
        </w:rPr>
        <w:t>1</w:t>
      </w:r>
      <w:r>
        <w:rPr>
          <w:color w:val="000000"/>
        </w:rPr>
        <w:t>之间的数值表示部分覆盖或中间承诺强度。非二元问题依据具体条款的测量对象赋值，不将类别编码一概视为有序，也不统一采用等距换算。多个互补安排按照覆盖内容及其组合含义计分，避免重复累计。协定</w:t>
      </w:r>
      <w:r>
        <w:rPr>
          <w:color w:val="000000"/>
        </w:rPr>
        <w:t>—</w:t>
      </w:r>
      <w:r>
        <w:rPr>
          <w:color w:val="000000"/>
        </w:rPr>
        <w:t>条款覆盖矩阵保留合法的部分覆盖值，覆盖字段的空白在指标计算中计为</w:t>
      </w:r>
      <w:r>
        <w:rPr>
          <w:color w:val="000000"/>
        </w:rPr>
        <w:t>0</w:t>
      </w:r>
      <w:r>
        <w:rPr>
          <w:color w:val="000000"/>
        </w:rPr>
        <w:t>；</w:t>
      </w:r>
      <w:r>
        <w:rPr>
          <w:color w:val="000000"/>
        </w:rPr>
        <w:t>NR</w:t>
      </w:r>
      <w:r>
        <w:rPr>
          <w:color w:val="000000"/>
        </w:rPr>
        <w:t>等特殊状态码按人工编码表中的既定规则赋值并保留原码。上述计分规则仅适用于制度条款覆盖。</w:t>
      </w:r>
    </w:p>
    <w:p w14:paraId="2D2F0EF6" w14:textId="77777777" w:rsidR="00B9063B" w:rsidRDefault="0039215E">
      <w:pPr>
        <w:widowControl/>
        <w:adjustRightInd w:val="0"/>
        <w:snapToGrid w:val="0"/>
        <w:spacing w:line="360" w:lineRule="auto"/>
      </w:pPr>
      <w:r>
        <w:rPr>
          <w:color w:val="000000"/>
        </w:rPr>
        <w:t>例如，关于</w:t>
      </w:r>
      <w:r>
        <w:rPr>
          <w:color w:val="000000"/>
        </w:rPr>
        <w:t>“</w:t>
      </w:r>
      <w:r>
        <w:rPr>
          <w:color w:val="000000"/>
        </w:rPr>
        <w:t>规制措施是否限于实现合法目标所必需</w:t>
      </w:r>
      <w:r>
        <w:rPr>
          <w:color w:val="000000"/>
        </w:rPr>
        <w:t>”</w:t>
      </w:r>
      <w:r>
        <w:rPr>
          <w:color w:val="000000"/>
        </w:rPr>
        <w:t>的服务条款，编码决策表区分三种状态：没有相应要求、仅适用于资格</w:t>
      </w:r>
      <w:r>
        <w:rPr>
          <w:color w:val="000000"/>
        </w:rPr>
        <w:t>/</w:t>
      </w:r>
      <w:r>
        <w:rPr>
          <w:color w:val="000000"/>
        </w:rPr>
        <w:t>许可</w:t>
      </w:r>
      <w:r>
        <w:rPr>
          <w:color w:val="000000"/>
        </w:rPr>
        <w:t>/</w:t>
      </w:r>
      <w:r>
        <w:rPr>
          <w:color w:val="000000"/>
        </w:rPr>
        <w:t>技术标准、适用于所有类型规制，分别赋值</w:t>
      </w:r>
      <w:r>
        <w:rPr>
          <w:color w:val="000000"/>
        </w:rPr>
        <w:t>0</w:t>
      </w:r>
      <w:r>
        <w:rPr>
          <w:color w:val="000000"/>
        </w:rPr>
        <w:t>、</w:t>
      </w:r>
      <w:r>
        <w:rPr>
          <w:color w:val="000000"/>
        </w:rPr>
        <w:t>0.5</w:t>
      </w:r>
      <w:r>
        <w:rPr>
          <w:color w:val="000000"/>
        </w:rPr>
        <w:t>和</w:t>
      </w:r>
      <w:r>
        <w:rPr>
          <w:color w:val="000000"/>
        </w:rPr>
        <w:t>1</w:t>
      </w:r>
      <w:r>
        <w:rPr>
          <w:color w:val="000000"/>
        </w:rPr>
        <w:t>。这里的</w:t>
      </w:r>
      <w:r>
        <w:rPr>
          <w:color w:val="000000"/>
        </w:rPr>
        <w:t>0.5</w:t>
      </w:r>
      <w:r>
        <w:rPr>
          <w:color w:val="000000"/>
        </w:rPr>
        <w:t>反映制度约束适用范围处于中间状态，并不表示其经济效果恰好是完全覆盖的二分之一。其他条款中的</w:t>
      </w:r>
      <w:r>
        <w:rPr>
          <w:color w:val="000000"/>
        </w:rPr>
        <w:t>0.25</w:t>
      </w:r>
      <w:r>
        <w:rPr>
          <w:color w:val="000000"/>
        </w:rPr>
        <w:t>、</w:t>
      </w:r>
      <w:r>
        <w:rPr>
          <w:color w:val="000000"/>
        </w:rPr>
        <w:t>0.75</w:t>
      </w:r>
      <w:r>
        <w:rPr>
          <w:color w:val="000000"/>
        </w:rPr>
        <w:t>等赋值也依据各自条款语义、</w:t>
      </w:r>
      <w:r>
        <w:rPr>
          <w:color w:val="000000"/>
        </w:rPr>
        <w:t>DTA</w:t>
      </w:r>
      <w:r>
        <w:rPr>
          <w:color w:val="000000"/>
        </w:rPr>
        <w:t>编码说明和人工决策确定。</w:t>
      </w:r>
    </w:p>
    <w:p w14:paraId="015DAE6A" w14:textId="77777777" w:rsidR="00B9063B" w:rsidRDefault="0039215E">
      <w:pPr>
        <w:widowControl/>
        <w:adjustRightInd w:val="0"/>
        <w:snapToGrid w:val="0"/>
        <w:spacing w:line="360" w:lineRule="auto"/>
        <w:ind w:firstLineChars="200" w:firstLine="420"/>
      </w:pPr>
      <w:r>
        <w:rPr>
          <w:color w:val="000000"/>
        </w:rPr>
        <w:t>Fontagné et al.</w:t>
      </w:r>
      <w:r>
        <w:rPr>
          <w:color w:val="000000"/>
        </w:rPr>
        <w:t>（</w:t>
      </w:r>
      <w:r>
        <w:rPr>
          <w:color w:val="000000"/>
        </w:rPr>
        <w:t>2023</w:t>
      </w:r>
      <w:r>
        <w:rPr>
          <w:color w:val="000000"/>
        </w:rPr>
        <w:t>）指出，</w:t>
      </w:r>
      <w:r>
        <w:rPr>
          <w:color w:val="000000"/>
        </w:rPr>
        <w:t>DTA</w:t>
      </w:r>
      <w:r>
        <w:rPr>
          <w:color w:val="000000"/>
        </w:rPr>
        <w:t>条款既包含二元指标，也包含按照承诺雄心程度编码的非二元信息，因而条款计量需要区分其测量尺度。这为保留非二元承诺信息提供了方法论参照。本文</w:t>
      </w:r>
      <w:r>
        <w:rPr>
          <w:color w:val="000000"/>
        </w:rPr>
        <w:t>[0,1]</w:t>
      </w:r>
      <w:r>
        <w:rPr>
          <w:color w:val="000000"/>
        </w:rPr>
        <w:t>区间内的具体赋值依据条款语义及人工编码决策表确定，并非直接采用该文的数值映射或聚类标准化方法。</w:t>
      </w:r>
    </w:p>
    <w:p w14:paraId="01F8D115" w14:textId="77777777" w:rsidR="00B9063B" w:rsidRDefault="0039215E">
      <w:pPr>
        <w:widowControl/>
        <w:adjustRightInd w:val="0"/>
        <w:snapToGrid w:val="0"/>
        <w:spacing w:line="360" w:lineRule="auto"/>
        <w:ind w:firstLineChars="200" w:firstLine="420"/>
      </w:pPr>
      <w:r>
        <w:rPr>
          <w:color w:val="000000"/>
        </w:rPr>
        <w:t>协定覆盖强度由人工编码确定，衡量特定协定对条款的覆盖程度；</w:t>
      </w:r>
      <w:r>
        <w:rPr>
          <w:color w:val="000000"/>
        </w:rPr>
        <w:t>LLM</w:t>
      </w:r>
      <w:r>
        <w:rPr>
          <w:color w:val="000000"/>
        </w:rPr>
        <w:t>识别条款的制度属性、主导维度和直接作用渠道。模型输入包括条款编号、政策领域、</w:t>
      </w:r>
      <w:r>
        <w:rPr>
          <w:color w:val="000000"/>
        </w:rPr>
        <w:t>Coding</w:t>
      </w:r>
      <w:r>
        <w:rPr>
          <w:color w:val="000000"/>
        </w:rPr>
        <w:t>及条款文本，不读取协定覆盖矩阵或经济流量，也不依据回归结果调整分类和权重。两项工作分别形成覆盖强度与有效权重，在指标聚合时相结合。</w:t>
      </w:r>
    </w:p>
    <w:p w14:paraId="4179CB6D" w14:textId="77777777" w:rsidR="00B9063B" w:rsidRDefault="0039215E">
      <w:pPr>
        <w:pStyle w:val="3"/>
        <w:widowControl/>
        <w:adjustRightInd w:val="0"/>
        <w:snapToGrid w:val="0"/>
        <w:spacing w:before="0" w:after="0"/>
        <w:jc w:val="both"/>
      </w:pPr>
      <w:bookmarkStart w:id="8" w:name="第一阶段制度属性识别与四维度分类"/>
      <w:bookmarkEnd w:id="7"/>
      <w:r>
        <w:rPr>
          <w:rFonts w:eastAsia="宋体"/>
          <w:color w:val="000000"/>
        </w:rPr>
        <w:lastRenderedPageBreak/>
        <w:t>（</w:t>
      </w:r>
      <w:r>
        <w:rPr>
          <w:rFonts w:eastAsia="宋体"/>
          <w:color w:val="000000"/>
        </w:rPr>
        <w:t>3</w:t>
      </w:r>
      <w:r>
        <w:rPr>
          <w:rFonts w:eastAsia="宋体"/>
          <w:color w:val="000000"/>
        </w:rPr>
        <w:t>）第一阶段：制度属性识别与四维度分类</w:t>
      </w:r>
    </w:p>
    <w:p w14:paraId="787DEDCB" w14:textId="77777777" w:rsidR="00B9063B" w:rsidRPr="00BA5813" w:rsidRDefault="0039215E">
      <w:pPr>
        <w:widowControl/>
        <w:adjustRightInd w:val="0"/>
        <w:snapToGrid w:val="0"/>
        <w:spacing w:line="360" w:lineRule="auto"/>
        <w:ind w:firstLineChars="200" w:firstLine="420"/>
        <w:rPr>
          <w:rFonts w:ascii="Times New Roman" w:hAnsi="Times New Roman" w:cs="Times New Roman"/>
        </w:rPr>
      </w:pPr>
      <w:r w:rsidRPr="00BA5813">
        <w:rPr>
          <w:rFonts w:ascii="Times New Roman" w:hAnsi="Times New Roman" w:cs="Times New Roman"/>
          <w:color w:val="000000"/>
        </w:rPr>
        <w:t>LLM</w:t>
      </w:r>
      <w:r w:rsidRPr="00BA5813">
        <w:rPr>
          <w:rFonts w:ascii="Times New Roman" w:hAnsi="Times New Roman" w:cs="Times New Roman"/>
          <w:color w:val="000000"/>
        </w:rPr>
        <w:t>识别分为两个阶段。第一阶段包括</w:t>
      </w:r>
      <w:r w:rsidRPr="00BA5813">
        <w:rPr>
          <w:rFonts w:ascii="Times New Roman" w:hAnsi="Times New Roman" w:cs="Times New Roman"/>
          <w:color w:val="000000"/>
        </w:rPr>
        <w:t>Stage 1A</w:t>
      </w:r>
      <w:r w:rsidRPr="00BA5813">
        <w:rPr>
          <w:rFonts w:ascii="Times New Roman" w:hAnsi="Times New Roman" w:cs="Times New Roman"/>
          <w:color w:val="000000"/>
        </w:rPr>
        <w:t>的制度属性识别和</w:t>
      </w:r>
      <w:r w:rsidRPr="00BA5813">
        <w:rPr>
          <w:rFonts w:ascii="Times New Roman" w:hAnsi="Times New Roman" w:cs="Times New Roman"/>
          <w:color w:val="000000"/>
        </w:rPr>
        <w:t>Stage 1B</w:t>
      </w:r>
      <w:r w:rsidRPr="00BA5813">
        <w:rPr>
          <w:rFonts w:ascii="Times New Roman" w:hAnsi="Times New Roman" w:cs="Times New Roman"/>
          <w:color w:val="000000"/>
        </w:rPr>
        <w:t>的主导维度分类；第二阶段为</w:t>
      </w:r>
      <w:r w:rsidRPr="00BA5813">
        <w:rPr>
          <w:rFonts w:ascii="Times New Roman" w:hAnsi="Times New Roman" w:cs="Times New Roman"/>
          <w:color w:val="000000"/>
        </w:rPr>
        <w:t>Stage 2</w:t>
      </w:r>
      <w:r w:rsidRPr="00BA5813">
        <w:rPr>
          <w:rFonts w:ascii="Times New Roman" w:hAnsi="Times New Roman" w:cs="Times New Roman"/>
          <w:color w:val="000000"/>
        </w:rPr>
        <w:t>的直接作用渠道识别及赋权。采用</w:t>
      </w:r>
      <w:r w:rsidRPr="00BA5813">
        <w:rPr>
          <w:rFonts w:ascii="Times New Roman" w:hAnsi="Times New Roman" w:cs="Times New Roman"/>
          <w:color w:val="000000"/>
        </w:rPr>
        <w:t>DeepSeek-v4-pro</w:t>
      </w:r>
      <w:r w:rsidRPr="00BA5813">
        <w:rPr>
          <w:rFonts w:ascii="Times New Roman" w:hAnsi="Times New Roman" w:cs="Times New Roman"/>
          <w:color w:val="000000"/>
        </w:rPr>
        <w:t>和</w:t>
      </w:r>
      <w:r w:rsidRPr="00BA5813">
        <w:rPr>
          <w:rFonts w:ascii="Times New Roman" w:hAnsi="Times New Roman" w:cs="Times New Roman"/>
          <w:color w:val="000000"/>
        </w:rPr>
        <w:t>qwen3.7-plus</w:t>
      </w:r>
      <w:r w:rsidRPr="00BA5813">
        <w:rPr>
          <w:rFonts w:ascii="Times New Roman" w:hAnsi="Times New Roman" w:cs="Times New Roman"/>
          <w:color w:val="000000"/>
        </w:rPr>
        <w:t>两个基础模型独立编码，由</w:t>
      </w:r>
      <w:r w:rsidRPr="00BA5813">
        <w:rPr>
          <w:rFonts w:ascii="Times New Roman" w:hAnsi="Times New Roman" w:cs="Times New Roman"/>
          <w:color w:val="000000"/>
        </w:rPr>
        <w:t>GLM-5</w:t>
      </w:r>
      <w:r w:rsidRPr="00BA5813">
        <w:rPr>
          <w:rFonts w:ascii="Times New Roman" w:hAnsi="Times New Roman" w:cs="Times New Roman"/>
          <w:color w:val="000000"/>
        </w:rPr>
        <w:t>处理分类分歧。两个基础模型使用相同的条款内容、识别规则和结构化输出要求，编码时不获知对方判断。调用参数采用</w:t>
      </w:r>
      <w:r w:rsidRPr="00BA5813">
        <w:rPr>
          <w:rFonts w:ascii="Times New Roman" w:hAnsi="Times New Roman" w:cs="Times New Roman"/>
          <w:color w:val="000000"/>
        </w:rPr>
        <w:t>temperature=0</w:t>
      </w:r>
      <w:r w:rsidRPr="00BA5813">
        <w:rPr>
          <w:rFonts w:ascii="Times New Roman" w:hAnsi="Times New Roman" w:cs="Times New Roman"/>
          <w:color w:val="000000"/>
        </w:rPr>
        <w:t>、</w:t>
      </w:r>
      <w:r w:rsidRPr="00BA5813">
        <w:rPr>
          <w:rFonts w:ascii="Times New Roman" w:hAnsi="Times New Roman" w:cs="Times New Roman"/>
          <w:color w:val="000000"/>
        </w:rPr>
        <w:t>top_p=1</w:t>
      </w:r>
      <w:r w:rsidRPr="00BA5813">
        <w:rPr>
          <w:rFonts w:ascii="Times New Roman" w:hAnsi="Times New Roman" w:cs="Times New Roman"/>
          <w:color w:val="000000"/>
        </w:rPr>
        <w:t>，并关闭思考模式，以控制采样随机性。</w:t>
      </w:r>
    </w:p>
    <w:p w14:paraId="12188A7F" w14:textId="77777777" w:rsidR="00B9063B" w:rsidRPr="00BA5813" w:rsidRDefault="0039215E">
      <w:pPr>
        <w:widowControl/>
        <w:adjustRightInd w:val="0"/>
        <w:snapToGrid w:val="0"/>
        <w:spacing w:line="360" w:lineRule="auto"/>
        <w:ind w:firstLineChars="200" w:firstLine="420"/>
        <w:rPr>
          <w:rFonts w:ascii="Times New Roman" w:hAnsi="Times New Roman" w:cs="Times New Roman"/>
        </w:rPr>
      </w:pPr>
      <w:r w:rsidRPr="00BA5813">
        <w:rPr>
          <w:rFonts w:ascii="Times New Roman" w:hAnsi="Times New Roman" w:cs="Times New Roman"/>
          <w:color w:val="000000"/>
        </w:rPr>
        <w:t>Stage 1A</w:t>
      </w:r>
      <w:r w:rsidRPr="00BA5813">
        <w:rPr>
          <w:rFonts w:ascii="Times New Roman" w:hAnsi="Times New Roman" w:cs="Times New Roman"/>
          <w:color w:val="000000"/>
        </w:rPr>
        <w:t>判断条款是否直接确立前述制度安排，记为</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A5813">
        <w:rPr>
          <w:rFonts w:ascii="Times New Roman" w:hAnsi="Times New Roman" w:cs="Times New Roman"/>
          <w:color w:val="000000"/>
        </w:rPr>
        <w:t>。两个模型的制度属性判断一致时采用该结论，不一致时交由仲裁模型审核。</w:t>
      </w:r>
      <w:r w:rsidRPr="00BA5813">
        <w:rPr>
          <w:rFonts w:ascii="Times New Roman" w:hAnsi="Times New Roman" w:cs="Times New Roman"/>
          <w:color w:val="000000"/>
        </w:rPr>
        <w:t>Stage 1B</w:t>
      </w:r>
      <w:r w:rsidRPr="00BA5813">
        <w:rPr>
          <w:rFonts w:ascii="Times New Roman" w:hAnsi="Times New Roman" w:cs="Times New Roman"/>
          <w:color w:val="000000"/>
        </w:rPr>
        <w:t>仅对</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1</m:t>
        </m:r>
      </m:oMath>
      <w:r w:rsidRPr="00BA5813">
        <w:rPr>
          <w:rFonts w:ascii="Times New Roman" w:hAnsi="Times New Roman" w:cs="Times New Roman"/>
          <w:color w:val="000000"/>
        </w:rPr>
        <w:t>的条款确定主导维度</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oMath>
      <w:r w:rsidRPr="00BA5813">
        <w:rPr>
          <w:rFonts w:ascii="Times New Roman" w:hAnsi="Times New Roman" w:cs="Times New Roman"/>
          <w:color w:val="000000"/>
        </w:rPr>
        <w:t>；两个模型的维度分类不一致时，同样进入仲裁。最终结果须通过合法标签、编号唯一性和样本覆盖校验，未解决的分类不进入指数计算。</w:t>
      </w:r>
    </w:p>
    <w:p w14:paraId="5285E674" w14:textId="77777777" w:rsidR="00B9063B" w:rsidRPr="00BA5813" w:rsidRDefault="0039215E">
      <w:pPr>
        <w:widowControl/>
        <w:adjustRightInd w:val="0"/>
        <w:snapToGrid w:val="0"/>
        <w:spacing w:line="360" w:lineRule="auto"/>
        <w:ind w:firstLineChars="200" w:firstLine="420"/>
        <w:rPr>
          <w:rFonts w:ascii="Times New Roman" w:hAnsi="Times New Roman" w:cs="Times New Roman"/>
        </w:rPr>
      </w:pPr>
      <w:r w:rsidRPr="00BA5813">
        <w:rPr>
          <w:rFonts w:ascii="Times New Roman" w:hAnsi="Times New Roman" w:cs="Times New Roman"/>
          <w:color w:val="000000"/>
        </w:rPr>
        <w:t>在</w:t>
      </w:r>
      <w:r w:rsidRPr="00BA5813">
        <w:rPr>
          <w:rFonts w:ascii="Times New Roman" w:hAnsi="Times New Roman" w:cs="Times New Roman"/>
          <w:color w:val="000000"/>
        </w:rPr>
        <w:t>1,071</w:t>
      </w:r>
      <w:r w:rsidRPr="00BA5813">
        <w:rPr>
          <w:rFonts w:ascii="Times New Roman" w:hAnsi="Times New Roman" w:cs="Times New Roman"/>
          <w:color w:val="000000"/>
        </w:rPr>
        <w:t>项条款中，识别出</w:t>
      </w:r>
      <w:r w:rsidRPr="00BA5813">
        <w:rPr>
          <w:rFonts w:ascii="Times New Roman" w:hAnsi="Times New Roman" w:cs="Times New Roman"/>
          <w:color w:val="000000"/>
        </w:rPr>
        <w:t>764</w:t>
      </w:r>
      <w:r w:rsidRPr="00BA5813">
        <w:rPr>
          <w:rFonts w:ascii="Times New Roman" w:hAnsi="Times New Roman" w:cs="Times New Roman"/>
          <w:color w:val="000000"/>
        </w:rPr>
        <w:t>项制度型开放条款和</w:t>
      </w:r>
      <w:r w:rsidRPr="00BA5813">
        <w:rPr>
          <w:rFonts w:ascii="Times New Roman" w:hAnsi="Times New Roman" w:cs="Times New Roman"/>
          <w:color w:val="000000"/>
        </w:rPr>
        <w:t>307</w:t>
      </w:r>
      <w:r w:rsidRPr="00BA5813">
        <w:rPr>
          <w:rFonts w:ascii="Times New Roman" w:hAnsi="Times New Roman" w:cs="Times New Roman"/>
          <w:color w:val="000000"/>
        </w:rPr>
        <w:t>项非制度型开放条款。</w:t>
      </w:r>
      <w:r w:rsidRPr="00BA5813">
        <w:rPr>
          <w:rFonts w:ascii="Times New Roman" w:hAnsi="Times New Roman" w:cs="Times New Roman"/>
          <w:color w:val="000000"/>
        </w:rPr>
        <w:t>764</w:t>
      </w:r>
      <w:r w:rsidRPr="00BA5813">
        <w:rPr>
          <w:rFonts w:ascii="Times New Roman" w:hAnsi="Times New Roman" w:cs="Times New Roman"/>
          <w:color w:val="000000"/>
        </w:rPr>
        <w:t>项制度条款分别归入规则</w:t>
      </w:r>
      <w:r w:rsidRPr="00BA5813">
        <w:rPr>
          <w:rFonts w:ascii="Times New Roman" w:hAnsi="Times New Roman" w:cs="Times New Roman"/>
          <w:color w:val="000000"/>
        </w:rPr>
        <w:t>497</w:t>
      </w:r>
      <w:r w:rsidRPr="00BA5813">
        <w:rPr>
          <w:rFonts w:ascii="Times New Roman" w:hAnsi="Times New Roman" w:cs="Times New Roman"/>
          <w:color w:val="000000"/>
        </w:rPr>
        <w:t>项、规制</w:t>
      </w:r>
      <w:r w:rsidRPr="00BA5813">
        <w:rPr>
          <w:rFonts w:ascii="Times New Roman" w:hAnsi="Times New Roman" w:cs="Times New Roman"/>
          <w:color w:val="000000"/>
        </w:rPr>
        <w:t>47</w:t>
      </w:r>
      <w:r w:rsidRPr="00BA5813">
        <w:rPr>
          <w:rFonts w:ascii="Times New Roman" w:hAnsi="Times New Roman" w:cs="Times New Roman"/>
          <w:color w:val="000000"/>
        </w:rPr>
        <w:t>项、管理</w:t>
      </w:r>
      <w:r w:rsidRPr="00BA5813">
        <w:rPr>
          <w:rFonts w:ascii="Times New Roman" w:hAnsi="Times New Roman" w:cs="Times New Roman"/>
          <w:color w:val="000000"/>
        </w:rPr>
        <w:t>189</w:t>
      </w:r>
      <w:r w:rsidRPr="00BA5813">
        <w:rPr>
          <w:rFonts w:ascii="Times New Roman" w:hAnsi="Times New Roman" w:cs="Times New Roman"/>
          <w:color w:val="000000"/>
        </w:rPr>
        <w:t>项和标准</w:t>
      </w:r>
      <w:r w:rsidRPr="00BA5813">
        <w:rPr>
          <w:rFonts w:ascii="Times New Roman" w:hAnsi="Times New Roman" w:cs="Times New Roman"/>
          <w:color w:val="000000"/>
        </w:rPr>
        <w:t>31</w:t>
      </w:r>
      <w:r w:rsidRPr="00BA5813">
        <w:rPr>
          <w:rFonts w:ascii="Times New Roman" w:hAnsi="Times New Roman" w:cs="Times New Roman"/>
          <w:color w:val="000000"/>
        </w:rPr>
        <w:t>项。</w:t>
      </w:r>
      <w:r w:rsidRPr="00BA5813">
        <w:rPr>
          <w:rFonts w:ascii="Times New Roman" w:hAnsi="Times New Roman" w:cs="Times New Roman"/>
          <w:color w:val="000000"/>
        </w:rPr>
        <w:t>Stage 1A</w:t>
      </w:r>
      <w:r w:rsidRPr="00BA5813">
        <w:rPr>
          <w:rFonts w:ascii="Times New Roman" w:hAnsi="Times New Roman" w:cs="Times New Roman"/>
          <w:color w:val="000000"/>
        </w:rPr>
        <w:t>有</w:t>
      </w:r>
      <w:r w:rsidRPr="00BA5813">
        <w:rPr>
          <w:rFonts w:ascii="Times New Roman" w:hAnsi="Times New Roman" w:cs="Times New Roman"/>
          <w:color w:val="000000"/>
        </w:rPr>
        <w:t>103</w:t>
      </w:r>
      <w:r w:rsidRPr="00BA5813">
        <w:rPr>
          <w:rFonts w:ascii="Times New Roman" w:hAnsi="Times New Roman" w:cs="Times New Roman"/>
          <w:color w:val="000000"/>
        </w:rPr>
        <w:t>项双模型分类分歧，</w:t>
      </w:r>
      <w:r w:rsidRPr="00BA5813">
        <w:rPr>
          <w:rFonts w:ascii="Times New Roman" w:hAnsi="Times New Roman" w:cs="Times New Roman"/>
          <w:color w:val="000000"/>
        </w:rPr>
        <w:t>Stage 1B</w:t>
      </w:r>
      <w:r w:rsidRPr="00BA5813">
        <w:rPr>
          <w:rFonts w:ascii="Times New Roman" w:hAnsi="Times New Roman" w:cs="Times New Roman"/>
          <w:color w:val="000000"/>
        </w:rPr>
        <w:t>有</w:t>
      </w:r>
      <w:r w:rsidRPr="00BA5813">
        <w:rPr>
          <w:rFonts w:ascii="Times New Roman" w:hAnsi="Times New Roman" w:cs="Times New Roman"/>
          <w:color w:val="000000"/>
        </w:rPr>
        <w:t>109</w:t>
      </w:r>
      <w:r w:rsidRPr="00BA5813">
        <w:rPr>
          <w:rFonts w:ascii="Times New Roman" w:hAnsi="Times New Roman" w:cs="Times New Roman"/>
          <w:color w:val="000000"/>
        </w:rPr>
        <w:t>项主导维度分歧，均经过仲裁处理。双模型一致性用于评估编码稳定性，不将其等同于相对于独立人工标准的准确率。</w:t>
      </w:r>
    </w:p>
    <w:p w14:paraId="75E6D272" w14:textId="77777777" w:rsidR="00B9063B" w:rsidRDefault="0039215E">
      <w:pPr>
        <w:pStyle w:val="3"/>
        <w:widowControl/>
        <w:adjustRightInd w:val="0"/>
        <w:snapToGrid w:val="0"/>
        <w:spacing w:before="0" w:after="0"/>
        <w:jc w:val="both"/>
      </w:pPr>
      <w:bookmarkStart w:id="9" w:name="第二阶段贸易与跨国生产渠道及权重"/>
      <w:bookmarkEnd w:id="8"/>
      <w:r>
        <w:rPr>
          <w:rFonts w:eastAsia="宋体"/>
          <w:color w:val="000000"/>
        </w:rPr>
        <w:t>（</w:t>
      </w:r>
      <w:r>
        <w:rPr>
          <w:rFonts w:eastAsia="宋体"/>
          <w:color w:val="000000"/>
        </w:rPr>
        <w:t>4</w:t>
      </w:r>
      <w:r>
        <w:rPr>
          <w:rFonts w:eastAsia="宋体"/>
          <w:color w:val="000000"/>
        </w:rPr>
        <w:t>）第二阶段：贸易与跨国生产渠道及权重</w:t>
      </w:r>
    </w:p>
    <w:p w14:paraId="3324453E" w14:textId="77777777" w:rsidR="00B9063B" w:rsidRDefault="0039215E">
      <w:pPr>
        <w:widowControl/>
        <w:adjustRightInd w:val="0"/>
        <w:snapToGrid w:val="0"/>
        <w:spacing w:line="360" w:lineRule="auto"/>
      </w:pPr>
      <w:r w:rsidRPr="00F146F0">
        <w:rPr>
          <w:rFonts w:ascii="Times New Roman" w:hAnsi="Times New Roman" w:cs="Times New Roman"/>
          <w:color w:val="000000"/>
        </w:rPr>
        <w:t>Stage 2</w:t>
      </w:r>
      <w:r>
        <w:rPr>
          <w:color w:val="000000"/>
        </w:rPr>
        <w:t>对制度型开放条款识别其直接作用于贸易、跨国生产、两者或均无直接作用。贸易渠道包括货物与服务的跨境交易、外国商品或服务供应商的准入与待遇、原产地、海关便利化、贸易救济以及</w:t>
      </w:r>
      <w:r>
        <w:rPr>
          <w:color w:val="000000"/>
        </w:rPr>
        <w:t>SPS/TBT</w:t>
      </w:r>
      <w:r>
        <w:rPr>
          <w:color w:val="000000"/>
        </w:rPr>
        <w:t>等安排；跨国生产渠道包括外资准入、企业设立与收购、商业存在、投资审批、资本转移、利润汇回、投资保护及外国企业经营条件。</w:t>
      </w:r>
    </w:p>
    <w:p w14:paraId="11812FAC" w14:textId="77777777" w:rsidR="00B9063B" w:rsidRDefault="0039215E">
      <w:pPr>
        <w:widowControl/>
        <w:adjustRightInd w:val="0"/>
        <w:snapToGrid w:val="0"/>
        <w:spacing w:line="360" w:lineRule="auto"/>
      </w:pPr>
      <w:r>
        <w:rPr>
          <w:color w:val="000000"/>
        </w:rPr>
        <w:t>只有同时存在可辨认的贸易机制与跨国生产机制时，条款才归为双渠道。一般性治理或合作条款虽然可能具有制度属性，但缺乏直接作用机制时，归为无直接渠道。记贸易和跨国生产权重为</w:t>
      </w:r>
      <m:oMath>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T</m:t>
            </m:r>
          </m:sup>
        </m:sSubSup>
      </m:oMath>
      <w:r>
        <w:rPr>
          <w:color w:val="000000"/>
        </w:rPr>
        <w:t>和</w:t>
      </w:r>
      <m:oMath>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M</m:t>
            </m:r>
          </m:sup>
        </m:sSubSup>
      </m:oMath>
      <w:r>
        <w:rPr>
          <w:color w:val="000000"/>
        </w:rPr>
        <w:t>，赋权规则见表</w:t>
      </w:r>
      <w:r>
        <w:rPr>
          <w:color w:val="000000"/>
        </w:rPr>
        <w:t>1</w:t>
      </w:r>
      <w:r>
        <w:rPr>
          <w:color w:val="000000"/>
        </w:rPr>
        <w:t>。</w:t>
      </w:r>
    </w:p>
    <w:p w14:paraId="240E8C4A" w14:textId="77777777" w:rsidR="00B9063B" w:rsidRDefault="0039215E">
      <w:pPr>
        <w:keepNext/>
        <w:widowControl/>
        <w:adjustRightInd w:val="0"/>
        <w:snapToGrid w:val="0"/>
        <w:spacing w:line="360" w:lineRule="auto"/>
      </w:pPr>
      <w:r>
        <w:rPr>
          <w:b/>
          <w:color w:val="000000"/>
        </w:rPr>
        <w:t>表</w:t>
      </w:r>
      <w:r>
        <w:rPr>
          <w:b/>
          <w:color w:val="000000"/>
        </w:rPr>
        <w:t>1</w:t>
      </w:r>
      <w:r>
        <w:rPr>
          <w:b/>
          <w:color w:val="000000"/>
        </w:rPr>
        <w:t xml:space="preserve">　制度条款的渠道分类与权重规则</w:t>
      </w:r>
    </w:p>
    <w:tbl>
      <w:tblPr>
        <w:tblW w:w="0" w:type="pct"/>
        <w:jc w:val="center"/>
        <w:tblLayout w:type="fixed"/>
        <w:tblLook w:val="04A0" w:firstRow="1" w:lastRow="0" w:firstColumn="1" w:lastColumn="0" w:noHBand="0" w:noVBand="1"/>
      </w:tblPr>
      <w:tblGrid>
        <w:gridCol w:w="1843"/>
        <w:gridCol w:w="2154"/>
        <w:gridCol w:w="2154"/>
        <w:gridCol w:w="2154"/>
      </w:tblGrid>
      <w:tr w:rsidR="00B9063B" w14:paraId="27F7A276" w14:textId="77777777">
        <w:trPr>
          <w:cantSplit/>
          <w:tblHeader/>
          <w:jc w:val="center"/>
        </w:trPr>
        <w:tc>
          <w:tcPr>
            <w:tcW w:w="1843" w:type="dxa"/>
            <w:tcBorders>
              <w:top w:val="single" w:sz="10" w:space="0" w:color="000000"/>
              <w:left w:val="nil"/>
              <w:bottom w:val="single" w:sz="4" w:space="0" w:color="000000"/>
              <w:right w:val="nil"/>
            </w:tcBorders>
          </w:tcPr>
          <w:p w14:paraId="5D28AC34" w14:textId="77777777" w:rsidR="00B9063B" w:rsidRDefault="0039215E">
            <w:pPr>
              <w:keepNext/>
              <w:adjustRightInd w:val="0"/>
              <w:snapToGrid w:val="0"/>
              <w:spacing w:line="360" w:lineRule="auto"/>
            </w:pPr>
            <w:r>
              <w:rPr>
                <w:b/>
                <w:color w:val="000000"/>
                <w:sz w:val="18"/>
              </w:rPr>
              <w:t>渠道类型</w:t>
            </w:r>
          </w:p>
        </w:tc>
        <w:tc>
          <w:tcPr>
            <w:tcW w:w="2154" w:type="dxa"/>
            <w:tcBorders>
              <w:top w:val="single" w:sz="10" w:space="0" w:color="000000"/>
              <w:left w:val="nil"/>
              <w:bottom w:val="single" w:sz="4" w:space="0" w:color="000000"/>
              <w:right w:val="nil"/>
            </w:tcBorders>
          </w:tcPr>
          <w:p w14:paraId="7C631F01" w14:textId="77777777" w:rsidR="00B9063B" w:rsidRDefault="0039215E">
            <w:pPr>
              <w:keepNext/>
              <w:adjustRightInd w:val="0"/>
              <w:snapToGrid w:val="0"/>
              <w:spacing w:line="360" w:lineRule="auto"/>
            </w:pPr>
            <w:r>
              <w:rPr>
                <w:b/>
                <w:color w:val="000000"/>
                <w:sz w:val="18"/>
              </w:rPr>
              <w:t>贸易权重</w:t>
            </w:r>
          </w:p>
        </w:tc>
        <w:tc>
          <w:tcPr>
            <w:tcW w:w="2154" w:type="dxa"/>
            <w:tcBorders>
              <w:top w:val="single" w:sz="10" w:space="0" w:color="000000"/>
              <w:left w:val="nil"/>
              <w:bottom w:val="single" w:sz="4" w:space="0" w:color="000000"/>
              <w:right w:val="nil"/>
            </w:tcBorders>
          </w:tcPr>
          <w:p w14:paraId="01A95A96" w14:textId="77777777" w:rsidR="00B9063B" w:rsidRDefault="0039215E">
            <w:pPr>
              <w:keepNext/>
              <w:adjustRightInd w:val="0"/>
              <w:snapToGrid w:val="0"/>
              <w:spacing w:line="360" w:lineRule="auto"/>
            </w:pPr>
            <w:r>
              <w:rPr>
                <w:b/>
                <w:color w:val="000000"/>
                <w:sz w:val="18"/>
              </w:rPr>
              <w:t>跨国生产权重</w:t>
            </w:r>
          </w:p>
        </w:tc>
        <w:tc>
          <w:tcPr>
            <w:tcW w:w="2154" w:type="dxa"/>
            <w:tcBorders>
              <w:top w:val="single" w:sz="10" w:space="0" w:color="000000"/>
              <w:left w:val="nil"/>
              <w:bottom w:val="single" w:sz="4" w:space="0" w:color="000000"/>
              <w:right w:val="nil"/>
            </w:tcBorders>
          </w:tcPr>
          <w:p w14:paraId="5904CB49" w14:textId="77777777" w:rsidR="00B9063B" w:rsidRDefault="0039215E">
            <w:pPr>
              <w:keepNext/>
              <w:adjustRightInd w:val="0"/>
              <w:snapToGrid w:val="0"/>
              <w:spacing w:line="360" w:lineRule="auto"/>
            </w:pPr>
            <w:r>
              <w:rPr>
                <w:b/>
                <w:color w:val="000000"/>
                <w:sz w:val="18"/>
              </w:rPr>
              <w:t>条款数</w:t>
            </w:r>
          </w:p>
        </w:tc>
      </w:tr>
      <w:tr w:rsidR="00B9063B" w14:paraId="12DFF44B" w14:textId="77777777">
        <w:trPr>
          <w:cantSplit/>
          <w:jc w:val="center"/>
        </w:trPr>
        <w:tc>
          <w:tcPr>
            <w:tcW w:w="1843" w:type="dxa"/>
            <w:tcBorders>
              <w:top w:val="nil"/>
              <w:left w:val="nil"/>
              <w:bottom w:val="nil"/>
              <w:right w:val="nil"/>
            </w:tcBorders>
          </w:tcPr>
          <w:p w14:paraId="6220603B"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仅贸易（</w:t>
            </w:r>
            <w:r>
              <w:rPr>
                <w:rFonts w:ascii="Times New Roman" w:hAnsi="Times New Roman" w:cs="Times New Roman"/>
                <w:color w:val="000000"/>
                <w:sz w:val="18"/>
              </w:rPr>
              <w:t>trade</w:t>
            </w:r>
            <w:r>
              <w:rPr>
                <w:rFonts w:ascii="Times New Roman" w:hAnsi="Times New Roman" w:cs="Times New Roman"/>
                <w:color w:val="000000"/>
                <w:sz w:val="18"/>
              </w:rPr>
              <w:t>）</w:t>
            </w:r>
          </w:p>
        </w:tc>
        <w:tc>
          <w:tcPr>
            <w:tcW w:w="2154" w:type="dxa"/>
            <w:tcBorders>
              <w:top w:val="nil"/>
              <w:left w:val="nil"/>
              <w:bottom w:val="nil"/>
              <w:right w:val="nil"/>
            </w:tcBorders>
          </w:tcPr>
          <w:p w14:paraId="0F18AFB2"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1</w:t>
            </w:r>
          </w:p>
        </w:tc>
        <w:tc>
          <w:tcPr>
            <w:tcW w:w="2154" w:type="dxa"/>
            <w:tcBorders>
              <w:top w:val="nil"/>
              <w:left w:val="nil"/>
              <w:bottom w:val="nil"/>
              <w:right w:val="nil"/>
            </w:tcBorders>
          </w:tcPr>
          <w:p w14:paraId="41190798"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0</w:t>
            </w:r>
          </w:p>
        </w:tc>
        <w:tc>
          <w:tcPr>
            <w:tcW w:w="2154" w:type="dxa"/>
            <w:tcBorders>
              <w:top w:val="nil"/>
              <w:left w:val="nil"/>
              <w:bottom w:val="nil"/>
              <w:right w:val="nil"/>
            </w:tcBorders>
          </w:tcPr>
          <w:p w14:paraId="78453A71"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500</w:t>
            </w:r>
          </w:p>
        </w:tc>
      </w:tr>
      <w:tr w:rsidR="00B9063B" w14:paraId="45BBA35E" w14:textId="77777777">
        <w:trPr>
          <w:cantSplit/>
          <w:jc w:val="center"/>
        </w:trPr>
        <w:tc>
          <w:tcPr>
            <w:tcW w:w="1843" w:type="dxa"/>
            <w:tcBorders>
              <w:top w:val="nil"/>
              <w:left w:val="nil"/>
              <w:bottom w:val="nil"/>
              <w:right w:val="nil"/>
            </w:tcBorders>
          </w:tcPr>
          <w:p w14:paraId="34ABA2A9"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仅跨国生产（</w:t>
            </w:r>
            <w:r>
              <w:rPr>
                <w:rFonts w:ascii="Times New Roman" w:hAnsi="Times New Roman" w:cs="Times New Roman"/>
                <w:color w:val="000000"/>
                <w:sz w:val="18"/>
              </w:rPr>
              <w:t>mp</w:t>
            </w:r>
            <w:r>
              <w:rPr>
                <w:rFonts w:ascii="Times New Roman" w:hAnsi="Times New Roman" w:cs="Times New Roman"/>
                <w:color w:val="000000"/>
                <w:sz w:val="18"/>
              </w:rPr>
              <w:t>）</w:t>
            </w:r>
          </w:p>
        </w:tc>
        <w:tc>
          <w:tcPr>
            <w:tcW w:w="2154" w:type="dxa"/>
            <w:tcBorders>
              <w:top w:val="nil"/>
              <w:left w:val="nil"/>
              <w:bottom w:val="nil"/>
              <w:right w:val="nil"/>
            </w:tcBorders>
          </w:tcPr>
          <w:p w14:paraId="378BF6D3"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0</w:t>
            </w:r>
          </w:p>
        </w:tc>
        <w:tc>
          <w:tcPr>
            <w:tcW w:w="2154" w:type="dxa"/>
            <w:tcBorders>
              <w:top w:val="nil"/>
              <w:left w:val="nil"/>
              <w:bottom w:val="nil"/>
              <w:right w:val="nil"/>
            </w:tcBorders>
          </w:tcPr>
          <w:p w14:paraId="0F88D6CB"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1</w:t>
            </w:r>
          </w:p>
        </w:tc>
        <w:tc>
          <w:tcPr>
            <w:tcW w:w="2154" w:type="dxa"/>
            <w:tcBorders>
              <w:top w:val="nil"/>
              <w:left w:val="nil"/>
              <w:bottom w:val="nil"/>
              <w:right w:val="nil"/>
            </w:tcBorders>
          </w:tcPr>
          <w:p w14:paraId="0FA4F0EE"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132</w:t>
            </w:r>
          </w:p>
        </w:tc>
      </w:tr>
      <w:tr w:rsidR="00B9063B" w14:paraId="73995B6E" w14:textId="77777777">
        <w:trPr>
          <w:cantSplit/>
          <w:jc w:val="center"/>
        </w:trPr>
        <w:tc>
          <w:tcPr>
            <w:tcW w:w="1843" w:type="dxa"/>
            <w:tcBorders>
              <w:top w:val="nil"/>
              <w:left w:val="nil"/>
              <w:bottom w:val="nil"/>
              <w:right w:val="nil"/>
            </w:tcBorders>
          </w:tcPr>
          <w:p w14:paraId="4A771CDF"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双渠道（</w:t>
            </w:r>
            <w:r>
              <w:rPr>
                <w:rFonts w:ascii="Times New Roman" w:hAnsi="Times New Roman" w:cs="Times New Roman"/>
                <w:color w:val="000000"/>
                <w:sz w:val="18"/>
              </w:rPr>
              <w:t>both</w:t>
            </w:r>
            <w:r>
              <w:rPr>
                <w:rFonts w:ascii="Times New Roman" w:hAnsi="Times New Roman" w:cs="Times New Roman"/>
                <w:color w:val="000000"/>
                <w:sz w:val="18"/>
              </w:rPr>
              <w:t>）</w:t>
            </w:r>
          </w:p>
        </w:tc>
        <w:tc>
          <w:tcPr>
            <w:tcW w:w="2154" w:type="dxa"/>
            <w:tcBorders>
              <w:top w:val="nil"/>
              <w:left w:val="nil"/>
              <w:bottom w:val="nil"/>
              <w:right w:val="nil"/>
            </w:tcBorders>
          </w:tcPr>
          <w:p w14:paraId="569B7B0A" w14:textId="77777777" w:rsidR="00B9063B" w:rsidRDefault="0039215E">
            <w:pPr>
              <w:keepNext/>
              <w:adjustRightInd w:val="0"/>
              <w:snapToGrid w:val="0"/>
              <w:spacing w:line="360" w:lineRule="auto"/>
              <w:jc w:val="center"/>
              <w:rPr>
                <w:rFonts w:ascii="Times New Roman" w:hAnsi="Times New Roman" w:cs="Times New Roman"/>
              </w:rPr>
            </w:pPr>
            <m:oMathPara>
              <m:oMath>
                <m:r>
                  <w:rPr>
                    <w:rFonts w:ascii="Cambria Math" w:hAnsi="Cambria Math" w:cs="Times New Roman"/>
                  </w:rPr>
                  <m:t>0</m:t>
                </m:r>
                <m:r>
                  <m:rPr>
                    <m:sty m:val="p"/>
                  </m:rPr>
                  <w:rPr>
                    <w:rFonts w:ascii="Cambria Math" w:hAnsi="Cambria Math" w:cs="Times New Roman"/>
                  </w:rPr>
                  <m:t>&lt;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p</m:t>
                    </m:r>
                  </m:sub>
                  <m:sup>
                    <m:r>
                      <w:rPr>
                        <w:rFonts w:ascii="Cambria Math" w:hAnsi="Cambria Math" w:cs="Times New Roman"/>
                      </w:rPr>
                      <m:t>T</m:t>
                    </m:r>
                  </m:sup>
                </m:sSubSup>
                <m:r>
                  <m:rPr>
                    <m:sty m:val="p"/>
                  </m:rPr>
                  <w:rPr>
                    <w:rFonts w:ascii="Cambria Math" w:hAnsi="Cambria Math" w:cs="Times New Roman"/>
                  </w:rPr>
                  <m:t>&lt;</m:t>
                </m:r>
                <m:r>
                  <w:rPr>
                    <w:rFonts w:ascii="Cambria Math" w:hAnsi="Cambria Math" w:cs="Times New Roman"/>
                  </w:rPr>
                  <m:t>1</m:t>
                </m:r>
              </m:oMath>
            </m:oMathPara>
          </w:p>
        </w:tc>
        <w:tc>
          <w:tcPr>
            <w:tcW w:w="2154" w:type="dxa"/>
            <w:tcBorders>
              <w:top w:val="nil"/>
              <w:left w:val="nil"/>
              <w:bottom w:val="nil"/>
              <w:right w:val="nil"/>
            </w:tcBorders>
          </w:tcPr>
          <w:p w14:paraId="25CC1B48" w14:textId="77777777" w:rsidR="00B9063B" w:rsidRDefault="00A00E78">
            <w:pPr>
              <w:keepNext/>
              <w:adjustRightInd w:val="0"/>
              <w:snapToGrid w:val="0"/>
              <w:spacing w:line="360" w:lineRule="auto"/>
              <w:jc w:val="cente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p</m:t>
                    </m:r>
                  </m:sub>
                  <m:sup>
                    <m:r>
                      <w:rPr>
                        <w:rFonts w:ascii="Cambria Math" w:hAnsi="Cambria Math" w:cs="Times New Roman"/>
                      </w:rPr>
                      <m:t>M</m:t>
                    </m:r>
                  </m:sup>
                </m:sSub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p</m:t>
                    </m:r>
                  </m:sub>
                  <m:sup>
                    <m:r>
                      <w:rPr>
                        <w:rFonts w:ascii="Cambria Math" w:hAnsi="Cambria Math" w:cs="Times New Roman"/>
                      </w:rPr>
                      <m:t>T</m:t>
                    </m:r>
                  </m:sup>
                </m:sSubSup>
              </m:oMath>
            </m:oMathPara>
          </w:p>
        </w:tc>
        <w:tc>
          <w:tcPr>
            <w:tcW w:w="2154" w:type="dxa"/>
            <w:tcBorders>
              <w:top w:val="nil"/>
              <w:left w:val="nil"/>
              <w:bottom w:val="nil"/>
              <w:right w:val="nil"/>
            </w:tcBorders>
          </w:tcPr>
          <w:p w14:paraId="223F5B2C"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56</w:t>
            </w:r>
          </w:p>
        </w:tc>
      </w:tr>
      <w:tr w:rsidR="00B9063B" w14:paraId="2375123C" w14:textId="77777777">
        <w:trPr>
          <w:cantSplit/>
          <w:jc w:val="center"/>
        </w:trPr>
        <w:tc>
          <w:tcPr>
            <w:tcW w:w="1843" w:type="dxa"/>
            <w:tcBorders>
              <w:top w:val="nil"/>
              <w:left w:val="nil"/>
              <w:bottom w:val="nil"/>
              <w:right w:val="nil"/>
            </w:tcBorders>
          </w:tcPr>
          <w:p w14:paraId="5D5590DB"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无直接渠道（</w:t>
            </w:r>
            <w:r>
              <w:rPr>
                <w:rFonts w:ascii="Times New Roman" w:hAnsi="Times New Roman" w:cs="Times New Roman"/>
                <w:color w:val="000000"/>
                <w:sz w:val="18"/>
              </w:rPr>
              <w:t>none</w:t>
            </w:r>
            <w:r>
              <w:rPr>
                <w:rFonts w:ascii="Times New Roman" w:hAnsi="Times New Roman" w:cs="Times New Roman"/>
                <w:color w:val="000000"/>
                <w:sz w:val="18"/>
              </w:rPr>
              <w:t>）</w:t>
            </w:r>
          </w:p>
        </w:tc>
        <w:tc>
          <w:tcPr>
            <w:tcW w:w="2154" w:type="dxa"/>
            <w:tcBorders>
              <w:top w:val="nil"/>
              <w:left w:val="nil"/>
              <w:bottom w:val="nil"/>
              <w:right w:val="nil"/>
            </w:tcBorders>
          </w:tcPr>
          <w:p w14:paraId="36A3122D"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0</w:t>
            </w:r>
          </w:p>
        </w:tc>
        <w:tc>
          <w:tcPr>
            <w:tcW w:w="2154" w:type="dxa"/>
            <w:tcBorders>
              <w:top w:val="nil"/>
              <w:left w:val="nil"/>
              <w:bottom w:val="nil"/>
              <w:right w:val="nil"/>
            </w:tcBorders>
          </w:tcPr>
          <w:p w14:paraId="28FD226A"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0</w:t>
            </w:r>
          </w:p>
        </w:tc>
        <w:tc>
          <w:tcPr>
            <w:tcW w:w="2154" w:type="dxa"/>
            <w:tcBorders>
              <w:top w:val="nil"/>
              <w:left w:val="nil"/>
              <w:bottom w:val="nil"/>
              <w:right w:val="nil"/>
            </w:tcBorders>
          </w:tcPr>
          <w:p w14:paraId="121DFCB9"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76</w:t>
            </w:r>
          </w:p>
        </w:tc>
      </w:tr>
      <w:tr w:rsidR="00B9063B" w14:paraId="7D6FD21C" w14:textId="77777777">
        <w:trPr>
          <w:cantSplit/>
          <w:jc w:val="center"/>
        </w:trPr>
        <w:tc>
          <w:tcPr>
            <w:tcW w:w="1843" w:type="dxa"/>
            <w:tcBorders>
              <w:top w:val="nil"/>
              <w:left w:val="nil"/>
              <w:bottom w:val="single" w:sz="10" w:space="0" w:color="000000"/>
              <w:right w:val="nil"/>
            </w:tcBorders>
          </w:tcPr>
          <w:p w14:paraId="5D495725"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非制度条款，不进入</w:t>
            </w:r>
            <w:r>
              <w:rPr>
                <w:rFonts w:ascii="Times New Roman" w:hAnsi="Times New Roman" w:cs="Times New Roman"/>
                <w:color w:val="000000"/>
                <w:sz w:val="18"/>
              </w:rPr>
              <w:t>Stage 2</w:t>
            </w:r>
          </w:p>
        </w:tc>
        <w:tc>
          <w:tcPr>
            <w:tcW w:w="2154" w:type="dxa"/>
            <w:tcBorders>
              <w:top w:val="nil"/>
              <w:left w:val="nil"/>
              <w:bottom w:val="single" w:sz="10" w:space="0" w:color="000000"/>
              <w:right w:val="nil"/>
            </w:tcBorders>
          </w:tcPr>
          <w:p w14:paraId="61A10DFE"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0</w:t>
            </w:r>
          </w:p>
        </w:tc>
        <w:tc>
          <w:tcPr>
            <w:tcW w:w="2154" w:type="dxa"/>
            <w:tcBorders>
              <w:top w:val="nil"/>
              <w:left w:val="nil"/>
              <w:bottom w:val="single" w:sz="10" w:space="0" w:color="000000"/>
              <w:right w:val="nil"/>
            </w:tcBorders>
          </w:tcPr>
          <w:p w14:paraId="7AA2A428"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0</w:t>
            </w:r>
          </w:p>
        </w:tc>
        <w:tc>
          <w:tcPr>
            <w:tcW w:w="2154" w:type="dxa"/>
            <w:tcBorders>
              <w:top w:val="nil"/>
              <w:left w:val="nil"/>
              <w:bottom w:val="single" w:sz="10" w:space="0" w:color="000000"/>
              <w:right w:val="nil"/>
            </w:tcBorders>
          </w:tcPr>
          <w:p w14:paraId="4C809F65" w14:textId="77777777" w:rsidR="00B9063B" w:rsidRDefault="0039215E">
            <w:pPr>
              <w:keepNext/>
              <w:adjustRightInd w:val="0"/>
              <w:snapToGrid w:val="0"/>
              <w:spacing w:line="360" w:lineRule="auto"/>
              <w:jc w:val="center"/>
              <w:rPr>
                <w:rFonts w:ascii="Times New Roman" w:hAnsi="Times New Roman" w:cs="Times New Roman"/>
              </w:rPr>
            </w:pPr>
            <w:r>
              <w:rPr>
                <w:rFonts w:ascii="Times New Roman" w:hAnsi="Times New Roman" w:cs="Times New Roman"/>
                <w:color w:val="000000"/>
                <w:sz w:val="18"/>
              </w:rPr>
              <w:t>307</w:t>
            </w:r>
          </w:p>
        </w:tc>
      </w:tr>
    </w:tbl>
    <w:p w14:paraId="45DC7601" w14:textId="77777777" w:rsidR="00B9063B" w:rsidRDefault="0039215E">
      <w:pPr>
        <w:widowControl/>
        <w:adjustRightInd w:val="0"/>
        <w:snapToGrid w:val="0"/>
        <w:spacing w:line="360" w:lineRule="auto"/>
      </w:pPr>
      <w:r>
        <w:rPr>
          <w:color w:val="000000"/>
          <w:sz w:val="18"/>
        </w:rPr>
        <w:t>注：前四行合计</w:t>
      </w:r>
      <w:r>
        <w:rPr>
          <w:color w:val="000000"/>
          <w:sz w:val="18"/>
        </w:rPr>
        <w:t>764</w:t>
      </w:r>
      <w:r>
        <w:rPr>
          <w:color w:val="000000"/>
          <w:sz w:val="18"/>
        </w:rPr>
        <w:t>项制度型开放条款。渠道权重反映同一条款在两类直接作用机制之间的相对分配，不是回归估计的经济效果或实际成本降幅。</w:t>
      </w:r>
    </w:p>
    <w:p w14:paraId="35A7EB8A" w14:textId="77777777" w:rsidR="00B9063B" w:rsidRDefault="0039215E">
      <w:pPr>
        <w:keepNext/>
        <w:widowControl/>
        <w:adjustRightInd w:val="0"/>
        <w:snapToGrid w:val="0"/>
        <w:spacing w:line="360" w:lineRule="auto"/>
      </w:pPr>
      <w:r>
        <w:rPr>
          <w:color w:val="000000"/>
        </w:rPr>
        <w:t>两个基础模型的渠道类型不一致时，由仲裁模型确定类型及对应权重；二者均判断为双渠道时，先将各自权重标准化，再取算术平均，数值权重差异本身不触发仲裁：</w:t>
      </w:r>
    </w:p>
    <w:p w14:paraId="0603EB8C" w14:textId="77777777" w:rsidR="00B9063B" w:rsidRDefault="00A00E78">
      <w:pPr>
        <w:widowControl/>
        <w:adjustRightInd w:val="0"/>
        <w:snapToGrid w:val="0"/>
        <w:spacing w:line="360" w:lineRule="auto"/>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k</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p</m:t>
                  </m:r>
                  <m:r>
                    <m:rPr>
                      <m:sty m:val="p"/>
                    </m:rPr>
                    <w:rPr>
                      <w:rFonts w:ascii="Cambria Math" w:hAnsi="Cambria Math"/>
                    </w:rPr>
                    <m:t>,</m:t>
                  </m:r>
                  <m:r>
                    <w:rPr>
                      <w:rFonts w:ascii="Cambria Math" w:hAnsi="Cambria Math"/>
                    </w:rPr>
                    <m:t>A</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p</m:t>
                  </m:r>
                  <m:r>
                    <m:rPr>
                      <m:sty m:val="p"/>
                    </m:rPr>
                    <w:rPr>
                      <w:rFonts w:ascii="Cambria Math" w:hAnsi="Cambria Math"/>
                    </w:rPr>
                    <m:t>,</m:t>
                  </m:r>
                  <m:r>
                    <w:rPr>
                      <w:rFonts w:ascii="Cambria Math" w:hAnsi="Cambria Math"/>
                    </w:rPr>
                    <m:t>B</m:t>
                  </m:r>
                </m:sub>
                <m:sup>
                  <m:r>
                    <w:rPr>
                      <w:rFonts w:ascii="Cambria Math" w:hAnsi="Cambria Math"/>
                    </w:rPr>
                    <m:t>k</m:t>
                  </m:r>
                </m:sup>
              </m:sSubSup>
            </m:num>
            <m:den>
              <m:r>
                <w:rPr>
                  <w:rFonts w:ascii="Cambria Math" w:hAnsi="Cambria Math"/>
                </w:rPr>
                <m:t>2</m:t>
              </m:r>
            </m:den>
          </m:f>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m:rPr>
              <m:nor/>
            </m:rPr>
            <m:t>(2)</m:t>
          </m:r>
        </m:oMath>
      </m:oMathPara>
    </w:p>
    <w:p w14:paraId="5F70083D" w14:textId="77777777" w:rsidR="00B9063B" w:rsidRDefault="0039215E">
      <w:pPr>
        <w:widowControl/>
        <w:adjustRightInd w:val="0"/>
        <w:snapToGrid w:val="0"/>
        <w:spacing w:line="360" w:lineRule="auto"/>
      </w:pPr>
      <w:r>
        <w:rPr>
          <w:color w:val="000000"/>
        </w:rPr>
        <w:lastRenderedPageBreak/>
        <w:t>该阶段有</w:t>
      </w:r>
      <w:r>
        <w:rPr>
          <w:color w:val="000000"/>
        </w:rPr>
        <w:t>682</w:t>
      </w:r>
      <w:r>
        <w:rPr>
          <w:color w:val="000000"/>
        </w:rPr>
        <w:t>项渠道类型一致、</w:t>
      </w:r>
      <w:r>
        <w:rPr>
          <w:color w:val="000000"/>
        </w:rPr>
        <w:t>82</w:t>
      </w:r>
      <w:r>
        <w:rPr>
          <w:color w:val="000000"/>
        </w:rPr>
        <w:t>项类型分歧；分歧由仲裁处理。指数采用的有效权重定义为</w:t>
      </w:r>
      <m:oMath>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k</m:t>
            </m:r>
          </m:sup>
        </m:sSubSup>
      </m:oMath>
      <w:r>
        <w:rPr>
          <w:color w:val="000000"/>
        </w:rPr>
        <w:t>。非制度型开放条款的有效权重为</w:t>
      </w:r>
      <w:r>
        <w:rPr>
          <w:color w:val="000000"/>
        </w:rPr>
        <w:t>0</w:t>
      </w:r>
      <w:r>
        <w:rPr>
          <w:color w:val="000000"/>
        </w:rPr>
        <w:t>；无直接渠道的制度条款在两个渠道得分中权重也为</w:t>
      </w:r>
      <w:r>
        <w:rPr>
          <w:color w:val="000000"/>
        </w:rPr>
        <w:t>0</w:t>
      </w:r>
      <w:r>
        <w:rPr>
          <w:color w:val="000000"/>
        </w:rPr>
        <w:t>，但可以计入其所属主导维度的覆盖描述。最终权重文件记录条款编号、分类和两渠道有效权重，供协定聚合调用。</w:t>
      </w:r>
    </w:p>
    <w:p w14:paraId="67F8F6B5" w14:textId="77777777" w:rsidR="00B9063B" w:rsidRDefault="0039215E">
      <w:pPr>
        <w:pStyle w:val="3"/>
        <w:widowControl/>
        <w:adjustRightInd w:val="0"/>
        <w:snapToGrid w:val="0"/>
        <w:spacing w:before="0" w:after="0"/>
        <w:jc w:val="both"/>
      </w:pPr>
      <w:bookmarkStart w:id="10" w:name="协定层制度型开放指数"/>
      <w:bookmarkEnd w:id="9"/>
      <w:r>
        <w:rPr>
          <w:rFonts w:eastAsia="宋体"/>
          <w:color w:val="000000"/>
        </w:rPr>
        <w:t>（</w:t>
      </w:r>
      <w:r>
        <w:rPr>
          <w:rFonts w:eastAsia="宋体"/>
          <w:color w:val="000000"/>
        </w:rPr>
        <w:t>5</w:t>
      </w:r>
      <w:r>
        <w:rPr>
          <w:rFonts w:eastAsia="宋体"/>
          <w:color w:val="000000"/>
        </w:rPr>
        <w:t>）协定层制度型开放指数</w:t>
      </w:r>
    </w:p>
    <w:p w14:paraId="551D62D5" w14:textId="77777777" w:rsidR="00B9063B" w:rsidRDefault="0039215E">
      <w:pPr>
        <w:keepNext/>
        <w:widowControl/>
        <w:adjustRightInd w:val="0"/>
        <w:snapToGrid w:val="0"/>
        <w:spacing w:line="360" w:lineRule="auto"/>
      </w:pPr>
      <w:r>
        <w:rPr>
          <w:color w:val="000000"/>
        </w:rPr>
        <w:t>将协定对条款的覆盖强度与该条款的渠道有效权重相乘并求和，得到协定</w:t>
      </w:r>
      <m:oMath>
        <m:r>
          <w:rPr>
            <w:rFonts w:ascii="Cambria Math" w:hAnsi="Cambria Math"/>
          </w:rPr>
          <m:t>a</m:t>
        </m:r>
      </m:oMath>
      <w:r>
        <w:rPr>
          <w:color w:val="000000"/>
        </w:rPr>
        <w:t>的贸易和跨国生产制度型开放得分：</w:t>
      </w:r>
    </w:p>
    <w:p w14:paraId="6365607D" w14:textId="77777777" w:rsidR="00B9063B" w:rsidRDefault="00A00E78">
      <w:pPr>
        <w:widowControl/>
        <w:adjustRightInd w:val="0"/>
        <w:snapToGrid w:val="0"/>
        <w:spacing w:line="360" w:lineRule="auto"/>
      </w:pPr>
      <m:oMathPara>
        <m:oMathParaPr>
          <m:jc m:val="center"/>
        </m:oMathParaPr>
        <m:oMath>
          <m:sSub>
            <m:sSubPr>
              <m:ctrlPr>
                <w:rPr>
                  <w:rFonts w:ascii="Cambria Math" w:hAnsi="Cambria Math"/>
                </w:rPr>
              </m:ctrlPr>
            </m:sSubPr>
            <m:e>
              <m:r>
                <m:rPr>
                  <m:sty m:val="p"/>
                </m:rPr>
                <w:rPr>
                  <w:rFonts w:ascii="Cambria Math" w:hAnsi="Cambria Math"/>
                </w:rPr>
                <m:t>TradeScore</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ap</m:t>
                  </m:r>
                </m:sub>
              </m:sSub>
            </m:e>
          </m:nary>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MPScore</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ap</m:t>
                  </m:r>
                </m:sub>
              </m:sSub>
            </m:e>
          </m:nary>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M</m:t>
              </m:r>
            </m:sup>
          </m:sSubSup>
          <m:r>
            <m:rPr>
              <m:sty m:val="p"/>
            </m:rPr>
            <w:rPr>
              <w:rFonts w:ascii="Cambria Math" w:hAnsi="Cambria Math"/>
            </w:rPr>
            <m:t>.</m:t>
          </m:r>
          <m:r>
            <w:rPr>
              <w:rFonts w:ascii="Cambria Math" w:hAnsi="Cambria Math"/>
            </w:rPr>
            <m:t>  </m:t>
          </m:r>
          <m:r>
            <m:rPr>
              <m:nor/>
            </m:rPr>
            <m:t>(3)</m:t>
          </m:r>
        </m:oMath>
      </m:oMathPara>
    </w:p>
    <w:p w14:paraId="433396D1" w14:textId="77777777" w:rsidR="00B9063B" w:rsidRDefault="0039215E">
      <w:pPr>
        <w:widowControl/>
        <w:adjustRightInd w:val="0"/>
        <w:snapToGrid w:val="0"/>
        <w:spacing w:line="360" w:lineRule="auto"/>
      </w:pPr>
      <w:r>
        <w:rPr>
          <w:color w:val="000000"/>
        </w:rPr>
        <w:t>两项指数采用原始加总尺度，使每一分值可以追溯到具体的条款覆盖和渠道权重。完全覆盖条款按全部有效权重计入，部分覆盖条款按其覆盖强度折算，非制度条款不贡献得分。得分越大，表示相关制度承诺的加权覆盖越广或承诺程度越高，不直接表示执行质量更高或经济成本下降更多。</w:t>
      </w:r>
    </w:p>
    <w:p w14:paraId="2D2DAFFC" w14:textId="77777777" w:rsidR="00B9063B" w:rsidRDefault="0039215E">
      <w:pPr>
        <w:keepNext/>
        <w:widowControl/>
        <w:adjustRightInd w:val="0"/>
        <w:snapToGrid w:val="0"/>
        <w:spacing w:line="360" w:lineRule="auto"/>
      </w:pPr>
      <w:r>
        <w:rPr>
          <w:color w:val="000000"/>
        </w:rPr>
        <w:t>在协定层面，另按主导维度汇总覆盖强度：</w:t>
      </w:r>
    </w:p>
    <w:p w14:paraId="4CC52B24" w14:textId="77777777" w:rsidR="00B9063B" w:rsidRDefault="00A00E78">
      <w:pPr>
        <w:widowControl/>
        <w:adjustRightInd w:val="0"/>
        <w:snapToGrid w:val="0"/>
        <w:spacing w:line="360" w:lineRule="auto"/>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a</m:t>
              </m:r>
            </m:sub>
            <m:sup>
              <m:r>
                <w:rPr>
                  <w:rFonts w:ascii="Cambria Math" w:hAnsi="Cambria Math"/>
                </w:rPr>
                <m:t>r</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ap</m:t>
                  </m:r>
                </m:sub>
              </m:sSub>
            </m:e>
          </m:nary>
          <m:sSub>
            <m:sSubPr>
              <m:ctrlPr>
                <w:rPr>
                  <w:rFonts w:ascii="Cambria Math" w:hAnsi="Cambria Math"/>
                </w:rPr>
              </m:ctrlPr>
            </m:sSubPr>
            <m:e>
              <m:r>
                <w:rPr>
                  <w:rFonts w:ascii="Cambria Math" w:hAnsi="Cambria Math"/>
                </w:rPr>
                <m:t>I</m:t>
              </m:r>
            </m:e>
            <m:sub>
              <m:r>
                <w:rPr>
                  <w:rFonts w:ascii="Cambria Math" w:hAnsi="Cambria Math"/>
                </w:rPr>
                <m:t>p</m:t>
              </m:r>
            </m:sub>
          </m:sSub>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nor/>
            </m:rPr>
            <m:t>(4)</m:t>
          </m:r>
        </m:oMath>
      </m:oMathPara>
    </w:p>
    <w:p w14:paraId="4314E0B1" w14:textId="77777777" w:rsidR="00B9063B" w:rsidRDefault="0039215E">
      <w:pPr>
        <w:widowControl/>
        <w:adjustRightInd w:val="0"/>
        <w:snapToGrid w:val="0"/>
        <w:spacing w:line="360" w:lineRule="auto"/>
      </w:pPr>
      <w:r>
        <w:rPr>
          <w:color w:val="000000"/>
        </w:rPr>
        <w:t>其中</w:t>
      </w:r>
      <m:oMath>
        <m:r>
          <w:rPr>
            <w:rFonts w:ascii="Cambria Math" w:hAnsi="Cambria Math"/>
          </w:rPr>
          <m:t>r</m:t>
        </m:r>
      </m:oMath>
      <w:r>
        <w:rPr>
          <w:color w:val="000000"/>
        </w:rPr>
        <w:t>分别代表规则、规制、管理和标准。四维覆盖用于描述协定制度内容结构，不另行给四个维度设置主观层级权重；贸易与跨国生产回归的核心解释变量则分别为两渠道总得分。</w:t>
      </w:r>
    </w:p>
    <w:bookmarkEnd w:id="10"/>
    <w:p w14:paraId="12FCAD43" w14:textId="77777777" w:rsidR="00B9063B" w:rsidRDefault="0039215E">
      <w:pPr>
        <w:pStyle w:val="3"/>
        <w:widowControl/>
        <w:adjustRightInd w:val="0"/>
        <w:snapToGrid w:val="0"/>
        <w:spacing w:before="0" w:after="0"/>
        <w:jc w:val="both"/>
      </w:pPr>
      <w:r>
        <w:rPr>
          <w:rFonts w:eastAsia="宋体"/>
          <w:color w:val="000000"/>
        </w:rPr>
        <w:t>（</w:t>
      </w:r>
      <w:r>
        <w:rPr>
          <w:rFonts w:eastAsia="宋体"/>
          <w:color w:val="000000"/>
        </w:rPr>
        <w:t>6</w:t>
      </w:r>
      <w:r>
        <w:rPr>
          <w:rFonts w:eastAsia="宋体"/>
          <w:color w:val="000000"/>
        </w:rPr>
        <w:t>）多协定重叠与国家对</w:t>
      </w:r>
      <w:r>
        <w:rPr>
          <w:rFonts w:eastAsia="宋体"/>
          <w:color w:val="000000"/>
        </w:rPr>
        <w:t>—</w:t>
      </w:r>
      <w:r>
        <w:rPr>
          <w:rFonts w:eastAsia="宋体"/>
          <w:color w:val="000000"/>
        </w:rPr>
        <w:t>年份展开</w:t>
      </w:r>
    </w:p>
    <w:p w14:paraId="028F9758" w14:textId="77777777" w:rsidR="00B9063B" w:rsidRDefault="0039215E">
      <w:pPr>
        <w:keepNext/>
        <w:widowControl/>
        <w:adjustRightInd w:val="0"/>
        <w:snapToGrid w:val="0"/>
        <w:spacing w:line="360" w:lineRule="auto"/>
      </w:pPr>
      <w:r>
        <w:rPr>
          <w:color w:val="000000"/>
        </w:rPr>
        <w:t>设</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ijt</m:t>
            </m:r>
          </m:sub>
        </m:sSub>
      </m:oMath>
      <w:r>
        <w:rPr>
          <w:color w:val="000000"/>
        </w:rPr>
        <w:t>为年份</w:t>
      </w:r>
      <m:oMath>
        <m:r>
          <w:rPr>
            <w:rFonts w:ascii="Cambria Math" w:hAnsi="Cambria Math"/>
          </w:rPr>
          <m:t>t</m:t>
        </m:r>
      </m:oMath>
      <w:r>
        <w:rPr>
          <w:color w:val="000000"/>
        </w:rPr>
        <w:t>在国家</w:t>
      </w:r>
      <m:oMath>
        <m:r>
          <w:rPr>
            <w:rFonts w:ascii="Cambria Math" w:hAnsi="Cambria Math"/>
          </w:rPr>
          <m:t>i</m:t>
        </m:r>
      </m:oMath>
      <w:r>
        <w:rPr>
          <w:color w:val="000000"/>
        </w:rPr>
        <w:t>与</w:t>
      </w:r>
      <m:oMath>
        <m:r>
          <w:rPr>
            <w:rFonts w:ascii="Cambria Math" w:hAnsi="Cambria Math"/>
          </w:rPr>
          <m:t>j</m:t>
        </m:r>
      </m:oMath>
      <w:r>
        <w:rPr>
          <w:color w:val="000000"/>
        </w:rPr>
        <w:t>之间生效的协定集合。对于同一国家对同一年受到多项协定覆盖的情形，逐条款取有效协定中的最大覆盖强度：</w:t>
      </w:r>
    </w:p>
    <w:p w14:paraId="59ADC0B1" w14:textId="77777777" w:rsidR="00B9063B" w:rsidRDefault="00A00E78">
      <w:pPr>
        <w:widowControl/>
        <w:adjustRightInd w:val="0"/>
        <w:snapToGrid w:val="0"/>
        <w:spacing w:line="360" w:lineRule="auto"/>
      </w:pPr>
      <m:oMathPara>
        <m:oMathParaPr>
          <m:jc m:val="left"/>
        </m:oMathParaPr>
        <m:oMath>
          <m:sSub>
            <m:sSubPr>
              <m:ctrlPr>
                <w:rPr>
                  <w:rFonts w:ascii="Cambria Math" w:hAnsi="Cambria Math"/>
                </w:rPr>
              </m:ctrlPr>
            </m:sSubPr>
            <m:e>
              <m:r>
                <w:rPr>
                  <w:rFonts w:ascii="Cambria Math" w:hAnsi="Cambria Math"/>
                </w:rPr>
                <m:t>u</m:t>
              </m:r>
            </m:e>
            <m:sub>
              <m:r>
                <w:rPr>
                  <w:rFonts w:ascii="Cambria Math" w:hAnsi="Cambria Math"/>
                </w:rPr>
                <m:t>ijtp</m:t>
              </m:r>
            </m:sub>
          </m:sSub>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ijt</m:t>
                  </m:r>
                </m:sub>
              </m:sSub>
            </m:lim>
          </m:limLow>
          <m:sSub>
            <m:sSubPr>
              <m:ctrlPr>
                <w:rPr>
                  <w:rFonts w:ascii="Cambria Math" w:hAnsi="Cambria Math"/>
                </w:rPr>
              </m:ctrlPr>
            </m:sSubPr>
            <m:e>
              <m:r>
                <w:rPr>
                  <w:rFonts w:ascii="Cambria Math" w:hAnsi="Cambria Math"/>
                </w:rPr>
                <m:t>c</m:t>
              </m:r>
            </m:e>
            <m:sub>
              <m:r>
                <w:rPr>
                  <w:rFonts w:ascii="Cambria Math" w:hAnsi="Cambria Math"/>
                </w:rPr>
                <m:t>ap</m:t>
              </m:r>
            </m:sub>
          </m:sSub>
          <m:r>
            <m:rPr>
              <m:sty m:val="p"/>
            </m:rPr>
            <w:rPr>
              <w:rFonts w:ascii="Cambria Math" w:hAnsi="Cambria Math"/>
            </w:rPr>
            <m:t>.</m:t>
          </m:r>
          <m:r>
            <w:rPr>
              <w:rFonts w:ascii="Cambria Math" w:hAnsi="Cambria Math"/>
            </w:rPr>
            <m:t>  </m:t>
          </m:r>
          <m:r>
            <m:rPr>
              <m:nor/>
            </m:rPr>
            <m:t>(5)</m:t>
          </m:r>
        </m:oMath>
      </m:oMathPara>
    </w:p>
    <w:p w14:paraId="79C62935" w14:textId="77777777" w:rsidR="00B9063B" w:rsidRDefault="0039215E">
      <w:pPr>
        <w:keepNext/>
        <w:widowControl/>
        <w:adjustRightInd w:val="0"/>
        <w:snapToGrid w:val="0"/>
        <w:spacing w:line="360" w:lineRule="auto"/>
      </w:pPr>
      <w:r>
        <w:rPr>
          <w:color w:val="000000"/>
        </w:rPr>
        <w:t>再将该覆盖强度与条款有效权重相乘并求和，得到国家对</w:t>
      </w:r>
      <w:r>
        <w:rPr>
          <w:color w:val="000000"/>
        </w:rPr>
        <w:t>—</w:t>
      </w:r>
      <w:r>
        <w:rPr>
          <w:color w:val="000000"/>
        </w:rPr>
        <w:t>年份指数：</w:t>
      </w:r>
    </w:p>
    <w:p w14:paraId="4227BE1B" w14:textId="77777777" w:rsidR="00B9063B" w:rsidRDefault="00A00E78">
      <w:pPr>
        <w:widowControl/>
        <w:adjustRightInd w:val="0"/>
        <w:snapToGrid w:val="0"/>
        <w:spacing w:line="360" w:lineRule="auto"/>
      </w:pPr>
      <m:oMathPara>
        <m:oMathParaPr>
          <m:jc m:val="left"/>
        </m:oMathParaPr>
        <m:oMath>
          <m:sSubSup>
            <m:sSubSupPr>
              <m:ctrlPr>
                <w:rPr>
                  <w:rFonts w:ascii="Cambria Math" w:hAnsi="Cambria Math"/>
                </w:rPr>
              </m:ctrlPr>
            </m:sSubSupPr>
            <m:e>
              <m:r>
                <w:rPr>
                  <w:rFonts w:ascii="Cambria Math" w:hAnsi="Cambria Math"/>
                </w:rPr>
                <m:t>S</m:t>
              </m:r>
            </m:e>
            <m:sub>
              <m:r>
                <w:rPr>
                  <w:rFonts w:ascii="Cambria Math" w:hAnsi="Cambria Math"/>
                </w:rPr>
                <m:t>ijt</m:t>
              </m:r>
            </m:sub>
            <m:sup>
              <m:r>
                <w:rPr>
                  <w:rFonts w:ascii="Cambria Math" w:hAnsi="Cambria Math"/>
                </w:rPr>
                <m:t>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ijtp</m:t>
                  </m:r>
                </m:sub>
              </m:sSub>
            </m:e>
          </m:nary>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ijt</m:t>
              </m:r>
            </m:sub>
            <m:sup>
              <m:r>
                <w:rPr>
                  <w:rFonts w:ascii="Cambria Math" w:hAnsi="Cambria Math"/>
                </w:rPr>
                <m:t>M</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ijtp</m:t>
                  </m:r>
                </m:sub>
              </m:sSub>
            </m:e>
          </m:nary>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M</m:t>
              </m:r>
            </m:sup>
          </m:sSubSup>
          <m:r>
            <m:rPr>
              <m:sty m:val="p"/>
            </m:rPr>
            <w:rPr>
              <w:rFonts w:ascii="Cambria Math" w:hAnsi="Cambria Math"/>
            </w:rPr>
            <m:t>.</m:t>
          </m:r>
          <m:r>
            <w:rPr>
              <w:rFonts w:ascii="Cambria Math" w:hAnsi="Cambria Math"/>
            </w:rPr>
            <m:t>  </m:t>
          </m:r>
          <m:r>
            <m:rPr>
              <m:nor/>
            </m:rPr>
            <m:t>(6)</m:t>
          </m:r>
        </m:oMath>
      </m:oMathPara>
    </w:p>
    <w:p w14:paraId="09B4E236" w14:textId="77777777" w:rsidR="00B9063B" w:rsidRDefault="0039215E">
      <w:pPr>
        <w:widowControl/>
        <w:adjustRightInd w:val="0"/>
        <w:snapToGrid w:val="0"/>
        <w:spacing w:line="360" w:lineRule="auto"/>
      </w:pPr>
      <w:r>
        <w:rPr>
          <w:color w:val="000000"/>
        </w:rPr>
        <w:t>例如，同一条款在两项有效协定中的覆盖分别为</w:t>
      </w:r>
      <w:r>
        <w:rPr>
          <w:color w:val="000000"/>
        </w:rPr>
        <w:t>0.5</w:t>
      </w:r>
      <w:r>
        <w:rPr>
          <w:color w:val="000000"/>
        </w:rPr>
        <w:t>和</w:t>
      </w:r>
      <w:r>
        <w:rPr>
          <w:color w:val="000000"/>
        </w:rPr>
        <w:t>0.75</w:t>
      </w:r>
      <w:r>
        <w:rPr>
          <w:color w:val="000000"/>
        </w:rPr>
        <w:t>，则该国家对年度按</w:t>
      </w:r>
      <w:r>
        <w:rPr>
          <w:color w:val="000000"/>
        </w:rPr>
        <w:t>0.75</w:t>
      </w:r>
      <w:r>
        <w:rPr>
          <w:color w:val="000000"/>
        </w:rPr>
        <w:t>计入，而不是将其相加为</w:t>
      </w:r>
      <w:r>
        <w:rPr>
          <w:color w:val="000000"/>
        </w:rPr>
        <w:t>1.25</w:t>
      </w:r>
      <w:r>
        <w:rPr>
          <w:color w:val="000000"/>
        </w:rPr>
        <w:t>。该规则既保留各项协定中相互补充的条款，又避免相同制度承诺因协定并存被重复累计。其含义是先对每一条款取最大覆盖，再进行加权加总，区别于直接对协定总分取最大值。</w:t>
      </w:r>
    </w:p>
    <w:p w14:paraId="7B56E145" w14:textId="77777777" w:rsidR="00B9063B" w:rsidRDefault="0039215E">
      <w:pPr>
        <w:widowControl/>
        <w:adjustRightInd w:val="0"/>
        <w:snapToGrid w:val="0"/>
        <w:spacing w:line="360" w:lineRule="auto"/>
      </w:pPr>
      <w:r>
        <w:rPr>
          <w:color w:val="000000"/>
        </w:rPr>
        <w:t>不存在有效协定时，定义</w:t>
      </w:r>
      <m:oMath>
        <m:sSub>
          <m:sSubPr>
            <m:ctrlPr>
              <w:rPr>
                <w:rFonts w:ascii="Cambria Math" w:hAnsi="Cambria Math"/>
              </w:rPr>
            </m:ctrlPr>
          </m:sSubPr>
          <m:e>
            <m:r>
              <w:rPr>
                <w:rFonts w:ascii="Cambria Math" w:hAnsi="Cambria Math"/>
              </w:rPr>
              <m:t>u</m:t>
            </m:r>
          </m:e>
          <m:sub>
            <m:r>
              <w:rPr>
                <w:rFonts w:ascii="Cambria Math" w:hAnsi="Cambria Math"/>
              </w:rPr>
              <m:t>ijtp</m:t>
            </m:r>
          </m:sub>
        </m:sSub>
        <m:r>
          <m:rPr>
            <m:sty m:val="p"/>
          </m:rPr>
          <w:rPr>
            <w:rFonts w:ascii="Cambria Math" w:hAnsi="Cambria Math"/>
          </w:rPr>
          <m:t>=</m:t>
        </m:r>
        <m:r>
          <w:rPr>
            <w:rFonts w:ascii="Cambria Math" w:hAnsi="Cambria Math"/>
          </w:rPr>
          <m:t>0</m:t>
        </m:r>
      </m:oMath>
      <w:r>
        <w:rPr>
          <w:color w:val="000000"/>
        </w:rPr>
        <w:t>，两渠道得分为</w:t>
      </w:r>
      <w:r>
        <w:rPr>
          <w:color w:val="000000"/>
        </w:rPr>
        <w:t>0</w:t>
      </w:r>
      <w:r>
        <w:rPr>
          <w:color w:val="000000"/>
        </w:rPr>
        <w:t>。依据协定成员关系和生效年份形成国家对年度记录后，构造</w:t>
      </w:r>
      <w:r>
        <w:rPr>
          <w:color w:val="000000"/>
        </w:rPr>
        <w:t>2000—2023</w:t>
      </w:r>
      <w:r>
        <w:rPr>
          <w:color w:val="000000"/>
        </w:rPr>
        <w:t>年制度得分面板。指数首先按无方向国家对聚合，与有向贸易和跨国生产流量连接时，将同一国家对年度得分映射至两个方向；这是一致的条约覆盖口径，并不要求双向流量相同。</w:t>
      </w:r>
    </w:p>
    <w:p w14:paraId="4F0D01FC" w14:textId="77777777" w:rsidR="00B9063B" w:rsidRDefault="0039215E">
      <w:pPr>
        <w:widowControl/>
        <w:adjustRightInd w:val="0"/>
        <w:snapToGrid w:val="0"/>
        <w:spacing w:line="360" w:lineRule="auto"/>
        <w:rPr>
          <w:color w:val="000000"/>
        </w:rPr>
      </w:pPr>
      <w:r>
        <w:rPr>
          <w:color w:val="000000"/>
        </w:rPr>
        <w:t>另构造生效协定虚拟变量</w:t>
      </w:r>
      <m:oMath>
        <m:sSub>
          <m:sSubPr>
            <m:ctrlPr>
              <w:rPr>
                <w:rFonts w:ascii="Cambria Math" w:hAnsi="Cambria Math"/>
              </w:rPr>
            </m:ctrlPr>
          </m:sSubPr>
          <m:e>
            <m:r>
              <w:rPr>
                <w:rFonts w:ascii="Cambria Math" w:hAnsi="Cambria Math"/>
              </w:rPr>
              <m:t>A</m:t>
            </m:r>
          </m:e>
          <m:sub>
            <m:r>
              <w:rPr>
                <w:rFonts w:ascii="Cambria Math" w:hAnsi="Cambria Math"/>
              </w:rPr>
              <m:t>ijt</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ijt</m:t>
            </m:r>
          </m:sub>
        </m:sSub>
        <m:r>
          <m:rPr>
            <m:sty m:val="p"/>
          </m:rPr>
          <w:rPr>
            <w:rFonts w:ascii="Cambria Math" w:hAnsi="Cambria Math"/>
          </w:rPr>
          <m:t>|&gt;</m:t>
        </m:r>
        <m:r>
          <w:rPr>
            <w:rFonts w:ascii="Cambria Math" w:hAnsi="Cambria Math"/>
          </w:rPr>
          <m:t>0</m:t>
        </m:r>
        <m:r>
          <m:rPr>
            <m:sty m:val="p"/>
          </m:rPr>
          <w:rPr>
            <w:rFonts w:ascii="Cambria Math" w:hAnsi="Cambria Math"/>
          </w:rPr>
          <m:t>)</m:t>
        </m:r>
      </m:oMath>
      <w:r>
        <w:rPr>
          <w:color w:val="000000"/>
        </w:rPr>
        <w:t>，对应</w:t>
      </w:r>
      <w:r>
        <w:rPr>
          <w:color w:val="000000"/>
        </w:rPr>
        <w:t>trade_agreement_dummy</w:t>
      </w:r>
      <w:r>
        <w:rPr>
          <w:color w:val="000000"/>
        </w:rPr>
        <w:t>；两渠道得分分别对应</w:t>
      </w:r>
      <w:r>
        <w:rPr>
          <w:color w:val="000000"/>
        </w:rPr>
        <w:t>raw_trade_score</w:t>
      </w:r>
      <w:r>
        <w:rPr>
          <w:color w:val="000000"/>
        </w:rPr>
        <w:t>和</w:t>
      </w:r>
      <w:r>
        <w:rPr>
          <w:color w:val="000000"/>
        </w:rPr>
        <w:t>raw_mp_score</w:t>
      </w:r>
      <w:r>
        <w:rPr>
          <w:color w:val="000000"/>
        </w:rPr>
        <w:t>。回归同时设置协定虚拟变量与渠道得分，以在</w:t>
      </w:r>
      <w:r>
        <w:rPr>
          <w:color w:val="000000"/>
        </w:rPr>
        <w:lastRenderedPageBreak/>
        <w:t>样本内区分协定存在与条款深度。由于无协定时得分为</w:t>
      </w:r>
      <w:r>
        <w:rPr>
          <w:color w:val="000000"/>
        </w:rPr>
        <w:t>0</w:t>
      </w:r>
      <w:r>
        <w:rPr>
          <w:color w:val="000000"/>
        </w:rPr>
        <w:t>，二者的统计识别依赖有效协定之间及其跨期的深度差异。</w:t>
      </w:r>
    </w:p>
    <w:p w14:paraId="41120C5E" w14:textId="77777777" w:rsidR="00B9063B" w:rsidRDefault="0039215E">
      <w:pPr>
        <w:widowControl/>
        <w:adjustRightInd w:val="0"/>
        <w:snapToGrid w:val="0"/>
        <w:spacing w:line="360" w:lineRule="auto"/>
      </w:pPr>
      <w:r>
        <w:rPr>
          <w:rFonts w:eastAsia="宋体"/>
          <w:color w:val="000000"/>
        </w:rPr>
        <w:t>（</w:t>
      </w:r>
      <w:r>
        <w:rPr>
          <w:rFonts w:eastAsia="宋体"/>
          <w:color w:val="000000"/>
        </w:rPr>
        <w:t>7</w:t>
      </w:r>
      <w:r>
        <w:rPr>
          <w:rFonts w:eastAsia="宋体"/>
          <w:color w:val="000000"/>
        </w:rPr>
        <w:t>）数据来源、研究样本与匹配流程</w:t>
      </w:r>
    </w:p>
    <w:p w14:paraId="6C715A99" w14:textId="77777777" w:rsidR="00B9063B" w:rsidRDefault="0039215E">
      <w:pPr>
        <w:widowControl/>
        <w:adjustRightInd w:val="0"/>
        <w:snapToGrid w:val="0"/>
        <w:spacing w:line="360" w:lineRule="auto"/>
      </w:pPr>
      <w:r>
        <w:rPr>
          <w:color w:val="000000"/>
        </w:rPr>
        <w:t>为完整说明指标与经济数据之间的联系，图</w:t>
      </w:r>
      <w:r>
        <w:rPr>
          <w:color w:val="000000"/>
        </w:rPr>
        <w:t>1</w:t>
      </w:r>
      <w:r>
        <w:rPr>
          <w:color w:val="000000"/>
        </w:rPr>
        <w:t>呈现条款文本识别、协定覆盖赋值、协定聚合、国家对年度展开及流量匹配的全过程。条款分类与协定覆盖分别形成，在协定层按条款编号连接；国家对层按照当年有效协定逐条款取最大覆盖强度，再结合渠道权重形成制度得分。国际样本口径贯穿流量准备、变量匹配与回归输入构建。</w:t>
      </w:r>
    </w:p>
    <w:p w14:paraId="53AD815D" w14:textId="77777777" w:rsidR="00B9063B" w:rsidRDefault="0039215E">
      <w:pPr>
        <w:keepNext/>
        <w:widowControl/>
        <w:adjustRightInd w:val="0"/>
        <w:snapToGrid w:val="0"/>
        <w:spacing w:line="360" w:lineRule="auto"/>
      </w:pPr>
      <w:r>
        <w:rPr>
          <w:b/>
          <w:bCs/>
          <w:color w:val="000000"/>
        </w:rPr>
        <w:t>图</w:t>
      </w:r>
      <w:r>
        <w:rPr>
          <w:b/>
          <w:bCs/>
          <w:color w:val="000000"/>
        </w:rPr>
        <w:t>1</w:t>
      </w:r>
      <w:r>
        <w:rPr>
          <w:rFonts w:hint="eastAsia"/>
          <w:b/>
          <w:bCs/>
          <w:color w:val="000000"/>
        </w:rPr>
        <w:t xml:space="preserve"> </w:t>
      </w:r>
      <w:r>
        <w:rPr>
          <w:b/>
          <w:bCs/>
          <w:color w:val="000000"/>
        </w:rPr>
        <w:t>制度型开放测度与回归数据构建流程</w:t>
      </w:r>
    </w:p>
    <w:tbl>
      <w:tblPr>
        <w:tblW w:w="0" w:type="auto"/>
        <w:jc w:val="center"/>
        <w:tblLayout w:type="fixed"/>
        <w:tblLook w:val="04A0" w:firstRow="1" w:lastRow="0" w:firstColumn="1" w:lastColumn="0" w:noHBand="0" w:noVBand="1"/>
      </w:tblPr>
      <w:tblGrid>
        <w:gridCol w:w="4153"/>
        <w:gridCol w:w="4153"/>
      </w:tblGrid>
      <w:tr w:rsidR="00B9063B" w14:paraId="6F509A17"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Pr>
          <w:p w14:paraId="4248A846" w14:textId="77777777" w:rsidR="00B9063B" w:rsidRDefault="0039215E">
            <w:pPr>
              <w:keepNext/>
              <w:adjustRightInd w:val="0"/>
              <w:snapToGrid w:val="0"/>
              <w:spacing w:line="360" w:lineRule="auto"/>
              <w:jc w:val="center"/>
            </w:pPr>
            <w:r>
              <w:rPr>
                <w:b/>
                <w:color w:val="000000"/>
                <w:sz w:val="18"/>
              </w:rPr>
              <w:t>条款文本路径</w:t>
            </w:r>
            <w:r>
              <w:rPr>
                <w:b/>
                <w:color w:val="000000"/>
                <w:sz w:val="18"/>
              </w:rPr>
              <w:br/>
              <w:t>1,071</w:t>
            </w:r>
            <w:r>
              <w:rPr>
                <w:b/>
                <w:color w:val="000000"/>
                <w:sz w:val="18"/>
              </w:rPr>
              <w:t>项条款：编号、政策领域与文本</w:t>
            </w:r>
          </w:p>
        </w:tc>
        <w:tc>
          <w:tcPr>
            <w:tcW w:w="4153" w:type="dxa"/>
            <w:tcBorders>
              <w:top w:val="single" w:sz="4" w:space="0" w:color="000000"/>
              <w:left w:val="single" w:sz="4" w:space="0" w:color="000000"/>
              <w:bottom w:val="single" w:sz="4" w:space="0" w:color="000000"/>
              <w:right w:val="single" w:sz="4" w:space="0" w:color="000000"/>
            </w:tcBorders>
          </w:tcPr>
          <w:p w14:paraId="786C56F3" w14:textId="77777777" w:rsidR="00B9063B" w:rsidRDefault="0039215E">
            <w:pPr>
              <w:keepNext/>
              <w:adjustRightInd w:val="0"/>
              <w:snapToGrid w:val="0"/>
              <w:spacing w:line="360" w:lineRule="auto"/>
              <w:jc w:val="center"/>
            </w:pPr>
            <w:r>
              <w:rPr>
                <w:b/>
                <w:color w:val="000000"/>
                <w:sz w:val="18"/>
              </w:rPr>
              <w:t>协定覆盖路径</w:t>
            </w:r>
            <w:r>
              <w:rPr>
                <w:b/>
                <w:color w:val="000000"/>
                <w:sz w:val="18"/>
              </w:rPr>
              <w:br/>
              <w:t>400</w:t>
            </w:r>
            <w:r>
              <w:rPr>
                <w:b/>
                <w:color w:val="000000"/>
                <w:sz w:val="18"/>
              </w:rPr>
              <w:t>项协定与</w:t>
            </w:r>
            <w:r>
              <w:rPr>
                <w:b/>
                <w:color w:val="000000"/>
                <w:sz w:val="18"/>
              </w:rPr>
              <w:t>1,071</w:t>
            </w:r>
            <w:r>
              <w:rPr>
                <w:b/>
                <w:color w:val="000000"/>
                <w:sz w:val="18"/>
              </w:rPr>
              <w:t>项条款的编码记录</w:t>
            </w:r>
          </w:p>
        </w:tc>
      </w:tr>
      <w:tr w:rsidR="00B9063B" w14:paraId="1CCEC0D6"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Pr>
          <w:p w14:paraId="02346144" w14:textId="77777777" w:rsidR="00B9063B" w:rsidRDefault="0039215E">
            <w:pPr>
              <w:keepNext/>
              <w:adjustRightInd w:val="0"/>
              <w:snapToGrid w:val="0"/>
              <w:spacing w:line="360" w:lineRule="auto"/>
              <w:jc w:val="center"/>
            </w:pPr>
            <w:r>
              <w:rPr>
                <w:color w:val="000000"/>
                <w:sz w:val="18"/>
              </w:rPr>
              <w:t>↓</w:t>
            </w:r>
            <w:r>
              <w:rPr>
                <w:color w:val="000000"/>
                <w:sz w:val="18"/>
              </w:rPr>
              <w:br/>
              <w:t>Stage 1A</w:t>
            </w:r>
            <w:r>
              <w:rPr>
                <w:color w:val="000000"/>
                <w:sz w:val="18"/>
              </w:rPr>
              <w:t>：制度属性识别</w:t>
            </w:r>
            <w:r>
              <w:rPr>
                <w:color w:val="000000"/>
                <w:sz w:val="18"/>
              </w:rPr>
              <w:br/>
              <w:t>Stage 1B</w:t>
            </w:r>
            <w:r>
              <w:rPr>
                <w:color w:val="000000"/>
                <w:sz w:val="18"/>
              </w:rPr>
              <w:t>：规则／规制／管理／标准</w:t>
            </w:r>
          </w:p>
        </w:tc>
        <w:tc>
          <w:tcPr>
            <w:tcW w:w="4153" w:type="dxa"/>
            <w:tcBorders>
              <w:top w:val="single" w:sz="4" w:space="0" w:color="000000"/>
              <w:left w:val="single" w:sz="4" w:space="0" w:color="000000"/>
              <w:bottom w:val="single" w:sz="4" w:space="0" w:color="000000"/>
              <w:right w:val="single" w:sz="4" w:space="0" w:color="000000"/>
            </w:tcBorders>
          </w:tcPr>
          <w:p w14:paraId="2E841963" w14:textId="77777777" w:rsidR="00B9063B" w:rsidRDefault="0039215E">
            <w:pPr>
              <w:keepNext/>
              <w:adjustRightInd w:val="0"/>
              <w:snapToGrid w:val="0"/>
              <w:spacing w:line="360" w:lineRule="auto"/>
              <w:jc w:val="center"/>
            </w:pPr>
            <w:r>
              <w:rPr>
                <w:color w:val="000000"/>
                <w:sz w:val="18"/>
              </w:rPr>
              <w:t>↓</w:t>
            </w:r>
            <w:r>
              <w:rPr>
                <w:color w:val="000000"/>
                <w:sz w:val="18"/>
              </w:rPr>
              <w:br/>
            </w:r>
            <w:r>
              <w:rPr>
                <w:color w:val="000000"/>
                <w:sz w:val="18"/>
              </w:rPr>
              <w:t>依据问题语义、编码说明和人工决策表</w:t>
            </w:r>
            <w:r>
              <w:rPr>
                <w:color w:val="000000"/>
                <w:sz w:val="18"/>
              </w:rPr>
              <w:br/>
            </w:r>
            <w:r>
              <w:rPr>
                <w:color w:val="000000"/>
                <w:sz w:val="18"/>
              </w:rPr>
              <w:t>二元问题</w:t>
            </w:r>
            <w:r>
              <w:rPr>
                <w:color w:val="000000"/>
                <w:sz w:val="18"/>
              </w:rPr>
              <w:t>0/1</w:t>
            </w:r>
            <w:r>
              <w:rPr>
                <w:color w:val="000000"/>
                <w:sz w:val="18"/>
              </w:rPr>
              <w:t>；非二元问题映射至</w:t>
            </w:r>
            <w:r>
              <w:rPr>
                <w:color w:val="000000"/>
                <w:sz w:val="18"/>
              </w:rPr>
              <w:t>[0,1]</w:t>
            </w:r>
          </w:p>
        </w:tc>
      </w:tr>
      <w:tr w:rsidR="00B9063B" w14:paraId="5D66654F"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Pr>
          <w:p w14:paraId="42C8A25D" w14:textId="77777777" w:rsidR="00B9063B" w:rsidRDefault="0039215E">
            <w:pPr>
              <w:keepNext/>
              <w:adjustRightInd w:val="0"/>
              <w:snapToGrid w:val="0"/>
              <w:spacing w:line="360" w:lineRule="auto"/>
              <w:jc w:val="center"/>
            </w:pPr>
            <w:r>
              <w:rPr>
                <w:color w:val="000000"/>
                <w:sz w:val="18"/>
              </w:rPr>
              <w:t>↓</w:t>
            </w:r>
            <w:r>
              <w:rPr>
                <w:color w:val="000000"/>
                <w:sz w:val="18"/>
              </w:rPr>
              <w:br/>
              <w:t>Stage 2</w:t>
            </w:r>
            <w:r>
              <w:rPr>
                <w:color w:val="000000"/>
                <w:sz w:val="18"/>
              </w:rPr>
              <w:t>：</w:t>
            </w:r>
            <w:r>
              <w:rPr>
                <w:color w:val="000000"/>
                <w:sz w:val="18"/>
              </w:rPr>
              <w:t>Trade</w:t>
            </w:r>
            <w:r>
              <w:rPr>
                <w:color w:val="000000"/>
                <w:sz w:val="18"/>
              </w:rPr>
              <w:t>／</w:t>
            </w:r>
            <w:r>
              <w:rPr>
                <w:color w:val="000000"/>
                <w:sz w:val="18"/>
              </w:rPr>
              <w:t>MP</w:t>
            </w:r>
            <w:r>
              <w:rPr>
                <w:color w:val="000000"/>
                <w:sz w:val="18"/>
              </w:rPr>
              <w:t>渠道识别及赋权</w:t>
            </w:r>
            <w:r>
              <w:rPr>
                <w:color w:val="000000"/>
                <w:sz w:val="18"/>
              </w:rPr>
              <w:br/>
            </w:r>
            <w:r>
              <w:rPr>
                <w:color w:val="000000"/>
                <w:sz w:val="18"/>
              </w:rPr>
              <w:t>双模型独立判断；分类分歧由第三模型仲裁</w:t>
            </w:r>
          </w:p>
        </w:tc>
        <w:tc>
          <w:tcPr>
            <w:tcW w:w="4153" w:type="dxa"/>
            <w:tcBorders>
              <w:top w:val="single" w:sz="4" w:space="0" w:color="000000"/>
              <w:left w:val="single" w:sz="4" w:space="0" w:color="000000"/>
              <w:bottom w:val="single" w:sz="4" w:space="0" w:color="000000"/>
              <w:right w:val="single" w:sz="4" w:space="0" w:color="000000"/>
            </w:tcBorders>
          </w:tcPr>
          <w:p w14:paraId="2609B4B6" w14:textId="77777777" w:rsidR="00B9063B" w:rsidRDefault="0039215E">
            <w:pPr>
              <w:keepNext/>
              <w:adjustRightInd w:val="0"/>
              <w:snapToGrid w:val="0"/>
              <w:spacing w:line="360" w:lineRule="auto"/>
              <w:jc w:val="center"/>
            </w:pPr>
            <w:r>
              <w:rPr>
                <w:color w:val="000000"/>
                <w:sz w:val="18"/>
              </w:rPr>
              <w:t>↓</w:t>
            </w:r>
            <w:r>
              <w:rPr>
                <w:color w:val="000000"/>
                <w:sz w:val="18"/>
              </w:rPr>
              <w:br/>
            </w:r>
            <w:r>
              <w:rPr>
                <w:color w:val="000000"/>
                <w:sz w:val="18"/>
              </w:rPr>
              <w:t>形成协定</w:t>
            </w:r>
            <w:r>
              <w:rPr>
                <w:color w:val="000000"/>
                <w:sz w:val="18"/>
              </w:rPr>
              <w:t>—</w:t>
            </w:r>
            <w:r>
              <w:rPr>
                <w:color w:val="000000"/>
                <w:sz w:val="18"/>
              </w:rPr>
              <w:t>条款覆盖强度</w:t>
            </w:r>
            <w:r>
              <w:rPr>
                <w:color w:val="000000"/>
                <w:sz w:val="18"/>
              </w:rPr>
              <w:br/>
            </w:r>
            <w:r>
              <w:rPr>
                <w:color w:val="000000"/>
                <w:sz w:val="18"/>
              </w:rPr>
              <w:t>保留部分覆盖值，空白覆盖值计</w:t>
            </w:r>
            <w:r>
              <w:rPr>
                <w:color w:val="000000"/>
                <w:sz w:val="18"/>
              </w:rPr>
              <w:t>0</w:t>
            </w:r>
          </w:p>
        </w:tc>
      </w:tr>
      <w:tr w:rsidR="00B9063B" w14:paraId="3A481474"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Pr>
          <w:p w14:paraId="3C497492" w14:textId="77777777" w:rsidR="00B9063B" w:rsidRDefault="0039215E">
            <w:pPr>
              <w:keepNext/>
              <w:adjustRightInd w:val="0"/>
              <w:snapToGrid w:val="0"/>
              <w:spacing w:line="360" w:lineRule="auto"/>
              <w:jc w:val="center"/>
            </w:pPr>
            <w:r>
              <w:rPr>
                <w:color w:val="000000"/>
                <w:sz w:val="18"/>
              </w:rPr>
              <w:t>↓</w:t>
            </w:r>
            <w:r>
              <w:rPr>
                <w:color w:val="000000"/>
                <w:sz w:val="18"/>
              </w:rPr>
              <w:br/>
            </w:r>
            <w:r>
              <w:rPr>
                <w:color w:val="000000"/>
                <w:sz w:val="18"/>
              </w:rPr>
              <w:t>条款有效权重：</w:t>
            </w:r>
            <w:r>
              <w:rPr>
                <w:color w:val="000000"/>
                <w:sz w:val="18"/>
              </w:rPr>
              <w:t>Trade</w:t>
            </w:r>
            <w:r>
              <w:rPr>
                <w:color w:val="000000"/>
                <w:sz w:val="18"/>
              </w:rPr>
              <w:t>与</w:t>
            </w:r>
            <w:r>
              <w:rPr>
                <w:color w:val="000000"/>
                <w:sz w:val="18"/>
              </w:rPr>
              <w:t>MP</w:t>
            </w:r>
            <w:r>
              <w:rPr>
                <w:color w:val="000000"/>
                <w:sz w:val="18"/>
              </w:rPr>
              <w:br/>
            </w:r>
            <w:r>
              <w:rPr>
                <w:color w:val="000000"/>
                <w:sz w:val="18"/>
              </w:rPr>
              <w:t>非制度条款两渠道有效权重均为</w:t>
            </w:r>
            <w:r>
              <w:rPr>
                <w:color w:val="000000"/>
                <w:sz w:val="18"/>
              </w:rPr>
              <w:t>0</w:t>
            </w:r>
          </w:p>
        </w:tc>
        <w:tc>
          <w:tcPr>
            <w:tcW w:w="4153" w:type="dxa"/>
            <w:tcBorders>
              <w:top w:val="single" w:sz="4" w:space="0" w:color="000000"/>
              <w:left w:val="single" w:sz="4" w:space="0" w:color="000000"/>
              <w:bottom w:val="single" w:sz="4" w:space="0" w:color="000000"/>
              <w:right w:val="single" w:sz="4" w:space="0" w:color="000000"/>
            </w:tcBorders>
          </w:tcPr>
          <w:p w14:paraId="6909DBF4" w14:textId="77777777" w:rsidR="00B9063B" w:rsidRDefault="0039215E">
            <w:pPr>
              <w:keepNext/>
              <w:adjustRightInd w:val="0"/>
              <w:snapToGrid w:val="0"/>
              <w:spacing w:line="360" w:lineRule="auto"/>
              <w:jc w:val="center"/>
            </w:pPr>
            <w:r>
              <w:rPr>
                <w:color w:val="000000"/>
                <w:sz w:val="18"/>
              </w:rPr>
              <w:t>↓</w:t>
            </w:r>
            <w:r>
              <w:rPr>
                <w:color w:val="000000"/>
                <w:sz w:val="18"/>
              </w:rPr>
              <w:br/>
            </w:r>
            <w:r>
              <w:rPr>
                <w:color w:val="000000"/>
                <w:sz w:val="18"/>
              </w:rPr>
              <w:t>协定</w:t>
            </w:r>
            <w:r>
              <w:rPr>
                <w:color w:val="000000"/>
                <w:sz w:val="18"/>
              </w:rPr>
              <w:t>—</w:t>
            </w:r>
            <w:r>
              <w:rPr>
                <w:color w:val="000000"/>
                <w:sz w:val="18"/>
              </w:rPr>
              <w:t>条款覆盖矩阵</w:t>
            </w:r>
            <w:r>
              <w:rPr>
                <w:color w:val="000000"/>
                <w:sz w:val="18"/>
              </w:rPr>
              <w:br/>
            </w:r>
            <w:r>
              <w:rPr>
                <w:color w:val="000000"/>
                <w:sz w:val="18"/>
              </w:rPr>
              <w:t>协定生效年份与成员关系</w:t>
            </w:r>
          </w:p>
        </w:tc>
      </w:tr>
      <w:tr w:rsidR="00B9063B" w14:paraId="58512616" w14:textId="77777777">
        <w:trPr>
          <w:cantSplit/>
          <w:jc w:val="center"/>
        </w:trPr>
        <w:tc>
          <w:tcPr>
            <w:tcW w:w="8306" w:type="dxa"/>
            <w:gridSpan w:val="2"/>
            <w:tcBorders>
              <w:top w:val="nil"/>
              <w:left w:val="nil"/>
              <w:bottom w:val="nil"/>
              <w:right w:val="nil"/>
            </w:tcBorders>
          </w:tcPr>
          <w:p w14:paraId="7A4586CB" w14:textId="77777777" w:rsidR="00B9063B" w:rsidRDefault="0039215E">
            <w:pPr>
              <w:keepNext/>
              <w:adjustRightInd w:val="0"/>
              <w:snapToGrid w:val="0"/>
              <w:spacing w:line="360" w:lineRule="auto"/>
              <w:jc w:val="center"/>
            </w:pPr>
            <w:r>
              <w:rPr>
                <w:color w:val="000000"/>
                <w:sz w:val="18"/>
              </w:rPr>
              <w:t xml:space="preserve">↓  </w:t>
            </w:r>
            <w:r>
              <w:rPr>
                <w:color w:val="000000"/>
                <w:sz w:val="18"/>
              </w:rPr>
              <w:t>按条款编号连接两条路径</w:t>
            </w:r>
            <w:r>
              <w:rPr>
                <w:color w:val="000000"/>
                <w:sz w:val="18"/>
              </w:rPr>
              <w:t xml:space="preserve">  ↓</w:t>
            </w:r>
          </w:p>
        </w:tc>
      </w:tr>
      <w:tr w:rsidR="00B9063B" w14:paraId="718935D2" w14:textId="77777777">
        <w:trPr>
          <w:cantSplit/>
          <w:jc w:val="center"/>
        </w:trPr>
        <w:tc>
          <w:tcPr>
            <w:tcW w:w="8306" w:type="dxa"/>
            <w:gridSpan w:val="2"/>
            <w:tcBorders>
              <w:top w:val="single" w:sz="4" w:space="0" w:color="000000"/>
              <w:left w:val="single" w:sz="4" w:space="0" w:color="000000"/>
              <w:bottom w:val="single" w:sz="4" w:space="0" w:color="000000"/>
              <w:right w:val="single" w:sz="4" w:space="0" w:color="000000"/>
            </w:tcBorders>
          </w:tcPr>
          <w:p w14:paraId="3C2EFC13" w14:textId="77777777" w:rsidR="00B9063B" w:rsidRDefault="0039215E">
            <w:pPr>
              <w:keepNext/>
              <w:adjustRightInd w:val="0"/>
              <w:snapToGrid w:val="0"/>
              <w:spacing w:line="360" w:lineRule="auto"/>
              <w:jc w:val="center"/>
            </w:pPr>
            <w:r>
              <w:rPr>
                <w:color w:val="000000"/>
                <w:sz w:val="18"/>
              </w:rPr>
              <w:t>协定层聚合</w:t>
            </w:r>
            <w:r>
              <w:rPr>
                <w:color w:val="000000"/>
                <w:sz w:val="18"/>
              </w:rPr>
              <w:br/>
            </w:r>
            <w:r>
              <w:rPr>
                <w:color w:val="000000"/>
                <w:sz w:val="18"/>
              </w:rPr>
              <w:t>覆盖强度</w:t>
            </w:r>
            <w:r>
              <w:rPr>
                <w:color w:val="000000"/>
                <w:sz w:val="18"/>
              </w:rPr>
              <w:t xml:space="preserve"> × </w:t>
            </w:r>
            <w:r>
              <w:rPr>
                <w:color w:val="000000"/>
                <w:sz w:val="18"/>
              </w:rPr>
              <w:t>渠道有效权重</w:t>
            </w:r>
            <w:r>
              <w:rPr>
                <w:color w:val="000000"/>
                <w:sz w:val="18"/>
              </w:rPr>
              <w:t xml:space="preserve"> → Trade</w:t>
            </w:r>
            <w:r>
              <w:rPr>
                <w:color w:val="000000"/>
                <w:sz w:val="18"/>
              </w:rPr>
              <w:t>／</w:t>
            </w:r>
            <w:r>
              <w:rPr>
                <w:color w:val="000000"/>
                <w:sz w:val="18"/>
              </w:rPr>
              <w:t>MP</w:t>
            </w:r>
            <w:r>
              <w:rPr>
                <w:color w:val="000000"/>
                <w:sz w:val="18"/>
              </w:rPr>
              <w:t>协定得分</w:t>
            </w:r>
            <w:r>
              <w:rPr>
                <w:color w:val="000000"/>
                <w:sz w:val="18"/>
              </w:rPr>
              <w:br/>
            </w:r>
            <w:r>
              <w:rPr>
                <w:color w:val="000000"/>
                <w:sz w:val="18"/>
              </w:rPr>
              <w:t>四维度条款覆盖量在协定层另行汇总</w:t>
            </w:r>
          </w:p>
        </w:tc>
      </w:tr>
      <w:tr w:rsidR="00B9063B" w14:paraId="10EFDD25" w14:textId="77777777">
        <w:trPr>
          <w:cantSplit/>
          <w:jc w:val="center"/>
        </w:trPr>
        <w:tc>
          <w:tcPr>
            <w:tcW w:w="8306" w:type="dxa"/>
            <w:gridSpan w:val="2"/>
            <w:tcBorders>
              <w:top w:val="nil"/>
              <w:left w:val="nil"/>
              <w:bottom w:val="nil"/>
              <w:right w:val="nil"/>
            </w:tcBorders>
          </w:tcPr>
          <w:p w14:paraId="37E2C016" w14:textId="77777777" w:rsidR="00B9063B" w:rsidRDefault="0039215E">
            <w:pPr>
              <w:keepNext/>
              <w:adjustRightInd w:val="0"/>
              <w:snapToGrid w:val="0"/>
              <w:spacing w:line="360" w:lineRule="auto"/>
              <w:jc w:val="center"/>
            </w:pPr>
            <w:r>
              <w:rPr>
                <w:color w:val="000000"/>
                <w:sz w:val="18"/>
              </w:rPr>
              <w:t>↓</w:t>
            </w:r>
          </w:p>
        </w:tc>
      </w:tr>
      <w:tr w:rsidR="00B9063B" w14:paraId="69E146CB" w14:textId="77777777">
        <w:trPr>
          <w:cantSplit/>
          <w:jc w:val="center"/>
        </w:trPr>
        <w:tc>
          <w:tcPr>
            <w:tcW w:w="8306" w:type="dxa"/>
            <w:gridSpan w:val="2"/>
            <w:tcBorders>
              <w:top w:val="single" w:sz="4" w:space="0" w:color="000000"/>
              <w:left w:val="single" w:sz="4" w:space="0" w:color="000000"/>
              <w:bottom w:val="single" w:sz="4" w:space="0" w:color="000000"/>
              <w:right w:val="single" w:sz="4" w:space="0" w:color="000000"/>
            </w:tcBorders>
          </w:tcPr>
          <w:p w14:paraId="5D037D0D" w14:textId="77777777" w:rsidR="00B9063B" w:rsidRDefault="0039215E">
            <w:pPr>
              <w:keepNext/>
              <w:adjustRightInd w:val="0"/>
              <w:snapToGrid w:val="0"/>
              <w:spacing w:line="360" w:lineRule="auto"/>
              <w:jc w:val="center"/>
            </w:pPr>
            <w:r>
              <w:rPr>
                <w:color w:val="000000"/>
                <w:sz w:val="18"/>
              </w:rPr>
              <w:t>国家对</w:t>
            </w:r>
            <w:r>
              <w:rPr>
                <w:color w:val="000000"/>
                <w:sz w:val="18"/>
              </w:rPr>
              <w:t>—</w:t>
            </w:r>
            <w:r>
              <w:rPr>
                <w:color w:val="000000"/>
                <w:sz w:val="18"/>
              </w:rPr>
              <w:t>年份聚合</w:t>
            </w:r>
            <w:r>
              <w:rPr>
                <w:color w:val="000000"/>
                <w:sz w:val="18"/>
              </w:rPr>
              <w:br/>
            </w:r>
            <w:r>
              <w:rPr>
                <w:color w:val="000000"/>
                <w:sz w:val="18"/>
              </w:rPr>
              <w:t>确定当年有效协定集合</w:t>
            </w:r>
            <w:r>
              <w:rPr>
                <w:color w:val="000000"/>
                <w:sz w:val="18"/>
              </w:rPr>
              <w:t xml:space="preserve"> → </w:t>
            </w:r>
            <w:r>
              <w:rPr>
                <w:color w:val="000000"/>
                <w:sz w:val="18"/>
              </w:rPr>
              <w:t>逐条款取最大覆盖值</w:t>
            </w:r>
            <w:r>
              <w:rPr>
                <w:color w:val="000000"/>
                <w:sz w:val="18"/>
              </w:rPr>
              <w:t xml:space="preserve"> → </w:t>
            </w:r>
            <w:r>
              <w:rPr>
                <w:color w:val="000000"/>
                <w:sz w:val="18"/>
              </w:rPr>
              <w:t>加权求和</w:t>
            </w:r>
            <w:r>
              <w:rPr>
                <w:color w:val="000000"/>
                <w:sz w:val="18"/>
              </w:rPr>
              <w:br/>
            </w:r>
            <w:r>
              <w:rPr>
                <w:color w:val="000000"/>
                <w:sz w:val="18"/>
              </w:rPr>
              <w:t>无有效协定得分为</w:t>
            </w:r>
            <w:r>
              <w:rPr>
                <w:color w:val="000000"/>
                <w:sz w:val="18"/>
              </w:rPr>
              <w:t>0</w:t>
            </w:r>
            <w:r>
              <w:rPr>
                <w:color w:val="000000"/>
                <w:sz w:val="18"/>
              </w:rPr>
              <w:t>；形成</w:t>
            </w:r>
            <w:r>
              <w:rPr>
                <w:color w:val="000000"/>
                <w:sz w:val="18"/>
              </w:rPr>
              <w:t>2000—2023</w:t>
            </w:r>
            <w:r>
              <w:rPr>
                <w:color w:val="000000"/>
                <w:sz w:val="18"/>
              </w:rPr>
              <w:t>年制度得分面板</w:t>
            </w:r>
          </w:p>
        </w:tc>
      </w:tr>
      <w:tr w:rsidR="00B9063B" w14:paraId="15E60DCB" w14:textId="77777777">
        <w:trPr>
          <w:cantSplit/>
          <w:jc w:val="center"/>
        </w:trPr>
        <w:tc>
          <w:tcPr>
            <w:tcW w:w="8306" w:type="dxa"/>
            <w:gridSpan w:val="2"/>
            <w:tcBorders>
              <w:top w:val="nil"/>
              <w:left w:val="nil"/>
              <w:bottom w:val="nil"/>
              <w:right w:val="nil"/>
            </w:tcBorders>
          </w:tcPr>
          <w:p w14:paraId="0265C93E" w14:textId="77777777" w:rsidR="00B9063B" w:rsidRDefault="0039215E">
            <w:pPr>
              <w:keepNext/>
              <w:adjustRightInd w:val="0"/>
              <w:snapToGrid w:val="0"/>
              <w:spacing w:line="360" w:lineRule="auto"/>
              <w:jc w:val="center"/>
            </w:pPr>
            <w:r>
              <w:rPr>
                <w:color w:val="000000"/>
                <w:sz w:val="18"/>
              </w:rPr>
              <w:t>↓</w:t>
            </w:r>
          </w:p>
        </w:tc>
      </w:tr>
      <w:tr w:rsidR="00B9063B" w14:paraId="1C3F8F23" w14:textId="77777777">
        <w:trPr>
          <w:cantSplit/>
          <w:jc w:val="center"/>
        </w:trPr>
        <w:tc>
          <w:tcPr>
            <w:tcW w:w="8306" w:type="dxa"/>
            <w:gridSpan w:val="2"/>
            <w:tcBorders>
              <w:top w:val="single" w:sz="4" w:space="0" w:color="000000"/>
              <w:left w:val="single" w:sz="4" w:space="0" w:color="000000"/>
              <w:bottom w:val="single" w:sz="4" w:space="0" w:color="000000"/>
              <w:right w:val="single" w:sz="4" w:space="0" w:color="000000"/>
            </w:tcBorders>
          </w:tcPr>
          <w:p w14:paraId="35ABD60D" w14:textId="77777777" w:rsidR="00B9063B" w:rsidRDefault="0039215E">
            <w:pPr>
              <w:keepNext/>
              <w:adjustRightInd w:val="0"/>
              <w:snapToGrid w:val="0"/>
              <w:spacing w:line="360" w:lineRule="auto"/>
              <w:jc w:val="center"/>
            </w:pPr>
            <w:r>
              <w:rPr>
                <w:color w:val="000000"/>
                <w:sz w:val="18"/>
              </w:rPr>
              <w:t>国际样本与变量匹配</w:t>
            </w:r>
            <w:r>
              <w:rPr>
                <w:color w:val="000000"/>
                <w:sz w:val="18"/>
              </w:rPr>
              <w:br/>
            </w:r>
            <w:r>
              <w:rPr>
                <w:color w:val="000000"/>
                <w:sz w:val="18"/>
              </w:rPr>
              <w:t>提取</w:t>
            </w:r>
            <w:r>
              <w:rPr>
                <w:color w:val="000000"/>
                <w:sz w:val="18"/>
              </w:rPr>
              <w:t>2000</w:t>
            </w:r>
            <w:r>
              <w:rPr>
                <w:color w:val="000000"/>
                <w:sz w:val="18"/>
              </w:rPr>
              <w:t>年与</w:t>
            </w:r>
            <w:r>
              <w:rPr>
                <w:color w:val="000000"/>
                <w:sz w:val="18"/>
              </w:rPr>
              <w:t>2019</w:t>
            </w:r>
            <w:r>
              <w:rPr>
                <w:color w:val="000000"/>
                <w:sz w:val="18"/>
              </w:rPr>
              <w:t>年流量，排除本国国家对和</w:t>
            </w:r>
            <w:r>
              <w:rPr>
                <w:color w:val="000000"/>
                <w:sz w:val="18"/>
              </w:rPr>
              <w:t>ROW</w:t>
            </w:r>
            <w:r>
              <w:rPr>
                <w:color w:val="000000"/>
                <w:sz w:val="18"/>
              </w:rPr>
              <w:br/>
            </w:r>
            <w:r>
              <w:rPr>
                <w:color w:val="000000"/>
                <w:sz w:val="18"/>
              </w:rPr>
              <w:t>匹配国家对年度制度得分及相应控制变量</w:t>
            </w:r>
            <w:r>
              <w:rPr>
                <w:color w:val="000000"/>
                <w:sz w:val="18"/>
              </w:rPr>
              <w:br/>
            </w:r>
            <w:r>
              <w:rPr>
                <w:color w:val="000000"/>
                <w:sz w:val="18"/>
              </w:rPr>
              <w:t>保持来源国与目的国方向一致，检验连接键和左表行数</w:t>
            </w:r>
          </w:p>
        </w:tc>
      </w:tr>
      <w:tr w:rsidR="00B9063B" w14:paraId="653BE344" w14:textId="77777777">
        <w:trPr>
          <w:cantSplit/>
          <w:jc w:val="center"/>
        </w:trPr>
        <w:tc>
          <w:tcPr>
            <w:tcW w:w="8306" w:type="dxa"/>
            <w:gridSpan w:val="2"/>
            <w:tcBorders>
              <w:top w:val="nil"/>
              <w:left w:val="nil"/>
              <w:bottom w:val="nil"/>
              <w:right w:val="nil"/>
            </w:tcBorders>
          </w:tcPr>
          <w:p w14:paraId="4D62E018" w14:textId="77777777" w:rsidR="00B9063B" w:rsidRDefault="0039215E">
            <w:pPr>
              <w:keepNext/>
              <w:adjustRightInd w:val="0"/>
              <w:snapToGrid w:val="0"/>
              <w:spacing w:line="360" w:lineRule="auto"/>
              <w:jc w:val="center"/>
            </w:pPr>
            <w:r>
              <w:rPr>
                <w:color w:val="000000"/>
                <w:sz w:val="18"/>
              </w:rPr>
              <w:t>↓</w:t>
            </w:r>
          </w:p>
        </w:tc>
      </w:tr>
      <w:tr w:rsidR="00B9063B" w14:paraId="6F47AFC4" w14:textId="77777777">
        <w:trPr>
          <w:cantSplit/>
          <w:jc w:val="center"/>
        </w:trPr>
        <w:tc>
          <w:tcPr>
            <w:tcW w:w="8306" w:type="dxa"/>
            <w:gridSpan w:val="2"/>
            <w:tcBorders>
              <w:top w:val="single" w:sz="4" w:space="0" w:color="000000"/>
              <w:left w:val="single" w:sz="4" w:space="0" w:color="000000"/>
              <w:bottom w:val="single" w:sz="4" w:space="0" w:color="000000"/>
              <w:right w:val="single" w:sz="4" w:space="0" w:color="000000"/>
            </w:tcBorders>
          </w:tcPr>
          <w:p w14:paraId="458A8CC8" w14:textId="77777777" w:rsidR="00B9063B" w:rsidRDefault="0039215E">
            <w:pPr>
              <w:adjustRightInd w:val="0"/>
              <w:snapToGrid w:val="0"/>
              <w:spacing w:line="360" w:lineRule="auto"/>
              <w:jc w:val="center"/>
            </w:pPr>
            <w:r>
              <w:rPr>
                <w:color w:val="000000"/>
                <w:sz w:val="18"/>
              </w:rPr>
              <w:t>回归输入</w:t>
            </w:r>
            <w:r>
              <w:rPr>
                <w:color w:val="000000"/>
                <w:sz w:val="18"/>
              </w:rPr>
              <w:br/>
              <w:t>OLS</w:t>
            </w:r>
            <w:r>
              <w:rPr>
                <w:color w:val="000000"/>
                <w:sz w:val="18"/>
              </w:rPr>
              <w:t>：两端点正流量的对数差分</w:t>
            </w:r>
            <w:r>
              <w:rPr>
                <w:color w:val="000000"/>
                <w:sz w:val="18"/>
              </w:rPr>
              <w:br/>
              <w:t>PPML</w:t>
            </w:r>
            <w:r>
              <w:rPr>
                <w:color w:val="000000"/>
                <w:sz w:val="18"/>
              </w:rPr>
              <w:t>：两期非负水平流量，保留零流量信息</w:t>
            </w:r>
          </w:p>
        </w:tc>
      </w:tr>
    </w:tbl>
    <w:p w14:paraId="2C2EED9D" w14:textId="77777777" w:rsidR="00B9063B" w:rsidRDefault="0039215E">
      <w:pPr>
        <w:widowControl/>
        <w:adjustRightInd w:val="0"/>
        <w:snapToGrid w:val="0"/>
        <w:spacing w:line="360" w:lineRule="auto"/>
      </w:pPr>
      <w:r>
        <w:rPr>
          <w:color w:val="000000"/>
          <w:sz w:val="18"/>
        </w:rPr>
        <w:lastRenderedPageBreak/>
        <w:t>注：</w:t>
      </w:r>
      <w:r>
        <w:rPr>
          <w:color w:val="000000"/>
          <w:sz w:val="18"/>
        </w:rPr>
        <w:t>Stage 1</w:t>
      </w:r>
      <w:r>
        <w:rPr>
          <w:color w:val="000000"/>
          <w:sz w:val="18"/>
        </w:rPr>
        <w:t>包含制度属性识别与主导维度分类，</w:t>
      </w:r>
      <w:r>
        <w:rPr>
          <w:color w:val="000000"/>
          <w:sz w:val="18"/>
        </w:rPr>
        <w:t>Stage 2</w:t>
      </w:r>
      <w:r>
        <w:rPr>
          <w:color w:val="000000"/>
          <w:sz w:val="18"/>
        </w:rPr>
        <w:t>识别直接作用渠道及权重。协定覆盖强度</w:t>
      </w:r>
      <m:oMath>
        <m:sSub>
          <m:sSubPr>
            <m:ctrlPr>
              <w:rPr>
                <w:rFonts w:ascii="Cambria Math" w:hAnsi="Cambria Math"/>
              </w:rPr>
            </m:ctrlPr>
          </m:sSubPr>
          <m:e>
            <m:r>
              <w:rPr>
                <w:rFonts w:ascii="Cambria Math" w:hAnsi="Cambria Math"/>
              </w:rPr>
              <m:t>c</m:t>
            </m:r>
          </m:e>
          <m:sub>
            <m:r>
              <w:rPr>
                <w:rFonts w:ascii="Cambria Math" w:hAnsi="Cambria Math"/>
              </w:rPr>
              <m:t>ap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color w:val="000000"/>
          <w:sz w:val="18"/>
        </w:rPr>
        <w:t>；重叠协定先逐条款取最大覆盖，再乘以渠道有效权重加总。图中</w:t>
      </w:r>
      <w:r>
        <w:rPr>
          <w:color w:val="000000"/>
          <w:sz w:val="18"/>
        </w:rPr>
        <w:t>OLS</w:t>
      </w:r>
      <w:r>
        <w:rPr>
          <w:color w:val="000000"/>
          <w:sz w:val="18"/>
        </w:rPr>
        <w:t>与</w:t>
      </w:r>
      <w:r>
        <w:rPr>
          <w:color w:val="000000"/>
          <w:sz w:val="18"/>
        </w:rPr>
        <w:t>PPML</w:t>
      </w:r>
      <w:r>
        <w:rPr>
          <w:color w:val="000000"/>
          <w:sz w:val="18"/>
        </w:rPr>
        <w:t>表示回归设计及相应输入形式。</w:t>
      </w:r>
    </w:p>
    <w:p w14:paraId="1F5E59CF" w14:textId="77777777" w:rsidR="00B9063B" w:rsidRDefault="0039215E">
      <w:pPr>
        <w:widowControl/>
        <w:adjustRightInd w:val="0"/>
        <w:snapToGrid w:val="0"/>
        <w:spacing w:line="360" w:lineRule="auto"/>
      </w:pPr>
      <w:r>
        <w:rPr>
          <w:color w:val="000000"/>
        </w:rPr>
        <w:t>本文按照制度型开放指数测度、经济流量匹配和实证输入构建三个环节组织数据。首先，将</w:t>
      </w:r>
      <w:r>
        <w:rPr>
          <w:color w:val="000000"/>
        </w:rPr>
        <w:t>DTA</w:t>
      </w:r>
      <w:r>
        <w:rPr>
          <w:color w:val="000000"/>
        </w:rPr>
        <w:t>条款覆盖与有效渠道权重结合，形成协定层贸易与跨国生产得分；依据协定成员关系和生效年份，构建</w:t>
      </w:r>
      <w:r>
        <w:rPr>
          <w:color w:val="000000"/>
        </w:rPr>
        <w:t>2000—2023</w:t>
      </w:r>
      <w:r>
        <w:rPr>
          <w:color w:val="000000"/>
        </w:rPr>
        <w:t>年国家对</w:t>
      </w:r>
      <w:r>
        <w:rPr>
          <w:color w:val="000000"/>
        </w:rPr>
        <w:t>—</w:t>
      </w:r>
      <w:r>
        <w:rPr>
          <w:color w:val="000000"/>
        </w:rPr>
        <w:t>年份制度得分，并提取</w:t>
      </w:r>
      <w:r>
        <w:rPr>
          <w:color w:val="000000"/>
        </w:rPr>
        <w:t>2000</w:t>
      </w:r>
      <w:r>
        <w:rPr>
          <w:color w:val="000000"/>
        </w:rPr>
        <w:t>年和</w:t>
      </w:r>
      <w:r>
        <w:rPr>
          <w:color w:val="000000"/>
        </w:rPr>
        <w:t>2019</w:t>
      </w:r>
      <w:r>
        <w:rPr>
          <w:color w:val="000000"/>
        </w:rPr>
        <w:t>年进入实证匹配与分析。</w:t>
      </w:r>
    </w:p>
    <w:p w14:paraId="01A80F67" w14:textId="77777777" w:rsidR="00B9063B" w:rsidRDefault="0039215E">
      <w:pPr>
        <w:widowControl/>
        <w:adjustRightInd w:val="0"/>
        <w:snapToGrid w:val="0"/>
        <w:spacing w:line="360" w:lineRule="auto"/>
      </w:pPr>
      <w:r>
        <w:rPr>
          <w:color w:val="000000"/>
        </w:rPr>
        <w:t>其次，贸易流量和跨国生产流量分别来源于</w:t>
      </w:r>
      <w:r>
        <w:rPr>
          <w:color w:val="000000"/>
        </w:rPr>
        <w:t>OECD ICIO</w:t>
      </w:r>
      <w:r>
        <w:rPr>
          <w:color w:val="000000"/>
        </w:rPr>
        <w:t>和</w:t>
      </w:r>
      <w:r>
        <w:rPr>
          <w:color w:val="000000"/>
        </w:rPr>
        <w:t>AMNE</w:t>
      </w:r>
      <w:r>
        <w:rPr>
          <w:color w:val="000000"/>
        </w:rPr>
        <w:t>相应年度文件中的</w:t>
      </w:r>
      <w:r>
        <w:rPr>
          <w:color w:val="000000"/>
        </w:rPr>
        <w:t>value</w:t>
      </w:r>
      <w:r>
        <w:rPr>
          <w:color w:val="000000"/>
        </w:rPr>
        <w:t>，以来源国、目的国、部门和年份识别观测。实证研究范围限定为国际国家对，排除本国国家对及任一端为</w:t>
      </w:r>
      <w:r>
        <w:rPr>
          <w:color w:val="000000"/>
        </w:rPr>
        <w:t>ROW</w:t>
      </w:r>
      <w:r>
        <w:rPr>
          <w:color w:val="000000"/>
        </w:rPr>
        <w:t>的记录。在这一研究范围内，将经济流量与对应的国家对年度制度得分连接，贸易和跨国生产的核心解释变量分别为</w:t>
      </w:r>
      <w:r>
        <w:rPr>
          <w:rFonts w:hint="eastAsia"/>
          <w:color w:val="000000"/>
        </w:rPr>
        <w:t>制度型贸易开放得分</w:t>
      </w:r>
      <w:r>
        <w:rPr>
          <w:color w:val="000000"/>
        </w:rPr>
        <w:t>raw_trade_score</w:t>
      </w:r>
      <w:r>
        <w:rPr>
          <w:color w:val="000000"/>
        </w:rPr>
        <w:t>和</w:t>
      </w:r>
      <w:r>
        <w:rPr>
          <w:rFonts w:hint="eastAsia"/>
          <w:color w:val="000000"/>
        </w:rPr>
        <w:t>制度型跨国生产开放得分</w:t>
      </w:r>
      <w:r>
        <w:rPr>
          <w:color w:val="000000"/>
        </w:rPr>
        <w:t>raw_mp_score</w:t>
      </w:r>
      <w:r>
        <w:rPr>
          <w:color w:val="000000"/>
        </w:rPr>
        <w:t>。</w:t>
      </w:r>
    </w:p>
    <w:p w14:paraId="2763948C" w14:textId="77777777" w:rsidR="00B9063B" w:rsidRDefault="0039215E">
      <w:pPr>
        <w:widowControl/>
        <w:adjustRightInd w:val="0"/>
        <w:snapToGrid w:val="0"/>
        <w:spacing w:line="360" w:lineRule="auto"/>
      </w:pPr>
      <w:r>
        <w:rPr>
          <w:color w:val="000000"/>
        </w:rPr>
        <w:t>控制变量在已匹配制度得分的经济流量数据上继续连接。国家对年度得分、协定虚拟变量和政治距离按年份、来源国和目的国匹配，关税按年份、国家对和部门匹配。政治距离依据两国联合国大会理想点的绝对差确定。各次匹配采用左连接，检查右表键唯一性及连接前后左表行数一致；原始国家代码保持不变，必要的标准化仅用于匹配字段，来源国与目的国方向保持一致。</w:t>
      </w:r>
    </w:p>
    <w:p w14:paraId="32468632" w14:textId="77777777" w:rsidR="00B9063B" w:rsidRDefault="0039215E">
      <w:pPr>
        <w:widowControl/>
        <w:adjustRightInd w:val="0"/>
        <w:snapToGrid w:val="0"/>
        <w:spacing w:line="360" w:lineRule="auto"/>
      </w:pPr>
      <w:r>
        <w:rPr>
          <w:color w:val="000000"/>
        </w:rPr>
        <w:t>最后，分别形成国家对</w:t>
      </w:r>
      <w:r>
        <w:rPr>
          <w:color w:val="000000"/>
        </w:rPr>
        <w:t>—</w:t>
      </w:r>
      <w:r>
        <w:rPr>
          <w:color w:val="000000"/>
        </w:rPr>
        <w:t>部门层面的</w:t>
      </w:r>
      <w:r>
        <w:rPr>
          <w:color w:val="000000"/>
        </w:rPr>
        <w:t>OLS</w:t>
      </w:r>
      <w:r>
        <w:rPr>
          <w:color w:val="000000"/>
        </w:rPr>
        <w:t>长差分输入和国家对</w:t>
      </w:r>
      <w:r>
        <w:rPr>
          <w:color w:val="000000"/>
        </w:rPr>
        <w:t>—</w:t>
      </w:r>
      <w:r>
        <w:rPr>
          <w:color w:val="000000"/>
        </w:rPr>
        <w:t>部门</w:t>
      </w:r>
      <w:r>
        <w:rPr>
          <w:color w:val="000000"/>
        </w:rPr>
        <w:t>—</w:t>
      </w:r>
      <w:r>
        <w:rPr>
          <w:color w:val="000000"/>
        </w:rPr>
        <w:t>年份层面的</w:t>
      </w:r>
      <w:r>
        <w:rPr>
          <w:color w:val="000000"/>
        </w:rPr>
        <w:t>PPML</w:t>
      </w:r>
      <w:r>
        <w:rPr>
          <w:color w:val="000000"/>
        </w:rPr>
        <w:t>两期水平值输入。</w:t>
      </w:r>
      <w:r>
        <w:rPr>
          <w:color w:val="000000"/>
        </w:rPr>
        <w:t>OLS</w:t>
      </w:r>
      <w:r>
        <w:rPr>
          <w:color w:val="000000"/>
        </w:rPr>
        <w:t>采用两个端点均为正的流量构造对数差分，</w:t>
      </w:r>
      <w:r>
        <w:rPr>
          <w:color w:val="000000"/>
        </w:rPr>
        <w:t>PPML</w:t>
      </w:r>
      <w:r>
        <w:rPr>
          <w:color w:val="000000"/>
        </w:rPr>
        <w:t>保留两期非负水平流量。政治距离、关税及其他经济控制变量的缺失保持为缺失，各回归规格依据所需变量的完整性及相应估计条件确定分析样本。</w:t>
      </w:r>
    </w:p>
    <w:p w14:paraId="5696E825" w14:textId="77777777" w:rsidR="00B9063B" w:rsidRDefault="0039215E">
      <w:pPr>
        <w:pStyle w:val="3"/>
        <w:widowControl/>
        <w:adjustRightInd w:val="0"/>
        <w:snapToGrid w:val="0"/>
        <w:spacing w:before="0" w:after="0"/>
        <w:jc w:val="both"/>
      </w:pPr>
      <w:bookmarkStart w:id="11" w:name="ols长差分回归设定"/>
      <w:r>
        <w:rPr>
          <w:rFonts w:eastAsia="宋体"/>
          <w:color w:val="000000"/>
        </w:rPr>
        <w:t>（</w:t>
      </w:r>
      <w:r>
        <w:rPr>
          <w:rFonts w:eastAsia="宋体"/>
          <w:color w:val="000000"/>
        </w:rPr>
        <w:t>8</w:t>
      </w:r>
      <w:r>
        <w:rPr>
          <w:rFonts w:eastAsia="宋体"/>
          <w:color w:val="000000"/>
        </w:rPr>
        <w:t>）</w:t>
      </w:r>
      <w:r>
        <w:rPr>
          <w:rFonts w:eastAsia="宋体"/>
          <w:color w:val="000000"/>
        </w:rPr>
        <w:t>OLS</w:t>
      </w:r>
      <w:r>
        <w:rPr>
          <w:rFonts w:eastAsia="宋体"/>
          <w:color w:val="000000"/>
        </w:rPr>
        <w:t>长差分回归设定</w:t>
      </w:r>
    </w:p>
    <w:p w14:paraId="7654A992" w14:textId="77777777" w:rsidR="00B9063B" w:rsidRDefault="0039215E">
      <w:pPr>
        <w:keepNext/>
        <w:widowControl/>
        <w:adjustRightInd w:val="0"/>
        <w:snapToGrid w:val="0"/>
        <w:spacing w:line="360" w:lineRule="auto"/>
      </w:pPr>
      <w:r>
        <w:rPr>
          <w:color w:val="000000"/>
        </w:rPr>
        <w:t>OLS</w:t>
      </w:r>
      <w:r>
        <w:rPr>
          <w:color w:val="000000"/>
        </w:rPr>
        <w:t>以</w:t>
      </w:r>
      <w:r>
        <w:rPr>
          <w:color w:val="000000"/>
        </w:rPr>
        <w:t>2000</w:t>
      </w:r>
      <w:r>
        <w:rPr>
          <w:color w:val="000000"/>
        </w:rPr>
        <w:t>年和</w:t>
      </w:r>
      <w:r>
        <w:rPr>
          <w:color w:val="000000"/>
        </w:rPr>
        <w:t>2019</w:t>
      </w:r>
      <w:r>
        <w:rPr>
          <w:color w:val="000000"/>
        </w:rPr>
        <w:t>年为两个端点。设</w:t>
      </w:r>
      <m:oMath>
        <m:sSubSup>
          <m:sSubSupPr>
            <m:ctrlPr>
              <w:rPr>
                <w:rFonts w:ascii="Cambria Math" w:hAnsi="Cambria Math"/>
              </w:rPr>
            </m:ctrlPr>
          </m:sSubSupPr>
          <m:e>
            <m:r>
              <w:rPr>
                <w:rFonts w:ascii="Cambria Math" w:hAnsi="Cambria Math"/>
              </w:rPr>
              <m:t>Y</m:t>
            </m:r>
          </m:e>
          <m:sub>
            <m:r>
              <w:rPr>
                <w:rFonts w:ascii="Cambria Math" w:hAnsi="Cambria Math"/>
              </w:rPr>
              <m:t>ijst</m:t>
            </m:r>
          </m:sub>
          <m:sup>
            <m:r>
              <w:rPr>
                <w:rFonts w:ascii="Cambria Math" w:hAnsi="Cambria Math"/>
              </w:rPr>
              <m:t>k</m:t>
            </m:r>
          </m:sup>
        </m:sSubSup>
      </m:oMath>
      <w:r>
        <w:rPr>
          <w:color w:val="000000"/>
        </w:rPr>
        <w:t>为国家</w:t>
      </w:r>
      <m:oMath>
        <m:r>
          <w:rPr>
            <w:rFonts w:ascii="Cambria Math" w:hAnsi="Cambria Math"/>
          </w:rPr>
          <m:t>i</m:t>
        </m:r>
      </m:oMath>
      <w:r>
        <w:rPr>
          <w:color w:val="000000"/>
        </w:rPr>
        <w:t>到</w:t>
      </w:r>
      <m:oMath>
        <m:r>
          <w:rPr>
            <w:rFonts w:ascii="Cambria Math" w:hAnsi="Cambria Math"/>
          </w:rPr>
          <m:t>j</m:t>
        </m:r>
      </m:oMath>
      <w:r>
        <w:rPr>
          <w:color w:val="000000"/>
        </w:rPr>
        <w:t>、部门</w:t>
      </w:r>
      <m:oMath>
        <m:r>
          <w:rPr>
            <w:rFonts w:ascii="Cambria Math" w:hAnsi="Cambria Math"/>
          </w:rPr>
          <m:t>s</m:t>
        </m:r>
      </m:oMath>
      <w:r>
        <w:rPr>
          <w:color w:val="000000"/>
        </w:rPr>
        <w:t>、年份</w:t>
      </w:r>
      <m:oMath>
        <m:r>
          <w:rPr>
            <w:rFonts w:ascii="Cambria Math" w:hAnsi="Cambria Math"/>
          </w:rPr>
          <m:t>t</m:t>
        </m:r>
      </m:oMath>
      <w:r>
        <w:rPr>
          <w:color w:val="000000"/>
        </w:rPr>
        <w:t>的经济流量，</w:t>
      </w:r>
      <m:oMath>
        <m:r>
          <w:rPr>
            <w:rFonts w:ascii="Cambria Math" w:hAnsi="Cambria Math"/>
          </w:rPr>
          <m:t>k</m:t>
        </m:r>
        <m:r>
          <m:rPr>
            <m:sty m:val="p"/>
          </m:rPr>
          <w:rPr>
            <w:rFonts w:ascii="Cambria Math" w:hAnsi="Cambria Math"/>
          </w:rPr>
          <m:t>=</m:t>
        </m:r>
        <m:r>
          <w:rPr>
            <w:rFonts w:ascii="Cambria Math" w:hAnsi="Cambria Math"/>
          </w:rPr>
          <m:t>T</m:t>
        </m:r>
      </m:oMath>
      <w:r>
        <w:rPr>
          <w:color w:val="000000"/>
        </w:rPr>
        <w:t>表示贸易、</w:t>
      </w:r>
      <m:oMath>
        <m:r>
          <w:rPr>
            <w:rFonts w:ascii="Cambria Math" w:hAnsi="Cambria Math"/>
          </w:rPr>
          <m:t>k</m:t>
        </m:r>
        <m:r>
          <m:rPr>
            <m:sty m:val="p"/>
          </m:rPr>
          <w:rPr>
            <w:rFonts w:ascii="Cambria Math" w:hAnsi="Cambria Math"/>
          </w:rPr>
          <m:t>=</m:t>
        </m:r>
        <m:r>
          <w:rPr>
            <w:rFonts w:ascii="Cambria Math" w:hAnsi="Cambria Math"/>
          </w:rPr>
          <m:t>M</m:t>
        </m:r>
      </m:oMath>
      <w:r>
        <w:rPr>
          <w:color w:val="000000"/>
        </w:rPr>
        <w:t>表示跨国生产。仅当两端点流量均严格大于</w:t>
      </w:r>
      <w:r>
        <w:rPr>
          <w:color w:val="000000"/>
        </w:rPr>
        <w:t>0</w:t>
      </w:r>
      <w:r>
        <w:rPr>
          <w:color w:val="000000"/>
        </w:rPr>
        <w:t>时，定义：</w:t>
      </w:r>
    </w:p>
    <w:p w14:paraId="28FA2B45" w14:textId="77777777" w:rsidR="00B9063B" w:rsidRDefault="0039215E">
      <w:pPr>
        <w:widowControl/>
        <w:adjustRightInd w:val="0"/>
        <w:snapToGrid w:val="0"/>
        <w:spacing w:line="360" w:lineRule="auto"/>
      </w:pPr>
      <m:oMathPara>
        <m:oMathParaPr>
          <m:jc m:val="left"/>
        </m:oMathParaPr>
        <m:oMath>
          <m:r>
            <w:rPr>
              <w:rFonts w:ascii="Cambria Math" w:hAnsi="Cambria Math"/>
            </w:rPr>
            <m:t>Δ</m:t>
          </m:r>
          <m:r>
            <m:rPr>
              <m:nor/>
            </m:rPr>
            <m:t>ln</m:t>
          </m:r>
          <m:sSubSup>
            <m:sSubSupPr>
              <m:ctrlPr>
                <w:rPr>
                  <w:rFonts w:ascii="Cambria Math" w:hAnsi="Cambria Math"/>
                </w:rPr>
              </m:ctrlPr>
            </m:sSubSupPr>
            <m:e>
              <m:r>
                <w:rPr>
                  <w:rFonts w:ascii="Cambria Math" w:hAnsi="Cambria Math"/>
                </w:rPr>
                <m:t>Y</m:t>
              </m:r>
            </m:e>
            <m:sub>
              <m:r>
                <w:rPr>
                  <w:rFonts w:ascii="Cambria Math" w:hAnsi="Cambria Math"/>
                </w:rPr>
                <m:t>ijs</m:t>
              </m:r>
            </m:sub>
            <m:sup>
              <m:r>
                <w:rPr>
                  <w:rFonts w:ascii="Cambria Math" w:hAnsi="Cambria Math"/>
                </w:rPr>
                <m:t>k</m:t>
              </m:r>
            </m:sup>
          </m:sSubSup>
          <m:r>
            <m:rPr>
              <m:sty m:val="p"/>
            </m:rPr>
            <w:rPr>
              <w:rFonts w:ascii="Cambria Math" w:hAnsi="Cambria Math"/>
            </w:rPr>
            <m:t>=</m:t>
          </m:r>
          <m:r>
            <m:rPr>
              <m:nor/>
            </m:rPr>
            <m:t>ln</m:t>
          </m:r>
          <m:sSubSup>
            <m:sSubSupPr>
              <m:ctrlPr>
                <w:rPr>
                  <w:rFonts w:ascii="Cambria Math" w:hAnsi="Cambria Math"/>
                </w:rPr>
              </m:ctrlPr>
            </m:sSubSupPr>
            <m:e>
              <m:r>
                <w:rPr>
                  <w:rFonts w:ascii="Cambria Math" w:hAnsi="Cambria Math"/>
                </w:rPr>
                <m:t>Y</m:t>
              </m:r>
            </m:e>
            <m:sub>
              <m:r>
                <w:rPr>
                  <w:rFonts w:ascii="Cambria Math" w:hAnsi="Cambria Math"/>
                </w:rPr>
                <m:t>ijs</m:t>
              </m:r>
              <m:r>
                <m:rPr>
                  <m:sty m:val="p"/>
                </m:rPr>
                <w:rPr>
                  <w:rFonts w:ascii="Cambria Math" w:hAnsi="Cambria Math"/>
                </w:rPr>
                <m:t>,</m:t>
              </m:r>
              <m:r>
                <w:rPr>
                  <w:rFonts w:ascii="Cambria Math" w:hAnsi="Cambria Math"/>
                </w:rPr>
                <m:t>2019</m:t>
              </m:r>
            </m:sub>
            <m:sup>
              <m:r>
                <w:rPr>
                  <w:rFonts w:ascii="Cambria Math" w:hAnsi="Cambria Math"/>
                </w:rPr>
                <m:t>k</m:t>
              </m:r>
            </m:sup>
          </m:sSubSup>
          <m:r>
            <m:rPr>
              <m:sty m:val="p"/>
            </m:rPr>
            <w:rPr>
              <w:rFonts w:ascii="Cambria Math" w:hAnsi="Cambria Math"/>
            </w:rPr>
            <m:t>-</m:t>
          </m:r>
          <m:r>
            <m:rPr>
              <m:nor/>
            </m:rPr>
            <m:t>ln</m:t>
          </m:r>
          <m:sSubSup>
            <m:sSubSupPr>
              <m:ctrlPr>
                <w:rPr>
                  <w:rFonts w:ascii="Cambria Math" w:hAnsi="Cambria Math"/>
                </w:rPr>
              </m:ctrlPr>
            </m:sSubSupPr>
            <m:e>
              <m:r>
                <w:rPr>
                  <w:rFonts w:ascii="Cambria Math" w:hAnsi="Cambria Math"/>
                </w:rPr>
                <m:t>Y</m:t>
              </m:r>
            </m:e>
            <m:sub>
              <m:r>
                <w:rPr>
                  <w:rFonts w:ascii="Cambria Math" w:hAnsi="Cambria Math"/>
                </w:rPr>
                <m:t>ijs</m:t>
              </m:r>
              <m:r>
                <m:rPr>
                  <m:sty m:val="p"/>
                </m:rPr>
                <w:rPr>
                  <w:rFonts w:ascii="Cambria Math" w:hAnsi="Cambria Math"/>
                </w:rPr>
                <m:t>,</m:t>
              </m:r>
              <m:r>
                <w:rPr>
                  <w:rFonts w:ascii="Cambria Math" w:hAnsi="Cambria Math"/>
                </w:rPr>
                <m:t>2000</m:t>
              </m:r>
            </m:sub>
            <m:sup>
              <m:r>
                <w:rPr>
                  <w:rFonts w:ascii="Cambria Math" w:hAnsi="Cambria Math"/>
                </w:rPr>
                <m:t>k</m:t>
              </m:r>
            </m:sup>
          </m:sSubSup>
          <m:r>
            <m:rPr>
              <m:sty m:val="p"/>
            </m:rPr>
            <w:rPr>
              <w:rFonts w:ascii="Cambria Math" w:hAnsi="Cambria Math"/>
            </w:rPr>
            <m:t>.</m:t>
          </m:r>
          <m:r>
            <w:rPr>
              <w:rFonts w:ascii="Cambria Math" w:hAnsi="Cambria Math"/>
            </w:rPr>
            <m:t>  </m:t>
          </m:r>
          <m:r>
            <m:rPr>
              <m:nor/>
            </m:rPr>
            <m:t>(7)</m:t>
          </m:r>
        </m:oMath>
      </m:oMathPara>
    </w:p>
    <w:p w14:paraId="205AB8D4" w14:textId="77777777" w:rsidR="00B9063B" w:rsidRDefault="0039215E">
      <w:pPr>
        <w:keepNext/>
        <w:widowControl/>
        <w:adjustRightInd w:val="0"/>
        <w:snapToGrid w:val="0"/>
        <w:spacing w:line="360" w:lineRule="auto"/>
      </w:pPr>
      <w:r>
        <w:rPr>
          <w:color w:val="000000"/>
        </w:rPr>
        <w:t>核心解释变量取相应渠道得分的</w:t>
      </w:r>
      <w:r>
        <w:rPr>
          <w:color w:val="000000"/>
        </w:rPr>
        <w:t>2019</w:t>
      </w:r>
      <w:r>
        <w:rPr>
          <w:color w:val="000000"/>
        </w:rPr>
        <w:t>年减</w:t>
      </w:r>
      <w:r>
        <w:rPr>
          <w:color w:val="000000"/>
        </w:rPr>
        <w:t>2000</w:t>
      </w:r>
      <w:r>
        <w:rPr>
          <w:color w:val="000000"/>
        </w:rPr>
        <w:t>年之差。共同系数模型设定为：</w:t>
      </w:r>
    </w:p>
    <w:p w14:paraId="537170C9" w14:textId="77777777" w:rsidR="00B9063B" w:rsidRDefault="0039215E">
      <w:pPr>
        <w:widowControl/>
        <w:adjustRightInd w:val="0"/>
        <w:snapToGrid w:val="0"/>
        <w:spacing w:line="360" w:lineRule="auto"/>
      </w:pPr>
      <m:oMathPara>
        <m:oMathParaPr>
          <m:jc m:val="left"/>
        </m:oMathParaPr>
        <m:oMath>
          <m:r>
            <w:rPr>
              <w:rFonts w:ascii="Cambria Math" w:hAnsi="Cambria Math"/>
            </w:rPr>
            <m:t>Δ</m:t>
          </m:r>
          <m:r>
            <m:rPr>
              <m:nor/>
            </m:rPr>
            <m:t>ln</m:t>
          </m:r>
          <m:sSubSup>
            <m:sSubSupPr>
              <m:ctrlPr>
                <w:rPr>
                  <w:rFonts w:ascii="Cambria Math" w:hAnsi="Cambria Math"/>
                </w:rPr>
              </m:ctrlPr>
            </m:sSubSupPr>
            <m:e>
              <m:r>
                <w:rPr>
                  <w:rFonts w:ascii="Cambria Math" w:hAnsi="Cambria Math"/>
                </w:rPr>
                <m:t>Y</m:t>
              </m:r>
            </m:e>
            <m:sub>
              <m:r>
                <w:rPr>
                  <w:rFonts w:ascii="Cambria Math" w:hAnsi="Cambria Math"/>
                </w:rPr>
                <m:t>ijs</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k</m:t>
              </m:r>
            </m:sup>
          </m:sSup>
          <m:r>
            <w:rPr>
              <w:rFonts w:ascii="Cambria Math" w:hAnsi="Cambria Math"/>
            </w:rPr>
            <m:t>Δ</m:t>
          </m:r>
          <m:sSubSup>
            <m:sSubSupPr>
              <m:ctrlPr>
                <w:rPr>
                  <w:rFonts w:ascii="Cambria Math" w:hAnsi="Cambria Math"/>
                </w:rPr>
              </m:ctrlPr>
            </m:sSubSupPr>
            <m:e>
              <m:r>
                <w:rPr>
                  <w:rFonts w:ascii="Cambria Math" w:hAnsi="Cambria Math"/>
                </w:rPr>
                <m:t>S</m:t>
              </m:r>
            </m:e>
            <m:sub>
              <m:r>
                <w:rPr>
                  <w:rFonts w:ascii="Cambria Math" w:hAnsi="Cambria Math"/>
                </w:rPr>
                <m:t>ij</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Z</m:t>
              </m:r>
            </m:e>
            <m:sub>
              <m:r>
                <w:rPr>
                  <w:rFonts w:ascii="Cambria Math" w:hAnsi="Cambria Math"/>
                </w:rPr>
                <m:t>ijs</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is</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js</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ijs</m:t>
              </m:r>
            </m:sub>
            <m:sup>
              <m:r>
                <w:rPr>
                  <w:rFonts w:ascii="Cambria Math" w:hAnsi="Cambria Math"/>
                </w:rPr>
                <m:t>k</m:t>
              </m:r>
            </m:sup>
          </m:sSubSup>
          <m:r>
            <m:rPr>
              <m:sty m:val="p"/>
            </m:rPr>
            <w:rPr>
              <w:rFonts w:ascii="Cambria Math" w:hAnsi="Cambria Math"/>
            </w:rPr>
            <m:t>.</m:t>
          </m:r>
          <m:r>
            <w:rPr>
              <w:rFonts w:ascii="Cambria Math" w:hAnsi="Cambria Math"/>
            </w:rPr>
            <m:t>  </m:t>
          </m:r>
          <m:r>
            <m:rPr>
              <m:nor/>
            </m:rPr>
            <m:t>(8)</m:t>
          </m:r>
        </m:oMath>
      </m:oMathPara>
    </w:p>
    <w:p w14:paraId="4200ABB5" w14:textId="77777777" w:rsidR="00B9063B" w:rsidRDefault="0039215E">
      <w:pPr>
        <w:widowControl/>
        <w:adjustRightInd w:val="0"/>
        <w:snapToGrid w:val="0"/>
        <w:spacing w:line="360" w:lineRule="auto"/>
      </w:pPr>
      <w:r>
        <w:rPr>
          <w:color w:val="000000"/>
        </w:rPr>
        <w:t>其中，</w:t>
      </w:r>
      <m:oMath>
        <m:r>
          <w:rPr>
            <w:rFonts w:ascii="Cambria Math" w:hAnsi="Cambria Math"/>
          </w:rPr>
          <m:t>Z</m:t>
        </m:r>
      </m:oMath>
      <w:r>
        <w:rPr>
          <w:color w:val="000000"/>
        </w:rPr>
        <w:t>为相应方程的控制变量，</w:t>
      </w:r>
      <m:oMath>
        <m:sSubSup>
          <m:sSubSupPr>
            <m:ctrlPr>
              <w:rPr>
                <w:rFonts w:ascii="Cambria Math" w:hAnsi="Cambria Math"/>
              </w:rPr>
            </m:ctrlPr>
          </m:sSubSupPr>
          <m:e>
            <m:r>
              <w:rPr>
                <w:rFonts w:ascii="Cambria Math" w:hAnsi="Cambria Math"/>
              </w:rPr>
              <m:t>μ</m:t>
            </m:r>
          </m:e>
          <m:sub>
            <m:r>
              <w:rPr>
                <w:rFonts w:ascii="Cambria Math" w:hAnsi="Cambria Math"/>
              </w:rPr>
              <m:t>is</m:t>
            </m:r>
          </m:sub>
          <m:sup>
            <m:r>
              <w:rPr>
                <w:rFonts w:ascii="Cambria Math" w:hAnsi="Cambria Math"/>
              </w:rPr>
              <m:t>k</m:t>
            </m:r>
          </m:sup>
        </m:sSubSup>
      </m:oMath>
      <w:r>
        <w:rPr>
          <w:color w:val="000000"/>
        </w:rPr>
        <w:t>和</w:t>
      </w:r>
      <m:oMath>
        <m:sSubSup>
          <m:sSubSupPr>
            <m:ctrlPr>
              <w:rPr>
                <w:rFonts w:ascii="Cambria Math" w:hAnsi="Cambria Math"/>
              </w:rPr>
            </m:ctrlPr>
          </m:sSubSupPr>
          <m:e>
            <m:r>
              <w:rPr>
                <w:rFonts w:ascii="Cambria Math" w:hAnsi="Cambria Math"/>
              </w:rPr>
              <m:t>ν</m:t>
            </m:r>
          </m:e>
          <m:sub>
            <m:r>
              <w:rPr>
                <w:rFonts w:ascii="Cambria Math" w:hAnsi="Cambria Math"/>
              </w:rPr>
              <m:t>js</m:t>
            </m:r>
          </m:sub>
          <m:sup>
            <m:r>
              <w:rPr>
                <w:rFonts w:ascii="Cambria Math" w:hAnsi="Cambria Math"/>
              </w:rPr>
              <m:t>k</m:t>
            </m:r>
          </m:sup>
        </m:sSubSup>
      </m:oMath>
      <w:r>
        <w:rPr>
          <w:color w:val="000000"/>
        </w:rPr>
        <w:t>分别为来源国</w:t>
      </w:r>
      <w:r>
        <w:rPr>
          <w:color w:val="000000"/>
        </w:rPr>
        <w:t>×</w:t>
      </w:r>
      <w:r>
        <w:rPr>
          <w:color w:val="000000"/>
        </w:rPr>
        <w:t>部门和目的国</w:t>
      </w:r>
      <w:r>
        <w:rPr>
          <w:color w:val="000000"/>
        </w:rPr>
        <w:t>×</w:t>
      </w:r>
      <w:r>
        <w:rPr>
          <w:color w:val="000000"/>
        </w:rPr>
        <w:t>部门固定效应。贸易方程设置关税变换差分和生效协定虚拟变量差分；跨国生产方程设置生效协定虚拟变量差分和政治距离差分。关税变换按照</w:t>
      </w:r>
      <m:oMath>
        <m:r>
          <m:rPr>
            <m:nor/>
          </m:rPr>
          <m:t>ln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tariff</m:t>
        </m:r>
        <m:r>
          <m:rPr>
            <m:sty m:val="p"/>
          </m:rPr>
          <w:rPr>
            <w:rFonts w:ascii="Cambria Math" w:hAnsi="Cambria Math"/>
          </w:rPr>
          <m:t>)</m:t>
        </m:r>
      </m:oMath>
      <w:r>
        <w:rPr>
          <w:color w:val="000000"/>
        </w:rPr>
        <w:t>构造，再计算两期之差；政治距离为两国联合国大会理想点的绝对差。</w:t>
      </w:r>
    </w:p>
    <w:p w14:paraId="2EC80CAE" w14:textId="77777777" w:rsidR="00B9063B" w:rsidRDefault="0039215E">
      <w:pPr>
        <w:widowControl/>
        <w:adjustRightInd w:val="0"/>
        <w:snapToGrid w:val="0"/>
        <w:spacing w:line="360" w:lineRule="auto"/>
      </w:pPr>
      <w:r>
        <w:rPr>
          <w:color w:val="000000"/>
        </w:rPr>
        <w:t>长差分可以消去对数水平模型中不随时间变化的双边因素，端点固定效应控制国家</w:t>
      </w:r>
      <w:r>
        <w:rPr>
          <w:color w:val="000000"/>
        </w:rPr>
        <w:t>—</w:t>
      </w:r>
      <w:r>
        <w:rPr>
          <w:color w:val="000000"/>
        </w:rPr>
        <w:t>部门层面的共同变化。由于制度得分差分在同一国家对内不随部门变化，差分截面中不再另行加入</w:t>
      </w:r>
      <w:r>
        <w:rPr>
          <w:color w:val="000000"/>
        </w:rPr>
        <w:lastRenderedPageBreak/>
        <w:t>国家对固定效应，以免将共同的核心得分变化一并吸收。标准误按有向国家对</w:t>
      </w:r>
      <w:r>
        <w:rPr>
          <w:color w:val="000000"/>
        </w:rPr>
        <w:t>pair_id</w:t>
      </w:r>
      <w:r>
        <w:rPr>
          <w:color w:val="000000"/>
        </w:rPr>
        <w:t>聚类，允许同一方向国家对的不同部门误差相关。</w:t>
      </w:r>
    </w:p>
    <w:p w14:paraId="4B9B4574" w14:textId="77777777" w:rsidR="00B9063B" w:rsidRDefault="0039215E">
      <w:pPr>
        <w:widowControl/>
        <w:adjustRightInd w:val="0"/>
        <w:snapToGrid w:val="0"/>
        <w:spacing w:line="360" w:lineRule="auto"/>
      </w:pPr>
      <w:r>
        <w:rPr>
          <w:color w:val="000000"/>
        </w:rPr>
        <w:t>部门异质性规格将核心解释变量与每一项纳入的控制变量均同部门虚拟变量交互，使</w:t>
      </w:r>
      <m:oMath>
        <m:sSubSup>
          <m:sSubSupPr>
            <m:ctrlPr>
              <w:rPr>
                <w:rFonts w:ascii="Cambria Math" w:hAnsi="Cambria Math"/>
              </w:rPr>
            </m:ctrlPr>
          </m:sSubSupPr>
          <m:e>
            <m:r>
              <w:rPr>
                <w:rFonts w:ascii="Cambria Math" w:hAnsi="Cambria Math"/>
              </w:rPr>
              <m:t>β</m:t>
            </m:r>
          </m:e>
          <m:sub>
            <m:r>
              <w:rPr>
                <w:rFonts w:ascii="Cambria Math" w:hAnsi="Cambria Math"/>
              </w:rPr>
              <m:t>s</m:t>
            </m:r>
          </m:sub>
          <m:sup>
            <m:r>
              <w:rPr>
                <w:rFonts w:ascii="Cambria Math" w:hAnsi="Cambria Math"/>
              </w:rPr>
              <m:t>k</m:t>
            </m:r>
          </m:sup>
        </m:sSubSup>
      </m:oMath>
      <w:r>
        <w:rPr>
          <w:color w:val="000000"/>
        </w:rPr>
        <w:t>和</w:t>
      </w:r>
      <m:oMath>
        <m:sSubSup>
          <m:sSubSupPr>
            <m:ctrlPr>
              <w:rPr>
                <w:rFonts w:ascii="Cambria Math" w:hAnsi="Cambria Math"/>
              </w:rPr>
            </m:ctrlPr>
          </m:sSubSupPr>
          <m:e>
            <m:r>
              <w:rPr>
                <w:rFonts w:ascii="Cambria Math" w:hAnsi="Cambria Math"/>
              </w:rPr>
              <m:t>δ</m:t>
            </m:r>
          </m:e>
          <m:sub>
            <m:r>
              <w:rPr>
                <w:rFonts w:ascii="Cambria Math" w:hAnsi="Cambria Math"/>
              </w:rPr>
              <m:t>s</m:t>
            </m:r>
          </m:sub>
          <m:sup>
            <m:r>
              <w:rPr>
                <w:rFonts w:ascii="Cambria Math" w:hAnsi="Cambria Math"/>
              </w:rPr>
              <m:t>k</m:t>
            </m:r>
          </m:sup>
        </m:sSubSup>
      </m:oMath>
      <w:r>
        <w:rPr>
          <w:color w:val="000000"/>
        </w:rPr>
        <w:t>随部门变化。贸易方程涵盖部门</w:t>
      </w:r>
      <w:r>
        <w:rPr>
          <w:color w:val="000000"/>
        </w:rPr>
        <w:t>1—19</w:t>
      </w:r>
      <w:r>
        <w:rPr>
          <w:color w:val="000000"/>
        </w:rPr>
        <w:t>，跨国生产方程涵盖部门</w:t>
      </w:r>
      <w:r>
        <w:rPr>
          <w:color w:val="000000"/>
        </w:rPr>
        <w:t>1—20</w:t>
      </w:r>
      <w:r>
        <w:rPr>
          <w:color w:val="000000"/>
        </w:rPr>
        <w:t>。贸易方程的政治距离补充以该变量完整的同一样本为基础，分别设置不含与包含政治距离的规格，避免将增加控制变量与改变样本构成混为一谈。</w:t>
      </w:r>
    </w:p>
    <w:bookmarkEnd w:id="11"/>
    <w:p w14:paraId="1EC44F9B" w14:textId="77777777" w:rsidR="00B9063B" w:rsidRDefault="0039215E">
      <w:pPr>
        <w:pStyle w:val="3"/>
        <w:widowControl/>
        <w:adjustRightInd w:val="0"/>
        <w:snapToGrid w:val="0"/>
        <w:spacing w:before="0" w:after="0"/>
        <w:jc w:val="both"/>
      </w:pPr>
      <w:r>
        <w:rPr>
          <w:rFonts w:eastAsia="宋体"/>
          <w:color w:val="000000"/>
        </w:rPr>
        <w:t>（</w:t>
      </w:r>
      <w:r>
        <w:rPr>
          <w:rFonts w:eastAsia="宋体"/>
          <w:color w:val="000000"/>
        </w:rPr>
        <w:t>9</w:t>
      </w:r>
      <w:r>
        <w:rPr>
          <w:rFonts w:eastAsia="宋体"/>
          <w:color w:val="000000"/>
        </w:rPr>
        <w:t>）两期水平值</w:t>
      </w:r>
      <w:r>
        <w:rPr>
          <w:rFonts w:eastAsia="宋体"/>
          <w:color w:val="000000"/>
        </w:rPr>
        <w:t>PPML</w:t>
      </w:r>
      <w:r>
        <w:rPr>
          <w:rFonts w:eastAsia="宋体"/>
          <w:color w:val="000000"/>
        </w:rPr>
        <w:t>回归设定</w:t>
      </w:r>
    </w:p>
    <w:p w14:paraId="6C2EA654" w14:textId="77777777" w:rsidR="00B9063B" w:rsidRDefault="0039215E">
      <w:pPr>
        <w:keepNext/>
        <w:widowControl/>
        <w:adjustRightInd w:val="0"/>
        <w:snapToGrid w:val="0"/>
        <w:spacing w:line="360" w:lineRule="auto"/>
      </w:pPr>
      <w:r>
        <w:rPr>
          <w:color w:val="000000"/>
        </w:rPr>
        <w:t>为保留零流量所包含的信息，</w:t>
      </w:r>
      <w:r>
        <w:rPr>
          <w:color w:val="000000"/>
        </w:rPr>
        <w:t>PPML</w:t>
      </w:r>
      <w:r>
        <w:rPr>
          <w:color w:val="000000"/>
        </w:rPr>
        <w:t>使用</w:t>
      </w:r>
      <w:r>
        <w:rPr>
          <w:color w:val="000000"/>
        </w:rPr>
        <w:t>2000</w:t>
      </w:r>
      <w:r>
        <w:rPr>
          <w:color w:val="000000"/>
        </w:rPr>
        <w:t>年和</w:t>
      </w:r>
      <w:r>
        <w:rPr>
          <w:color w:val="000000"/>
        </w:rPr>
        <w:t>2019</w:t>
      </w:r>
      <w:r>
        <w:rPr>
          <w:color w:val="000000"/>
        </w:rPr>
        <w:t>年的非负水平流量作为被解释变量。零流量按其原始数值进入相应估计，不取对数，也不替换为任意正数。总体共同系数模型设定为：</w:t>
      </w:r>
    </w:p>
    <w:p w14:paraId="54AFC71F" w14:textId="77777777" w:rsidR="00B9063B" w:rsidRDefault="00A00E78">
      <w:pPr>
        <w:widowControl/>
        <w:adjustRightInd w:val="0"/>
        <w:snapToGrid w:val="0"/>
        <w:spacing w:line="360" w:lineRule="auto"/>
      </w:pPr>
      <m:oMathPara>
        <m:oMathParaPr>
          <m:jc m:val="left"/>
        </m:oMathParaPr>
        <m:oMath>
          <m:m>
            <m:mPr>
              <m:plcHide m:val="1"/>
              <m:mcs>
                <m:mc>
                  <m:mcPr>
                    <m:count m:val="1"/>
                    <m:mcJc m:val="right"/>
                  </m:mcPr>
                </m:mc>
                <m:mc>
                  <m:mcPr>
                    <m:count m:val="1"/>
                    <m:mcJc m:val="left"/>
                  </m:mcPr>
                </m:mc>
              </m:mcs>
              <m:ctrlPr>
                <w:rPr>
                  <w:rFonts w:ascii="Cambria Math" w:hAnsi="Cambria Math"/>
                </w:rPr>
              </m:ctrlPr>
            </m:mPr>
            <m:mr>
              <m:e>
                <m:r>
                  <m:rPr>
                    <m:scr m:val="double-struck"/>
                    <m:sty m:val="p"/>
                  </m:rPr>
                  <w:rPr>
                    <w:rFonts w:ascii="Cambria Math" w:hAnsi="Cambria Math"/>
                  </w:rPr>
                  <m:t>E[</m:t>
                </m:r>
                <m:sSubSup>
                  <m:sSubSupPr>
                    <m:ctrlPr>
                      <w:rPr>
                        <w:rFonts w:ascii="Cambria Math" w:hAnsi="Cambria Math"/>
                      </w:rPr>
                    </m:ctrlPr>
                  </m:sSubSupPr>
                  <m:e>
                    <m:r>
                      <w:rPr>
                        <w:rFonts w:ascii="Cambria Math" w:hAnsi="Cambria Math"/>
                      </w:rPr>
                      <m:t>Y</m:t>
                    </m:r>
                  </m:e>
                  <m:sub>
                    <m:r>
                      <w:rPr>
                        <w:rFonts w:ascii="Cambria Math" w:hAnsi="Cambria Math"/>
                      </w:rPr>
                      <m:t>ijst</m:t>
                    </m:r>
                  </m:sub>
                  <m:sup>
                    <m:r>
                      <w:rPr>
                        <w:rFonts w:ascii="Cambria Math" w:hAnsi="Cambria Math"/>
                      </w:rPr>
                      <m:t>k</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FE</m:t>
                </m:r>
                <m:r>
                  <m:rPr>
                    <m:sty m:val="p"/>
                  </m:rPr>
                  <w:rPr>
                    <w:rFonts w:ascii="Cambria Math" w:hAnsi="Cambria Math"/>
                  </w:rPr>
                  <m:t>]=</m:t>
                </m:r>
                <m:r>
                  <m:rPr>
                    <m:nor/>
                  </m:rPr>
                  <m:t>exp</m:t>
                </m:r>
                <m:r>
                  <m:rPr>
                    <m:sty m:val="p"/>
                  </m:rPr>
                  <w:rPr>
                    <w:rFonts w:ascii="Cambria Math" w:hAnsi="Cambria Math"/>
                  </w:rPr>
                  <m:t>{</m:t>
                </m:r>
              </m:e>
              <m:e>
                <m:sSup>
                  <m:sSupPr>
                    <m:ctrlPr>
                      <w:rPr>
                        <w:rFonts w:ascii="Cambria Math" w:hAnsi="Cambria Math"/>
                      </w:rPr>
                    </m:ctrlPr>
                  </m:sSupPr>
                  <m:e>
                    <m:r>
                      <w:rPr>
                        <w:rFonts w:ascii="Cambria Math" w:hAnsi="Cambria Math"/>
                      </w:rPr>
                      <m:t>β</m:t>
                    </m:r>
                  </m:e>
                  <m:sup>
                    <m:r>
                      <w:rPr>
                        <w:rFonts w:ascii="Cambria Math" w:hAnsi="Cambria Math"/>
                      </w:rPr>
                      <m:t>k</m:t>
                    </m:r>
                  </m:sup>
                </m:sSup>
                <m:sSubSup>
                  <m:sSubSupPr>
                    <m:ctrlPr>
                      <w:rPr>
                        <w:rFonts w:ascii="Cambria Math" w:hAnsi="Cambria Math"/>
                      </w:rPr>
                    </m:ctrlPr>
                  </m:sSubSupPr>
                  <m:e>
                    <m:r>
                      <w:rPr>
                        <w:rFonts w:ascii="Cambria Math" w:hAnsi="Cambria Math"/>
                      </w:rPr>
                      <m:t>S</m:t>
                    </m:r>
                  </m:e>
                  <m:sub>
                    <m:r>
                      <w:rPr>
                        <w:rFonts w:ascii="Cambria Math" w:hAnsi="Cambria Math"/>
                      </w:rPr>
                      <m:t>ijt</m:t>
                    </m:r>
                  </m:sub>
                  <m:sup>
                    <m:r>
                      <w:rPr>
                        <w:rFonts w:ascii="Cambria Math" w:hAnsi="Cambria Math"/>
                      </w:rPr>
                      <m:t>k</m:t>
                    </m:r>
                  </m:sup>
                </m:sSub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ijst</m:t>
                    </m:r>
                  </m:sub>
                  <m:sup>
                    <m:r>
                      <w:rPr>
                        <w:rFonts w:ascii="Cambria Math" w:hAnsi="Cambria Math"/>
                      </w:rPr>
                      <m:t>k</m:t>
                    </m:r>
                  </m:sup>
                </m:sSubSup>
              </m:e>
            </m:mr>
            <m:mr>
              <m:e/>
              <m:e>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ijs</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ist</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jst</m:t>
                    </m:r>
                  </m:sub>
                  <m:sup>
                    <m:r>
                      <w:rPr>
                        <w:rFonts w:ascii="Cambria Math" w:hAnsi="Cambria Math"/>
                      </w:rPr>
                      <m:t>k</m:t>
                    </m:r>
                  </m:sup>
                </m:sSubSup>
                <m:r>
                  <m:rPr>
                    <m:sty m:val="p"/>
                  </m:rPr>
                  <w:rPr>
                    <w:rFonts w:ascii="Cambria Math" w:hAnsi="Cambria Math"/>
                  </w:rPr>
                  <m:t>}.</m:t>
                </m:r>
              </m:e>
            </m:mr>
          </m:m>
          <m:r>
            <w:rPr>
              <w:rFonts w:ascii="Cambria Math" w:hAnsi="Cambria Math"/>
            </w:rPr>
            <m:t>  </m:t>
          </m:r>
          <m:r>
            <m:rPr>
              <m:nor/>
            </m:rPr>
            <m:t>(9)</m:t>
          </m:r>
        </m:oMath>
      </m:oMathPara>
    </w:p>
    <w:p w14:paraId="7676CB99" w14:textId="77777777" w:rsidR="00B9063B" w:rsidRDefault="0039215E">
      <w:pPr>
        <w:widowControl/>
        <w:adjustRightInd w:val="0"/>
        <w:snapToGrid w:val="0"/>
        <w:spacing w:line="360" w:lineRule="auto"/>
      </w:pPr>
      <w:r>
        <w:rPr>
          <w:color w:val="000000"/>
        </w:rPr>
        <w:t>其中，</w:t>
      </w:r>
      <m:oMath>
        <m:sSubSup>
          <m:sSubSupPr>
            <m:ctrlPr>
              <w:rPr>
                <w:rFonts w:ascii="Cambria Math" w:hAnsi="Cambria Math"/>
              </w:rPr>
            </m:ctrlPr>
          </m:sSubSupPr>
          <m:e>
            <m:r>
              <w:rPr>
                <w:rFonts w:ascii="Cambria Math" w:hAnsi="Cambria Math"/>
              </w:rPr>
              <m:t>α</m:t>
            </m:r>
          </m:e>
          <m:sub>
            <m:r>
              <w:rPr>
                <w:rFonts w:ascii="Cambria Math" w:hAnsi="Cambria Math"/>
              </w:rPr>
              <m:t>ijs</m:t>
            </m:r>
          </m:sub>
          <m:sup>
            <m:r>
              <w:rPr>
                <w:rFonts w:ascii="Cambria Math" w:hAnsi="Cambria Math"/>
              </w:rPr>
              <m:t>k</m:t>
            </m:r>
          </m:sup>
        </m:sSubSup>
      </m:oMath>
      <w:r>
        <w:rPr>
          <w:color w:val="000000"/>
        </w:rPr>
        <w:t>为有向国家对</w:t>
      </w:r>
      <w:r>
        <w:rPr>
          <w:color w:val="000000"/>
        </w:rPr>
        <w:t>×</w:t>
      </w:r>
      <w:r>
        <w:rPr>
          <w:color w:val="000000"/>
        </w:rPr>
        <w:t>部门固定效应，</w:t>
      </w:r>
      <m:oMath>
        <m:sSubSup>
          <m:sSubSupPr>
            <m:ctrlPr>
              <w:rPr>
                <w:rFonts w:ascii="Cambria Math" w:hAnsi="Cambria Math"/>
              </w:rPr>
            </m:ctrlPr>
          </m:sSubSupPr>
          <m:e>
            <m:r>
              <w:rPr>
                <w:rFonts w:ascii="Cambria Math" w:hAnsi="Cambria Math"/>
              </w:rPr>
              <m:t>λ</m:t>
            </m:r>
          </m:e>
          <m:sub>
            <m:r>
              <w:rPr>
                <w:rFonts w:ascii="Cambria Math" w:hAnsi="Cambria Math"/>
              </w:rPr>
              <m:t>ist</m:t>
            </m:r>
          </m:sub>
          <m:sup>
            <m:r>
              <w:rPr>
                <w:rFonts w:ascii="Cambria Math" w:hAnsi="Cambria Math"/>
              </w:rPr>
              <m:t>k</m:t>
            </m:r>
          </m:sup>
        </m:sSubSup>
      </m:oMath>
      <w:r>
        <w:rPr>
          <w:color w:val="000000"/>
        </w:rPr>
        <w:t>为来源国</w:t>
      </w:r>
      <w:r>
        <w:rPr>
          <w:color w:val="000000"/>
        </w:rPr>
        <w:t>×</w:t>
      </w:r>
      <w:r>
        <w:rPr>
          <w:color w:val="000000"/>
        </w:rPr>
        <w:t>部门</w:t>
      </w:r>
      <w:r>
        <w:rPr>
          <w:color w:val="000000"/>
        </w:rPr>
        <w:t>×</w:t>
      </w:r>
      <w:r>
        <w:rPr>
          <w:color w:val="000000"/>
        </w:rPr>
        <w:t>年份固定效应，</w:t>
      </w:r>
      <m:oMath>
        <m:sSubSup>
          <m:sSubSupPr>
            <m:ctrlPr>
              <w:rPr>
                <w:rFonts w:ascii="Cambria Math" w:hAnsi="Cambria Math"/>
              </w:rPr>
            </m:ctrlPr>
          </m:sSubSupPr>
          <m:e>
            <m:r>
              <w:rPr>
                <w:rFonts w:ascii="Cambria Math" w:hAnsi="Cambria Math"/>
              </w:rPr>
              <m:t>ϕ</m:t>
            </m:r>
          </m:e>
          <m:sub>
            <m:r>
              <w:rPr>
                <w:rFonts w:ascii="Cambria Math" w:hAnsi="Cambria Math"/>
              </w:rPr>
              <m:t>jst</m:t>
            </m:r>
          </m:sub>
          <m:sup>
            <m:r>
              <w:rPr>
                <w:rFonts w:ascii="Cambria Math" w:hAnsi="Cambria Math"/>
              </w:rPr>
              <m:t>k</m:t>
            </m:r>
          </m:sup>
        </m:sSubSup>
      </m:oMath>
      <w:r>
        <w:rPr>
          <w:color w:val="000000"/>
        </w:rPr>
        <w:t>为目的国</w:t>
      </w:r>
      <w:r>
        <w:rPr>
          <w:color w:val="000000"/>
        </w:rPr>
        <w:t>×</w:t>
      </w:r>
      <w:r>
        <w:rPr>
          <w:color w:val="000000"/>
        </w:rPr>
        <w:t>部门</w:t>
      </w:r>
      <w:r>
        <w:rPr>
          <w:color w:val="000000"/>
        </w:rPr>
        <w:t>×</w:t>
      </w:r>
      <w:r>
        <w:rPr>
          <w:color w:val="000000"/>
        </w:rPr>
        <w:t>年份固定效应。前者吸收不随时间变化的双边部门异质性，后两者控制国家</w:t>
      </w:r>
      <w:r>
        <w:rPr>
          <w:color w:val="000000"/>
        </w:rPr>
        <w:t>—</w:t>
      </w:r>
      <w:r>
        <w:rPr>
          <w:color w:val="000000"/>
        </w:rPr>
        <w:t>部门年度冲击及相应多边阻力。贸易方程纳入关税变换和生效协定虚拟变量，跨国生产方程纳入生效协定虚拟变量和政治距离，核心解释变量及控制变量均使用年度水平值。</w:t>
      </w:r>
    </w:p>
    <w:p w14:paraId="466D9688" w14:textId="77777777" w:rsidR="00B9063B" w:rsidRDefault="0039215E">
      <w:pPr>
        <w:widowControl/>
        <w:adjustRightInd w:val="0"/>
        <w:snapToGrid w:val="0"/>
        <w:spacing w:line="360" w:lineRule="auto"/>
        <w:rPr>
          <w:color w:val="000000"/>
        </w:rPr>
      </w:pPr>
      <w:r>
        <w:rPr>
          <w:color w:val="000000"/>
        </w:rPr>
        <w:t>分部门</w:t>
      </w:r>
      <w:r>
        <w:rPr>
          <w:color w:val="000000"/>
        </w:rPr>
        <w:t>PPML</w:t>
      </w:r>
      <w:r>
        <w:rPr>
          <w:color w:val="000000"/>
        </w:rPr>
        <w:t>逐部门设定相应渠道方程，固定效应为有向国家对、来源国</w:t>
      </w:r>
      <w:r>
        <w:rPr>
          <w:color w:val="000000"/>
        </w:rPr>
        <w:t>×</w:t>
      </w:r>
      <w:r>
        <w:rPr>
          <w:color w:val="000000"/>
        </w:rPr>
        <w:t>年份和目的国</w:t>
      </w:r>
      <w:r>
        <w:rPr>
          <w:color w:val="000000"/>
        </w:rPr>
        <w:t>×</w:t>
      </w:r>
      <w:r>
        <w:rPr>
          <w:color w:val="000000"/>
        </w:rPr>
        <w:t>年份。标准误按无向国家对</w:t>
      </w:r>
      <w:r>
        <w:rPr>
          <w:color w:val="000000"/>
        </w:rPr>
        <w:t>dyad_id</w:t>
      </w:r>
      <w:r>
        <w:rPr>
          <w:color w:val="000000"/>
        </w:rPr>
        <w:t>聚类，使同一国家对的两个方向归入同一聚类。贸易政治距离补充在同一样本上分别设置基准式和增加政治距离的方程，并逐行核对两式的实际估计样本。表</w:t>
      </w:r>
      <w:r>
        <w:rPr>
          <w:color w:val="000000"/>
        </w:rPr>
        <w:t>2</w:t>
      </w:r>
      <w:r>
        <w:rPr>
          <w:color w:val="000000"/>
        </w:rPr>
        <w:t>汇总两类回归的主要设定。</w:t>
      </w:r>
    </w:p>
    <w:p w14:paraId="7534B319" w14:textId="77777777" w:rsidR="00B9063B" w:rsidRDefault="00B9063B">
      <w:pPr>
        <w:widowControl/>
        <w:adjustRightInd w:val="0"/>
        <w:snapToGrid w:val="0"/>
        <w:spacing w:line="360" w:lineRule="auto"/>
      </w:pPr>
    </w:p>
    <w:p w14:paraId="01C7C22B" w14:textId="77777777" w:rsidR="00B9063B" w:rsidRDefault="0039215E">
      <w:pPr>
        <w:keepNext/>
        <w:widowControl/>
        <w:adjustRightInd w:val="0"/>
        <w:snapToGrid w:val="0"/>
        <w:spacing w:line="360" w:lineRule="auto"/>
      </w:pPr>
      <w:r>
        <w:rPr>
          <w:b/>
          <w:color w:val="000000"/>
        </w:rPr>
        <w:t>表</w:t>
      </w:r>
      <w:r>
        <w:rPr>
          <w:b/>
          <w:color w:val="000000"/>
        </w:rPr>
        <w:t>2</w:t>
      </w:r>
      <w:r>
        <w:rPr>
          <w:b/>
          <w:color w:val="000000"/>
        </w:rPr>
        <w:t xml:space="preserve">　两类回归的变量与设定</w:t>
      </w:r>
    </w:p>
    <w:tbl>
      <w:tblPr>
        <w:tblW w:w="0" w:type="pct"/>
        <w:jc w:val="center"/>
        <w:tblLayout w:type="fixed"/>
        <w:tblLook w:val="04A0" w:firstRow="1" w:lastRow="0" w:firstColumn="1" w:lastColumn="0" w:noHBand="0" w:noVBand="1"/>
      </w:tblPr>
      <w:tblGrid>
        <w:gridCol w:w="1843"/>
        <w:gridCol w:w="3231"/>
        <w:gridCol w:w="3231"/>
      </w:tblGrid>
      <w:tr w:rsidR="00B9063B" w14:paraId="51B8C24C" w14:textId="77777777">
        <w:trPr>
          <w:cantSplit/>
          <w:tblHeader/>
          <w:jc w:val="center"/>
        </w:trPr>
        <w:tc>
          <w:tcPr>
            <w:tcW w:w="1843" w:type="dxa"/>
            <w:tcBorders>
              <w:top w:val="single" w:sz="10" w:space="0" w:color="000000"/>
              <w:left w:val="nil"/>
              <w:bottom w:val="single" w:sz="4" w:space="0" w:color="000000"/>
              <w:right w:val="nil"/>
            </w:tcBorders>
          </w:tcPr>
          <w:p w14:paraId="6770974D" w14:textId="77777777" w:rsidR="00B9063B" w:rsidRDefault="0039215E">
            <w:pPr>
              <w:keepNext/>
              <w:adjustRightInd w:val="0"/>
              <w:snapToGrid w:val="0"/>
              <w:spacing w:line="360" w:lineRule="auto"/>
            </w:pPr>
            <w:r>
              <w:rPr>
                <w:b/>
                <w:color w:val="000000"/>
                <w:sz w:val="18"/>
              </w:rPr>
              <w:t>设定</w:t>
            </w:r>
          </w:p>
        </w:tc>
        <w:tc>
          <w:tcPr>
            <w:tcW w:w="3231" w:type="dxa"/>
            <w:tcBorders>
              <w:top w:val="single" w:sz="10" w:space="0" w:color="000000"/>
              <w:left w:val="nil"/>
              <w:bottom w:val="single" w:sz="4" w:space="0" w:color="000000"/>
              <w:right w:val="nil"/>
            </w:tcBorders>
          </w:tcPr>
          <w:p w14:paraId="65696134" w14:textId="77777777" w:rsidR="00B9063B" w:rsidRDefault="0039215E">
            <w:pPr>
              <w:keepNext/>
              <w:adjustRightInd w:val="0"/>
              <w:snapToGrid w:val="0"/>
              <w:spacing w:line="360" w:lineRule="auto"/>
            </w:pPr>
            <w:r>
              <w:rPr>
                <w:b/>
                <w:color w:val="000000"/>
                <w:sz w:val="18"/>
              </w:rPr>
              <w:t>OLS</w:t>
            </w:r>
            <w:r>
              <w:rPr>
                <w:b/>
                <w:color w:val="000000"/>
                <w:sz w:val="18"/>
              </w:rPr>
              <w:t>长差分</w:t>
            </w:r>
          </w:p>
        </w:tc>
        <w:tc>
          <w:tcPr>
            <w:tcW w:w="3231" w:type="dxa"/>
            <w:tcBorders>
              <w:top w:val="single" w:sz="10" w:space="0" w:color="000000"/>
              <w:left w:val="nil"/>
              <w:bottom w:val="single" w:sz="4" w:space="0" w:color="000000"/>
              <w:right w:val="nil"/>
            </w:tcBorders>
          </w:tcPr>
          <w:p w14:paraId="16C2FEE1" w14:textId="77777777" w:rsidR="00B9063B" w:rsidRDefault="0039215E">
            <w:pPr>
              <w:keepNext/>
              <w:adjustRightInd w:val="0"/>
              <w:snapToGrid w:val="0"/>
              <w:spacing w:line="360" w:lineRule="auto"/>
            </w:pPr>
            <w:r>
              <w:rPr>
                <w:b/>
                <w:color w:val="000000"/>
                <w:sz w:val="18"/>
              </w:rPr>
              <w:t>两期水平值</w:t>
            </w:r>
            <w:r>
              <w:rPr>
                <w:b/>
                <w:color w:val="000000"/>
                <w:sz w:val="18"/>
              </w:rPr>
              <w:t>PPML</w:t>
            </w:r>
          </w:p>
        </w:tc>
      </w:tr>
      <w:tr w:rsidR="00B9063B" w14:paraId="7909EDBA" w14:textId="77777777">
        <w:trPr>
          <w:cantSplit/>
          <w:jc w:val="center"/>
        </w:trPr>
        <w:tc>
          <w:tcPr>
            <w:tcW w:w="1843" w:type="dxa"/>
            <w:tcBorders>
              <w:top w:val="nil"/>
              <w:left w:val="nil"/>
              <w:bottom w:val="nil"/>
              <w:right w:val="nil"/>
            </w:tcBorders>
          </w:tcPr>
          <w:p w14:paraId="3802BF2B" w14:textId="77777777" w:rsidR="00B9063B" w:rsidRDefault="0039215E">
            <w:pPr>
              <w:keepNext/>
              <w:adjustRightInd w:val="0"/>
              <w:snapToGrid w:val="0"/>
              <w:spacing w:line="360" w:lineRule="auto"/>
            </w:pPr>
            <w:r>
              <w:rPr>
                <w:color w:val="000000"/>
                <w:sz w:val="18"/>
              </w:rPr>
              <w:t>时间结构</w:t>
            </w:r>
          </w:p>
        </w:tc>
        <w:tc>
          <w:tcPr>
            <w:tcW w:w="3231" w:type="dxa"/>
            <w:tcBorders>
              <w:top w:val="nil"/>
              <w:left w:val="nil"/>
              <w:bottom w:val="nil"/>
              <w:right w:val="nil"/>
            </w:tcBorders>
          </w:tcPr>
          <w:p w14:paraId="5C6C9B21" w14:textId="77777777" w:rsidR="00B9063B" w:rsidRDefault="0039215E">
            <w:pPr>
              <w:keepNext/>
              <w:adjustRightInd w:val="0"/>
              <w:snapToGrid w:val="0"/>
              <w:spacing w:line="360" w:lineRule="auto"/>
            </w:pPr>
            <w:r>
              <w:rPr>
                <w:color w:val="000000"/>
                <w:sz w:val="18"/>
              </w:rPr>
              <w:t>2019</w:t>
            </w:r>
            <w:r>
              <w:rPr>
                <w:color w:val="000000"/>
                <w:sz w:val="18"/>
              </w:rPr>
              <w:t>年减</w:t>
            </w:r>
            <w:r>
              <w:rPr>
                <w:color w:val="000000"/>
                <w:sz w:val="18"/>
              </w:rPr>
              <w:t>2000</w:t>
            </w:r>
            <w:r>
              <w:rPr>
                <w:color w:val="000000"/>
                <w:sz w:val="18"/>
              </w:rPr>
              <w:t>年</w:t>
            </w:r>
          </w:p>
        </w:tc>
        <w:tc>
          <w:tcPr>
            <w:tcW w:w="3231" w:type="dxa"/>
            <w:tcBorders>
              <w:top w:val="nil"/>
              <w:left w:val="nil"/>
              <w:bottom w:val="nil"/>
              <w:right w:val="nil"/>
            </w:tcBorders>
          </w:tcPr>
          <w:p w14:paraId="4D8817E8" w14:textId="77777777" w:rsidR="00B9063B" w:rsidRDefault="0039215E">
            <w:pPr>
              <w:keepNext/>
              <w:adjustRightInd w:val="0"/>
              <w:snapToGrid w:val="0"/>
              <w:spacing w:line="360" w:lineRule="auto"/>
            </w:pPr>
            <w:r>
              <w:rPr>
                <w:color w:val="000000"/>
                <w:sz w:val="18"/>
              </w:rPr>
              <w:t>2000</w:t>
            </w:r>
            <w:r>
              <w:rPr>
                <w:color w:val="000000"/>
                <w:sz w:val="18"/>
              </w:rPr>
              <w:t>年、</w:t>
            </w:r>
            <w:r>
              <w:rPr>
                <w:color w:val="000000"/>
                <w:sz w:val="18"/>
              </w:rPr>
              <w:t>2019</w:t>
            </w:r>
            <w:r>
              <w:rPr>
                <w:color w:val="000000"/>
                <w:sz w:val="18"/>
              </w:rPr>
              <w:t>年年度记录</w:t>
            </w:r>
          </w:p>
        </w:tc>
      </w:tr>
      <w:tr w:rsidR="00B9063B" w14:paraId="209449EC" w14:textId="77777777">
        <w:trPr>
          <w:cantSplit/>
          <w:jc w:val="center"/>
        </w:trPr>
        <w:tc>
          <w:tcPr>
            <w:tcW w:w="1843" w:type="dxa"/>
            <w:tcBorders>
              <w:top w:val="nil"/>
              <w:left w:val="nil"/>
              <w:bottom w:val="nil"/>
              <w:right w:val="nil"/>
            </w:tcBorders>
          </w:tcPr>
          <w:p w14:paraId="0CF1FF98" w14:textId="77777777" w:rsidR="00B9063B" w:rsidRDefault="0039215E">
            <w:pPr>
              <w:keepNext/>
              <w:adjustRightInd w:val="0"/>
              <w:snapToGrid w:val="0"/>
              <w:spacing w:line="360" w:lineRule="auto"/>
            </w:pPr>
            <w:r>
              <w:rPr>
                <w:color w:val="000000"/>
                <w:sz w:val="18"/>
              </w:rPr>
              <w:t>被解释变量</w:t>
            </w:r>
          </w:p>
        </w:tc>
        <w:tc>
          <w:tcPr>
            <w:tcW w:w="3231" w:type="dxa"/>
            <w:tcBorders>
              <w:top w:val="nil"/>
              <w:left w:val="nil"/>
              <w:bottom w:val="nil"/>
              <w:right w:val="nil"/>
            </w:tcBorders>
          </w:tcPr>
          <w:p w14:paraId="3AE729D5" w14:textId="77777777" w:rsidR="00B9063B" w:rsidRDefault="0039215E">
            <w:pPr>
              <w:keepNext/>
              <w:adjustRightInd w:val="0"/>
              <w:snapToGrid w:val="0"/>
              <w:spacing w:line="360" w:lineRule="auto"/>
            </w:pPr>
            <w:r>
              <w:rPr>
                <w:color w:val="000000"/>
                <w:sz w:val="18"/>
              </w:rPr>
              <w:t>两端点流量的对数差</w:t>
            </w:r>
          </w:p>
        </w:tc>
        <w:tc>
          <w:tcPr>
            <w:tcW w:w="3231" w:type="dxa"/>
            <w:tcBorders>
              <w:top w:val="nil"/>
              <w:left w:val="nil"/>
              <w:bottom w:val="nil"/>
              <w:right w:val="nil"/>
            </w:tcBorders>
          </w:tcPr>
          <w:p w14:paraId="513CB262" w14:textId="77777777" w:rsidR="00B9063B" w:rsidRDefault="0039215E">
            <w:pPr>
              <w:keepNext/>
              <w:adjustRightInd w:val="0"/>
              <w:snapToGrid w:val="0"/>
              <w:spacing w:line="360" w:lineRule="auto"/>
            </w:pPr>
            <w:r>
              <w:rPr>
                <w:color w:val="000000"/>
                <w:sz w:val="18"/>
              </w:rPr>
              <w:t>非负流量水平值</w:t>
            </w:r>
          </w:p>
        </w:tc>
      </w:tr>
      <w:tr w:rsidR="00B9063B" w14:paraId="5D240785" w14:textId="77777777">
        <w:trPr>
          <w:cantSplit/>
          <w:jc w:val="center"/>
        </w:trPr>
        <w:tc>
          <w:tcPr>
            <w:tcW w:w="1843" w:type="dxa"/>
            <w:tcBorders>
              <w:top w:val="nil"/>
              <w:left w:val="nil"/>
              <w:bottom w:val="nil"/>
              <w:right w:val="nil"/>
            </w:tcBorders>
          </w:tcPr>
          <w:p w14:paraId="73E4A0EC" w14:textId="77777777" w:rsidR="00B9063B" w:rsidRDefault="0039215E">
            <w:pPr>
              <w:keepNext/>
              <w:adjustRightInd w:val="0"/>
              <w:snapToGrid w:val="0"/>
              <w:spacing w:line="360" w:lineRule="auto"/>
            </w:pPr>
            <w:r>
              <w:rPr>
                <w:color w:val="000000"/>
                <w:sz w:val="18"/>
              </w:rPr>
              <w:t>核心解释变量</w:t>
            </w:r>
          </w:p>
        </w:tc>
        <w:tc>
          <w:tcPr>
            <w:tcW w:w="3231" w:type="dxa"/>
            <w:tcBorders>
              <w:top w:val="nil"/>
              <w:left w:val="nil"/>
              <w:bottom w:val="nil"/>
              <w:right w:val="nil"/>
            </w:tcBorders>
          </w:tcPr>
          <w:p w14:paraId="24FE74CC" w14:textId="77777777" w:rsidR="00B9063B" w:rsidRDefault="0039215E">
            <w:pPr>
              <w:keepNext/>
              <w:adjustRightInd w:val="0"/>
              <w:snapToGrid w:val="0"/>
              <w:spacing w:line="360" w:lineRule="auto"/>
            </w:pPr>
            <w:r>
              <w:rPr>
                <w:color w:val="000000"/>
                <w:sz w:val="18"/>
              </w:rPr>
              <w:t>相应渠道得分的两期差</w:t>
            </w:r>
          </w:p>
        </w:tc>
        <w:tc>
          <w:tcPr>
            <w:tcW w:w="3231" w:type="dxa"/>
            <w:tcBorders>
              <w:top w:val="nil"/>
              <w:left w:val="nil"/>
              <w:bottom w:val="nil"/>
              <w:right w:val="nil"/>
            </w:tcBorders>
          </w:tcPr>
          <w:p w14:paraId="50D381B6" w14:textId="77777777" w:rsidR="00B9063B" w:rsidRDefault="0039215E">
            <w:pPr>
              <w:keepNext/>
              <w:adjustRightInd w:val="0"/>
              <w:snapToGrid w:val="0"/>
              <w:spacing w:line="360" w:lineRule="auto"/>
            </w:pPr>
            <w:r>
              <w:rPr>
                <w:color w:val="000000"/>
                <w:sz w:val="18"/>
              </w:rPr>
              <w:t>相应渠道得分的年度值</w:t>
            </w:r>
          </w:p>
        </w:tc>
      </w:tr>
      <w:tr w:rsidR="00B9063B" w14:paraId="5D3304BF" w14:textId="77777777">
        <w:trPr>
          <w:cantSplit/>
          <w:jc w:val="center"/>
        </w:trPr>
        <w:tc>
          <w:tcPr>
            <w:tcW w:w="1843" w:type="dxa"/>
            <w:tcBorders>
              <w:top w:val="nil"/>
              <w:left w:val="nil"/>
              <w:bottom w:val="nil"/>
              <w:right w:val="nil"/>
            </w:tcBorders>
          </w:tcPr>
          <w:p w14:paraId="4A416271" w14:textId="77777777" w:rsidR="00B9063B" w:rsidRDefault="0039215E">
            <w:pPr>
              <w:keepNext/>
              <w:adjustRightInd w:val="0"/>
              <w:snapToGrid w:val="0"/>
              <w:spacing w:line="360" w:lineRule="auto"/>
            </w:pPr>
            <w:r>
              <w:rPr>
                <w:color w:val="000000"/>
                <w:sz w:val="18"/>
              </w:rPr>
              <w:t>贸易控制</w:t>
            </w:r>
          </w:p>
        </w:tc>
        <w:tc>
          <w:tcPr>
            <w:tcW w:w="3231" w:type="dxa"/>
            <w:tcBorders>
              <w:top w:val="nil"/>
              <w:left w:val="nil"/>
              <w:bottom w:val="nil"/>
              <w:right w:val="nil"/>
            </w:tcBorders>
          </w:tcPr>
          <w:p w14:paraId="496A5CD2" w14:textId="77777777" w:rsidR="00B9063B" w:rsidRDefault="0039215E">
            <w:pPr>
              <w:keepNext/>
              <w:adjustRightInd w:val="0"/>
              <w:snapToGrid w:val="0"/>
              <w:spacing w:line="360" w:lineRule="auto"/>
            </w:pPr>
            <w:r>
              <w:rPr>
                <w:color w:val="000000"/>
                <w:sz w:val="18"/>
              </w:rPr>
              <w:t>关税变换、协定存在的两期差</w:t>
            </w:r>
          </w:p>
        </w:tc>
        <w:tc>
          <w:tcPr>
            <w:tcW w:w="3231" w:type="dxa"/>
            <w:tcBorders>
              <w:top w:val="nil"/>
              <w:left w:val="nil"/>
              <w:bottom w:val="nil"/>
              <w:right w:val="nil"/>
            </w:tcBorders>
          </w:tcPr>
          <w:p w14:paraId="1077C0FB" w14:textId="77777777" w:rsidR="00B9063B" w:rsidRDefault="0039215E">
            <w:pPr>
              <w:keepNext/>
              <w:adjustRightInd w:val="0"/>
              <w:snapToGrid w:val="0"/>
              <w:spacing w:line="360" w:lineRule="auto"/>
            </w:pPr>
            <w:r>
              <w:rPr>
                <w:color w:val="000000"/>
                <w:sz w:val="18"/>
              </w:rPr>
              <w:t>关税变换、协定存在的年度值</w:t>
            </w:r>
          </w:p>
        </w:tc>
      </w:tr>
      <w:tr w:rsidR="00B9063B" w14:paraId="66732413" w14:textId="77777777">
        <w:trPr>
          <w:cantSplit/>
          <w:jc w:val="center"/>
        </w:trPr>
        <w:tc>
          <w:tcPr>
            <w:tcW w:w="1843" w:type="dxa"/>
            <w:tcBorders>
              <w:top w:val="nil"/>
              <w:left w:val="nil"/>
              <w:bottom w:val="nil"/>
              <w:right w:val="nil"/>
            </w:tcBorders>
          </w:tcPr>
          <w:p w14:paraId="0949E9A2" w14:textId="77777777" w:rsidR="00B9063B" w:rsidRDefault="0039215E">
            <w:pPr>
              <w:keepNext/>
              <w:adjustRightInd w:val="0"/>
              <w:snapToGrid w:val="0"/>
              <w:spacing w:line="360" w:lineRule="auto"/>
            </w:pPr>
            <w:r>
              <w:rPr>
                <w:color w:val="000000"/>
                <w:sz w:val="18"/>
              </w:rPr>
              <w:t>跨国生产控制</w:t>
            </w:r>
          </w:p>
        </w:tc>
        <w:tc>
          <w:tcPr>
            <w:tcW w:w="3231" w:type="dxa"/>
            <w:tcBorders>
              <w:top w:val="nil"/>
              <w:left w:val="nil"/>
              <w:bottom w:val="nil"/>
              <w:right w:val="nil"/>
            </w:tcBorders>
          </w:tcPr>
          <w:p w14:paraId="7394A1F2" w14:textId="77777777" w:rsidR="00B9063B" w:rsidRDefault="0039215E">
            <w:pPr>
              <w:keepNext/>
              <w:adjustRightInd w:val="0"/>
              <w:snapToGrid w:val="0"/>
              <w:spacing w:line="360" w:lineRule="auto"/>
            </w:pPr>
            <w:r>
              <w:rPr>
                <w:color w:val="000000"/>
                <w:sz w:val="18"/>
              </w:rPr>
              <w:t>协定存在、政治距离的两期差</w:t>
            </w:r>
          </w:p>
        </w:tc>
        <w:tc>
          <w:tcPr>
            <w:tcW w:w="3231" w:type="dxa"/>
            <w:tcBorders>
              <w:top w:val="nil"/>
              <w:left w:val="nil"/>
              <w:bottom w:val="nil"/>
              <w:right w:val="nil"/>
            </w:tcBorders>
          </w:tcPr>
          <w:p w14:paraId="2815C6AA" w14:textId="77777777" w:rsidR="00B9063B" w:rsidRDefault="0039215E">
            <w:pPr>
              <w:keepNext/>
              <w:adjustRightInd w:val="0"/>
              <w:snapToGrid w:val="0"/>
              <w:spacing w:line="360" w:lineRule="auto"/>
            </w:pPr>
            <w:r>
              <w:rPr>
                <w:color w:val="000000"/>
                <w:sz w:val="18"/>
              </w:rPr>
              <w:t>协定存在、政治距离的年度值</w:t>
            </w:r>
          </w:p>
        </w:tc>
      </w:tr>
      <w:tr w:rsidR="00B9063B" w14:paraId="47E5F439" w14:textId="77777777">
        <w:trPr>
          <w:cantSplit/>
          <w:jc w:val="center"/>
        </w:trPr>
        <w:tc>
          <w:tcPr>
            <w:tcW w:w="1843" w:type="dxa"/>
            <w:tcBorders>
              <w:top w:val="nil"/>
              <w:left w:val="nil"/>
              <w:bottom w:val="nil"/>
              <w:right w:val="nil"/>
            </w:tcBorders>
          </w:tcPr>
          <w:p w14:paraId="6A3BCF35" w14:textId="77777777" w:rsidR="00B9063B" w:rsidRDefault="0039215E">
            <w:pPr>
              <w:keepNext/>
              <w:adjustRightInd w:val="0"/>
              <w:snapToGrid w:val="0"/>
              <w:spacing w:line="360" w:lineRule="auto"/>
            </w:pPr>
            <w:r>
              <w:rPr>
                <w:color w:val="000000"/>
                <w:sz w:val="18"/>
              </w:rPr>
              <w:t>总体固定效应</w:t>
            </w:r>
          </w:p>
        </w:tc>
        <w:tc>
          <w:tcPr>
            <w:tcW w:w="3231" w:type="dxa"/>
            <w:tcBorders>
              <w:top w:val="nil"/>
              <w:left w:val="nil"/>
              <w:bottom w:val="nil"/>
              <w:right w:val="nil"/>
            </w:tcBorders>
          </w:tcPr>
          <w:p w14:paraId="13890A16" w14:textId="77777777" w:rsidR="00B9063B" w:rsidRDefault="0039215E">
            <w:pPr>
              <w:keepNext/>
              <w:adjustRightInd w:val="0"/>
              <w:snapToGrid w:val="0"/>
              <w:spacing w:line="360" w:lineRule="auto"/>
            </w:pPr>
            <w:r>
              <w:rPr>
                <w:color w:val="000000"/>
                <w:sz w:val="18"/>
              </w:rPr>
              <w:t>来源国</w:t>
            </w:r>
            <w:r>
              <w:rPr>
                <w:color w:val="000000"/>
                <w:sz w:val="18"/>
              </w:rPr>
              <w:t>×</w:t>
            </w:r>
            <w:r>
              <w:rPr>
                <w:color w:val="000000"/>
                <w:sz w:val="18"/>
              </w:rPr>
              <w:t>部门；目的国</w:t>
            </w:r>
            <w:r>
              <w:rPr>
                <w:color w:val="000000"/>
                <w:sz w:val="18"/>
              </w:rPr>
              <w:t>×</w:t>
            </w:r>
            <w:r>
              <w:rPr>
                <w:color w:val="000000"/>
                <w:sz w:val="18"/>
              </w:rPr>
              <w:t>部门</w:t>
            </w:r>
          </w:p>
        </w:tc>
        <w:tc>
          <w:tcPr>
            <w:tcW w:w="3231" w:type="dxa"/>
            <w:tcBorders>
              <w:top w:val="nil"/>
              <w:left w:val="nil"/>
              <w:bottom w:val="nil"/>
              <w:right w:val="nil"/>
            </w:tcBorders>
          </w:tcPr>
          <w:p w14:paraId="0B549BB4" w14:textId="77777777" w:rsidR="00B9063B" w:rsidRDefault="0039215E">
            <w:pPr>
              <w:keepNext/>
              <w:adjustRightInd w:val="0"/>
              <w:snapToGrid w:val="0"/>
              <w:spacing w:line="360" w:lineRule="auto"/>
            </w:pPr>
            <w:r>
              <w:rPr>
                <w:color w:val="000000"/>
                <w:sz w:val="18"/>
              </w:rPr>
              <w:t>国家对</w:t>
            </w:r>
            <w:r>
              <w:rPr>
                <w:color w:val="000000"/>
                <w:sz w:val="18"/>
              </w:rPr>
              <w:t>×</w:t>
            </w:r>
            <w:r>
              <w:rPr>
                <w:color w:val="000000"/>
                <w:sz w:val="18"/>
              </w:rPr>
              <w:t>部门；来源国</w:t>
            </w:r>
            <w:r>
              <w:rPr>
                <w:color w:val="000000"/>
                <w:sz w:val="18"/>
              </w:rPr>
              <w:t>×</w:t>
            </w:r>
            <w:r>
              <w:rPr>
                <w:color w:val="000000"/>
                <w:sz w:val="18"/>
              </w:rPr>
              <w:t>部门</w:t>
            </w:r>
            <w:r>
              <w:rPr>
                <w:color w:val="000000"/>
                <w:sz w:val="18"/>
              </w:rPr>
              <w:t>×</w:t>
            </w:r>
            <w:r>
              <w:rPr>
                <w:color w:val="000000"/>
                <w:sz w:val="18"/>
              </w:rPr>
              <w:t>年份；目的国</w:t>
            </w:r>
            <w:r>
              <w:rPr>
                <w:color w:val="000000"/>
                <w:sz w:val="18"/>
              </w:rPr>
              <w:t>×</w:t>
            </w:r>
            <w:r>
              <w:rPr>
                <w:color w:val="000000"/>
                <w:sz w:val="18"/>
              </w:rPr>
              <w:t>部门</w:t>
            </w:r>
            <w:r>
              <w:rPr>
                <w:color w:val="000000"/>
                <w:sz w:val="18"/>
              </w:rPr>
              <w:t>×</w:t>
            </w:r>
            <w:r>
              <w:rPr>
                <w:color w:val="000000"/>
                <w:sz w:val="18"/>
              </w:rPr>
              <w:t>年份</w:t>
            </w:r>
          </w:p>
        </w:tc>
      </w:tr>
      <w:tr w:rsidR="00B9063B" w14:paraId="7217714D" w14:textId="77777777">
        <w:trPr>
          <w:cantSplit/>
          <w:jc w:val="center"/>
        </w:trPr>
        <w:tc>
          <w:tcPr>
            <w:tcW w:w="1843" w:type="dxa"/>
            <w:tcBorders>
              <w:top w:val="nil"/>
              <w:left w:val="nil"/>
              <w:bottom w:val="nil"/>
              <w:right w:val="nil"/>
            </w:tcBorders>
          </w:tcPr>
          <w:p w14:paraId="5BD71283" w14:textId="77777777" w:rsidR="00B9063B" w:rsidRDefault="0039215E">
            <w:pPr>
              <w:keepNext/>
              <w:adjustRightInd w:val="0"/>
              <w:snapToGrid w:val="0"/>
              <w:spacing w:line="360" w:lineRule="auto"/>
            </w:pPr>
            <w:r>
              <w:rPr>
                <w:color w:val="000000"/>
                <w:sz w:val="18"/>
              </w:rPr>
              <w:t>部门异质性</w:t>
            </w:r>
          </w:p>
        </w:tc>
        <w:tc>
          <w:tcPr>
            <w:tcW w:w="3231" w:type="dxa"/>
            <w:tcBorders>
              <w:top w:val="nil"/>
              <w:left w:val="nil"/>
              <w:bottom w:val="nil"/>
              <w:right w:val="nil"/>
            </w:tcBorders>
          </w:tcPr>
          <w:p w14:paraId="64EE0354" w14:textId="77777777" w:rsidR="00B9063B" w:rsidRDefault="0039215E">
            <w:pPr>
              <w:keepNext/>
              <w:adjustRightInd w:val="0"/>
              <w:snapToGrid w:val="0"/>
              <w:spacing w:line="360" w:lineRule="auto"/>
            </w:pPr>
            <w:r>
              <w:rPr>
                <w:color w:val="000000"/>
                <w:sz w:val="18"/>
              </w:rPr>
              <w:t>核心项与全部纳入控制的部门交互</w:t>
            </w:r>
          </w:p>
        </w:tc>
        <w:tc>
          <w:tcPr>
            <w:tcW w:w="3231" w:type="dxa"/>
            <w:tcBorders>
              <w:top w:val="nil"/>
              <w:left w:val="nil"/>
              <w:bottom w:val="nil"/>
              <w:right w:val="nil"/>
            </w:tcBorders>
          </w:tcPr>
          <w:p w14:paraId="1A02A242" w14:textId="77777777" w:rsidR="00B9063B" w:rsidRDefault="0039215E">
            <w:pPr>
              <w:keepNext/>
              <w:adjustRightInd w:val="0"/>
              <w:snapToGrid w:val="0"/>
              <w:spacing w:line="360" w:lineRule="auto"/>
            </w:pPr>
            <w:r>
              <w:rPr>
                <w:color w:val="000000"/>
                <w:sz w:val="18"/>
              </w:rPr>
              <w:t>逐部门单独设定方程</w:t>
            </w:r>
          </w:p>
        </w:tc>
      </w:tr>
      <w:tr w:rsidR="00B9063B" w14:paraId="6F5BEBA9" w14:textId="77777777">
        <w:trPr>
          <w:cantSplit/>
          <w:jc w:val="center"/>
        </w:trPr>
        <w:tc>
          <w:tcPr>
            <w:tcW w:w="1843" w:type="dxa"/>
            <w:tcBorders>
              <w:top w:val="nil"/>
              <w:left w:val="nil"/>
              <w:bottom w:val="single" w:sz="10" w:space="0" w:color="000000"/>
              <w:right w:val="nil"/>
            </w:tcBorders>
          </w:tcPr>
          <w:p w14:paraId="08628113" w14:textId="77777777" w:rsidR="00B9063B" w:rsidRDefault="0039215E">
            <w:pPr>
              <w:keepNext/>
              <w:adjustRightInd w:val="0"/>
              <w:snapToGrid w:val="0"/>
              <w:spacing w:line="360" w:lineRule="auto"/>
            </w:pPr>
            <w:r>
              <w:rPr>
                <w:color w:val="000000"/>
                <w:sz w:val="18"/>
              </w:rPr>
              <w:t>聚类层级</w:t>
            </w:r>
          </w:p>
        </w:tc>
        <w:tc>
          <w:tcPr>
            <w:tcW w:w="3231" w:type="dxa"/>
            <w:tcBorders>
              <w:top w:val="nil"/>
              <w:left w:val="nil"/>
              <w:bottom w:val="single" w:sz="10" w:space="0" w:color="000000"/>
              <w:right w:val="nil"/>
            </w:tcBorders>
          </w:tcPr>
          <w:p w14:paraId="45FE712C" w14:textId="77777777" w:rsidR="00B9063B" w:rsidRDefault="0039215E">
            <w:pPr>
              <w:keepNext/>
              <w:adjustRightInd w:val="0"/>
              <w:snapToGrid w:val="0"/>
              <w:spacing w:line="360" w:lineRule="auto"/>
            </w:pPr>
            <w:r>
              <w:rPr>
                <w:color w:val="000000"/>
                <w:sz w:val="18"/>
              </w:rPr>
              <w:t>有向国家对</w:t>
            </w:r>
          </w:p>
        </w:tc>
        <w:tc>
          <w:tcPr>
            <w:tcW w:w="3231" w:type="dxa"/>
            <w:tcBorders>
              <w:top w:val="nil"/>
              <w:left w:val="nil"/>
              <w:bottom w:val="single" w:sz="10" w:space="0" w:color="000000"/>
              <w:right w:val="nil"/>
            </w:tcBorders>
          </w:tcPr>
          <w:p w14:paraId="4D487276" w14:textId="77777777" w:rsidR="00B9063B" w:rsidRDefault="0039215E">
            <w:pPr>
              <w:keepNext/>
              <w:adjustRightInd w:val="0"/>
              <w:snapToGrid w:val="0"/>
              <w:spacing w:line="360" w:lineRule="auto"/>
            </w:pPr>
            <w:r>
              <w:rPr>
                <w:color w:val="000000"/>
                <w:sz w:val="18"/>
              </w:rPr>
              <w:t>无向国家对，合并双向记录</w:t>
            </w:r>
          </w:p>
        </w:tc>
      </w:tr>
    </w:tbl>
    <w:p w14:paraId="346CA795" w14:textId="77777777" w:rsidR="00B9063B" w:rsidRDefault="0039215E">
      <w:pPr>
        <w:widowControl/>
        <w:adjustRightInd w:val="0"/>
        <w:snapToGrid w:val="0"/>
        <w:spacing w:line="360" w:lineRule="auto"/>
      </w:pPr>
      <w:r>
        <w:rPr>
          <w:color w:val="000000"/>
          <w:sz w:val="18"/>
        </w:rPr>
        <w:t>注：贸易政治距离补充使用该变量完整的同一样本。</w:t>
      </w:r>
      <w:r>
        <w:rPr>
          <w:color w:val="000000"/>
          <w:sz w:val="18"/>
        </w:rPr>
        <w:t>OLS</w:t>
      </w:r>
      <w:r>
        <w:rPr>
          <w:color w:val="000000"/>
          <w:sz w:val="18"/>
        </w:rPr>
        <w:t>要求两端点流量均为正；</w:t>
      </w:r>
      <w:r>
        <w:rPr>
          <w:color w:val="000000"/>
          <w:sz w:val="18"/>
        </w:rPr>
        <w:t>PPML</w:t>
      </w:r>
      <w:r>
        <w:rPr>
          <w:color w:val="000000"/>
          <w:sz w:val="18"/>
        </w:rPr>
        <w:t>允许零值，但估计样本仍受所需控制完整性及固定效应可识别性约束。两类回归的观测单位、零值处理和聚类方向不同。</w:t>
      </w:r>
    </w:p>
    <w:p w14:paraId="4765DC44" w14:textId="77777777" w:rsidR="00B9063B" w:rsidRDefault="0039215E">
      <w:pPr>
        <w:pStyle w:val="3"/>
        <w:widowControl/>
        <w:adjustRightInd w:val="0"/>
        <w:snapToGrid w:val="0"/>
        <w:spacing w:before="0" w:after="0"/>
        <w:jc w:val="both"/>
      </w:pPr>
      <w:r>
        <w:rPr>
          <w:rFonts w:eastAsia="宋体"/>
          <w:color w:val="000000"/>
        </w:rPr>
        <w:lastRenderedPageBreak/>
        <w:t>（</w:t>
      </w:r>
      <w:r>
        <w:rPr>
          <w:rFonts w:eastAsia="宋体"/>
          <w:color w:val="000000"/>
        </w:rPr>
        <w:t>10</w:t>
      </w:r>
      <w:r>
        <w:rPr>
          <w:rFonts w:eastAsia="宋体"/>
          <w:color w:val="000000"/>
        </w:rPr>
        <w:t>）测度依据与数据一致性</w:t>
      </w:r>
    </w:p>
    <w:p w14:paraId="29BFEE14" w14:textId="77777777" w:rsidR="00B9063B" w:rsidRDefault="0039215E">
      <w:pPr>
        <w:widowControl/>
        <w:adjustRightInd w:val="0"/>
        <w:snapToGrid w:val="0"/>
        <w:spacing w:line="360" w:lineRule="auto"/>
      </w:pPr>
      <w:r>
        <w:rPr>
          <w:color w:val="000000"/>
        </w:rPr>
        <w:t>为使指标构造具有可复核性，条款定义、人工覆盖赋值、模型分类和渠道权重均以统一条款编号相联系。制度属性、主导维度和渠道类型采用一致的判定规则，分类分歧按照规定进入仲裁；非制度条款的有效权重为</w:t>
      </w:r>
      <w:r>
        <w:rPr>
          <w:color w:val="000000"/>
        </w:rPr>
        <w:t>0</w:t>
      </w:r>
      <w:r>
        <w:rPr>
          <w:color w:val="000000"/>
        </w:rPr>
        <w:t>，双渠道条款的两类权重均为正且和为</w:t>
      </w:r>
      <w:r>
        <w:rPr>
          <w:color w:val="000000"/>
        </w:rPr>
        <w:t>1</w:t>
      </w:r>
      <w:r>
        <w:rPr>
          <w:color w:val="000000"/>
        </w:rPr>
        <w:t>。每项协定得分均可分解为具体条款覆盖强度与渠道权重的乘积之和。</w:t>
      </w:r>
    </w:p>
    <w:p w14:paraId="431D32C8" w14:textId="77777777" w:rsidR="00B9063B" w:rsidRDefault="0039215E">
      <w:pPr>
        <w:widowControl/>
        <w:adjustRightInd w:val="0"/>
        <w:snapToGrid w:val="0"/>
        <w:spacing w:line="360" w:lineRule="auto"/>
      </w:pPr>
      <w:r>
        <w:rPr>
          <w:color w:val="000000"/>
        </w:rPr>
        <w:t>协定聚合以生效年份及成员关系确定适用范围，多协定覆盖按逐条款取最大值的规则处理。制度得分与经济流量连接时，统一国家代码、国家对方向、年份和部门口径，检查连接键唯一性与左表行数一致，并保留经济控制变量的缺失状态。</w:t>
      </w:r>
      <w:r>
        <w:rPr>
          <w:color w:val="000000"/>
        </w:rPr>
        <w:t>OLS</w:t>
      </w:r>
      <w:r>
        <w:rPr>
          <w:color w:val="000000"/>
        </w:rPr>
        <w:t>与</w:t>
      </w:r>
      <w:r>
        <w:rPr>
          <w:color w:val="000000"/>
        </w:rPr>
        <w:t>PPML</w:t>
      </w:r>
      <w:r>
        <w:rPr>
          <w:color w:val="000000"/>
        </w:rPr>
        <w:t>分别按照其观测单位和变量要求构建输入，研究数据的覆盖范围与实际估计样本分别界定。</w:t>
      </w:r>
    </w:p>
    <w:p w14:paraId="5232015D" w14:textId="77777777" w:rsidR="00B9063B" w:rsidRDefault="0039215E">
      <w:pPr>
        <w:widowControl/>
        <w:adjustRightInd w:val="0"/>
        <w:snapToGrid w:val="0"/>
        <w:spacing w:line="360" w:lineRule="auto"/>
      </w:pPr>
      <w:r>
        <w:rPr>
          <w:color w:val="000000"/>
        </w:rPr>
        <w:t>通过上述安排，本文从制度承诺的具体内容出发，将条款分类、覆盖赋值、渠道聚合、生效关系与经济流量匹配连贯起来。相关定义、公式、表</w:t>
      </w:r>
      <w:r>
        <w:rPr>
          <w:color w:val="000000"/>
        </w:rPr>
        <w:t>1</w:t>
      </w:r>
      <w:r>
        <w:rPr>
          <w:color w:val="000000"/>
        </w:rPr>
        <w:t>和图</w:t>
      </w:r>
      <w:r>
        <w:rPr>
          <w:color w:val="000000"/>
        </w:rPr>
        <w:t>1</w:t>
      </w:r>
      <w:r>
        <w:rPr>
          <w:color w:val="000000"/>
        </w:rPr>
        <w:t>共同说明制度型开放指数的构造依据，表</w:t>
      </w:r>
      <w:r>
        <w:rPr>
          <w:color w:val="000000"/>
        </w:rPr>
        <w:t>2</w:t>
      </w:r>
      <w:r>
        <w:rPr>
          <w:color w:val="000000"/>
        </w:rPr>
        <w:t>进一步明确其进入贸易与跨国生产方程的方式，从而回应审稿专家对测度内涵、变量来源和研究方法的关切。</w:t>
      </w:r>
    </w:p>
    <w:p w14:paraId="636B3D67" w14:textId="77777777" w:rsidR="00B9063B" w:rsidRDefault="00B9063B">
      <w:pPr>
        <w:widowControl/>
        <w:adjustRightInd w:val="0"/>
        <w:snapToGrid w:val="0"/>
        <w:spacing w:line="360" w:lineRule="auto"/>
      </w:pPr>
    </w:p>
    <w:p w14:paraId="241F727C" w14:textId="77777777" w:rsidR="00B9063B" w:rsidRDefault="0039215E">
      <w:pPr>
        <w:pStyle w:val="af1"/>
        <w:widowControl/>
        <w:adjustRightInd w:val="0"/>
        <w:snapToGrid w:val="0"/>
        <w:spacing w:beforeAutospacing="0" w:afterAutospacing="0" w:line="360" w:lineRule="auto"/>
        <w:ind w:firstLine="420"/>
        <w:rPr>
          <w:rFonts w:ascii="Times New Roman" w:eastAsia="宋体" w:hAnsi="Times New Roman"/>
          <w:color w:val="0432FF"/>
          <w:sz w:val="21"/>
          <w:szCs w:val="21"/>
        </w:rPr>
      </w:pPr>
      <w:r>
        <w:rPr>
          <w:rFonts w:ascii="Times New Roman" w:eastAsia="宋体" w:hAnsi="Times New Roman" w:hint="eastAsia"/>
          <w:color w:val="0432FF"/>
          <w:sz w:val="21"/>
          <w:szCs w:val="21"/>
        </w:rPr>
        <w:t xml:space="preserve">2. </w:t>
      </w:r>
      <w:r>
        <w:rPr>
          <w:rFonts w:ascii="Times New Roman" w:eastAsia="宋体" w:hAnsi="Times New Roman" w:hint="eastAsia"/>
          <w:color w:val="0432FF"/>
          <w:sz w:val="21"/>
          <w:szCs w:val="21"/>
        </w:rPr>
        <w:t>将跨国投资决策引入经典量化贸易模型，并不是本文首创，之前文献已经有大量研究。从理论框架看，本文并未针对“制度型开放”这一特殊政策情境，对经典模型的目标函数、约束条件或均衡求解过程做出任何独特的理论修正或拓展。文章仅仅是将现有的标准模型“换皮”套用于中国数据，在理论推导上无任何独立贡献。</w:t>
      </w:r>
    </w:p>
    <w:p w14:paraId="6577BF42" w14:textId="77777777" w:rsidR="00B9063B" w:rsidRDefault="0039215E">
      <w:pPr>
        <w:pStyle w:val="af1"/>
        <w:widowControl/>
        <w:adjustRightInd w:val="0"/>
        <w:snapToGrid w:val="0"/>
        <w:spacing w:beforeAutospacing="0" w:afterAutospacing="0" w:line="360" w:lineRule="auto"/>
        <w:ind w:firstLine="420"/>
        <w:rPr>
          <w:rFonts w:ascii="Times New Roman" w:eastAsia="宋体" w:hAnsi="Times New Roman"/>
          <w:sz w:val="21"/>
          <w:szCs w:val="21"/>
        </w:rPr>
      </w:pPr>
      <w:r>
        <w:rPr>
          <w:rFonts w:ascii="Times New Roman" w:eastAsia="宋体" w:hAnsi="Times New Roman" w:hint="eastAsia"/>
          <w:b/>
          <w:bCs/>
          <w:sz w:val="21"/>
          <w:szCs w:val="21"/>
        </w:rPr>
        <w:t>作者回复：</w:t>
      </w:r>
      <w:r>
        <w:rPr>
          <w:rFonts w:ascii="Times New Roman" w:eastAsia="宋体" w:hAnsi="Times New Roman" w:hint="eastAsia"/>
          <w:sz w:val="21"/>
          <w:szCs w:val="21"/>
        </w:rPr>
        <w:t>感谢审稿专家对本文引言、</w:t>
      </w:r>
    </w:p>
    <w:p w14:paraId="3DF13A5E" w14:textId="77777777" w:rsidR="00B9063B" w:rsidRDefault="0039215E">
      <w:pPr>
        <w:pStyle w:val="af1"/>
        <w:widowControl/>
        <w:adjustRightInd w:val="0"/>
        <w:snapToGrid w:val="0"/>
        <w:spacing w:beforeAutospacing="0" w:afterAutospacing="0" w:line="360" w:lineRule="auto"/>
        <w:ind w:firstLine="420"/>
        <w:jc w:val="both"/>
        <w:rPr>
          <w:rFonts w:ascii="Times New Roman" w:eastAsia="宋体" w:hAnsi="Times New Roman"/>
          <w:color w:val="0432FF"/>
          <w:sz w:val="21"/>
          <w:szCs w:val="21"/>
        </w:rPr>
      </w:pPr>
      <w:r>
        <w:rPr>
          <w:rFonts w:ascii="Times New Roman" w:eastAsia="宋体" w:hAnsi="Times New Roman" w:hint="eastAsia"/>
          <w:color w:val="0432FF"/>
          <w:sz w:val="21"/>
          <w:szCs w:val="21"/>
        </w:rPr>
        <w:t xml:space="preserve">3. </w:t>
      </w:r>
      <w:r>
        <w:rPr>
          <w:rFonts w:ascii="Times New Roman" w:eastAsia="宋体" w:hAnsi="Times New Roman" w:hint="eastAsia"/>
          <w:color w:val="0432FF"/>
          <w:sz w:val="21"/>
          <w:szCs w:val="21"/>
        </w:rPr>
        <w:t>模型机制解释力不足文章福利分解显示，中国的投入产出关联效应、劳动要素再配置效应和创新效应均为负值。作者将此解释为“结构性成本”或“错配”，但缺乏深入的微观机制支撑。为何制度型开放会导致劳动从创新部门向生产部门“错配”？是因为国内研发环境未改善导致人才流失，还是因为低端制造扩张过快挤出了研发资源？文章仅罗列了模型输出的正负号，未结合中国现实的产业结构转型痛点（如“卡脖子”技术、人才激励机制）进行具体剖析，使得这一关键发现流于表面。</w:t>
      </w:r>
    </w:p>
    <w:p w14:paraId="6A58F77F" w14:textId="77777777" w:rsidR="00B9063B" w:rsidRDefault="0039215E">
      <w:pPr>
        <w:pStyle w:val="af1"/>
        <w:widowControl/>
        <w:adjustRightInd w:val="0"/>
        <w:snapToGrid w:val="0"/>
        <w:spacing w:beforeAutospacing="0" w:afterAutospacing="0" w:line="360" w:lineRule="auto"/>
        <w:ind w:firstLine="420"/>
        <w:rPr>
          <w:rFonts w:ascii="Times New Roman" w:eastAsia="宋体" w:hAnsi="Times New Roman"/>
          <w:sz w:val="21"/>
          <w:szCs w:val="21"/>
        </w:rPr>
      </w:pPr>
      <w:r>
        <w:rPr>
          <w:rFonts w:ascii="Times New Roman" w:eastAsia="宋体" w:hAnsi="Times New Roman" w:hint="eastAsia"/>
          <w:b/>
          <w:bCs/>
          <w:sz w:val="21"/>
          <w:szCs w:val="21"/>
        </w:rPr>
        <w:t>作者回复：</w:t>
      </w:r>
      <w:r>
        <w:rPr>
          <w:rFonts w:ascii="Times New Roman" w:eastAsia="宋体" w:hAnsi="Times New Roman" w:hint="eastAsia"/>
          <w:sz w:val="21"/>
          <w:szCs w:val="21"/>
        </w:rPr>
        <w:t>感谢审稿专家对本文引言、</w:t>
      </w:r>
    </w:p>
    <w:p w14:paraId="721BAAAF" w14:textId="77777777" w:rsidR="00B9063B" w:rsidRDefault="00B9063B">
      <w:pPr>
        <w:pStyle w:val="af1"/>
        <w:widowControl/>
        <w:adjustRightInd w:val="0"/>
        <w:snapToGrid w:val="0"/>
        <w:spacing w:beforeAutospacing="0" w:afterAutospacing="0" w:line="360" w:lineRule="auto"/>
        <w:ind w:firstLine="420"/>
        <w:jc w:val="both"/>
        <w:rPr>
          <w:rFonts w:ascii="宋体" w:eastAsia="宋体" w:hAnsi="宋体" w:cs="宋体" w:hint="eastAsia"/>
          <w:b/>
          <w:color w:val="000000"/>
          <w:kern w:val="2"/>
          <w:sz w:val="21"/>
          <w:szCs w:val="21"/>
        </w:rPr>
      </w:pPr>
    </w:p>
    <w:p w14:paraId="2A6FFCD4" w14:textId="77777777" w:rsidR="00B9063B" w:rsidRDefault="0039215E">
      <w:pPr>
        <w:pStyle w:val="af1"/>
        <w:widowControl/>
        <w:adjustRightInd w:val="0"/>
        <w:snapToGrid w:val="0"/>
        <w:spacing w:beforeAutospacing="0" w:afterAutospacing="0" w:line="360" w:lineRule="auto"/>
        <w:ind w:firstLine="420"/>
        <w:jc w:val="both"/>
        <w:rPr>
          <w:rFonts w:ascii="宋体" w:eastAsia="宋体" w:hAnsi="宋体" w:cs="宋体" w:hint="eastAsia"/>
          <w:b/>
          <w:color w:val="000000"/>
          <w:kern w:val="2"/>
          <w:sz w:val="21"/>
          <w:szCs w:val="21"/>
        </w:rPr>
      </w:pPr>
      <w:r>
        <w:rPr>
          <w:rFonts w:ascii="宋体" w:eastAsia="宋体" w:hAnsi="宋体" w:cs="宋体" w:hint="eastAsia"/>
          <w:b/>
          <w:color w:val="000000"/>
          <w:kern w:val="2"/>
          <w:sz w:val="21"/>
          <w:szCs w:val="21"/>
        </w:rPr>
        <w:t>最后，感谢您对我们文章“选题符合当下国家战略发展的需要，研究方向具有一定边际贡献”的肯定性评价，更加感谢您对文章内容深刻、认真和详细的意见，正是在您具有启发性和专业性修改意见和建议的指引下，我们的文章才得以进一步完善，希望在您的指导下该文能够达到发表要求。作者再次向审稿专家为本文提出的建设性修改建议和意见表示衷心的感谢！</w:t>
      </w:r>
    </w:p>
    <w:p w14:paraId="2543113B" w14:textId="77777777" w:rsidR="00B9063B" w:rsidRDefault="0039215E">
      <w:pPr>
        <w:adjustRightInd w:val="0"/>
        <w:snapToGrid w:val="0"/>
        <w:spacing w:line="360" w:lineRule="auto"/>
        <w:ind w:firstLineChars="200" w:firstLine="422"/>
        <w:rPr>
          <w:rFonts w:ascii="Calibri" w:hAnsi="Calibri"/>
          <w:b/>
          <w:szCs w:val="21"/>
        </w:rPr>
      </w:pPr>
      <w:r>
        <w:rPr>
          <w:rFonts w:ascii="Calibri" w:hAnsi="Calibri" w:hint="eastAsia"/>
          <w:b/>
          <w:szCs w:val="21"/>
        </w:rPr>
        <w:t>祝您科研顺利，工作顺心，生活顺意，万事皆顺遂！</w:t>
      </w:r>
      <w:r>
        <w:rPr>
          <w:rFonts w:ascii="Calibri" w:hAnsi="Calibri" w:hint="eastAsia"/>
          <w:b/>
          <w:szCs w:val="21"/>
        </w:rPr>
        <w:t xml:space="preserve"> </w:t>
      </w:r>
    </w:p>
    <w:p w14:paraId="18F8D176" w14:textId="77777777" w:rsidR="00B9063B" w:rsidRDefault="0039215E">
      <w:pPr>
        <w:adjustRightInd w:val="0"/>
        <w:snapToGrid w:val="0"/>
        <w:spacing w:line="360" w:lineRule="auto"/>
        <w:ind w:firstLineChars="200" w:firstLine="422"/>
        <w:jc w:val="center"/>
        <w:rPr>
          <w:rFonts w:ascii="Calibri" w:hAnsi="Calibri"/>
          <w:b/>
          <w:szCs w:val="21"/>
        </w:rPr>
      </w:pPr>
      <w:r>
        <w:rPr>
          <w:rFonts w:ascii="Calibri" w:hAnsi="Calibri" w:hint="eastAsia"/>
          <w:b/>
          <w:szCs w:val="21"/>
        </w:rPr>
        <w:t xml:space="preserve">                                                           </w:t>
      </w:r>
      <w:r>
        <w:rPr>
          <w:rFonts w:ascii="Calibri" w:hAnsi="Calibri" w:hint="eastAsia"/>
          <w:b/>
          <w:szCs w:val="21"/>
        </w:rPr>
        <w:t>全体作者</w:t>
      </w:r>
    </w:p>
    <w:p w14:paraId="1C886B38" w14:textId="77777777" w:rsidR="00B9063B" w:rsidRDefault="0039215E">
      <w:pPr>
        <w:adjustRightInd w:val="0"/>
        <w:snapToGrid w:val="0"/>
        <w:spacing w:line="360" w:lineRule="auto"/>
        <w:ind w:firstLineChars="200" w:firstLine="422"/>
        <w:jc w:val="right"/>
        <w:rPr>
          <w:rFonts w:ascii="Times New Roman" w:hAnsi="Times New Roman" w:cs="Times New Roman"/>
          <w:b/>
          <w:szCs w:val="21"/>
        </w:rPr>
      </w:pPr>
      <w:r>
        <w:rPr>
          <w:rFonts w:ascii="Times New Roman" w:hAnsi="Times New Roman" w:cs="Times New Roman"/>
          <w:b/>
          <w:szCs w:val="21"/>
        </w:rPr>
        <w:lastRenderedPageBreak/>
        <w:t>2026</w:t>
      </w:r>
      <w:r>
        <w:rPr>
          <w:rFonts w:ascii="Times New Roman" w:hAnsi="Times New Roman" w:cs="Times New Roman"/>
          <w:b/>
          <w:szCs w:val="21"/>
        </w:rPr>
        <w:t>年</w:t>
      </w:r>
      <w:r>
        <w:rPr>
          <w:rFonts w:ascii="Times New Roman" w:hAnsi="Times New Roman" w:cs="Times New Roman"/>
          <w:b/>
          <w:szCs w:val="21"/>
        </w:rPr>
        <w:t>9</w:t>
      </w:r>
      <w:r>
        <w:rPr>
          <w:rFonts w:ascii="Times New Roman" w:hAnsi="Times New Roman" w:cs="Times New Roman"/>
          <w:b/>
          <w:szCs w:val="21"/>
        </w:rPr>
        <w:t>月</w:t>
      </w:r>
      <w:r>
        <w:rPr>
          <w:rFonts w:ascii="Times New Roman" w:hAnsi="Times New Roman" w:cs="Times New Roman"/>
          <w:b/>
          <w:szCs w:val="21"/>
        </w:rPr>
        <w:t>9</w:t>
      </w:r>
      <w:r>
        <w:rPr>
          <w:rFonts w:ascii="Times New Roman" w:hAnsi="Times New Roman" w:cs="Times New Roman"/>
          <w:b/>
          <w:szCs w:val="21"/>
        </w:rPr>
        <w:t>日</w:t>
      </w:r>
    </w:p>
    <w:p w14:paraId="38860488" w14:textId="77777777" w:rsidR="00B9063B" w:rsidRDefault="00B9063B">
      <w:pPr>
        <w:pStyle w:val="af1"/>
        <w:widowControl/>
        <w:adjustRightInd w:val="0"/>
        <w:snapToGrid w:val="0"/>
        <w:spacing w:beforeAutospacing="0" w:afterAutospacing="0" w:line="360" w:lineRule="auto"/>
        <w:ind w:firstLine="420"/>
        <w:jc w:val="both"/>
        <w:rPr>
          <w:rFonts w:ascii="宋体" w:eastAsia="宋体" w:hAnsi="宋体" w:cs="宋体" w:hint="eastAsia"/>
          <w:b/>
          <w:color w:val="000000"/>
          <w:kern w:val="2"/>
          <w:sz w:val="21"/>
          <w:szCs w:val="21"/>
        </w:rPr>
      </w:pPr>
    </w:p>
    <w:p w14:paraId="0868B04C" w14:textId="77777777" w:rsidR="00B9063B" w:rsidRDefault="00B9063B">
      <w:pPr>
        <w:pStyle w:val="af1"/>
        <w:widowControl/>
        <w:adjustRightInd w:val="0"/>
        <w:snapToGrid w:val="0"/>
        <w:spacing w:beforeAutospacing="0" w:afterAutospacing="0" w:line="360" w:lineRule="auto"/>
        <w:jc w:val="both"/>
        <w:rPr>
          <w:rFonts w:ascii="宋体" w:eastAsia="宋体" w:hAnsi="宋体" w:cs="宋体" w:hint="eastAsia"/>
          <w:color w:val="000000"/>
          <w:kern w:val="2"/>
          <w:sz w:val="21"/>
          <w:szCs w:val="21"/>
        </w:rPr>
      </w:pPr>
    </w:p>
    <w:p w14:paraId="484EC7B0" w14:textId="77777777" w:rsidR="000474FC" w:rsidRDefault="000474FC">
      <w:pPr>
        <w:pStyle w:val="af1"/>
        <w:widowControl/>
        <w:adjustRightInd w:val="0"/>
        <w:snapToGrid w:val="0"/>
        <w:spacing w:beforeAutospacing="0" w:afterAutospacing="0" w:line="360" w:lineRule="auto"/>
        <w:jc w:val="both"/>
        <w:rPr>
          <w:rFonts w:ascii="宋体" w:eastAsia="宋体" w:hAnsi="宋体" w:cs="宋体" w:hint="eastAsia"/>
          <w:color w:val="000000"/>
          <w:kern w:val="2"/>
          <w:sz w:val="21"/>
          <w:szCs w:val="21"/>
        </w:rPr>
      </w:pPr>
    </w:p>
    <w:sectPr w:rsidR="000474FC">
      <w:footerReference w:type="even" r:id="rId14"/>
      <w:footerReference w:type="default" r:id="rId1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9-22T23:13:00Z" w:initials="MOU">
    <w:p w14:paraId="48940FE9" w14:textId="05C7602A" w:rsidR="00470B6B" w:rsidRDefault="00470B6B">
      <w:pPr>
        <w:pStyle w:val="a3"/>
      </w:pPr>
      <w:r>
        <w:rPr>
          <w:rStyle w:val="afd"/>
        </w:rPr>
        <w:annotationRef/>
      </w:r>
      <w:r>
        <w:rPr>
          <w:rFonts w:hint="eastAsia"/>
        </w:rPr>
        <w:t>按照我这里的文字质量来写</w:t>
      </w:r>
    </w:p>
  </w:comment>
  <w:comment w:id="1" w:author="Microsoft Office User" w:date="2026-09-22T23:32:00Z" w:initials="MOU">
    <w:p w14:paraId="4D1E9458" w14:textId="3E406110" w:rsidR="00541719" w:rsidRDefault="00541719">
      <w:pPr>
        <w:pStyle w:val="a3"/>
      </w:pPr>
      <w:r>
        <w:rPr>
          <w:rStyle w:val="afd"/>
        </w:rPr>
        <w:annotationRef/>
      </w:r>
      <w:r>
        <w:rPr>
          <w:rFonts w:hint="eastAsia"/>
        </w:rPr>
        <w:t>这些空格全部都要注意</w:t>
      </w:r>
      <w:r>
        <w:rPr>
          <w:rFonts w:hint="eastAsia"/>
        </w:rPr>
        <w:t xml:space="preserve"> </w:t>
      </w:r>
      <w:r>
        <w:rPr>
          <w:rFonts w:hint="eastAsia"/>
        </w:rPr>
        <w:t>这都是</w:t>
      </w:r>
      <w:r>
        <w:rPr>
          <w:rFonts w:hint="eastAsia"/>
        </w:rPr>
        <w:t>ai</w:t>
      </w:r>
      <w:r>
        <w:rPr>
          <w:rFonts w:hint="eastAsia"/>
        </w:rPr>
        <w:t>粘贴导致的</w:t>
      </w:r>
    </w:p>
  </w:comment>
  <w:comment w:id="3" w:author="Microsoft Office User" w:date="2026-09-23T10:49:00Z" w:initials="MOU">
    <w:p w14:paraId="5714A869" w14:textId="2A8922E9" w:rsidR="00D07E55" w:rsidRDefault="00D07E55">
      <w:pPr>
        <w:pStyle w:val="a3"/>
      </w:pPr>
      <w:r>
        <w:rPr>
          <w:rStyle w:val="afd"/>
        </w:rPr>
        <w:annotationRef/>
      </w:r>
      <w:r>
        <w:rPr>
          <w:rFonts w:hint="eastAsia"/>
        </w:rPr>
        <w:t>按照和</w:t>
      </w:r>
      <w:r>
        <w:rPr>
          <w:rFonts w:hint="eastAsia"/>
        </w:rPr>
        <w:t>stage</w:t>
      </w:r>
      <w:r>
        <w:t>1</w:t>
      </w:r>
      <w:r>
        <w:rPr>
          <w:rFonts w:hint="eastAsia"/>
        </w:rPr>
        <w:t>a</w:t>
      </w:r>
      <w:r>
        <w:rPr>
          <w:rFonts w:hint="eastAsia"/>
        </w:rPr>
        <w:t>相同的判定规则</w:t>
      </w:r>
    </w:p>
  </w:comment>
  <w:comment w:id="2" w:author="Microsoft Office User" w:date="2026-09-23T10:49:00Z" w:initials="MOU">
    <w:p w14:paraId="6A0D1ABC" w14:textId="7226DBB0" w:rsidR="00D07E55" w:rsidRDefault="00D07E55">
      <w:pPr>
        <w:pStyle w:val="a3"/>
      </w:pPr>
      <w:r>
        <w:rPr>
          <w:rStyle w:val="afd"/>
        </w:rPr>
        <w:annotationRef/>
      </w:r>
      <w:r>
        <w:rPr>
          <w:rFonts w:hint="eastAsia"/>
        </w:rPr>
        <w:t>脚注或附录</w:t>
      </w:r>
      <w:r>
        <w:rPr>
          <w:rFonts w:hint="eastAsia"/>
        </w:rPr>
        <w:t xml:space="preserve"> </w:t>
      </w:r>
      <w:r>
        <w:rPr>
          <w:rFonts w:hint="eastAsia"/>
        </w:rPr>
        <w:t>是怎么弄的</w:t>
      </w:r>
      <w:r>
        <w:rPr>
          <w:rFonts w:hint="eastAsia"/>
        </w:rPr>
        <w:t xml:space="preserve"> </w:t>
      </w:r>
      <w:r>
        <w:rPr>
          <w:rFonts w:hint="eastAsia"/>
        </w:rPr>
        <w:t>这才是重点</w:t>
      </w:r>
    </w:p>
  </w:comment>
  <w:comment w:id="4" w:author="Microsoft Office User" w:date="2026-09-22T23:13:00Z" w:initials="MOU">
    <w:p w14:paraId="4E73F2B9" w14:textId="064626F6" w:rsidR="00470B6B" w:rsidRDefault="00470B6B">
      <w:pPr>
        <w:pStyle w:val="a3"/>
      </w:pPr>
      <w:r>
        <w:rPr>
          <w:rStyle w:val="afd"/>
        </w:rPr>
        <w:annotationRef/>
      </w:r>
      <w:r>
        <w:rPr>
          <w:rFonts w:hint="eastAsia"/>
        </w:rPr>
        <w:t>举出特定条款的例子</w:t>
      </w:r>
    </w:p>
  </w:comment>
  <w:comment w:id="5" w:author="Microsoft Office User" w:date="2026-09-22T23:13:00Z" w:initials="MOU">
    <w:p w14:paraId="30FCDBBB" w14:textId="381307CA" w:rsidR="00470B6B" w:rsidRDefault="00470B6B">
      <w:pPr>
        <w:pStyle w:val="a3"/>
      </w:pPr>
      <w:r>
        <w:rPr>
          <w:rStyle w:val="afd"/>
        </w:rPr>
        <w:annotationRef/>
      </w:r>
      <w:r>
        <w:rPr>
          <w:rFonts w:hint="eastAsia"/>
        </w:rPr>
        <w:t>2</w:t>
      </w:r>
      <w:r>
        <w:t>-3</w:t>
      </w:r>
      <w:r>
        <w:rPr>
          <w:rFonts w:hint="eastAsia"/>
        </w:rPr>
        <w:t>的逻辑没有很清楚</w:t>
      </w:r>
      <w:r w:rsidR="00541719">
        <w:t xml:space="preserve"> </w:t>
      </w:r>
      <w:r w:rsidR="00541719">
        <w:rPr>
          <w:rFonts w:hint="eastAsia"/>
        </w:rPr>
        <w:t>把后面的一些公式整合进来</w:t>
      </w:r>
    </w:p>
    <w:p w14:paraId="45D56403" w14:textId="77777777" w:rsidR="00CC14E8" w:rsidRDefault="00CC14E8">
      <w:pPr>
        <w:pStyle w:val="a3"/>
      </w:pPr>
      <w:r>
        <w:rPr>
          <w:rFonts w:hint="eastAsia"/>
        </w:rPr>
        <w:t>每一段至少自己写</w:t>
      </w:r>
      <w:r>
        <w:rPr>
          <w:rFonts w:hint="eastAsia"/>
        </w:rPr>
        <w:t>-gpt</w:t>
      </w:r>
      <w:r>
        <w:rPr>
          <w:rFonts w:hint="eastAsia"/>
        </w:rPr>
        <w:t>改</w:t>
      </w:r>
      <w:r>
        <w:rPr>
          <w:rFonts w:hint="eastAsia"/>
        </w:rPr>
        <w:t>-</w:t>
      </w:r>
      <w:r>
        <w:rPr>
          <w:rFonts w:hint="eastAsia"/>
        </w:rPr>
        <w:t>自己再写</w:t>
      </w:r>
      <w:r>
        <w:rPr>
          <w:rFonts w:hint="eastAsia"/>
        </w:rPr>
        <w:t xml:space="preserve"> </w:t>
      </w:r>
      <w:r>
        <w:t>5</w:t>
      </w:r>
      <w:r>
        <w:rPr>
          <w:rFonts w:hint="eastAsia"/>
        </w:rPr>
        <w:t>轮才行</w:t>
      </w:r>
    </w:p>
    <w:p w14:paraId="4C517120" w14:textId="5976BBBC" w:rsidR="00A00625" w:rsidRDefault="00A00625">
      <w:pPr>
        <w:pStyle w:val="a3"/>
      </w:pPr>
      <w:r>
        <w:rPr>
          <w:rFonts w:hint="eastAsia"/>
        </w:rPr>
        <w:t>争取做了能够直接放在回复里</w:t>
      </w:r>
      <w:r>
        <w:rPr>
          <w:rFonts w:hint="eastAsia"/>
        </w:rPr>
        <w:t xml:space="preserve"> </w:t>
      </w:r>
      <w:r>
        <w:rPr>
          <w:rFonts w:hint="eastAsia"/>
        </w:rPr>
        <w:t>不需要返修</w:t>
      </w:r>
    </w:p>
  </w:comment>
  <w:comment w:id="6" w:author="Microsoft Office User" w:date="2026-09-22T23:18:00Z" w:initials="MOU">
    <w:p w14:paraId="7AC05ACE" w14:textId="2E63D660" w:rsidR="00A00625" w:rsidRDefault="00A00625">
      <w:pPr>
        <w:pStyle w:val="a3"/>
      </w:pPr>
      <w:r>
        <w:rPr>
          <w:rStyle w:val="afd"/>
        </w:rPr>
        <w:annotationRef/>
      </w:r>
      <w:r>
        <w:rPr>
          <w:rFonts w:hint="eastAsia"/>
        </w:rPr>
        <w:t>这个我来写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940FE9" w15:done="0"/>
  <w15:commentEx w15:paraId="4D1E9458" w15:done="0"/>
  <w15:commentEx w15:paraId="5714A869" w15:done="0"/>
  <w15:commentEx w15:paraId="6A0D1ABC" w15:done="0"/>
  <w15:commentEx w15:paraId="4E73F2B9" w15:done="0"/>
  <w15:commentEx w15:paraId="4C517120" w15:done="0"/>
  <w15:commentEx w15:paraId="7AC05A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B89FE1" w16cex:dateUtc="2026-09-22T15:13:00Z"/>
  <w16cex:commentExtensible w16cex:durableId="1642CE5F" w16cex:dateUtc="2026-09-22T15:32:00Z"/>
  <w16cex:commentExtensible w16cex:durableId="492DF53F" w16cex:dateUtc="2026-09-23T02:49:00Z"/>
  <w16cex:commentExtensible w16cex:durableId="0D7FB430" w16cex:dateUtc="2026-09-23T02:49:00Z"/>
  <w16cex:commentExtensible w16cex:durableId="5BE0CE90" w16cex:dateUtc="2026-09-22T15:13:00Z"/>
  <w16cex:commentExtensible w16cex:durableId="0B8D66EF" w16cex:dateUtc="2026-09-22T15:13:00Z"/>
  <w16cex:commentExtensible w16cex:durableId="6C35AAF4" w16cex:dateUtc="2026-09-22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940FE9" w16cid:durableId="48B89FE1"/>
  <w16cid:commentId w16cid:paraId="4D1E9458" w16cid:durableId="1642CE5F"/>
  <w16cid:commentId w16cid:paraId="5714A869" w16cid:durableId="492DF53F"/>
  <w16cid:commentId w16cid:paraId="6A0D1ABC" w16cid:durableId="0D7FB430"/>
  <w16cid:commentId w16cid:paraId="4E73F2B9" w16cid:durableId="5BE0CE90"/>
  <w16cid:commentId w16cid:paraId="4C517120" w16cid:durableId="0B8D66EF"/>
  <w16cid:commentId w16cid:paraId="7AC05ACE" w16cid:durableId="6C35AA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F63B6" w14:textId="77777777" w:rsidR="00A00E78" w:rsidRDefault="00A00E78">
      <w:r>
        <w:separator/>
      </w:r>
    </w:p>
  </w:endnote>
  <w:endnote w:type="continuationSeparator" w:id="0">
    <w:p w14:paraId="6C60C71F" w14:textId="77777777" w:rsidR="00A00E78" w:rsidRDefault="00A00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
      <w:docPartObj>
        <w:docPartGallery w:val="AutoText"/>
      </w:docPartObj>
    </w:sdtPr>
    <w:sdtEndPr>
      <w:rPr>
        <w:rStyle w:val="af9"/>
      </w:rPr>
    </w:sdtEndPr>
    <w:sdtContent>
      <w:p w14:paraId="4112BA2D" w14:textId="77777777" w:rsidR="00B9063B" w:rsidRDefault="0039215E">
        <w:pPr>
          <w:pStyle w:val="a9"/>
          <w:framePr w:wrap="auto" w:vAnchor="text" w:hAnchor="margin" w:xAlign="center" w:y="1"/>
          <w:rPr>
            <w:rStyle w:val="af9"/>
          </w:rPr>
        </w:pPr>
        <w:r>
          <w:rPr>
            <w:rStyle w:val="af9"/>
          </w:rPr>
          <w:fldChar w:fldCharType="begin"/>
        </w:r>
        <w:r>
          <w:rPr>
            <w:rStyle w:val="af9"/>
          </w:rPr>
          <w:instrText xml:space="preserve"> PAGE </w:instrText>
        </w:r>
        <w:r>
          <w:rPr>
            <w:rStyle w:val="af9"/>
          </w:rPr>
          <w:fldChar w:fldCharType="end"/>
        </w:r>
      </w:p>
    </w:sdtContent>
  </w:sdt>
  <w:p w14:paraId="067D1942" w14:textId="77777777" w:rsidR="00B9063B" w:rsidRDefault="00B9063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1141461084"/>
      <w:docPartObj>
        <w:docPartGallery w:val="AutoText"/>
      </w:docPartObj>
    </w:sdtPr>
    <w:sdtEndPr>
      <w:rPr>
        <w:rStyle w:val="af9"/>
      </w:rPr>
    </w:sdtEndPr>
    <w:sdtContent>
      <w:p w14:paraId="65E6A145" w14:textId="77777777" w:rsidR="00B9063B" w:rsidRDefault="0039215E">
        <w:pPr>
          <w:pStyle w:val="a9"/>
          <w:framePr w:wrap="auto"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t>24</w:t>
        </w:r>
        <w:r>
          <w:rPr>
            <w:rStyle w:val="af9"/>
          </w:rPr>
          <w:fldChar w:fldCharType="end"/>
        </w:r>
      </w:p>
    </w:sdtContent>
  </w:sdt>
  <w:p w14:paraId="5BC5C0B6" w14:textId="77777777" w:rsidR="00B9063B" w:rsidRDefault="00B9063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DB6E" w14:textId="77777777" w:rsidR="00A00E78" w:rsidRDefault="00A00E78">
      <w:r>
        <w:separator/>
      </w:r>
    </w:p>
  </w:footnote>
  <w:footnote w:type="continuationSeparator" w:id="0">
    <w:p w14:paraId="568358F8" w14:textId="77777777" w:rsidR="00A00E78" w:rsidRDefault="00A00E78">
      <w:r>
        <w:continuationSeparator/>
      </w:r>
    </w:p>
  </w:footnote>
  <w:footnote w:id="1">
    <w:p w14:paraId="4F69CA73" w14:textId="34FFB7A8" w:rsidR="00480A8D" w:rsidRPr="00480A8D" w:rsidRDefault="00480A8D">
      <w:pPr>
        <w:pStyle w:val="af"/>
      </w:pPr>
      <w:r>
        <w:rPr>
          <w:rStyle w:val="afe"/>
        </w:rPr>
        <w:footnoteRef/>
      </w:r>
      <w:r>
        <w:rPr>
          <w:color w:val="000000"/>
        </w:rPr>
        <w:t xml:space="preserve"> </w:t>
      </w:r>
      <w:r>
        <w:rPr>
          <w:color w:val="000000"/>
        </w:rPr>
        <w:t>对于不能直接以</w:t>
      </w:r>
      <w:r>
        <w:rPr>
          <w:color w:val="000000"/>
        </w:rPr>
        <w:t>0</w:t>
      </w:r>
      <w:r>
        <w:rPr>
          <w:color w:val="000000"/>
        </w:rPr>
        <w:t>、</w:t>
      </w:r>
      <w:r>
        <w:rPr>
          <w:color w:val="000000"/>
        </w:rPr>
        <w:t>1</w:t>
      </w:r>
      <w:r>
        <w:rPr>
          <w:color w:val="000000"/>
        </w:rPr>
        <w:t>表示的覆盖记录，本文参考</w:t>
      </w:r>
      <w:r>
        <w:rPr>
          <w:color w:val="000000"/>
        </w:rPr>
        <w:t>Fontagné et al.</w:t>
      </w:r>
      <w:r>
        <w:rPr>
          <w:color w:val="000000"/>
        </w:rPr>
        <w:t>（</w:t>
      </w:r>
      <w:r>
        <w:rPr>
          <w:color w:val="000000"/>
        </w:rPr>
        <w:t>2023</w:t>
      </w:r>
      <w:r>
        <w:rPr>
          <w:color w:val="000000"/>
        </w:rPr>
        <w:t>）保留非二元条款信息的思路，依据各条款的测量含义进行人工赋值，将其转换为</w:t>
      </w:r>
      <w:r>
        <w:rPr>
          <w:color w:val="000000"/>
        </w:rPr>
        <w:t>[0,1]</w:t>
      </w:r>
      <w:r>
        <w:rPr>
          <w:color w:val="000000"/>
        </w:rPr>
        <w:t>区间内的覆盖强度。其中，</w:t>
      </w:r>
      <w:r>
        <w:rPr>
          <w:color w:val="000000"/>
        </w:rPr>
        <w:t>0</w:t>
      </w:r>
      <w:r>
        <w:rPr>
          <w:color w:val="000000"/>
        </w:rPr>
        <w:t>表示未覆盖，</w:t>
      </w:r>
      <w:r>
        <w:rPr>
          <w:color w:val="000000"/>
        </w:rPr>
        <w:t>1</w:t>
      </w:r>
      <w:r>
        <w:rPr>
          <w:color w:val="000000"/>
        </w:rPr>
        <w:t>表示完全覆盖，中间值保留部分覆盖或中间承诺强度信息。具体赋值规则由本文确定，不对所有类别统一等距换算，也不直接套用该文的数值转换方法。协定覆盖记录的空白在指标计算中按</w:t>
      </w:r>
      <w:r>
        <w:rPr>
          <w:color w:val="000000"/>
        </w:rPr>
        <w:t>0</w:t>
      </w:r>
      <w:r>
        <w:rPr>
          <w:color w:val="000000"/>
        </w:rPr>
        <w:t>处理。这一规则仅适用于覆盖强度，不适用于分类、权重或控制变量的缺失值。</w:t>
      </w:r>
    </w:p>
  </w:footnote>
  <w:footnote w:id="2">
    <w:p w14:paraId="7F12A37B" w14:textId="77777777" w:rsidR="00F52132" w:rsidRDefault="004C356E">
      <w:pPr>
        <w:pStyle w:val="af"/>
        <w:keepLines/>
        <w:spacing w:line="240" w:lineRule="auto"/>
      </w:pPr>
      <w:r>
        <w:rPr>
          <w:rStyle w:val="afe"/>
        </w:rPr>
        <w:footnoteRef/>
      </w:r>
      <w:r>
        <w:t xml:space="preserve"> </w:t>
      </w:r>
      <w:r>
        <w:t>规则维度强调实体权利义务、待遇、禁止及法律后果；规制维度强调准入、许可、限制及合规监督；管理维度强调申请、审查、通关、信息公开及办理程序；标准维度强调技术要求及检验检测、认证认可、合格评定和互认安排。分类以条款主要的可执行功能为依据，不按政策领域或关键词机械归类。本文采用的条款分类结果共包含</w:t>
      </w:r>
      <w:r>
        <w:t>1,071</w:t>
      </w:r>
      <w:r>
        <w:t>项条款，其中制度型开放条款</w:t>
      </w:r>
      <w:r>
        <w:t>764</w:t>
      </w:r>
      <w:r>
        <w:t>项、非制度型开放条款</w:t>
      </w:r>
      <w:r>
        <w:t>307</w:t>
      </w:r>
      <w:r>
        <w:t>项；制度条款的规则、规制、管理和标准维度分别为</w:t>
      </w:r>
      <w:r>
        <w:t>497</w:t>
      </w:r>
      <w:r>
        <w:t>、</w:t>
      </w:r>
      <w:r>
        <w:t>47</w:t>
      </w:r>
      <w:r>
        <w:t>、</w:t>
      </w:r>
      <w:r>
        <w:t>189</w:t>
      </w:r>
      <w:r>
        <w:t>和</w:t>
      </w:r>
      <w:r>
        <w:t>31</w:t>
      </w:r>
      <w:r>
        <w:t>项。</w:t>
      </w:r>
    </w:p>
  </w:footnote>
  <w:footnote w:id="3">
    <w:p w14:paraId="44628D29" w14:textId="13B11EEA" w:rsidR="00F52132" w:rsidRDefault="004C356E">
      <w:pPr>
        <w:pStyle w:val="af"/>
        <w:keepLines/>
        <w:spacing w:line="240" w:lineRule="auto"/>
      </w:pPr>
      <w:r>
        <w:rPr>
          <w:rStyle w:val="afe"/>
        </w:rPr>
        <w:footnoteRef/>
      </w:r>
      <w:r>
        <w:t xml:space="preserve"> </w:t>
      </w:r>
      <w:r>
        <w:t>本文采用的类型识别结果中，</w:t>
      </w:r>
      <w:r>
        <w:t>TRADE</w:t>
      </w:r>
      <w:r>
        <w:t>、</w:t>
      </w:r>
      <w:r>
        <w:t>MP</w:t>
      </w:r>
      <w:r>
        <w:t>、</w:t>
      </w:r>
      <w:r>
        <w:t>BOTH</w:t>
      </w:r>
      <w:r>
        <w:t>和</w:t>
      </w:r>
      <w:r>
        <w:t>NONE</w:t>
      </w:r>
      <w:r>
        <w:t>分别为</w:t>
      </w:r>
      <w:r>
        <w:t>500</w:t>
      </w:r>
      <w:r>
        <w:t>、</w:t>
      </w:r>
      <w:r>
        <w:t>132</w:t>
      </w:r>
      <w:r>
        <w:t>、</w:t>
      </w:r>
      <w:r>
        <w:t>56</w:t>
      </w:r>
      <w:r>
        <w:t>和</w:t>
      </w:r>
      <w:r>
        <w:t>76</w:t>
      </w:r>
      <w:r>
        <w:t>项。</w:t>
      </w:r>
      <w:r>
        <w:t>NONE</w:t>
      </w:r>
      <w:r>
        <w:t>与</w:t>
      </w:r>
      <w:r>
        <w:t>307</w:t>
      </w:r>
      <w:r>
        <w:t>项不进入类型识别的非制度条款分别统计。类型分歧的仲裁结果不局限于双模型的候选类型。例如，</w:t>
      </w:r>
      <w:r>
        <w:t>P0046</w:t>
      </w:r>
      <w:r>
        <w:t>涉及禁止与出口相关的业绩要求（允许例外），两个模型分别判为</w:t>
      </w:r>
      <w:r>
        <w:t>MP</w:t>
      </w:r>
      <w:r>
        <w:t>和</w:t>
      </w:r>
      <w:r>
        <w:t>TRADE</w:t>
      </w:r>
      <w:r>
        <w:t>，</w:t>
      </w:r>
      <w:r>
        <w:t>GLM-5</w:t>
      </w:r>
      <w:r>
        <w:t>最终判为</w:t>
      </w:r>
      <w:r>
        <w:t>BOTH</w:t>
      </w:r>
      <w:r>
        <w:t>，贸易与跨国生产权重为</w:t>
      </w:r>
      <w:r>
        <w:t>0.6</w:t>
      </w:r>
      <w:r>
        <w:t>和</w:t>
      </w:r>
      <w:r>
        <w:t>0.4</w:t>
      </w:r>
      <w:r>
        <w:t>。</w:t>
      </w:r>
    </w:p>
  </w:footnote>
  <w:footnote w:id="4">
    <w:p w14:paraId="79D429A5" w14:textId="19CD91C3" w:rsidR="009948DC" w:rsidRDefault="009948DC">
      <w:pPr>
        <w:pStyle w:val="af"/>
      </w:pPr>
      <w:r>
        <w:rPr>
          <w:rStyle w:val="afe"/>
        </w:rPr>
        <w:footnoteRef/>
      </w:r>
      <w:r>
        <w:t xml:space="preserve"> </w:t>
      </w:r>
      <w:r>
        <w:rPr>
          <w:rFonts w:hint="eastAsia"/>
        </w:rPr>
        <w:t>为了考虑零值问题，本文还采用</w:t>
      </w:r>
      <w:r w:rsidRPr="00345F42">
        <w:t>PPML</w:t>
      </w:r>
      <w:r w:rsidRPr="00345F42">
        <w:t>进一步保留零流量信息</w:t>
      </w:r>
      <w:r>
        <w:rPr>
          <w:rFonts w:hint="eastAsia"/>
        </w:rPr>
        <w:t>进行估计。</w:t>
      </w:r>
    </w:p>
  </w:footnote>
  <w:footnote w:id="5">
    <w:p w14:paraId="1087E517" w14:textId="37ECCDDA" w:rsidR="00AF1B43" w:rsidRDefault="00AF1B43">
      <w:pPr>
        <w:pStyle w:val="af"/>
      </w:pPr>
      <w:r>
        <w:rPr>
          <w:rStyle w:val="afe"/>
        </w:rPr>
        <w:footnoteRef/>
      </w:r>
      <w:r>
        <w:t xml:space="preserve"> </w:t>
      </w:r>
      <w:r w:rsidRPr="00AF1B43">
        <w:rPr>
          <w:rFonts w:hint="eastAsia"/>
        </w:rPr>
        <w:t>两类方程均保留第</w:t>
      </w:r>
      <w:r w:rsidRPr="00AF1B43">
        <w:rPr>
          <w:rFonts w:hint="eastAsia"/>
        </w:rPr>
        <w:t>1</w:t>
      </w:r>
      <w:r w:rsidRPr="00AF1B43">
        <w:rPr>
          <w:rFonts w:hint="eastAsia"/>
        </w:rPr>
        <w:t>—</w:t>
      </w:r>
      <w:r w:rsidRPr="00AF1B43">
        <w:rPr>
          <w:rFonts w:hint="eastAsia"/>
        </w:rPr>
        <w:t>19</w:t>
      </w:r>
      <w:r w:rsidRPr="00AF1B43">
        <w:rPr>
          <w:rFonts w:hint="eastAsia"/>
        </w:rPr>
        <w:t>部门，并剔除本国国家对</w:t>
      </w:r>
      <w:r>
        <w:rPr>
          <w:rFonts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DE42C"/>
    <w:multiLevelType w:val="singleLevel"/>
    <w:tmpl w:val="632DE42C"/>
    <w:lvl w:ilvl="0">
      <w:start w:val="1"/>
      <w:numFmt w:val="decimal"/>
      <w:pStyle w:val="1"/>
      <w:lvlText w:val="[%1]"/>
      <w:lvlJc w:val="left"/>
      <w:pPr>
        <w:ind w:left="0" w:firstLine="0"/>
      </w:pPr>
      <w:rPr>
        <w:rFonts w:hint="default"/>
      </w:rPr>
    </w:lvl>
  </w:abstractNum>
  <w:num w:numId="1" w16cid:durableId="21035237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4DCE2AE"/>
    <w:rsid w:val="00003E68"/>
    <w:rsid w:val="000047B3"/>
    <w:rsid w:val="00007150"/>
    <w:rsid w:val="00007D9D"/>
    <w:rsid w:val="00011AC2"/>
    <w:rsid w:val="00011E3B"/>
    <w:rsid w:val="000165D3"/>
    <w:rsid w:val="00016B17"/>
    <w:rsid w:val="000172C3"/>
    <w:rsid w:val="0002039C"/>
    <w:rsid w:val="00022768"/>
    <w:rsid w:val="000254E3"/>
    <w:rsid w:val="00025E77"/>
    <w:rsid w:val="00026324"/>
    <w:rsid w:val="0003026D"/>
    <w:rsid w:val="0004241E"/>
    <w:rsid w:val="000427CE"/>
    <w:rsid w:val="00045CCA"/>
    <w:rsid w:val="000474FC"/>
    <w:rsid w:val="00047BF4"/>
    <w:rsid w:val="00050D91"/>
    <w:rsid w:val="00054E97"/>
    <w:rsid w:val="00062E67"/>
    <w:rsid w:val="00063F86"/>
    <w:rsid w:val="000666BE"/>
    <w:rsid w:val="0006754C"/>
    <w:rsid w:val="00070683"/>
    <w:rsid w:val="000737AF"/>
    <w:rsid w:val="00073DB3"/>
    <w:rsid w:val="0007449E"/>
    <w:rsid w:val="00074B4F"/>
    <w:rsid w:val="00087464"/>
    <w:rsid w:val="0009076F"/>
    <w:rsid w:val="00091029"/>
    <w:rsid w:val="00092425"/>
    <w:rsid w:val="00094926"/>
    <w:rsid w:val="0009566C"/>
    <w:rsid w:val="00095B15"/>
    <w:rsid w:val="00096601"/>
    <w:rsid w:val="000A017C"/>
    <w:rsid w:val="000A26D4"/>
    <w:rsid w:val="000A6054"/>
    <w:rsid w:val="000A7929"/>
    <w:rsid w:val="000B025D"/>
    <w:rsid w:val="000B4432"/>
    <w:rsid w:val="000B67B4"/>
    <w:rsid w:val="000B6F43"/>
    <w:rsid w:val="000B75BC"/>
    <w:rsid w:val="000D354E"/>
    <w:rsid w:val="000E23C5"/>
    <w:rsid w:val="000E2BF7"/>
    <w:rsid w:val="000E4B61"/>
    <w:rsid w:val="000F4813"/>
    <w:rsid w:val="000F50C3"/>
    <w:rsid w:val="000F57E3"/>
    <w:rsid w:val="000F61A1"/>
    <w:rsid w:val="001015EA"/>
    <w:rsid w:val="00104CFC"/>
    <w:rsid w:val="001136A1"/>
    <w:rsid w:val="00121A52"/>
    <w:rsid w:val="00132F5F"/>
    <w:rsid w:val="001352D8"/>
    <w:rsid w:val="0013589B"/>
    <w:rsid w:val="00136C46"/>
    <w:rsid w:val="001419BF"/>
    <w:rsid w:val="00143302"/>
    <w:rsid w:val="001433E9"/>
    <w:rsid w:val="00153BD1"/>
    <w:rsid w:val="00157F35"/>
    <w:rsid w:val="00161818"/>
    <w:rsid w:val="0016244B"/>
    <w:rsid w:val="001625CE"/>
    <w:rsid w:val="001660A0"/>
    <w:rsid w:val="00171068"/>
    <w:rsid w:val="00172661"/>
    <w:rsid w:val="00174ED8"/>
    <w:rsid w:val="00177271"/>
    <w:rsid w:val="00177FA7"/>
    <w:rsid w:val="0018069D"/>
    <w:rsid w:val="001822A3"/>
    <w:rsid w:val="0018437C"/>
    <w:rsid w:val="001843CF"/>
    <w:rsid w:val="00185AA2"/>
    <w:rsid w:val="00186D9B"/>
    <w:rsid w:val="001924A4"/>
    <w:rsid w:val="00192FA4"/>
    <w:rsid w:val="00193224"/>
    <w:rsid w:val="00194922"/>
    <w:rsid w:val="00196B91"/>
    <w:rsid w:val="001A127A"/>
    <w:rsid w:val="001A5641"/>
    <w:rsid w:val="001B2C7E"/>
    <w:rsid w:val="001B338C"/>
    <w:rsid w:val="001B5836"/>
    <w:rsid w:val="001B6ED5"/>
    <w:rsid w:val="001C05C8"/>
    <w:rsid w:val="001C2B6B"/>
    <w:rsid w:val="001C35D3"/>
    <w:rsid w:val="001C4EA7"/>
    <w:rsid w:val="001C4F31"/>
    <w:rsid w:val="001C535A"/>
    <w:rsid w:val="001C5C5D"/>
    <w:rsid w:val="001D429A"/>
    <w:rsid w:val="001D6F07"/>
    <w:rsid w:val="001D7855"/>
    <w:rsid w:val="001E1278"/>
    <w:rsid w:val="001E56E7"/>
    <w:rsid w:val="001F30B0"/>
    <w:rsid w:val="001F30EC"/>
    <w:rsid w:val="001F3B06"/>
    <w:rsid w:val="001F4B91"/>
    <w:rsid w:val="001F63ED"/>
    <w:rsid w:val="001F7E10"/>
    <w:rsid w:val="00205B42"/>
    <w:rsid w:val="00206DF3"/>
    <w:rsid w:val="002073E5"/>
    <w:rsid w:val="002100E1"/>
    <w:rsid w:val="0021069C"/>
    <w:rsid w:val="00211E6B"/>
    <w:rsid w:val="00214E78"/>
    <w:rsid w:val="00221E0D"/>
    <w:rsid w:val="00225429"/>
    <w:rsid w:val="002254E0"/>
    <w:rsid w:val="0022708D"/>
    <w:rsid w:val="0023171B"/>
    <w:rsid w:val="00231C00"/>
    <w:rsid w:val="002325E7"/>
    <w:rsid w:val="00233347"/>
    <w:rsid w:val="002406B7"/>
    <w:rsid w:val="0024274B"/>
    <w:rsid w:val="0024455E"/>
    <w:rsid w:val="002453B2"/>
    <w:rsid w:val="00245410"/>
    <w:rsid w:val="0025078F"/>
    <w:rsid w:val="00250CAB"/>
    <w:rsid w:val="0025118C"/>
    <w:rsid w:val="00251D8A"/>
    <w:rsid w:val="00253412"/>
    <w:rsid w:val="00253ED6"/>
    <w:rsid w:val="00255886"/>
    <w:rsid w:val="00260EC8"/>
    <w:rsid w:val="00260FA6"/>
    <w:rsid w:val="00261760"/>
    <w:rsid w:val="00264305"/>
    <w:rsid w:val="0026499F"/>
    <w:rsid w:val="002677C9"/>
    <w:rsid w:val="002702AA"/>
    <w:rsid w:val="0027492F"/>
    <w:rsid w:val="0028392A"/>
    <w:rsid w:val="00284A94"/>
    <w:rsid w:val="00285AE3"/>
    <w:rsid w:val="00287BF1"/>
    <w:rsid w:val="002901E7"/>
    <w:rsid w:val="00291928"/>
    <w:rsid w:val="00296DAB"/>
    <w:rsid w:val="002A1017"/>
    <w:rsid w:val="002A176D"/>
    <w:rsid w:val="002B2A3E"/>
    <w:rsid w:val="002C173A"/>
    <w:rsid w:val="002D3708"/>
    <w:rsid w:val="002D55F4"/>
    <w:rsid w:val="002D7EB5"/>
    <w:rsid w:val="002E05B4"/>
    <w:rsid w:val="002E07BB"/>
    <w:rsid w:val="002E7470"/>
    <w:rsid w:val="002F0CB7"/>
    <w:rsid w:val="002F160B"/>
    <w:rsid w:val="002F34A1"/>
    <w:rsid w:val="002F5AC2"/>
    <w:rsid w:val="002F6AD0"/>
    <w:rsid w:val="00306783"/>
    <w:rsid w:val="00307EC5"/>
    <w:rsid w:val="00311E47"/>
    <w:rsid w:val="00313E37"/>
    <w:rsid w:val="00315515"/>
    <w:rsid w:val="00320F0A"/>
    <w:rsid w:val="00322D30"/>
    <w:rsid w:val="003232D2"/>
    <w:rsid w:val="00323FA7"/>
    <w:rsid w:val="003249CF"/>
    <w:rsid w:val="003251C9"/>
    <w:rsid w:val="003320A0"/>
    <w:rsid w:val="00335866"/>
    <w:rsid w:val="00336332"/>
    <w:rsid w:val="00343BA3"/>
    <w:rsid w:val="003447E6"/>
    <w:rsid w:val="00345F42"/>
    <w:rsid w:val="00350B6A"/>
    <w:rsid w:val="00350C16"/>
    <w:rsid w:val="0035108B"/>
    <w:rsid w:val="003532A7"/>
    <w:rsid w:val="003535CC"/>
    <w:rsid w:val="00356058"/>
    <w:rsid w:val="003601C5"/>
    <w:rsid w:val="00365A56"/>
    <w:rsid w:val="0036647F"/>
    <w:rsid w:val="0037243D"/>
    <w:rsid w:val="00372D05"/>
    <w:rsid w:val="00376F8E"/>
    <w:rsid w:val="00382A2D"/>
    <w:rsid w:val="00384B55"/>
    <w:rsid w:val="0039215E"/>
    <w:rsid w:val="00392C1F"/>
    <w:rsid w:val="00393B38"/>
    <w:rsid w:val="00393C49"/>
    <w:rsid w:val="003947D8"/>
    <w:rsid w:val="00394F1A"/>
    <w:rsid w:val="003A1B72"/>
    <w:rsid w:val="003A3A3B"/>
    <w:rsid w:val="003A4657"/>
    <w:rsid w:val="003A5205"/>
    <w:rsid w:val="003A5258"/>
    <w:rsid w:val="003A73FF"/>
    <w:rsid w:val="003A79CD"/>
    <w:rsid w:val="003A7C4D"/>
    <w:rsid w:val="003B0D59"/>
    <w:rsid w:val="003B15E8"/>
    <w:rsid w:val="003B1FA7"/>
    <w:rsid w:val="003B2B18"/>
    <w:rsid w:val="003B33E3"/>
    <w:rsid w:val="003B38B4"/>
    <w:rsid w:val="003B4C1F"/>
    <w:rsid w:val="003B6A65"/>
    <w:rsid w:val="003B7270"/>
    <w:rsid w:val="003B7AB9"/>
    <w:rsid w:val="003C1CBF"/>
    <w:rsid w:val="003C28E2"/>
    <w:rsid w:val="003C5E76"/>
    <w:rsid w:val="003D18D9"/>
    <w:rsid w:val="003D266A"/>
    <w:rsid w:val="003D473E"/>
    <w:rsid w:val="003D4BD6"/>
    <w:rsid w:val="003D5454"/>
    <w:rsid w:val="003D6C9D"/>
    <w:rsid w:val="003E2F83"/>
    <w:rsid w:val="003E34C5"/>
    <w:rsid w:val="003E5D5F"/>
    <w:rsid w:val="003E71EA"/>
    <w:rsid w:val="003E7FFD"/>
    <w:rsid w:val="003F0640"/>
    <w:rsid w:val="003F3FE2"/>
    <w:rsid w:val="003F4417"/>
    <w:rsid w:val="003F60DD"/>
    <w:rsid w:val="004061AD"/>
    <w:rsid w:val="0041506A"/>
    <w:rsid w:val="00416E25"/>
    <w:rsid w:val="00416ED7"/>
    <w:rsid w:val="00420A7E"/>
    <w:rsid w:val="00426327"/>
    <w:rsid w:val="00433520"/>
    <w:rsid w:val="00434E55"/>
    <w:rsid w:val="00442C04"/>
    <w:rsid w:val="004464F4"/>
    <w:rsid w:val="00446A8C"/>
    <w:rsid w:val="00450846"/>
    <w:rsid w:val="00450C99"/>
    <w:rsid w:val="0045126E"/>
    <w:rsid w:val="00452D85"/>
    <w:rsid w:val="00454D14"/>
    <w:rsid w:val="00456C53"/>
    <w:rsid w:val="00457511"/>
    <w:rsid w:val="00460766"/>
    <w:rsid w:val="0046108F"/>
    <w:rsid w:val="00463FA8"/>
    <w:rsid w:val="00464211"/>
    <w:rsid w:val="0046478D"/>
    <w:rsid w:val="00465776"/>
    <w:rsid w:val="00470B6B"/>
    <w:rsid w:val="0047353F"/>
    <w:rsid w:val="0047375F"/>
    <w:rsid w:val="00480A8D"/>
    <w:rsid w:val="004819EB"/>
    <w:rsid w:val="004834BF"/>
    <w:rsid w:val="00486B43"/>
    <w:rsid w:val="00486FAF"/>
    <w:rsid w:val="00487804"/>
    <w:rsid w:val="0049102A"/>
    <w:rsid w:val="004933B8"/>
    <w:rsid w:val="00495205"/>
    <w:rsid w:val="004976AE"/>
    <w:rsid w:val="004A0C91"/>
    <w:rsid w:val="004A30EB"/>
    <w:rsid w:val="004A57F4"/>
    <w:rsid w:val="004A6D08"/>
    <w:rsid w:val="004B216F"/>
    <w:rsid w:val="004B2CDB"/>
    <w:rsid w:val="004B6819"/>
    <w:rsid w:val="004C1A94"/>
    <w:rsid w:val="004C356E"/>
    <w:rsid w:val="004C7BAC"/>
    <w:rsid w:val="004C7F88"/>
    <w:rsid w:val="004D1C79"/>
    <w:rsid w:val="004D4B4D"/>
    <w:rsid w:val="004D5D6C"/>
    <w:rsid w:val="004D5DB4"/>
    <w:rsid w:val="004D70A5"/>
    <w:rsid w:val="004E4630"/>
    <w:rsid w:val="004E6164"/>
    <w:rsid w:val="004E7F93"/>
    <w:rsid w:val="004F1461"/>
    <w:rsid w:val="004F48D5"/>
    <w:rsid w:val="004F611C"/>
    <w:rsid w:val="004F773D"/>
    <w:rsid w:val="0050656B"/>
    <w:rsid w:val="005065C3"/>
    <w:rsid w:val="005112D3"/>
    <w:rsid w:val="00523966"/>
    <w:rsid w:val="00525A55"/>
    <w:rsid w:val="00530400"/>
    <w:rsid w:val="00530581"/>
    <w:rsid w:val="0053184F"/>
    <w:rsid w:val="00533952"/>
    <w:rsid w:val="00534213"/>
    <w:rsid w:val="00537306"/>
    <w:rsid w:val="00537B9D"/>
    <w:rsid w:val="00541719"/>
    <w:rsid w:val="00547750"/>
    <w:rsid w:val="00550FE5"/>
    <w:rsid w:val="00553240"/>
    <w:rsid w:val="005554FA"/>
    <w:rsid w:val="00557251"/>
    <w:rsid w:val="00557754"/>
    <w:rsid w:val="00565391"/>
    <w:rsid w:val="00570CDD"/>
    <w:rsid w:val="0057322E"/>
    <w:rsid w:val="00573742"/>
    <w:rsid w:val="00576525"/>
    <w:rsid w:val="00587082"/>
    <w:rsid w:val="00591833"/>
    <w:rsid w:val="0059527F"/>
    <w:rsid w:val="005972C8"/>
    <w:rsid w:val="005975EB"/>
    <w:rsid w:val="005A1780"/>
    <w:rsid w:val="005A1F6D"/>
    <w:rsid w:val="005A22D8"/>
    <w:rsid w:val="005A2DE5"/>
    <w:rsid w:val="005A3929"/>
    <w:rsid w:val="005B1E03"/>
    <w:rsid w:val="005B4B68"/>
    <w:rsid w:val="005D2BAC"/>
    <w:rsid w:val="005D41CA"/>
    <w:rsid w:val="005D4999"/>
    <w:rsid w:val="005D631D"/>
    <w:rsid w:val="005E316D"/>
    <w:rsid w:val="005E529F"/>
    <w:rsid w:val="005F0BA8"/>
    <w:rsid w:val="005F2887"/>
    <w:rsid w:val="005F2CC9"/>
    <w:rsid w:val="005F4296"/>
    <w:rsid w:val="005F4CF0"/>
    <w:rsid w:val="005F6F9B"/>
    <w:rsid w:val="005F7109"/>
    <w:rsid w:val="005F7AF8"/>
    <w:rsid w:val="00601290"/>
    <w:rsid w:val="006015B1"/>
    <w:rsid w:val="00602057"/>
    <w:rsid w:val="00602EFC"/>
    <w:rsid w:val="006108E3"/>
    <w:rsid w:val="00611E7B"/>
    <w:rsid w:val="006208E8"/>
    <w:rsid w:val="00622DC1"/>
    <w:rsid w:val="006235BD"/>
    <w:rsid w:val="00627B5D"/>
    <w:rsid w:val="00627DA6"/>
    <w:rsid w:val="00631312"/>
    <w:rsid w:val="00631B75"/>
    <w:rsid w:val="00632B6B"/>
    <w:rsid w:val="0063548A"/>
    <w:rsid w:val="00637A5A"/>
    <w:rsid w:val="00640596"/>
    <w:rsid w:val="00644EF7"/>
    <w:rsid w:val="00645E19"/>
    <w:rsid w:val="0064635B"/>
    <w:rsid w:val="00647621"/>
    <w:rsid w:val="0064797B"/>
    <w:rsid w:val="0065064E"/>
    <w:rsid w:val="0065081A"/>
    <w:rsid w:val="00653421"/>
    <w:rsid w:val="00654903"/>
    <w:rsid w:val="00657D7F"/>
    <w:rsid w:val="0066164D"/>
    <w:rsid w:val="00661782"/>
    <w:rsid w:val="00672499"/>
    <w:rsid w:val="0067377E"/>
    <w:rsid w:val="006741B0"/>
    <w:rsid w:val="006939E5"/>
    <w:rsid w:val="00693E8D"/>
    <w:rsid w:val="00694959"/>
    <w:rsid w:val="006A3A63"/>
    <w:rsid w:val="006A70D9"/>
    <w:rsid w:val="006B592A"/>
    <w:rsid w:val="006C208C"/>
    <w:rsid w:val="006C5DCF"/>
    <w:rsid w:val="006D16A5"/>
    <w:rsid w:val="006D2DD1"/>
    <w:rsid w:val="006D3BCD"/>
    <w:rsid w:val="006D3D6D"/>
    <w:rsid w:val="006D428E"/>
    <w:rsid w:val="006E0376"/>
    <w:rsid w:val="006E61FC"/>
    <w:rsid w:val="006E7E5D"/>
    <w:rsid w:val="006F0352"/>
    <w:rsid w:val="006F52D8"/>
    <w:rsid w:val="006F5D7B"/>
    <w:rsid w:val="006F65D1"/>
    <w:rsid w:val="006F6775"/>
    <w:rsid w:val="00700858"/>
    <w:rsid w:val="007016AE"/>
    <w:rsid w:val="00702B07"/>
    <w:rsid w:val="00703EDF"/>
    <w:rsid w:val="00705D85"/>
    <w:rsid w:val="00706968"/>
    <w:rsid w:val="00710907"/>
    <w:rsid w:val="0071206C"/>
    <w:rsid w:val="00714700"/>
    <w:rsid w:val="00714BC1"/>
    <w:rsid w:val="007157A5"/>
    <w:rsid w:val="00715C98"/>
    <w:rsid w:val="00725FDF"/>
    <w:rsid w:val="0072611B"/>
    <w:rsid w:val="0072769F"/>
    <w:rsid w:val="00730364"/>
    <w:rsid w:val="007327A8"/>
    <w:rsid w:val="007327D5"/>
    <w:rsid w:val="00733C87"/>
    <w:rsid w:val="00734AAB"/>
    <w:rsid w:val="00735705"/>
    <w:rsid w:val="0073619A"/>
    <w:rsid w:val="007413AC"/>
    <w:rsid w:val="00741546"/>
    <w:rsid w:val="00742FD9"/>
    <w:rsid w:val="00751CCF"/>
    <w:rsid w:val="00752B70"/>
    <w:rsid w:val="00753BAC"/>
    <w:rsid w:val="007549FD"/>
    <w:rsid w:val="00760987"/>
    <w:rsid w:val="00760CEE"/>
    <w:rsid w:val="00761AF3"/>
    <w:rsid w:val="007637FE"/>
    <w:rsid w:val="00765C7F"/>
    <w:rsid w:val="007666E7"/>
    <w:rsid w:val="00772C95"/>
    <w:rsid w:val="00773B54"/>
    <w:rsid w:val="00775B5D"/>
    <w:rsid w:val="00776004"/>
    <w:rsid w:val="00776859"/>
    <w:rsid w:val="0078116D"/>
    <w:rsid w:val="0078536C"/>
    <w:rsid w:val="00785601"/>
    <w:rsid w:val="00786614"/>
    <w:rsid w:val="00787763"/>
    <w:rsid w:val="00787A2D"/>
    <w:rsid w:val="0079287A"/>
    <w:rsid w:val="00793446"/>
    <w:rsid w:val="00793EF8"/>
    <w:rsid w:val="0079449B"/>
    <w:rsid w:val="00797B63"/>
    <w:rsid w:val="007A0F9D"/>
    <w:rsid w:val="007A101C"/>
    <w:rsid w:val="007A3888"/>
    <w:rsid w:val="007A42C3"/>
    <w:rsid w:val="007A46F3"/>
    <w:rsid w:val="007B13DC"/>
    <w:rsid w:val="007B14F2"/>
    <w:rsid w:val="007C2A20"/>
    <w:rsid w:val="007C7D1F"/>
    <w:rsid w:val="007D21C7"/>
    <w:rsid w:val="007D2614"/>
    <w:rsid w:val="007D5352"/>
    <w:rsid w:val="007D53FE"/>
    <w:rsid w:val="007E0E7E"/>
    <w:rsid w:val="007E748B"/>
    <w:rsid w:val="007E7526"/>
    <w:rsid w:val="007F2C7A"/>
    <w:rsid w:val="007F2D7D"/>
    <w:rsid w:val="007F32BC"/>
    <w:rsid w:val="007F4900"/>
    <w:rsid w:val="007F5E8B"/>
    <w:rsid w:val="00803585"/>
    <w:rsid w:val="00804CD9"/>
    <w:rsid w:val="00806850"/>
    <w:rsid w:val="00806B28"/>
    <w:rsid w:val="00806EDF"/>
    <w:rsid w:val="008106D6"/>
    <w:rsid w:val="0081292F"/>
    <w:rsid w:val="00815343"/>
    <w:rsid w:val="008166A1"/>
    <w:rsid w:val="008179DC"/>
    <w:rsid w:val="00821B2C"/>
    <w:rsid w:val="00835218"/>
    <w:rsid w:val="008420FA"/>
    <w:rsid w:val="00843103"/>
    <w:rsid w:val="00843313"/>
    <w:rsid w:val="00843A73"/>
    <w:rsid w:val="00850421"/>
    <w:rsid w:val="00857797"/>
    <w:rsid w:val="008600E1"/>
    <w:rsid w:val="00864059"/>
    <w:rsid w:val="008663D8"/>
    <w:rsid w:val="008706E5"/>
    <w:rsid w:val="008751D4"/>
    <w:rsid w:val="0087625C"/>
    <w:rsid w:val="00880517"/>
    <w:rsid w:val="0089126C"/>
    <w:rsid w:val="0089200A"/>
    <w:rsid w:val="00893344"/>
    <w:rsid w:val="00894F6C"/>
    <w:rsid w:val="00896941"/>
    <w:rsid w:val="00896BCC"/>
    <w:rsid w:val="008976B8"/>
    <w:rsid w:val="008A2948"/>
    <w:rsid w:val="008B0082"/>
    <w:rsid w:val="008B0FAE"/>
    <w:rsid w:val="008C0901"/>
    <w:rsid w:val="008C1E31"/>
    <w:rsid w:val="008D4790"/>
    <w:rsid w:val="008D607A"/>
    <w:rsid w:val="008D6A62"/>
    <w:rsid w:val="008D6E6B"/>
    <w:rsid w:val="008E02E8"/>
    <w:rsid w:val="008E052E"/>
    <w:rsid w:val="008E255B"/>
    <w:rsid w:val="008E4030"/>
    <w:rsid w:val="008F68CA"/>
    <w:rsid w:val="00901677"/>
    <w:rsid w:val="00902AA9"/>
    <w:rsid w:val="0091057F"/>
    <w:rsid w:val="0091080A"/>
    <w:rsid w:val="00910D1A"/>
    <w:rsid w:val="009117FD"/>
    <w:rsid w:val="009122C4"/>
    <w:rsid w:val="00912A1A"/>
    <w:rsid w:val="00912C22"/>
    <w:rsid w:val="00913504"/>
    <w:rsid w:val="00915EDF"/>
    <w:rsid w:val="009161BB"/>
    <w:rsid w:val="009207E0"/>
    <w:rsid w:val="009210A6"/>
    <w:rsid w:val="00921350"/>
    <w:rsid w:val="00921ACB"/>
    <w:rsid w:val="009233C4"/>
    <w:rsid w:val="00923C86"/>
    <w:rsid w:val="009336D1"/>
    <w:rsid w:val="009337F9"/>
    <w:rsid w:val="0093387C"/>
    <w:rsid w:val="00943BA1"/>
    <w:rsid w:val="009442FD"/>
    <w:rsid w:val="00944D35"/>
    <w:rsid w:val="00944F26"/>
    <w:rsid w:val="00946DF2"/>
    <w:rsid w:val="009514E3"/>
    <w:rsid w:val="0095249A"/>
    <w:rsid w:val="00957A06"/>
    <w:rsid w:val="00960B51"/>
    <w:rsid w:val="0096452B"/>
    <w:rsid w:val="00966871"/>
    <w:rsid w:val="009675EB"/>
    <w:rsid w:val="00972077"/>
    <w:rsid w:val="0097421C"/>
    <w:rsid w:val="00974D6A"/>
    <w:rsid w:val="00981AA9"/>
    <w:rsid w:val="00993829"/>
    <w:rsid w:val="009948DC"/>
    <w:rsid w:val="009A4BC4"/>
    <w:rsid w:val="009B0B1E"/>
    <w:rsid w:val="009B1EBA"/>
    <w:rsid w:val="009B22D2"/>
    <w:rsid w:val="009B704D"/>
    <w:rsid w:val="009C03A8"/>
    <w:rsid w:val="009C26F5"/>
    <w:rsid w:val="009C2C97"/>
    <w:rsid w:val="009C45BE"/>
    <w:rsid w:val="009C4DE0"/>
    <w:rsid w:val="009D4094"/>
    <w:rsid w:val="009E1A93"/>
    <w:rsid w:val="009E3196"/>
    <w:rsid w:val="009E35AF"/>
    <w:rsid w:val="009E3E80"/>
    <w:rsid w:val="009F4434"/>
    <w:rsid w:val="009F7400"/>
    <w:rsid w:val="009F76AB"/>
    <w:rsid w:val="00A00625"/>
    <w:rsid w:val="00A00E78"/>
    <w:rsid w:val="00A0351C"/>
    <w:rsid w:val="00A0399B"/>
    <w:rsid w:val="00A06BC4"/>
    <w:rsid w:val="00A17E07"/>
    <w:rsid w:val="00A20069"/>
    <w:rsid w:val="00A20772"/>
    <w:rsid w:val="00A20903"/>
    <w:rsid w:val="00A231AA"/>
    <w:rsid w:val="00A23EAE"/>
    <w:rsid w:val="00A24A46"/>
    <w:rsid w:val="00A25B90"/>
    <w:rsid w:val="00A2716D"/>
    <w:rsid w:val="00A320E7"/>
    <w:rsid w:val="00A34DCB"/>
    <w:rsid w:val="00A34F17"/>
    <w:rsid w:val="00A360DC"/>
    <w:rsid w:val="00A36151"/>
    <w:rsid w:val="00A36357"/>
    <w:rsid w:val="00A41A66"/>
    <w:rsid w:val="00A42740"/>
    <w:rsid w:val="00A42BB6"/>
    <w:rsid w:val="00A44224"/>
    <w:rsid w:val="00A44BAD"/>
    <w:rsid w:val="00A44BB8"/>
    <w:rsid w:val="00A45DD9"/>
    <w:rsid w:val="00A46DE2"/>
    <w:rsid w:val="00A50C92"/>
    <w:rsid w:val="00A534B4"/>
    <w:rsid w:val="00A541C1"/>
    <w:rsid w:val="00A6055D"/>
    <w:rsid w:val="00A614E3"/>
    <w:rsid w:val="00A656AC"/>
    <w:rsid w:val="00A66AA0"/>
    <w:rsid w:val="00A828D5"/>
    <w:rsid w:val="00A84E3F"/>
    <w:rsid w:val="00A85411"/>
    <w:rsid w:val="00A871A0"/>
    <w:rsid w:val="00A8722D"/>
    <w:rsid w:val="00A9325F"/>
    <w:rsid w:val="00A95086"/>
    <w:rsid w:val="00A962B0"/>
    <w:rsid w:val="00A962D6"/>
    <w:rsid w:val="00A96475"/>
    <w:rsid w:val="00A9655E"/>
    <w:rsid w:val="00A96D05"/>
    <w:rsid w:val="00AA32D7"/>
    <w:rsid w:val="00AA48D2"/>
    <w:rsid w:val="00AA7606"/>
    <w:rsid w:val="00AB1479"/>
    <w:rsid w:val="00AB7274"/>
    <w:rsid w:val="00AC011C"/>
    <w:rsid w:val="00AC0F05"/>
    <w:rsid w:val="00AC14A7"/>
    <w:rsid w:val="00AC2947"/>
    <w:rsid w:val="00AC2CF2"/>
    <w:rsid w:val="00AC2D80"/>
    <w:rsid w:val="00AC2EC7"/>
    <w:rsid w:val="00AC4E9B"/>
    <w:rsid w:val="00AC6344"/>
    <w:rsid w:val="00AD0102"/>
    <w:rsid w:val="00AD204B"/>
    <w:rsid w:val="00AD29EC"/>
    <w:rsid w:val="00AD3B56"/>
    <w:rsid w:val="00AD724A"/>
    <w:rsid w:val="00AE2F87"/>
    <w:rsid w:val="00AE393C"/>
    <w:rsid w:val="00AE72EE"/>
    <w:rsid w:val="00AF1B43"/>
    <w:rsid w:val="00AF2B77"/>
    <w:rsid w:val="00B0060D"/>
    <w:rsid w:val="00B01D08"/>
    <w:rsid w:val="00B06984"/>
    <w:rsid w:val="00B113F8"/>
    <w:rsid w:val="00B119B0"/>
    <w:rsid w:val="00B12037"/>
    <w:rsid w:val="00B120FA"/>
    <w:rsid w:val="00B1507B"/>
    <w:rsid w:val="00B15A06"/>
    <w:rsid w:val="00B2189C"/>
    <w:rsid w:val="00B21A1D"/>
    <w:rsid w:val="00B27E4D"/>
    <w:rsid w:val="00B3095E"/>
    <w:rsid w:val="00B32087"/>
    <w:rsid w:val="00B36956"/>
    <w:rsid w:val="00B409E9"/>
    <w:rsid w:val="00B419B3"/>
    <w:rsid w:val="00B41C00"/>
    <w:rsid w:val="00B449F9"/>
    <w:rsid w:val="00B45156"/>
    <w:rsid w:val="00B4746A"/>
    <w:rsid w:val="00B53342"/>
    <w:rsid w:val="00B54A54"/>
    <w:rsid w:val="00B56B37"/>
    <w:rsid w:val="00B57C0D"/>
    <w:rsid w:val="00B60D22"/>
    <w:rsid w:val="00B6404C"/>
    <w:rsid w:val="00B64458"/>
    <w:rsid w:val="00B67F39"/>
    <w:rsid w:val="00B705DF"/>
    <w:rsid w:val="00B70866"/>
    <w:rsid w:val="00B73EC6"/>
    <w:rsid w:val="00B75808"/>
    <w:rsid w:val="00B764B4"/>
    <w:rsid w:val="00B80CBD"/>
    <w:rsid w:val="00B81366"/>
    <w:rsid w:val="00B829DE"/>
    <w:rsid w:val="00B90082"/>
    <w:rsid w:val="00B9060C"/>
    <w:rsid w:val="00B9063B"/>
    <w:rsid w:val="00B953DB"/>
    <w:rsid w:val="00B97EDB"/>
    <w:rsid w:val="00BA1E84"/>
    <w:rsid w:val="00BA45D3"/>
    <w:rsid w:val="00BA47B2"/>
    <w:rsid w:val="00BA5813"/>
    <w:rsid w:val="00BA7639"/>
    <w:rsid w:val="00BB3BD5"/>
    <w:rsid w:val="00BB60C6"/>
    <w:rsid w:val="00BC07CB"/>
    <w:rsid w:val="00BC15C0"/>
    <w:rsid w:val="00BC5679"/>
    <w:rsid w:val="00BC607A"/>
    <w:rsid w:val="00BD019F"/>
    <w:rsid w:val="00BD2E6C"/>
    <w:rsid w:val="00BD5086"/>
    <w:rsid w:val="00BD603F"/>
    <w:rsid w:val="00BE140F"/>
    <w:rsid w:val="00BE2461"/>
    <w:rsid w:val="00BF34D8"/>
    <w:rsid w:val="00BF67A9"/>
    <w:rsid w:val="00C00198"/>
    <w:rsid w:val="00C0140C"/>
    <w:rsid w:val="00C025E4"/>
    <w:rsid w:val="00C05857"/>
    <w:rsid w:val="00C11C1B"/>
    <w:rsid w:val="00C11F8C"/>
    <w:rsid w:val="00C15688"/>
    <w:rsid w:val="00C15850"/>
    <w:rsid w:val="00C17604"/>
    <w:rsid w:val="00C22624"/>
    <w:rsid w:val="00C269A1"/>
    <w:rsid w:val="00C26B61"/>
    <w:rsid w:val="00C371EE"/>
    <w:rsid w:val="00C421DE"/>
    <w:rsid w:val="00C50631"/>
    <w:rsid w:val="00C60BF5"/>
    <w:rsid w:val="00C6252A"/>
    <w:rsid w:val="00C649C0"/>
    <w:rsid w:val="00C66B43"/>
    <w:rsid w:val="00C702EC"/>
    <w:rsid w:val="00C722A8"/>
    <w:rsid w:val="00C730B1"/>
    <w:rsid w:val="00C74CC5"/>
    <w:rsid w:val="00C752C1"/>
    <w:rsid w:val="00C75575"/>
    <w:rsid w:val="00C77CB0"/>
    <w:rsid w:val="00C80204"/>
    <w:rsid w:val="00C84D57"/>
    <w:rsid w:val="00C90057"/>
    <w:rsid w:val="00C94427"/>
    <w:rsid w:val="00CA055A"/>
    <w:rsid w:val="00CA25FF"/>
    <w:rsid w:val="00CB0636"/>
    <w:rsid w:val="00CB19FC"/>
    <w:rsid w:val="00CB7E97"/>
    <w:rsid w:val="00CC14E8"/>
    <w:rsid w:val="00CC5E40"/>
    <w:rsid w:val="00CC64C0"/>
    <w:rsid w:val="00CC71B2"/>
    <w:rsid w:val="00CC7E9A"/>
    <w:rsid w:val="00CD2F73"/>
    <w:rsid w:val="00CD387C"/>
    <w:rsid w:val="00CD45E4"/>
    <w:rsid w:val="00CD5E2F"/>
    <w:rsid w:val="00CE0A2C"/>
    <w:rsid w:val="00CE105E"/>
    <w:rsid w:val="00CE21A5"/>
    <w:rsid w:val="00CE28F2"/>
    <w:rsid w:val="00CE31B7"/>
    <w:rsid w:val="00CE332B"/>
    <w:rsid w:val="00CE5F8B"/>
    <w:rsid w:val="00CE69DF"/>
    <w:rsid w:val="00CE7302"/>
    <w:rsid w:val="00CF35CE"/>
    <w:rsid w:val="00CF53A3"/>
    <w:rsid w:val="00CF559E"/>
    <w:rsid w:val="00D016A0"/>
    <w:rsid w:val="00D035F5"/>
    <w:rsid w:val="00D06D62"/>
    <w:rsid w:val="00D07E55"/>
    <w:rsid w:val="00D103A3"/>
    <w:rsid w:val="00D110ED"/>
    <w:rsid w:val="00D12905"/>
    <w:rsid w:val="00D12D57"/>
    <w:rsid w:val="00D156A8"/>
    <w:rsid w:val="00D238B2"/>
    <w:rsid w:val="00D263BE"/>
    <w:rsid w:val="00D302E1"/>
    <w:rsid w:val="00D360A6"/>
    <w:rsid w:val="00D3734E"/>
    <w:rsid w:val="00D37A5D"/>
    <w:rsid w:val="00D40922"/>
    <w:rsid w:val="00D417FF"/>
    <w:rsid w:val="00D4248E"/>
    <w:rsid w:val="00D42CF6"/>
    <w:rsid w:val="00D444BA"/>
    <w:rsid w:val="00D4724B"/>
    <w:rsid w:val="00D47811"/>
    <w:rsid w:val="00D52A28"/>
    <w:rsid w:val="00D54278"/>
    <w:rsid w:val="00D5629E"/>
    <w:rsid w:val="00D57B8F"/>
    <w:rsid w:val="00D62F3B"/>
    <w:rsid w:val="00D633A7"/>
    <w:rsid w:val="00D70938"/>
    <w:rsid w:val="00D71EC6"/>
    <w:rsid w:val="00D752EA"/>
    <w:rsid w:val="00D77403"/>
    <w:rsid w:val="00D81BE8"/>
    <w:rsid w:val="00D83449"/>
    <w:rsid w:val="00D86BB3"/>
    <w:rsid w:val="00D910B3"/>
    <w:rsid w:val="00D922F8"/>
    <w:rsid w:val="00D9467B"/>
    <w:rsid w:val="00D95935"/>
    <w:rsid w:val="00D96974"/>
    <w:rsid w:val="00D96A72"/>
    <w:rsid w:val="00D97EA8"/>
    <w:rsid w:val="00DA2093"/>
    <w:rsid w:val="00DA3FC3"/>
    <w:rsid w:val="00DA71A6"/>
    <w:rsid w:val="00DA7462"/>
    <w:rsid w:val="00DB7DFF"/>
    <w:rsid w:val="00DC0F50"/>
    <w:rsid w:val="00DC5717"/>
    <w:rsid w:val="00DD0EF7"/>
    <w:rsid w:val="00DD1BA6"/>
    <w:rsid w:val="00DE45DC"/>
    <w:rsid w:val="00DE4DDA"/>
    <w:rsid w:val="00DE5390"/>
    <w:rsid w:val="00DE5496"/>
    <w:rsid w:val="00DE5B7D"/>
    <w:rsid w:val="00DE7309"/>
    <w:rsid w:val="00DF0974"/>
    <w:rsid w:val="00DF251A"/>
    <w:rsid w:val="00DF652A"/>
    <w:rsid w:val="00E01647"/>
    <w:rsid w:val="00E05FE8"/>
    <w:rsid w:val="00E10873"/>
    <w:rsid w:val="00E10C31"/>
    <w:rsid w:val="00E12FF2"/>
    <w:rsid w:val="00E14DB2"/>
    <w:rsid w:val="00E16E8B"/>
    <w:rsid w:val="00E173A2"/>
    <w:rsid w:val="00E20688"/>
    <w:rsid w:val="00E30703"/>
    <w:rsid w:val="00E32B76"/>
    <w:rsid w:val="00E34BF5"/>
    <w:rsid w:val="00E36416"/>
    <w:rsid w:val="00E36BF9"/>
    <w:rsid w:val="00E37689"/>
    <w:rsid w:val="00E45606"/>
    <w:rsid w:val="00E47389"/>
    <w:rsid w:val="00E54432"/>
    <w:rsid w:val="00E62811"/>
    <w:rsid w:val="00E63746"/>
    <w:rsid w:val="00E64E03"/>
    <w:rsid w:val="00E658E3"/>
    <w:rsid w:val="00E72865"/>
    <w:rsid w:val="00E7359B"/>
    <w:rsid w:val="00E74F2B"/>
    <w:rsid w:val="00E76C2B"/>
    <w:rsid w:val="00E80EEE"/>
    <w:rsid w:val="00E81862"/>
    <w:rsid w:val="00E831D7"/>
    <w:rsid w:val="00E83712"/>
    <w:rsid w:val="00E843A9"/>
    <w:rsid w:val="00E851AB"/>
    <w:rsid w:val="00E91465"/>
    <w:rsid w:val="00E92C38"/>
    <w:rsid w:val="00E941BA"/>
    <w:rsid w:val="00E9456A"/>
    <w:rsid w:val="00E9482F"/>
    <w:rsid w:val="00E96672"/>
    <w:rsid w:val="00E96C83"/>
    <w:rsid w:val="00EA11F4"/>
    <w:rsid w:val="00EA1838"/>
    <w:rsid w:val="00EA1D89"/>
    <w:rsid w:val="00EA63C5"/>
    <w:rsid w:val="00EA73FD"/>
    <w:rsid w:val="00EA75BB"/>
    <w:rsid w:val="00EB04F6"/>
    <w:rsid w:val="00EB38FE"/>
    <w:rsid w:val="00EB3DC6"/>
    <w:rsid w:val="00EB7FC8"/>
    <w:rsid w:val="00EC154E"/>
    <w:rsid w:val="00EC3997"/>
    <w:rsid w:val="00EC5133"/>
    <w:rsid w:val="00EC66D4"/>
    <w:rsid w:val="00ED208B"/>
    <w:rsid w:val="00ED3D35"/>
    <w:rsid w:val="00ED528C"/>
    <w:rsid w:val="00ED750F"/>
    <w:rsid w:val="00EE04CE"/>
    <w:rsid w:val="00EE34DE"/>
    <w:rsid w:val="00EE438E"/>
    <w:rsid w:val="00EE7CE4"/>
    <w:rsid w:val="00EF054D"/>
    <w:rsid w:val="00F00619"/>
    <w:rsid w:val="00F01EE3"/>
    <w:rsid w:val="00F03652"/>
    <w:rsid w:val="00F04291"/>
    <w:rsid w:val="00F05587"/>
    <w:rsid w:val="00F055DD"/>
    <w:rsid w:val="00F06C17"/>
    <w:rsid w:val="00F07968"/>
    <w:rsid w:val="00F07D8D"/>
    <w:rsid w:val="00F11E9D"/>
    <w:rsid w:val="00F12D2B"/>
    <w:rsid w:val="00F13E59"/>
    <w:rsid w:val="00F146F0"/>
    <w:rsid w:val="00F15394"/>
    <w:rsid w:val="00F17957"/>
    <w:rsid w:val="00F25A31"/>
    <w:rsid w:val="00F26A1F"/>
    <w:rsid w:val="00F27692"/>
    <w:rsid w:val="00F3069F"/>
    <w:rsid w:val="00F3370E"/>
    <w:rsid w:val="00F34463"/>
    <w:rsid w:val="00F3751D"/>
    <w:rsid w:val="00F4021C"/>
    <w:rsid w:val="00F40570"/>
    <w:rsid w:val="00F4135E"/>
    <w:rsid w:val="00F42341"/>
    <w:rsid w:val="00F4361C"/>
    <w:rsid w:val="00F466DA"/>
    <w:rsid w:val="00F52132"/>
    <w:rsid w:val="00F555C4"/>
    <w:rsid w:val="00F57000"/>
    <w:rsid w:val="00F578DE"/>
    <w:rsid w:val="00F60A6C"/>
    <w:rsid w:val="00F61AB2"/>
    <w:rsid w:val="00F7052B"/>
    <w:rsid w:val="00F71F94"/>
    <w:rsid w:val="00F7336A"/>
    <w:rsid w:val="00F75474"/>
    <w:rsid w:val="00F768EC"/>
    <w:rsid w:val="00F85D97"/>
    <w:rsid w:val="00F917B8"/>
    <w:rsid w:val="00F92833"/>
    <w:rsid w:val="00F931CD"/>
    <w:rsid w:val="00F93DD0"/>
    <w:rsid w:val="00F94A78"/>
    <w:rsid w:val="00F96A5C"/>
    <w:rsid w:val="00FA1BB3"/>
    <w:rsid w:val="00FA436C"/>
    <w:rsid w:val="00FB70BA"/>
    <w:rsid w:val="00FD2DC0"/>
    <w:rsid w:val="00FD480A"/>
    <w:rsid w:val="00FD5746"/>
    <w:rsid w:val="00FE4407"/>
    <w:rsid w:val="00FE6B89"/>
    <w:rsid w:val="00FF01D6"/>
    <w:rsid w:val="00FF2FC1"/>
    <w:rsid w:val="00FF3443"/>
    <w:rsid w:val="00FF3907"/>
    <w:rsid w:val="00FF6102"/>
    <w:rsid w:val="00FF70C6"/>
    <w:rsid w:val="00FF7118"/>
    <w:rsid w:val="069F7C85"/>
    <w:rsid w:val="0DD772AE"/>
    <w:rsid w:val="171E93B4"/>
    <w:rsid w:val="1BEEF025"/>
    <w:rsid w:val="1FFF7D25"/>
    <w:rsid w:val="2145B1D1"/>
    <w:rsid w:val="24EF337C"/>
    <w:rsid w:val="2F7EB2E6"/>
    <w:rsid w:val="2FB79E56"/>
    <w:rsid w:val="32F9B24E"/>
    <w:rsid w:val="378E73F6"/>
    <w:rsid w:val="37EF7AE0"/>
    <w:rsid w:val="37FF4846"/>
    <w:rsid w:val="3B37A5BD"/>
    <w:rsid w:val="3CBB21BA"/>
    <w:rsid w:val="3DFF62AC"/>
    <w:rsid w:val="3DFFF117"/>
    <w:rsid w:val="3FE704FF"/>
    <w:rsid w:val="3FF76155"/>
    <w:rsid w:val="3FFF62C3"/>
    <w:rsid w:val="47732A5D"/>
    <w:rsid w:val="4FFEC574"/>
    <w:rsid w:val="52C70556"/>
    <w:rsid w:val="53BDC6AC"/>
    <w:rsid w:val="54E7E39F"/>
    <w:rsid w:val="567E1A8C"/>
    <w:rsid w:val="588F5286"/>
    <w:rsid w:val="5DFA21B5"/>
    <w:rsid w:val="5DFD249F"/>
    <w:rsid w:val="5F99E13F"/>
    <w:rsid w:val="5FDFCC80"/>
    <w:rsid w:val="5FFE05CE"/>
    <w:rsid w:val="5FFEB363"/>
    <w:rsid w:val="63372C25"/>
    <w:rsid w:val="677954BC"/>
    <w:rsid w:val="67DE0356"/>
    <w:rsid w:val="6B602AD5"/>
    <w:rsid w:val="6B956C65"/>
    <w:rsid w:val="6DB43B54"/>
    <w:rsid w:val="6DCF4815"/>
    <w:rsid w:val="6EFCD510"/>
    <w:rsid w:val="6EFD2470"/>
    <w:rsid w:val="6FFF0066"/>
    <w:rsid w:val="72E7C6CE"/>
    <w:rsid w:val="73FAE462"/>
    <w:rsid w:val="74DCE2AE"/>
    <w:rsid w:val="761C95D9"/>
    <w:rsid w:val="76F4A977"/>
    <w:rsid w:val="77AF0304"/>
    <w:rsid w:val="77FDCA25"/>
    <w:rsid w:val="79DF08AC"/>
    <w:rsid w:val="7BB59559"/>
    <w:rsid w:val="7BEF7549"/>
    <w:rsid w:val="7DE3628A"/>
    <w:rsid w:val="7DFBE7FC"/>
    <w:rsid w:val="7E7728B7"/>
    <w:rsid w:val="7E9FBDAA"/>
    <w:rsid w:val="7EAF8948"/>
    <w:rsid w:val="7F5F463D"/>
    <w:rsid w:val="7F92C68D"/>
    <w:rsid w:val="7FAC0DA6"/>
    <w:rsid w:val="7FBB4771"/>
    <w:rsid w:val="7FFDEED2"/>
    <w:rsid w:val="7FFF5A15"/>
    <w:rsid w:val="97FAD30F"/>
    <w:rsid w:val="99FFDCC7"/>
    <w:rsid w:val="9B6F7BCC"/>
    <w:rsid w:val="9BB9784B"/>
    <w:rsid w:val="9FDFFDEC"/>
    <w:rsid w:val="9FED26C6"/>
    <w:rsid w:val="A79C38A0"/>
    <w:rsid w:val="ACEFE09A"/>
    <w:rsid w:val="AEBCD7D0"/>
    <w:rsid w:val="AFFF6610"/>
    <w:rsid w:val="B036AD7C"/>
    <w:rsid w:val="B2FFF25C"/>
    <w:rsid w:val="B5BF35A7"/>
    <w:rsid w:val="B5EF2863"/>
    <w:rsid w:val="B77F381C"/>
    <w:rsid w:val="BBCEFAFC"/>
    <w:rsid w:val="BBDD6878"/>
    <w:rsid w:val="BBFFF937"/>
    <w:rsid w:val="BD9B2054"/>
    <w:rsid w:val="BD9CDF9C"/>
    <w:rsid w:val="BDBFED52"/>
    <w:rsid w:val="BFFC97C3"/>
    <w:rsid w:val="BFFF8E59"/>
    <w:rsid w:val="CAEA3B66"/>
    <w:rsid w:val="CDFF6DA2"/>
    <w:rsid w:val="D7D8A0AD"/>
    <w:rsid w:val="DBFD2C08"/>
    <w:rsid w:val="DC45646B"/>
    <w:rsid w:val="DF5DAF0E"/>
    <w:rsid w:val="DF9FAA46"/>
    <w:rsid w:val="DF9FEB06"/>
    <w:rsid w:val="DFFBFF71"/>
    <w:rsid w:val="DFFC366A"/>
    <w:rsid w:val="DFFFC970"/>
    <w:rsid w:val="E7E7BFD7"/>
    <w:rsid w:val="EAEE0DD4"/>
    <w:rsid w:val="EBDBF972"/>
    <w:rsid w:val="EDEF3403"/>
    <w:rsid w:val="EDFF3827"/>
    <w:rsid w:val="EF6FF8D7"/>
    <w:rsid w:val="EFBC289A"/>
    <w:rsid w:val="EFE4D542"/>
    <w:rsid w:val="EFFDC298"/>
    <w:rsid w:val="F1FFE60D"/>
    <w:rsid w:val="F37BCF49"/>
    <w:rsid w:val="F38ECA97"/>
    <w:rsid w:val="F5FF7CF8"/>
    <w:rsid w:val="F6631C96"/>
    <w:rsid w:val="F67F530E"/>
    <w:rsid w:val="F7DE06B5"/>
    <w:rsid w:val="F7FAB570"/>
    <w:rsid w:val="F96706E4"/>
    <w:rsid w:val="F9F3B6CA"/>
    <w:rsid w:val="FA7F075E"/>
    <w:rsid w:val="FAD7DE04"/>
    <w:rsid w:val="FB75E862"/>
    <w:rsid w:val="FBD6D897"/>
    <w:rsid w:val="FBFC72B1"/>
    <w:rsid w:val="FBFC94AC"/>
    <w:rsid w:val="FCFD6C2C"/>
    <w:rsid w:val="FDDD203E"/>
    <w:rsid w:val="FE23D2C5"/>
    <w:rsid w:val="FE7FFAB4"/>
    <w:rsid w:val="FEBF2643"/>
    <w:rsid w:val="FEDBEADA"/>
    <w:rsid w:val="FEFFFC19"/>
    <w:rsid w:val="FF238AD4"/>
    <w:rsid w:val="FF8D4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07EE4F"/>
  <w15:docId w15:val="{CFA636D8-FC27-284C-ACCB-0B31A48D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qFormat="1"/>
    <w:lsdException w:name="annotation text" w:qFormat="1"/>
    <w:lsdException w:name="header" w:uiPriority="99" w:unhideWhenUsed="1" w:qFormat="1"/>
    <w:lsdException w:name="footer" w:uiPriority="99" w:qFormat="1"/>
    <w:lsdException w:name="caption" w:semiHidden="1" w:unhideWhenUsed="1" w:qFormat="1"/>
    <w:lsdException w:name="footnote reference" w:uiPriority="99" w:qFormat="1"/>
    <w:lsdException w:name="annotation reference" w:qFormat="1"/>
    <w:lsdException w:name="page number" w:qFormat="1"/>
    <w:lsdException w:name="endnote reference" w:qFormat="1"/>
    <w:lsdException w:name="endnote text" w:qFormat="1"/>
    <w:lsdException w:name="Title" w:uiPriority="10" w:qFormat="1"/>
    <w:lsdException w:name="Default Paragraph Font" w:semiHidden="1" w:uiPriority="1" w:unhideWhenUsed="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0">
    <w:name w:val="heading 1"/>
    <w:basedOn w:val="a"/>
    <w:next w:val="a"/>
    <w:link w:val="11"/>
    <w:uiPriority w:val="9"/>
    <w:qFormat/>
    <w:pPr>
      <w:keepNext/>
      <w:keepLines/>
      <w:spacing w:before="340" w:after="330" w:line="360" w:lineRule="auto"/>
      <w:jc w:val="center"/>
      <w:outlineLvl w:val="0"/>
    </w:pPr>
    <w:rPr>
      <w:rFonts w:ascii="Times New Roman" w:eastAsia="黑体" w:hAnsi="Times New Roman" w:cs="Times New Roman"/>
      <w:b/>
      <w:bCs/>
      <w:kern w:val="44"/>
      <w:sz w:val="30"/>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imes New Roman" w:eastAsia="黑体" w:hAnsi="Times New Roman" w:cs="Times New Roman"/>
      <w:b/>
      <w:bCs/>
      <w:kern w:val="0"/>
      <w:sz w:val="28"/>
      <w:szCs w:val="32"/>
    </w:rPr>
  </w:style>
  <w:style w:type="paragraph" w:styleId="3">
    <w:name w:val="heading 3"/>
    <w:basedOn w:val="a"/>
    <w:next w:val="a"/>
    <w:link w:val="30"/>
    <w:uiPriority w:val="9"/>
    <w:unhideWhenUsed/>
    <w:qFormat/>
    <w:pPr>
      <w:keepNext/>
      <w:keepLines/>
      <w:spacing w:before="260" w:after="260" w:line="360" w:lineRule="auto"/>
      <w:jc w:val="left"/>
      <w:outlineLvl w:val="2"/>
    </w:pPr>
    <w:rPr>
      <w:rFonts w:ascii="Times New Roman" w:eastAsia="黑体" w:hAnsi="Times New Roman" w:cs="Times New Roman"/>
      <w:b/>
      <w:bCs/>
      <w:kern w:val="0"/>
      <w:sz w:val="20"/>
      <w:szCs w:val="32"/>
    </w:rPr>
  </w:style>
  <w:style w:type="paragraph" w:styleId="4">
    <w:name w:val="heading 4"/>
    <w:basedOn w:val="a"/>
    <w:next w:val="a"/>
    <w:link w:val="40"/>
    <w:uiPriority w:val="9"/>
    <w:semiHidden/>
    <w:unhideWhenUsed/>
    <w:qFormat/>
    <w:pPr>
      <w:keepNext/>
      <w:keepLines/>
      <w:widowControl/>
      <w:spacing w:before="280" w:after="290" w:line="376" w:lineRule="auto"/>
      <w:outlineLvl w:val="3"/>
    </w:pPr>
    <w:rPr>
      <w:rFonts w:ascii="Times New Roman" w:eastAsia="宋体" w:hAnsi="Times New Roman" w:cs="Times New Roman"/>
      <w:color w:val="0F4761"/>
      <w:kern w:val="0"/>
      <w:sz w:val="28"/>
      <w:szCs w:val="28"/>
    </w:rPr>
  </w:style>
  <w:style w:type="paragraph" w:styleId="5">
    <w:name w:val="heading 5"/>
    <w:basedOn w:val="a"/>
    <w:next w:val="a"/>
    <w:link w:val="50"/>
    <w:uiPriority w:val="9"/>
    <w:semiHidden/>
    <w:unhideWhenUsed/>
    <w:qFormat/>
    <w:pPr>
      <w:keepNext/>
      <w:keepLines/>
      <w:widowControl/>
      <w:spacing w:before="280" w:after="290" w:line="376" w:lineRule="auto"/>
      <w:outlineLvl w:val="4"/>
    </w:pPr>
    <w:rPr>
      <w:rFonts w:ascii="Times New Roman" w:eastAsia="宋体" w:hAnsi="Times New Roman" w:cs="Times New Roman"/>
      <w:color w:val="0F4761"/>
      <w:kern w:val="0"/>
      <w:sz w:val="24"/>
    </w:rPr>
  </w:style>
  <w:style w:type="paragraph" w:styleId="6">
    <w:name w:val="heading 6"/>
    <w:basedOn w:val="a"/>
    <w:next w:val="a"/>
    <w:link w:val="60"/>
    <w:uiPriority w:val="9"/>
    <w:semiHidden/>
    <w:unhideWhenUsed/>
    <w:qFormat/>
    <w:pPr>
      <w:keepNext/>
      <w:keepLines/>
      <w:widowControl/>
      <w:spacing w:before="240" w:after="64" w:line="320" w:lineRule="auto"/>
      <w:outlineLvl w:val="5"/>
    </w:pPr>
    <w:rPr>
      <w:rFonts w:ascii="Times New Roman" w:eastAsia="宋体" w:hAnsi="Times New Roman" w:cs="Times New Roman"/>
      <w:b/>
      <w:bCs/>
      <w:color w:val="0F4761"/>
      <w:kern w:val="0"/>
      <w:sz w:val="20"/>
      <w:szCs w:val="20"/>
    </w:rPr>
  </w:style>
  <w:style w:type="paragraph" w:styleId="7">
    <w:name w:val="heading 7"/>
    <w:basedOn w:val="a"/>
    <w:next w:val="a"/>
    <w:link w:val="70"/>
    <w:uiPriority w:val="9"/>
    <w:semiHidden/>
    <w:unhideWhenUsed/>
    <w:qFormat/>
    <w:pPr>
      <w:keepNext/>
      <w:keepLines/>
      <w:widowControl/>
      <w:spacing w:before="240" w:after="64" w:line="320" w:lineRule="auto"/>
      <w:outlineLvl w:val="6"/>
    </w:pPr>
    <w:rPr>
      <w:rFonts w:ascii="Times New Roman" w:eastAsia="宋体" w:hAnsi="Times New Roman" w:cs="Times New Roman"/>
      <w:b/>
      <w:bCs/>
      <w:color w:val="595959"/>
      <w:kern w:val="0"/>
      <w:sz w:val="20"/>
      <w:szCs w:val="20"/>
    </w:rPr>
  </w:style>
  <w:style w:type="paragraph" w:styleId="8">
    <w:name w:val="heading 8"/>
    <w:basedOn w:val="a"/>
    <w:next w:val="a"/>
    <w:link w:val="80"/>
    <w:uiPriority w:val="9"/>
    <w:semiHidden/>
    <w:unhideWhenUsed/>
    <w:qFormat/>
    <w:pPr>
      <w:keepNext/>
      <w:keepLines/>
      <w:widowControl/>
      <w:spacing w:before="240" w:after="64" w:line="320" w:lineRule="auto"/>
      <w:outlineLvl w:val="7"/>
    </w:pPr>
    <w:rPr>
      <w:rFonts w:ascii="Times New Roman" w:eastAsia="宋体" w:hAnsi="Times New Roman" w:cs="Times New Roman"/>
      <w:color w:val="595959"/>
      <w:kern w:val="0"/>
      <w:sz w:val="20"/>
      <w:szCs w:val="20"/>
    </w:rPr>
  </w:style>
  <w:style w:type="paragraph" w:styleId="9">
    <w:name w:val="heading 9"/>
    <w:basedOn w:val="a"/>
    <w:next w:val="a"/>
    <w:link w:val="90"/>
    <w:uiPriority w:val="9"/>
    <w:semiHidden/>
    <w:unhideWhenUsed/>
    <w:qFormat/>
    <w:pPr>
      <w:keepNext/>
      <w:keepLines/>
      <w:widowControl/>
      <w:spacing w:before="240" w:after="64" w:line="320" w:lineRule="auto"/>
      <w:outlineLvl w:val="8"/>
    </w:pPr>
    <w:rPr>
      <w:rFonts w:ascii="Times New Roman" w:eastAsia="等线 Light" w:hAnsi="Times New Roman" w:cs="Times New Roman"/>
      <w:color w:val="595959"/>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endnote text"/>
    <w:basedOn w:val="a"/>
    <w:link w:val="a6"/>
    <w:qFormat/>
    <w:pPr>
      <w:widowControl/>
      <w:snapToGrid w:val="0"/>
      <w:jc w:val="left"/>
    </w:pPr>
    <w:rPr>
      <w:rFonts w:ascii="Times New Roman" w:eastAsia="宋体" w:hAnsi="Times New Roman" w:cs="Times New Roman"/>
      <w:szCs w:val="20"/>
    </w:rPr>
  </w:style>
  <w:style w:type="paragraph" w:styleId="a7">
    <w:name w:val="Balloon Text"/>
    <w:basedOn w:val="a"/>
    <w:link w:val="a8"/>
    <w:uiPriority w:val="99"/>
    <w:qFormat/>
    <w:rPr>
      <w:rFonts w:ascii="宋体" w:eastAsia="宋体"/>
      <w:sz w:val="18"/>
      <w:szCs w:val="18"/>
    </w:rPr>
  </w:style>
  <w:style w:type="paragraph" w:styleId="a9">
    <w:name w:val="footer"/>
    <w:basedOn w:val="a"/>
    <w:link w:val="aa"/>
    <w:uiPriority w:val="99"/>
    <w:qFormat/>
    <w:pPr>
      <w:widowControl/>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unhideWhenUsed/>
    <w:qFormat/>
    <w:pPr>
      <w:tabs>
        <w:tab w:val="center" w:pos="4153"/>
        <w:tab w:val="right" w:pos="8306"/>
      </w:tabs>
      <w:snapToGrid w:val="0"/>
      <w:jc w:val="center"/>
    </w:pPr>
    <w:rPr>
      <w:sz w:val="18"/>
      <w:szCs w:val="18"/>
    </w:rPr>
  </w:style>
  <w:style w:type="paragraph" w:styleId="ad">
    <w:name w:val="Subtitle"/>
    <w:basedOn w:val="a"/>
    <w:next w:val="a"/>
    <w:link w:val="ae"/>
    <w:uiPriority w:val="11"/>
    <w:qFormat/>
    <w:pPr>
      <w:widowControl/>
      <w:spacing w:before="240" w:after="60" w:line="312" w:lineRule="auto"/>
      <w:jc w:val="center"/>
      <w:outlineLvl w:val="1"/>
    </w:pPr>
    <w:rPr>
      <w:rFonts w:ascii="等线 Light" w:eastAsia="等线 Light" w:hAnsi="等线 Light" w:cs="Times New Roman"/>
      <w:color w:val="595959"/>
      <w:spacing w:val="15"/>
      <w:kern w:val="0"/>
      <w:sz w:val="28"/>
      <w:szCs w:val="28"/>
    </w:rPr>
  </w:style>
  <w:style w:type="paragraph" w:styleId="af">
    <w:name w:val="footnote text"/>
    <w:basedOn w:val="a"/>
    <w:link w:val="af0"/>
    <w:uiPriority w:val="99"/>
    <w:qFormat/>
    <w:pPr>
      <w:snapToGrid w:val="0"/>
      <w:spacing w:line="300" w:lineRule="auto"/>
      <w:jc w:val="left"/>
    </w:pPr>
    <w:rPr>
      <w:rFonts w:ascii="Times New Roman" w:eastAsia="宋体" w:hAnsi="Times New Roman" w:cs="Times New Roman"/>
      <w:sz w:val="18"/>
      <w:szCs w:val="18"/>
    </w:rPr>
  </w:style>
  <w:style w:type="paragraph" w:styleId="af1">
    <w:name w:val="Normal (Web)"/>
    <w:basedOn w:val="a"/>
    <w:uiPriority w:val="99"/>
    <w:qFormat/>
    <w:pPr>
      <w:spacing w:beforeAutospacing="1" w:afterAutospacing="1"/>
      <w:jc w:val="left"/>
    </w:pPr>
    <w:rPr>
      <w:rFonts w:cs="Times New Roman"/>
      <w:kern w:val="0"/>
      <w:sz w:val="24"/>
    </w:rPr>
  </w:style>
  <w:style w:type="paragraph" w:styleId="af2">
    <w:name w:val="Title"/>
    <w:basedOn w:val="a"/>
    <w:next w:val="a"/>
    <w:link w:val="af3"/>
    <w:uiPriority w:val="10"/>
    <w:qFormat/>
    <w:pPr>
      <w:spacing w:before="240" w:after="60" w:line="360" w:lineRule="auto"/>
      <w:jc w:val="left"/>
      <w:outlineLvl w:val="2"/>
    </w:pPr>
    <w:rPr>
      <w:rFonts w:ascii="Times New Roman" w:eastAsia="黑体" w:hAnsi="Times New Roman" w:cstheme="majorBidi"/>
      <w:b/>
      <w:bCs/>
      <w:kern w:val="0"/>
      <w:sz w:val="28"/>
      <w:szCs w:val="32"/>
    </w:rPr>
  </w:style>
  <w:style w:type="paragraph" w:styleId="af4">
    <w:name w:val="annotation subject"/>
    <w:basedOn w:val="a3"/>
    <w:next w:val="a3"/>
    <w:link w:val="af5"/>
    <w:qFormat/>
    <w:rPr>
      <w:b/>
      <w:bCs/>
    </w:rPr>
  </w:style>
  <w:style w:type="table" w:styleId="af6">
    <w:name w:val="Table Grid"/>
    <w:basedOn w:val="a1"/>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Pr>
      <w:b/>
    </w:rPr>
  </w:style>
  <w:style w:type="character" w:styleId="af8">
    <w:name w:val="endnote reference"/>
    <w:basedOn w:val="a0"/>
    <w:qFormat/>
    <w:rPr>
      <w:vertAlign w:val="superscript"/>
    </w:rPr>
  </w:style>
  <w:style w:type="character" w:styleId="af9">
    <w:name w:val="page number"/>
    <w:basedOn w:val="a0"/>
    <w:qFormat/>
  </w:style>
  <w:style w:type="character" w:styleId="afa">
    <w:name w:val="FollowedHyperlink"/>
    <w:basedOn w:val="a0"/>
    <w:rPr>
      <w:color w:val="7E1FAD" w:themeColor="followedHyperlink"/>
      <w:u w:val="single"/>
    </w:rPr>
  </w:style>
  <w:style w:type="character" w:styleId="afb">
    <w:name w:val="Emphasis"/>
    <w:basedOn w:val="a0"/>
    <w:uiPriority w:val="20"/>
    <w:qFormat/>
    <w:rPr>
      <w:i/>
      <w:iCs/>
    </w:rPr>
  </w:style>
  <w:style w:type="character" w:styleId="afc">
    <w:name w:val="Hyperlink"/>
    <w:basedOn w:val="a0"/>
    <w:uiPriority w:val="99"/>
    <w:qFormat/>
    <w:rPr>
      <w:color w:val="0026E5" w:themeColor="hyperlink"/>
      <w:u w:val="single"/>
    </w:rPr>
  </w:style>
  <w:style w:type="character" w:styleId="afd">
    <w:name w:val="annotation reference"/>
    <w:basedOn w:val="a0"/>
    <w:qFormat/>
    <w:rPr>
      <w:sz w:val="21"/>
      <w:szCs w:val="21"/>
    </w:rPr>
  </w:style>
  <w:style w:type="character" w:styleId="afe">
    <w:name w:val="footnote reference"/>
    <w:basedOn w:val="a0"/>
    <w:uiPriority w:val="99"/>
    <w:qFormat/>
    <w:rPr>
      <w:vertAlign w:val="superscript"/>
    </w:rPr>
  </w:style>
  <w:style w:type="character" w:customStyle="1" w:styleId="af0">
    <w:name w:val="脚注文本 字符"/>
    <w:basedOn w:val="a0"/>
    <w:link w:val="af"/>
    <w:uiPriority w:val="99"/>
    <w:qFormat/>
    <w:rPr>
      <w:rFonts w:ascii="Times New Roman" w:eastAsia="宋体" w:hAnsi="Times New Roman" w:cs="Times New Roman" w:hint="default"/>
      <w:sz w:val="18"/>
      <w:szCs w:val="18"/>
    </w:rPr>
  </w:style>
  <w:style w:type="character" w:customStyle="1" w:styleId="ac">
    <w:name w:val="页眉 字符"/>
    <w:basedOn w:val="a0"/>
    <w:link w:val="ab"/>
    <w:uiPriority w:val="99"/>
    <w:qFormat/>
    <w:rPr>
      <w:rFonts w:asciiTheme="minorHAnsi" w:eastAsiaTheme="minorEastAsia" w:hAnsiTheme="minorHAnsi" w:cstheme="minorBidi"/>
      <w:kern w:val="2"/>
      <w:sz w:val="18"/>
      <w:szCs w:val="18"/>
    </w:rPr>
  </w:style>
  <w:style w:type="character" w:customStyle="1" w:styleId="a8">
    <w:name w:val="批注框文本 字符"/>
    <w:basedOn w:val="a0"/>
    <w:link w:val="a7"/>
    <w:uiPriority w:val="99"/>
    <w:qFormat/>
    <w:rPr>
      <w:rFonts w:ascii="宋体" w:eastAsia="宋体" w:hAnsiTheme="minorHAnsi" w:cstheme="minorBidi"/>
      <w:kern w:val="2"/>
      <w:sz w:val="18"/>
      <w:szCs w:val="18"/>
    </w:rPr>
  </w:style>
  <w:style w:type="paragraph" w:customStyle="1" w:styleId="12">
    <w:name w:val="修订1"/>
    <w:hidden/>
    <w:uiPriority w:val="99"/>
    <w:semiHidden/>
    <w:qFormat/>
    <w:rPr>
      <w:rFonts w:asciiTheme="minorHAnsi" w:eastAsiaTheme="minorEastAsia" w:hAnsiTheme="minorHAnsi" w:cstheme="minorBidi"/>
      <w:kern w:val="2"/>
      <w:sz w:val="21"/>
      <w:szCs w:val="24"/>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f5">
    <w:name w:val="批注主题 字符"/>
    <w:basedOn w:val="a4"/>
    <w:link w:val="af4"/>
    <w:qFormat/>
    <w:rPr>
      <w:rFonts w:asciiTheme="minorHAnsi" w:eastAsiaTheme="minorEastAsia" w:hAnsiTheme="minorHAnsi" w:cstheme="minorBidi"/>
      <w:b/>
      <w:bCs/>
      <w:kern w:val="2"/>
      <w:sz w:val="21"/>
      <w:szCs w:val="24"/>
    </w:rPr>
  </w:style>
  <w:style w:type="character" w:customStyle="1" w:styleId="aa">
    <w:name w:val="页脚 字符"/>
    <w:basedOn w:val="a0"/>
    <w:link w:val="a9"/>
    <w:uiPriority w:val="99"/>
    <w:qFormat/>
    <w:rPr>
      <w:kern w:val="2"/>
      <w:sz w:val="18"/>
      <w:szCs w:val="18"/>
    </w:rPr>
  </w:style>
  <w:style w:type="character" w:customStyle="1" w:styleId="af3">
    <w:name w:val="标题 字符"/>
    <w:basedOn w:val="a0"/>
    <w:link w:val="af2"/>
    <w:uiPriority w:val="10"/>
    <w:qFormat/>
    <w:rPr>
      <w:rFonts w:eastAsia="黑体" w:cstheme="majorBidi"/>
      <w:b/>
      <w:bCs/>
      <w:sz w:val="28"/>
      <w:szCs w:val="32"/>
    </w:rPr>
  </w:style>
  <w:style w:type="paragraph" w:customStyle="1" w:styleId="21">
    <w:name w:val="修订2"/>
    <w:hidden/>
    <w:uiPriority w:val="99"/>
    <w:semiHidden/>
    <w:rPr>
      <w:rFonts w:asciiTheme="minorHAnsi" w:eastAsiaTheme="minorEastAsia" w:hAnsiTheme="minorHAnsi" w:cstheme="minorBidi"/>
      <w:kern w:val="2"/>
      <w:sz w:val="21"/>
      <w:szCs w:val="24"/>
    </w:rPr>
  </w:style>
  <w:style w:type="character" w:customStyle="1" w:styleId="13">
    <w:name w:val="超链接1"/>
    <w:basedOn w:val="a0"/>
    <w:rPr>
      <w:color w:val="0563C1"/>
      <w:u w:val="single"/>
    </w:rPr>
  </w:style>
  <w:style w:type="paragraph" w:styleId="aff">
    <w:name w:val="List Paragraph"/>
    <w:basedOn w:val="a"/>
    <w:uiPriority w:val="34"/>
    <w:qFormat/>
    <w:pPr>
      <w:ind w:firstLineChars="200" w:firstLine="420"/>
    </w:pPr>
  </w:style>
  <w:style w:type="character" w:customStyle="1" w:styleId="14">
    <w:name w:val="未处理的提及1"/>
    <w:basedOn w:val="a0"/>
    <w:rPr>
      <w:color w:val="605E5C"/>
      <w:shd w:val="clear" w:color="auto" w:fill="E1DFDD"/>
    </w:rPr>
  </w:style>
  <w:style w:type="character" w:customStyle="1" w:styleId="11">
    <w:name w:val="标题 1 字符"/>
    <w:basedOn w:val="a0"/>
    <w:link w:val="10"/>
    <w:uiPriority w:val="9"/>
    <w:qFormat/>
    <w:rPr>
      <w:rFonts w:eastAsia="黑体"/>
      <w:b/>
      <w:bCs/>
      <w:kern w:val="44"/>
      <w:sz w:val="30"/>
      <w:szCs w:val="44"/>
    </w:rPr>
  </w:style>
  <w:style w:type="paragraph" w:customStyle="1" w:styleId="210">
    <w:name w:val="标题 21"/>
    <w:basedOn w:val="a"/>
    <w:next w:val="a"/>
    <w:uiPriority w:val="9"/>
    <w:unhideWhenUsed/>
    <w:qFormat/>
    <w:pPr>
      <w:keepNext/>
      <w:keepLines/>
      <w:spacing w:before="260" w:after="260" w:line="360" w:lineRule="auto"/>
      <w:jc w:val="left"/>
      <w:outlineLvl w:val="1"/>
    </w:pPr>
    <w:rPr>
      <w:rFonts w:ascii="Times New Roman" w:eastAsia="黑体" w:hAnsi="Times New Roman" w:cs="Times New Roman"/>
      <w:b/>
      <w:bCs/>
      <w:kern w:val="0"/>
      <w:sz w:val="28"/>
      <w:szCs w:val="32"/>
    </w:rPr>
  </w:style>
  <w:style w:type="character" w:customStyle="1" w:styleId="30">
    <w:name w:val="标题 3 字符"/>
    <w:basedOn w:val="a0"/>
    <w:link w:val="3"/>
    <w:uiPriority w:val="9"/>
    <w:qFormat/>
    <w:rPr>
      <w:rFonts w:eastAsia="黑体"/>
      <w:b/>
      <w:bCs/>
      <w:szCs w:val="32"/>
    </w:rPr>
  </w:style>
  <w:style w:type="character" w:customStyle="1" w:styleId="40">
    <w:name w:val="标题 4 字符"/>
    <w:basedOn w:val="a0"/>
    <w:link w:val="4"/>
    <w:uiPriority w:val="9"/>
    <w:semiHidden/>
    <w:rPr>
      <w:color w:val="0F4761"/>
      <w:sz w:val="28"/>
      <w:szCs w:val="28"/>
    </w:rPr>
  </w:style>
  <w:style w:type="character" w:customStyle="1" w:styleId="50">
    <w:name w:val="标题 5 字符"/>
    <w:basedOn w:val="a0"/>
    <w:link w:val="5"/>
    <w:uiPriority w:val="9"/>
    <w:semiHidden/>
    <w:rPr>
      <w:color w:val="0F4761"/>
      <w:sz w:val="24"/>
      <w:szCs w:val="24"/>
    </w:rPr>
  </w:style>
  <w:style w:type="character" w:customStyle="1" w:styleId="60">
    <w:name w:val="标题 6 字符"/>
    <w:basedOn w:val="a0"/>
    <w:link w:val="6"/>
    <w:uiPriority w:val="9"/>
    <w:semiHidden/>
    <w:rPr>
      <w:b/>
      <w:bCs/>
      <w:color w:val="0F4761"/>
    </w:rPr>
  </w:style>
  <w:style w:type="character" w:customStyle="1" w:styleId="70">
    <w:name w:val="标题 7 字符"/>
    <w:basedOn w:val="a0"/>
    <w:link w:val="7"/>
    <w:uiPriority w:val="9"/>
    <w:semiHidden/>
    <w:rPr>
      <w:b/>
      <w:bCs/>
      <w:color w:val="595959"/>
    </w:rPr>
  </w:style>
  <w:style w:type="character" w:customStyle="1" w:styleId="80">
    <w:name w:val="标题 8 字符"/>
    <w:basedOn w:val="a0"/>
    <w:link w:val="8"/>
    <w:uiPriority w:val="9"/>
    <w:semiHidden/>
    <w:rPr>
      <w:color w:val="595959"/>
    </w:rPr>
  </w:style>
  <w:style w:type="character" w:customStyle="1" w:styleId="90">
    <w:name w:val="标题 9 字符"/>
    <w:basedOn w:val="a0"/>
    <w:link w:val="9"/>
    <w:uiPriority w:val="9"/>
    <w:semiHidden/>
    <w:rPr>
      <w:rFonts w:eastAsia="等线 Light"/>
      <w:color w:val="595959"/>
    </w:rPr>
  </w:style>
  <w:style w:type="character" w:customStyle="1" w:styleId="20">
    <w:name w:val="标题 2 字符"/>
    <w:basedOn w:val="a0"/>
    <w:link w:val="2"/>
    <w:uiPriority w:val="9"/>
    <w:qFormat/>
    <w:rPr>
      <w:rFonts w:ascii="Times New Roman" w:eastAsia="黑体" w:hAnsi="Times New Roman" w:cs="Times New Roman"/>
      <w:b/>
      <w:bCs/>
      <w:sz w:val="28"/>
      <w:szCs w:val="32"/>
    </w:rPr>
  </w:style>
  <w:style w:type="paragraph" w:customStyle="1" w:styleId="1">
    <w:name w:val="样式1"/>
    <w:basedOn w:val="a"/>
    <w:autoRedefine/>
    <w:qFormat/>
    <w:pPr>
      <w:widowControl/>
      <w:numPr>
        <w:numId w:val="1"/>
      </w:numPr>
      <w:adjustRightInd w:val="0"/>
      <w:snapToGrid w:val="0"/>
      <w:spacing w:line="360" w:lineRule="auto"/>
      <w:ind w:left="200" w:hangingChars="200" w:hanging="200"/>
      <w:textAlignment w:val="center"/>
    </w:pPr>
    <w:rPr>
      <w:rFonts w:ascii="Times New Roman" w:eastAsia="宋体" w:hAnsi="Times New Roman" w:cs="Times New Roman"/>
      <w:kern w:val="0"/>
    </w:rPr>
  </w:style>
  <w:style w:type="character" w:styleId="aff0">
    <w:name w:val="Placeholder Text"/>
    <w:basedOn w:val="a0"/>
    <w:uiPriority w:val="99"/>
    <w:semiHidden/>
    <w:qFormat/>
    <w:rPr>
      <w:color w:val="666666"/>
    </w:rPr>
  </w:style>
  <w:style w:type="character" w:customStyle="1" w:styleId="a6">
    <w:name w:val="尾注文本 字符"/>
    <w:basedOn w:val="a0"/>
    <w:link w:val="a5"/>
    <w:qFormat/>
    <w:rPr>
      <w:kern w:val="2"/>
      <w:sz w:val="21"/>
    </w:rPr>
  </w:style>
  <w:style w:type="character" w:customStyle="1" w:styleId="15">
    <w:name w:val="访问过的超链接1"/>
    <w:basedOn w:val="a0"/>
    <w:qFormat/>
    <w:rPr>
      <w:color w:val="954F72"/>
      <w:u w:val="single"/>
    </w:rPr>
  </w:style>
  <w:style w:type="character" w:customStyle="1" w:styleId="16">
    <w:name w:val="16"/>
    <w:basedOn w:val="a0"/>
    <w:qFormat/>
    <w:rPr>
      <w:rFonts w:ascii="Times New Roman" w:hAnsi="Times New Roman" w:cs="Times New Roman" w:hint="default"/>
      <w:color w:val="000000"/>
      <w:sz w:val="18"/>
      <w:szCs w:val="18"/>
    </w:rPr>
  </w:style>
  <w:style w:type="paragraph" w:customStyle="1" w:styleId="p1">
    <w:name w:val="p1"/>
    <w:basedOn w:val="a"/>
    <w:qFormat/>
    <w:pPr>
      <w:widowControl/>
      <w:jc w:val="left"/>
    </w:pPr>
    <w:rPr>
      <w:rFonts w:ascii="Helvetica" w:eastAsia="宋体" w:hAnsi="Helvetica" w:cs="Times New Roman"/>
      <w:kern w:val="0"/>
      <w:sz w:val="16"/>
      <w:szCs w:val="16"/>
    </w:rPr>
  </w:style>
  <w:style w:type="paragraph" w:customStyle="1" w:styleId="p2">
    <w:name w:val="p2"/>
    <w:basedOn w:val="a"/>
    <w:qFormat/>
    <w:pPr>
      <w:widowControl/>
      <w:jc w:val="left"/>
    </w:pPr>
    <w:rPr>
      <w:rFonts w:ascii="Helvetica" w:eastAsia="宋体" w:hAnsi="Helvetica" w:cs="Times New Roman"/>
      <w:kern w:val="0"/>
      <w:sz w:val="9"/>
      <w:szCs w:val="9"/>
    </w:rPr>
  </w:style>
  <w:style w:type="character" w:customStyle="1" w:styleId="s1">
    <w:name w:val="s1"/>
    <w:basedOn w:val="a0"/>
    <w:qFormat/>
    <w:rPr>
      <w:rFonts w:ascii="Helvetica" w:hAnsi="Helvetica" w:hint="default"/>
      <w:sz w:val="9"/>
      <w:szCs w:val="9"/>
    </w:rPr>
  </w:style>
  <w:style w:type="character" w:customStyle="1" w:styleId="s2">
    <w:name w:val="s2"/>
    <w:basedOn w:val="a0"/>
    <w:qFormat/>
    <w:rPr>
      <w:rFonts w:ascii="Helvetica" w:hAnsi="Helvetica" w:hint="default"/>
      <w:sz w:val="16"/>
      <w:szCs w:val="16"/>
    </w:rPr>
  </w:style>
  <w:style w:type="character" w:customStyle="1" w:styleId="MTConvertedEquation">
    <w:name w:val="MTConvertedEquation"/>
    <w:basedOn w:val="a0"/>
    <w:qFormat/>
    <w:rPr>
      <w:rFonts w:ascii="Cambria Math" w:hAnsi="Cambria Math"/>
      <w:i/>
      <w:szCs w:val="21"/>
    </w:rPr>
  </w:style>
  <w:style w:type="paragraph" w:customStyle="1" w:styleId="MTDisplayEquation">
    <w:name w:val="MTDisplayEquation"/>
    <w:basedOn w:val="a"/>
    <w:link w:val="MTDisplayEquation0"/>
    <w:qFormat/>
    <w:pPr>
      <w:tabs>
        <w:tab w:val="center" w:pos="4160"/>
        <w:tab w:val="right" w:pos="8300"/>
      </w:tabs>
      <w:adjustRightInd w:val="0"/>
      <w:snapToGrid w:val="0"/>
      <w:spacing w:line="360" w:lineRule="auto"/>
      <w:ind w:firstLine="420"/>
      <w:outlineLvl w:val="0"/>
    </w:pPr>
    <w:rPr>
      <w:rFonts w:ascii="Times New Roman" w:eastAsia="宋体" w:hAnsi="Times New Roman" w:cs="Times New Roman"/>
    </w:rPr>
  </w:style>
  <w:style w:type="character" w:customStyle="1" w:styleId="MTDisplayEquation0">
    <w:name w:val="MTDisplayEquation 字符"/>
    <w:basedOn w:val="a0"/>
    <w:link w:val="MTDisplayEquation"/>
    <w:qFormat/>
    <w:rPr>
      <w:kern w:val="2"/>
      <w:sz w:val="21"/>
      <w:szCs w:val="24"/>
    </w:rPr>
  </w:style>
  <w:style w:type="paragraph" w:customStyle="1" w:styleId="22">
    <w:name w:val="修订2"/>
    <w:hidden/>
    <w:uiPriority w:val="99"/>
    <w:semiHidden/>
    <w:qFormat/>
    <w:rPr>
      <w:kern w:val="2"/>
      <w:sz w:val="21"/>
    </w:rPr>
  </w:style>
  <w:style w:type="paragraph" w:customStyle="1" w:styleId="31">
    <w:name w:val="修订3"/>
    <w:hidden/>
    <w:uiPriority w:val="99"/>
    <w:unhideWhenUsed/>
    <w:rPr>
      <w:kern w:val="2"/>
      <w:sz w:val="21"/>
    </w:rPr>
  </w:style>
  <w:style w:type="character" w:customStyle="1" w:styleId="23">
    <w:name w:val="未处理的提及2"/>
    <w:basedOn w:val="a0"/>
    <w:rPr>
      <w:color w:val="605E5C"/>
      <w:shd w:val="clear" w:color="auto" w:fill="E1DFDD"/>
    </w:rPr>
  </w:style>
  <w:style w:type="paragraph" w:customStyle="1" w:styleId="110">
    <w:name w:val="标题 11"/>
    <w:basedOn w:val="a"/>
    <w:next w:val="a"/>
    <w:uiPriority w:val="9"/>
    <w:qFormat/>
    <w:pPr>
      <w:keepNext/>
      <w:keepLines/>
      <w:spacing w:before="480" w:after="80"/>
      <w:outlineLvl w:val="0"/>
    </w:pPr>
    <w:rPr>
      <w:rFonts w:ascii="等线 Light" w:eastAsia="等线 Light" w:hAnsi="等线 Light" w:cs="Times New Roman"/>
      <w:color w:val="0F4761"/>
      <w:sz w:val="48"/>
      <w:szCs w:val="48"/>
    </w:rPr>
  </w:style>
  <w:style w:type="paragraph" w:customStyle="1" w:styleId="310">
    <w:name w:val="标题 31"/>
    <w:basedOn w:val="a"/>
    <w:next w:val="a"/>
    <w:uiPriority w:val="9"/>
    <w:unhideWhenUsed/>
    <w:qFormat/>
    <w:pPr>
      <w:keepNext/>
      <w:keepLines/>
      <w:spacing w:before="160" w:after="80"/>
      <w:outlineLvl w:val="2"/>
    </w:pPr>
    <w:rPr>
      <w:rFonts w:ascii="等线 Light" w:eastAsia="等线 Light" w:hAnsi="等线 Light" w:cs="Times New Roman"/>
      <w:color w:val="0F4761"/>
      <w:sz w:val="32"/>
      <w:szCs w:val="32"/>
    </w:rPr>
  </w:style>
  <w:style w:type="paragraph" w:customStyle="1" w:styleId="41">
    <w:name w:val="标题 41"/>
    <w:basedOn w:val="a"/>
    <w:next w:val="a"/>
    <w:uiPriority w:val="9"/>
    <w:semiHidden/>
    <w:unhideWhenUsed/>
    <w:qFormat/>
    <w:pPr>
      <w:keepNext/>
      <w:keepLines/>
      <w:spacing w:before="80" w:after="40"/>
      <w:outlineLvl w:val="3"/>
    </w:pPr>
    <w:rPr>
      <w:rFonts w:ascii="等线" w:eastAsia="等线" w:hAnsi="等线" w:cs="Times New Roman"/>
      <w:color w:val="0F4761"/>
      <w:sz w:val="28"/>
      <w:szCs w:val="28"/>
    </w:rPr>
  </w:style>
  <w:style w:type="paragraph" w:customStyle="1" w:styleId="51">
    <w:name w:val="标题 51"/>
    <w:basedOn w:val="a"/>
    <w:next w:val="a"/>
    <w:uiPriority w:val="9"/>
    <w:semiHidden/>
    <w:unhideWhenUsed/>
    <w:qFormat/>
    <w:pPr>
      <w:keepNext/>
      <w:keepLines/>
      <w:spacing w:before="80" w:after="40"/>
      <w:outlineLvl w:val="4"/>
    </w:pPr>
    <w:rPr>
      <w:rFonts w:ascii="等线" w:eastAsia="等线" w:hAnsi="等线" w:cs="Times New Roman"/>
      <w:color w:val="0F4761"/>
      <w:sz w:val="24"/>
    </w:rPr>
  </w:style>
  <w:style w:type="paragraph" w:customStyle="1" w:styleId="61">
    <w:name w:val="标题 61"/>
    <w:basedOn w:val="a"/>
    <w:next w:val="a"/>
    <w:uiPriority w:val="9"/>
    <w:semiHidden/>
    <w:unhideWhenUsed/>
    <w:qFormat/>
    <w:pPr>
      <w:keepNext/>
      <w:keepLines/>
      <w:spacing w:before="40"/>
      <w:outlineLvl w:val="5"/>
    </w:pPr>
    <w:rPr>
      <w:rFonts w:ascii="等线" w:eastAsia="等线" w:hAnsi="等线" w:cs="Times New Roman"/>
      <w:b/>
      <w:bCs/>
      <w:color w:val="0F4761"/>
      <w:szCs w:val="22"/>
    </w:rPr>
  </w:style>
  <w:style w:type="paragraph" w:customStyle="1" w:styleId="71">
    <w:name w:val="标题 71"/>
    <w:basedOn w:val="a"/>
    <w:next w:val="a"/>
    <w:uiPriority w:val="9"/>
    <w:semiHidden/>
    <w:unhideWhenUsed/>
    <w:qFormat/>
    <w:pPr>
      <w:keepNext/>
      <w:keepLines/>
      <w:spacing w:before="40"/>
      <w:outlineLvl w:val="6"/>
    </w:pPr>
    <w:rPr>
      <w:rFonts w:ascii="等线" w:eastAsia="等线" w:hAnsi="等线" w:cs="Times New Roman"/>
      <w:b/>
      <w:bCs/>
      <w:color w:val="595959"/>
      <w:szCs w:val="22"/>
    </w:rPr>
  </w:style>
  <w:style w:type="paragraph" w:customStyle="1" w:styleId="81">
    <w:name w:val="标题 81"/>
    <w:basedOn w:val="a"/>
    <w:next w:val="a"/>
    <w:uiPriority w:val="9"/>
    <w:semiHidden/>
    <w:unhideWhenUsed/>
    <w:qFormat/>
    <w:pPr>
      <w:keepNext/>
      <w:keepLines/>
      <w:outlineLvl w:val="7"/>
    </w:pPr>
    <w:rPr>
      <w:rFonts w:ascii="等线" w:eastAsia="等线" w:hAnsi="等线" w:cs="Times New Roman"/>
      <w:color w:val="595959"/>
      <w:szCs w:val="22"/>
    </w:rPr>
  </w:style>
  <w:style w:type="paragraph" w:customStyle="1" w:styleId="91">
    <w:name w:val="标题 91"/>
    <w:basedOn w:val="a"/>
    <w:next w:val="a"/>
    <w:uiPriority w:val="9"/>
    <w:semiHidden/>
    <w:unhideWhenUsed/>
    <w:qFormat/>
    <w:pPr>
      <w:keepNext/>
      <w:keepLines/>
      <w:outlineLvl w:val="8"/>
    </w:pPr>
    <w:rPr>
      <w:rFonts w:ascii="等线" w:eastAsia="等线 Light" w:hAnsi="等线" w:cs="Times New Roman"/>
      <w:color w:val="595959"/>
      <w:szCs w:val="22"/>
    </w:rPr>
  </w:style>
  <w:style w:type="paragraph" w:customStyle="1" w:styleId="17">
    <w:name w:val="标题1"/>
    <w:basedOn w:val="a"/>
    <w:next w:val="a"/>
    <w:uiPriority w:val="10"/>
    <w:qFormat/>
    <w:pPr>
      <w:spacing w:after="80"/>
      <w:contextualSpacing/>
      <w:jc w:val="center"/>
    </w:pPr>
    <w:rPr>
      <w:rFonts w:ascii="等线 Light" w:eastAsia="等线 Light" w:hAnsi="等线 Light" w:cs="Times New Roman"/>
      <w:spacing w:val="-10"/>
      <w:kern w:val="28"/>
      <w:sz w:val="56"/>
      <w:szCs w:val="56"/>
    </w:rPr>
  </w:style>
  <w:style w:type="paragraph" w:customStyle="1" w:styleId="18">
    <w:name w:val="副标题1"/>
    <w:basedOn w:val="a"/>
    <w:next w:val="a"/>
    <w:uiPriority w:val="11"/>
    <w:qFormat/>
    <w:pPr>
      <w:spacing w:after="160"/>
      <w:jc w:val="center"/>
    </w:pPr>
    <w:rPr>
      <w:rFonts w:ascii="等线 Light" w:eastAsia="等线 Light" w:hAnsi="等线 Light" w:cs="Times New Roman"/>
      <w:color w:val="595959"/>
      <w:spacing w:val="15"/>
      <w:sz w:val="28"/>
      <w:szCs w:val="28"/>
    </w:rPr>
  </w:style>
  <w:style w:type="character" w:customStyle="1" w:styleId="ae">
    <w:name w:val="副标题 字符"/>
    <w:basedOn w:val="a0"/>
    <w:link w:val="ad"/>
    <w:uiPriority w:val="11"/>
    <w:rPr>
      <w:rFonts w:ascii="等线 Light" w:eastAsia="等线 Light" w:hAnsi="等线 Light"/>
      <w:color w:val="595959"/>
      <w:spacing w:val="15"/>
      <w:sz w:val="28"/>
      <w:szCs w:val="28"/>
    </w:rPr>
  </w:style>
  <w:style w:type="paragraph" w:customStyle="1" w:styleId="19">
    <w:name w:val="引用1"/>
    <w:basedOn w:val="a"/>
    <w:next w:val="a"/>
    <w:uiPriority w:val="29"/>
    <w:qFormat/>
    <w:pPr>
      <w:spacing w:before="160" w:after="160"/>
      <w:jc w:val="center"/>
    </w:pPr>
    <w:rPr>
      <w:rFonts w:ascii="等线" w:eastAsia="等线" w:hAnsi="等线" w:cs="Times New Roman"/>
      <w:i/>
      <w:iCs/>
      <w:color w:val="404040"/>
      <w:szCs w:val="22"/>
    </w:rPr>
  </w:style>
  <w:style w:type="character" w:customStyle="1" w:styleId="aff1">
    <w:name w:val="引用 字符"/>
    <w:basedOn w:val="a0"/>
    <w:link w:val="aff2"/>
    <w:uiPriority w:val="29"/>
    <w:rPr>
      <w:i/>
      <w:iCs/>
      <w:color w:val="404040"/>
    </w:rPr>
  </w:style>
  <w:style w:type="paragraph" w:styleId="aff2">
    <w:name w:val="Quote"/>
    <w:basedOn w:val="a"/>
    <w:next w:val="a"/>
    <w:link w:val="aff1"/>
    <w:uiPriority w:val="29"/>
    <w:qFormat/>
    <w:pPr>
      <w:widowControl/>
      <w:spacing w:before="200" w:after="160"/>
      <w:ind w:left="864" w:right="864"/>
      <w:jc w:val="center"/>
    </w:pPr>
    <w:rPr>
      <w:rFonts w:ascii="Times New Roman" w:eastAsia="宋体" w:hAnsi="Times New Roman" w:cs="Times New Roman"/>
      <w:i/>
      <w:iCs/>
      <w:color w:val="404040"/>
      <w:kern w:val="0"/>
      <w:sz w:val="20"/>
      <w:szCs w:val="20"/>
    </w:rPr>
  </w:style>
  <w:style w:type="character" w:customStyle="1" w:styleId="1a">
    <w:name w:val="明显强调1"/>
    <w:basedOn w:val="a0"/>
    <w:uiPriority w:val="21"/>
    <w:qFormat/>
    <w:rPr>
      <w:i/>
      <w:iCs/>
      <w:color w:val="0F4761"/>
    </w:rPr>
  </w:style>
  <w:style w:type="paragraph" w:customStyle="1" w:styleId="1b">
    <w:name w:val="明显引用1"/>
    <w:basedOn w:val="a"/>
    <w:next w:val="a"/>
    <w:uiPriority w:val="30"/>
    <w:qFormat/>
    <w:pPr>
      <w:pBdr>
        <w:top w:val="single" w:sz="4" w:space="10" w:color="0F4761"/>
        <w:bottom w:val="single" w:sz="4" w:space="10" w:color="0F4761"/>
      </w:pBdr>
      <w:spacing w:before="360" w:after="360"/>
      <w:ind w:left="864" w:right="864"/>
      <w:jc w:val="center"/>
    </w:pPr>
    <w:rPr>
      <w:rFonts w:ascii="等线" w:eastAsia="等线" w:hAnsi="等线" w:cs="Times New Roman"/>
      <w:i/>
      <w:iCs/>
      <w:color w:val="0F4761"/>
      <w:szCs w:val="22"/>
    </w:rPr>
  </w:style>
  <w:style w:type="character" w:customStyle="1" w:styleId="aff3">
    <w:name w:val="明显引用 字符"/>
    <w:basedOn w:val="a0"/>
    <w:link w:val="aff4"/>
    <w:uiPriority w:val="30"/>
    <w:rPr>
      <w:i/>
      <w:iCs/>
      <w:color w:val="0F4761"/>
    </w:rPr>
  </w:style>
  <w:style w:type="paragraph" w:styleId="aff4">
    <w:name w:val="Intense Quote"/>
    <w:basedOn w:val="a"/>
    <w:next w:val="a"/>
    <w:link w:val="aff3"/>
    <w:uiPriority w:val="30"/>
    <w:pPr>
      <w:pBdr>
        <w:top w:val="single" w:sz="4" w:space="10" w:color="4874CB" w:themeColor="accent1"/>
        <w:bottom w:val="single" w:sz="4" w:space="10" w:color="4874CB" w:themeColor="accent1"/>
      </w:pBdr>
      <w:spacing w:before="360" w:after="360"/>
      <w:ind w:left="864" w:right="864"/>
      <w:jc w:val="center"/>
    </w:pPr>
    <w:rPr>
      <w:rFonts w:ascii="Times New Roman" w:eastAsia="宋体" w:hAnsi="Times New Roman" w:cs="Times New Roman"/>
      <w:i/>
      <w:iCs/>
      <w:color w:val="0F4761"/>
      <w:kern w:val="0"/>
      <w:sz w:val="20"/>
      <w:szCs w:val="20"/>
    </w:rPr>
  </w:style>
  <w:style w:type="character" w:customStyle="1" w:styleId="1c">
    <w:name w:val="明显参考1"/>
    <w:basedOn w:val="a0"/>
    <w:uiPriority w:val="32"/>
    <w:qFormat/>
    <w:rPr>
      <w:b/>
      <w:bCs/>
      <w:smallCaps/>
      <w:color w:val="0F4761"/>
      <w:spacing w:val="5"/>
    </w:rPr>
  </w:style>
  <w:style w:type="character" w:customStyle="1" w:styleId="1d">
    <w:name w:val="占位符文本1"/>
    <w:basedOn w:val="a0"/>
    <w:uiPriority w:val="99"/>
    <w:semiHidden/>
    <w:qFormat/>
    <w:rPr>
      <w:color w:val="808080"/>
    </w:rPr>
  </w:style>
  <w:style w:type="character" w:customStyle="1" w:styleId="fontstyle01">
    <w:name w:val="fontstyle01"/>
    <w:basedOn w:val="a0"/>
    <w:qFormat/>
    <w:rPr>
      <w:rFonts w:ascii="宋体" w:eastAsia="宋体" w:hAnsi="宋体" w:cs="宋体"/>
      <w:color w:val="000000"/>
      <w:sz w:val="22"/>
      <w:szCs w:val="22"/>
    </w:rPr>
  </w:style>
  <w:style w:type="character" w:customStyle="1" w:styleId="211">
    <w:name w:val="标题 2字符1"/>
    <w:basedOn w:val="a0"/>
    <w:semiHidden/>
    <w:qFormat/>
    <w:rPr>
      <w:rFonts w:ascii="等线 Light" w:eastAsia="等线 Light" w:hAnsi="等线 Light" w:cs="Times New Roman"/>
      <w:b/>
      <w:bCs/>
      <w:kern w:val="2"/>
      <w:sz w:val="32"/>
      <w:szCs w:val="32"/>
    </w:rPr>
  </w:style>
  <w:style w:type="character" w:customStyle="1" w:styleId="1e">
    <w:name w:val="标题字符1"/>
    <w:basedOn w:val="a0"/>
    <w:qFormat/>
    <w:rPr>
      <w:rFonts w:ascii="等线 Light" w:hAnsi="等线 Light" w:cs="Times New Roman"/>
      <w:b/>
      <w:bCs/>
      <w:kern w:val="2"/>
      <w:sz w:val="32"/>
      <w:szCs w:val="32"/>
    </w:rPr>
  </w:style>
  <w:style w:type="character" w:customStyle="1" w:styleId="111">
    <w:name w:val="标题 1 字符1"/>
    <w:basedOn w:val="a0"/>
    <w:rPr>
      <w:b/>
      <w:bCs/>
      <w:kern w:val="44"/>
      <w:sz w:val="44"/>
      <w:szCs w:val="44"/>
    </w:rPr>
  </w:style>
  <w:style w:type="character" w:customStyle="1" w:styleId="212">
    <w:name w:val="标题 2 字符1"/>
    <w:basedOn w:val="a0"/>
    <w:semiHidden/>
    <w:rPr>
      <w:rFonts w:ascii="Calibri Light" w:eastAsia="宋体" w:hAnsi="Calibri Light" w:cs="Times New Roman"/>
      <w:b/>
      <w:bCs/>
      <w:kern w:val="2"/>
      <w:sz w:val="32"/>
      <w:szCs w:val="32"/>
    </w:rPr>
  </w:style>
  <w:style w:type="character" w:customStyle="1" w:styleId="311">
    <w:name w:val="标题 3 字符1"/>
    <w:basedOn w:val="a0"/>
    <w:semiHidden/>
    <w:rPr>
      <w:b/>
      <w:bCs/>
      <w:kern w:val="2"/>
      <w:sz w:val="32"/>
      <w:szCs w:val="32"/>
    </w:rPr>
  </w:style>
  <w:style w:type="character" w:customStyle="1" w:styleId="410">
    <w:name w:val="标题 4 字符1"/>
    <w:basedOn w:val="a0"/>
    <w:semiHidden/>
    <w:rPr>
      <w:rFonts w:ascii="Calibri Light" w:eastAsia="宋体" w:hAnsi="Calibri Light" w:cs="Times New Roman"/>
      <w:b/>
      <w:bCs/>
      <w:kern w:val="2"/>
      <w:sz w:val="28"/>
      <w:szCs w:val="28"/>
    </w:rPr>
  </w:style>
  <w:style w:type="character" w:customStyle="1" w:styleId="510">
    <w:name w:val="标题 5 字符1"/>
    <w:basedOn w:val="a0"/>
    <w:semiHidden/>
    <w:rPr>
      <w:b/>
      <w:bCs/>
      <w:kern w:val="2"/>
      <w:sz w:val="28"/>
      <w:szCs w:val="28"/>
    </w:rPr>
  </w:style>
  <w:style w:type="character" w:customStyle="1" w:styleId="610">
    <w:name w:val="标题 6 字符1"/>
    <w:basedOn w:val="a0"/>
    <w:semiHidden/>
    <w:rPr>
      <w:rFonts w:ascii="Calibri Light" w:eastAsia="宋体" w:hAnsi="Calibri Light" w:cs="Times New Roman"/>
      <w:b/>
      <w:bCs/>
      <w:kern w:val="2"/>
      <w:sz w:val="24"/>
      <w:szCs w:val="24"/>
    </w:rPr>
  </w:style>
  <w:style w:type="character" w:customStyle="1" w:styleId="710">
    <w:name w:val="标题 7 字符1"/>
    <w:basedOn w:val="a0"/>
    <w:semiHidden/>
    <w:rPr>
      <w:b/>
      <w:bCs/>
      <w:kern w:val="2"/>
      <w:sz w:val="24"/>
      <w:szCs w:val="24"/>
    </w:rPr>
  </w:style>
  <w:style w:type="character" w:customStyle="1" w:styleId="810">
    <w:name w:val="标题 8 字符1"/>
    <w:basedOn w:val="a0"/>
    <w:semiHidden/>
    <w:rPr>
      <w:rFonts w:ascii="Calibri Light" w:eastAsia="宋体" w:hAnsi="Calibri Light" w:cs="Times New Roman"/>
      <w:kern w:val="2"/>
      <w:sz w:val="24"/>
      <w:szCs w:val="24"/>
    </w:rPr>
  </w:style>
  <w:style w:type="character" w:customStyle="1" w:styleId="910">
    <w:name w:val="标题 9 字符1"/>
    <w:basedOn w:val="a0"/>
    <w:semiHidden/>
    <w:rPr>
      <w:rFonts w:ascii="Calibri Light" w:eastAsia="宋体" w:hAnsi="Calibri Light" w:cs="Times New Roman"/>
      <w:kern w:val="2"/>
      <w:sz w:val="21"/>
      <w:szCs w:val="21"/>
    </w:rPr>
  </w:style>
  <w:style w:type="character" w:customStyle="1" w:styleId="1f">
    <w:name w:val="标题 字符1"/>
    <w:basedOn w:val="a0"/>
    <w:rPr>
      <w:rFonts w:ascii="Calibri Light" w:eastAsia="宋体" w:hAnsi="Calibri Light" w:cs="Times New Roman"/>
      <w:b/>
      <w:bCs/>
      <w:kern w:val="2"/>
      <w:sz w:val="32"/>
      <w:szCs w:val="32"/>
    </w:rPr>
  </w:style>
  <w:style w:type="character" w:customStyle="1" w:styleId="1f0">
    <w:name w:val="副标题 字符1"/>
    <w:basedOn w:val="a0"/>
    <w:rPr>
      <w:rFonts w:asciiTheme="minorHAnsi" w:eastAsiaTheme="minorEastAsia" w:hAnsiTheme="minorHAnsi" w:cstheme="minorBidi"/>
      <w:b/>
      <w:bCs/>
      <w:kern w:val="28"/>
      <w:sz w:val="32"/>
      <w:szCs w:val="32"/>
    </w:rPr>
  </w:style>
  <w:style w:type="character" w:customStyle="1" w:styleId="1f1">
    <w:name w:val="引用 字符1"/>
    <w:basedOn w:val="a0"/>
    <w:uiPriority w:val="99"/>
    <w:rPr>
      <w:rFonts w:asciiTheme="minorHAnsi" w:eastAsiaTheme="minorEastAsia" w:hAnsiTheme="minorHAnsi" w:cstheme="minorBidi"/>
      <w:i/>
      <w:iCs/>
      <w:color w:val="404040" w:themeColor="text1" w:themeTint="BF"/>
      <w:kern w:val="2"/>
      <w:sz w:val="21"/>
      <w:szCs w:val="24"/>
    </w:rPr>
  </w:style>
  <w:style w:type="character" w:customStyle="1" w:styleId="24">
    <w:name w:val="明显强调2"/>
    <w:basedOn w:val="a0"/>
    <w:uiPriority w:val="21"/>
    <w:qFormat/>
    <w:rPr>
      <w:i/>
      <w:iCs/>
      <w:color w:val="5B9BD5"/>
    </w:rPr>
  </w:style>
  <w:style w:type="paragraph" w:customStyle="1" w:styleId="25">
    <w:name w:val="明显引用2"/>
    <w:basedOn w:val="a"/>
    <w:next w:val="a"/>
    <w:uiPriority w:val="30"/>
    <w:qFormat/>
    <w:pPr>
      <w:widowControl/>
      <w:pBdr>
        <w:top w:val="single" w:sz="4" w:space="10" w:color="5B9BD5"/>
        <w:bottom w:val="single" w:sz="4" w:space="10" w:color="5B9BD5"/>
      </w:pBdr>
      <w:spacing w:before="360" w:after="360"/>
      <w:ind w:left="864" w:right="864"/>
      <w:jc w:val="center"/>
    </w:pPr>
    <w:rPr>
      <w:rFonts w:ascii="Times New Roman" w:eastAsia="宋体" w:hAnsi="Times New Roman" w:cs="Times New Roman"/>
      <w:i/>
      <w:iCs/>
      <w:color w:val="0F4761"/>
      <w:kern w:val="0"/>
      <w:sz w:val="20"/>
      <w:szCs w:val="20"/>
    </w:rPr>
  </w:style>
  <w:style w:type="character" w:customStyle="1" w:styleId="1f2">
    <w:name w:val="明显引用 字符1"/>
    <w:basedOn w:val="a0"/>
    <w:uiPriority w:val="99"/>
    <w:rPr>
      <w:i/>
      <w:iCs/>
      <w:color w:val="5B9BD5"/>
      <w:kern w:val="2"/>
      <w:sz w:val="21"/>
    </w:rPr>
  </w:style>
  <w:style w:type="character" w:customStyle="1" w:styleId="26">
    <w:name w:val="明显参考2"/>
    <w:basedOn w:val="a0"/>
    <w:uiPriority w:val="32"/>
    <w:qFormat/>
    <w:rPr>
      <w:b/>
      <w:bCs/>
      <w:smallCaps/>
      <w:color w:val="5B9BD5"/>
      <w:spacing w:val="5"/>
    </w:rPr>
  </w:style>
  <w:style w:type="character" w:customStyle="1" w:styleId="32">
    <w:name w:val="未处理的提及3"/>
    <w:basedOn w:val="a0"/>
    <w:rPr>
      <w:color w:val="605E5C"/>
      <w:shd w:val="clear" w:color="auto" w:fill="E1DFDD"/>
    </w:rPr>
  </w:style>
  <w:style w:type="character" w:customStyle="1" w:styleId="27">
    <w:name w:val="访问过的超链接2"/>
    <w:basedOn w:val="a0"/>
    <w:uiPriority w:val="99"/>
    <w:semiHidden/>
    <w:unhideWhenUsed/>
    <w:rPr>
      <w:color w:val="954F72"/>
      <w:u w:val="single"/>
    </w:rPr>
  </w:style>
  <w:style w:type="paragraph" w:customStyle="1" w:styleId="33">
    <w:name w:val="明显引用3"/>
    <w:basedOn w:val="a"/>
    <w:next w:val="a"/>
    <w:uiPriority w:val="30"/>
    <w:pPr>
      <w:pBdr>
        <w:top w:val="single" w:sz="4" w:space="10" w:color="4472C4"/>
        <w:bottom w:val="single" w:sz="4" w:space="10" w:color="4472C4"/>
      </w:pBdr>
      <w:spacing w:before="360" w:after="360"/>
      <w:ind w:left="864" w:right="864"/>
      <w:jc w:val="center"/>
    </w:pPr>
    <w:rPr>
      <w:rFonts w:ascii="Times New Roman" w:eastAsia="宋体" w:hAnsi="Times New Roman" w:cs="Times New Roman"/>
      <w:i/>
      <w:iCs/>
      <w:color w:val="0F4761"/>
      <w:kern w:val="0"/>
      <w:sz w:val="20"/>
      <w:szCs w:val="20"/>
    </w:rPr>
  </w:style>
  <w:style w:type="character" w:customStyle="1" w:styleId="28">
    <w:name w:val="明显引用 字符2"/>
    <w:basedOn w:val="a0"/>
    <w:uiPriority w:val="99"/>
    <w:rPr>
      <w:i/>
      <w:iCs/>
      <w:color w:val="4472C4"/>
    </w:rPr>
  </w:style>
  <w:style w:type="character" w:customStyle="1" w:styleId="34">
    <w:name w:val="明显强调3"/>
    <w:basedOn w:val="a0"/>
    <w:uiPriority w:val="21"/>
    <w:qFormat/>
    <w:rPr>
      <w:i/>
      <w:iCs/>
      <w:color w:val="4472C4"/>
    </w:rPr>
  </w:style>
  <w:style w:type="character" w:customStyle="1" w:styleId="35">
    <w:name w:val="明显参考3"/>
    <w:basedOn w:val="a0"/>
    <w:uiPriority w:val="32"/>
    <w:qFormat/>
    <w:rPr>
      <w:b/>
      <w:bCs/>
      <w:smallCaps/>
      <w:color w:val="4472C4"/>
      <w:spacing w:val="5"/>
    </w:rPr>
  </w:style>
  <w:style w:type="character" w:customStyle="1" w:styleId="220">
    <w:name w:val="标题 2 字符2"/>
    <w:basedOn w:val="a0"/>
    <w:semiHidden/>
    <w:rPr>
      <w:rFonts w:asciiTheme="majorHAnsi" w:eastAsiaTheme="majorEastAsia" w:hAnsiTheme="majorHAnsi" w:cstheme="majorBidi"/>
      <w:b/>
      <w:bCs/>
      <w:kern w:val="2"/>
      <w:sz w:val="32"/>
      <w:szCs w:val="32"/>
    </w:rPr>
  </w:style>
  <w:style w:type="character" w:customStyle="1" w:styleId="36">
    <w:name w:val="明显引用 字符3"/>
    <w:basedOn w:val="a0"/>
    <w:uiPriority w:val="99"/>
    <w:rPr>
      <w:rFonts w:asciiTheme="minorHAnsi" w:eastAsiaTheme="minorEastAsia" w:hAnsiTheme="minorHAnsi" w:cstheme="minorBidi"/>
      <w:i/>
      <w:iCs/>
      <w:color w:val="4874CB" w:themeColor="accent1"/>
      <w:kern w:val="2"/>
      <w:sz w:val="21"/>
      <w:szCs w:val="24"/>
    </w:rPr>
  </w:style>
  <w:style w:type="character" w:customStyle="1" w:styleId="42">
    <w:name w:val="明显强调4"/>
    <w:basedOn w:val="a0"/>
    <w:uiPriority w:val="21"/>
    <w:qFormat/>
    <w:rPr>
      <w:i/>
      <w:iCs/>
      <w:color w:val="4874CB" w:themeColor="accent1"/>
    </w:rPr>
  </w:style>
  <w:style w:type="character" w:customStyle="1" w:styleId="43">
    <w:name w:val="明显参考4"/>
    <w:basedOn w:val="a0"/>
    <w:uiPriority w:val="32"/>
    <w:qFormat/>
    <w:rPr>
      <w:b/>
      <w:bCs/>
      <w:smallCaps/>
      <w:color w:val="4874CB" w:themeColor="accent1"/>
      <w:spacing w:val="5"/>
    </w:rPr>
  </w:style>
  <w:style w:type="paragraph" w:customStyle="1" w:styleId="isselectedend">
    <w:name w:val="isselectedend"/>
    <w:basedOn w:val="a"/>
    <w:rsid w:val="00345F42"/>
    <w:pPr>
      <w:widowControl/>
      <w:spacing w:before="100" w:beforeAutospacing="1" w:after="100" w:afterAutospacing="1"/>
      <w:jc w:val="left"/>
    </w:pPr>
    <w:rPr>
      <w:rFonts w:ascii="宋体" w:eastAsia="宋体" w:hAnsi="宋体" w:cs="宋体"/>
      <w:kern w:val="0"/>
      <w:sz w:val="24"/>
    </w:rPr>
  </w:style>
  <w:style w:type="paragraph" w:customStyle="1" w:styleId="aff5">
    <w:name w:val="期刊正文"/>
    <w:basedOn w:val="a"/>
    <w:rsid w:val="00CB0636"/>
    <w:pPr>
      <w:widowControl/>
      <w:spacing w:line="360" w:lineRule="auto"/>
      <w:ind w:firstLine="420"/>
    </w:pPr>
    <w:rPr>
      <w:rFonts w:ascii="Times New Roman" w:eastAsia="宋体" w:hAnsi="Times New Roman" w:cs="Times New Roman"/>
      <w:color w:val="000000"/>
      <w:kern w:val="0"/>
      <w:szCs w:val="22"/>
    </w:rPr>
  </w:style>
  <w:style w:type="paragraph" w:customStyle="1" w:styleId="aff6">
    <w:name w:val="期刊公式"/>
    <w:basedOn w:val="a"/>
    <w:rsid w:val="00CB0636"/>
    <w:pPr>
      <w:widowControl/>
      <w:spacing w:before="60"/>
      <w:jc w:val="center"/>
    </w:pPr>
    <w:rPr>
      <w:rFonts w:ascii="Times New Roman" w:eastAsia="宋体" w:hAnsi="Times New Roman" w:cs="Times New Roman"/>
      <w:color w:val="000000"/>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26473">
      <w:bodyDiv w:val="1"/>
      <w:marLeft w:val="0"/>
      <w:marRight w:val="0"/>
      <w:marTop w:val="0"/>
      <w:marBottom w:val="0"/>
      <w:divBdr>
        <w:top w:val="none" w:sz="0" w:space="0" w:color="auto"/>
        <w:left w:val="none" w:sz="0" w:space="0" w:color="auto"/>
        <w:bottom w:val="none" w:sz="0" w:space="0" w:color="auto"/>
        <w:right w:val="none" w:sz="0" w:space="0" w:color="auto"/>
      </w:divBdr>
    </w:div>
    <w:div w:id="1411195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9EBEB-7800-4722-814A-4CA076E1B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16</Pages>
  <Words>2297</Words>
  <Characters>13095</Characters>
  <Application>Microsoft Office Word</Application>
  <DocSecurity>0</DocSecurity>
  <Lines>109</Lines>
  <Paragraphs>30</Paragraphs>
  <ScaleCrop>false</ScaleCrop>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彭 水军</dc:creator>
  <cp:lastModifiedBy>镇宇 杨</cp:lastModifiedBy>
  <cp:revision>8</cp:revision>
  <dcterms:created xsi:type="dcterms:W3CDTF">2026-09-29T07:57:00Z</dcterms:created>
  <dcterms:modified xsi:type="dcterms:W3CDTF">2026-09-30T15:37:00Z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AF9FE755C36311C344718A679A8220C6_41</vt:lpwstr>
  </property>
</Properties>
</file>