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spacing w:after="200"/>
        <w:jc w:val="center"/>
      </w:pPr>
      <w:r>
        <w:rPr>
          <w:rFonts w:ascii="Times New Roman" w:hAnsi="Times New Roman" w:eastAsia="宋体" w:cs="Times New Roman"/>
          <w:b/>
          <w:color w:val="000000"/>
          <w:sz w:val="36"/>
        </w:rPr>
        <w:t>2011年外资准入放宽的企业效应与部门成本识别</w:t>
      </w:r>
    </w:p>
    <w:p>
      <w:pPr>
        <w:pStyle w:val="Subtitle"/>
        <w:keepNext w:val="0"/>
        <w:keepLines w:val="0"/>
        <w:pageBreakBefore w:val="0"/>
        <w:spacing w:after="280"/>
        <w:jc w:val="center"/>
      </w:pPr>
      <w:r>
        <w:rPr>
          <w:rFonts w:ascii="Times New Roman" w:hAnsi="Times New Roman" w:eastAsia="宋体" w:cs="Times New Roman"/>
          <w:b w:val="0"/>
          <w:color w:val="000000"/>
          <w:sz w:val="21"/>
        </w:rPr>
        <w:t>研究方案 · 企业微观层面 v3.35</w:t>
      </w:r>
    </w:p>
    <w:p>
      <w:pPr>
        <w:keepNext w:val="0"/>
        <w:keepLines w:val="0"/>
        <w:pageBreakBefore w:val="0"/>
      </w:pPr>
      <w:r>
        <w:rPr>
          <w:rFonts w:ascii="Times New Roman" w:hAnsi="Times New Roman" w:eastAsia="宋体" w:cs="Times New Roman"/>
          <w:b w:val="0"/>
          <w:color w:val="000000"/>
          <w:sz w:val="24"/>
        </w:rPr>
        <w:t>外资准入规则规定外国投资者可以进入哪些业务、可以持有多少股权，以及投资需要满足什么条件。这些规则发生变化后，企业可能调整股权安排、扩大投资或改变生产业务，同行企业也可能因竞争与供应链联系受到影响。本研究以《外商投资产业指导目录（2011年修订）》的信息公开及随后实施为对象，考察本轮准入放宽对企业生产的影响，并讨论如何将能够识别的生产变化转化为部门跨国生产成本及一般均衡反事实。</w:t>
      </w:r>
    </w:p>
    <w:p>
      <w:pPr>
        <w:keepNext w:val="0"/>
        <w:keepLines w:val="0"/>
        <w:pageBreakBefore w:val="0"/>
      </w:pPr>
      <w:r>
        <w:rPr>
          <w:rFonts w:ascii="Times New Roman" w:hAnsi="Times New Roman" w:eastAsia="宋体" w:cs="Times New Roman"/>
          <w:b w:val="0"/>
          <w:color w:val="000000"/>
          <w:sz w:val="24"/>
        </w:rPr>
        <w:t>研究采用2007—2014年窗口，以2007—2010年为改革前、2011—2014年为改革后，年度动态以2010年为参照。企业处理身份根据2010年或更早的业务及适用条件确定。现有资料已经支持政策原文比较和行业分类转换，但企业具体业务、部分变量来源、最终控制关系及部门总体覆盖仍需补充核实。因此，企业效应是研究的基础；部门成本和一般均衡分析在生产目标、数据口径与模型条件能够衔接时开展。本文给出这三个层次的研究方法及其成立条件，不将计划中的分析表述为已有结果。</w:t>
      </w:r>
    </w:p>
    <w:p>
      <w:pPr>
        <w:ind w:firstLine="0"/>
        <w:jc w:val="center"/>
        <w:keepNext w:val="0"/>
        <w:keepLines w:val="0"/>
        <w:pageBreakBefore w:val="0"/>
      </w:pPr>
      <w:r>
        <w:rPr>
          <w:rFonts w:ascii="Times New Roman" w:hAnsi="Times New Roman" w:eastAsia="宋体" w:cs="Times New Roman"/>
          <w:b/>
          <w:color w:val="000000"/>
          <w:sz w:val="22"/>
        </w:rPr>
        <w:t>图A1  政策识别、部门归属与研究层次</w:t>
      </w:r>
    </w:p>
    <w:tbl>
      <w:tblPr>
        <w:tblW w:type="auto" w:w="0"/>
        <w:jc w:val="center"/>
        <w:tblLayout w:type="fixed"/>
        <w:tblLook w:firstColumn="1" w:firstRow="1" w:lastColumn="0" w:lastRow="0" w:noHBand="0" w:noVBand="1" w:val="04A0"/>
      </w:tblPr>
      <w:tblGrid>
        <w:gridCol w:w="4621"/>
        <w:gridCol w:w="4621"/>
      </w:tblGrid>
      <w:tr>
        <w:trPr>
          <w:cantSplit/>
        </w:trPr>
        <w:tc>
          <w:tcPr>
            <w:tcW w:type="dxa" w:w="4620"/>
            <w:tcBorders>
              <w:left w:val="single" w:sz="4" w:color="999999"/>
              <w:right w:val="single" w:sz="4" w:color="999999"/>
              <w:top w:val="single" w:sz="4" w:color="999999"/>
              <w:bottom w:val="single" w:sz="4" w:color="999999"/>
            </w:tcBorders>
            <w:shd w:fill="EFEFEF"/>
          </w:tcPr>
          <w:p>
            <w:pPr>
              <w:spacing w:line="288" w:lineRule="auto" w:before="100" w:after="100"/>
              <w:ind w:firstLine="0"/>
              <w:jc w:val="center"/>
              <w:keepNext w:val="0"/>
              <w:keepLines w:val="0"/>
              <w:pageBreakBefore w:val="0"/>
            </w:pPr>
            <w:r>
              <w:rPr>
                <w:rFonts w:ascii="Times New Roman" w:hAnsi="Times New Roman" w:eastAsia="宋体" w:cs="Times New Roman"/>
                <w:b/>
                <w:color w:val="000000"/>
                <w:sz w:val="21"/>
              </w:rPr>
              <w:t>路径A：固定政策处理身份</w:t>
            </w:r>
          </w:p>
        </w:tc>
        <w:tc>
          <w:tcPr>
            <w:tcW w:type="dxa" w:w="4620"/>
            <w:tcBorders>
              <w:left w:val="single" w:sz="4" w:color="999999"/>
              <w:right w:val="single" w:sz="4" w:color="999999"/>
              <w:top w:val="single" w:sz="4" w:color="999999"/>
              <w:bottom w:val="single" w:sz="4" w:color="999999"/>
            </w:tcBorders>
            <w:shd w:fill="EFEFEF"/>
          </w:tcPr>
          <w:p>
            <w:pPr>
              <w:spacing w:line="288" w:lineRule="auto" w:before="100" w:after="100"/>
              <w:ind w:firstLine="0"/>
              <w:jc w:val="center"/>
              <w:keepNext w:val="0"/>
              <w:keepLines w:val="0"/>
              <w:pageBreakBefore w:val="0"/>
            </w:pPr>
            <w:r>
              <w:rPr>
                <w:rFonts w:ascii="Times New Roman" w:hAnsi="Times New Roman" w:eastAsia="宋体" w:cs="Times New Roman"/>
                <w:b/>
                <w:color w:val="000000"/>
                <w:sz w:val="21"/>
              </w:rPr>
              <w:t>路径B：确定当期生产归属</w:t>
            </w:r>
          </w:p>
        </w:tc>
      </w:tr>
      <w:tr>
        <w:trPr>
          <w:cantSplit/>
        </w:trPr>
        <w:tc>
          <w:tcPr>
            <w:tcW w:type="dxa" w:w="4620"/>
            <w:tcBorders>
              <w:left w:val="single" w:sz="4" w:color="999999"/>
              <w:right w:val="single" w:sz="4" w:color="999999"/>
              <w:top w:val="single" w:sz="4" w:color="999999"/>
              <w:bottom w:val="single" w:sz="4" w:color="999999"/>
            </w:tcBorders>
          </w:tcPr>
          <w:p>
            <w:pPr>
              <w:spacing w:line="288" w:lineRule="auto" w:before="100" w:after="100"/>
              <w:ind w:firstLine="0"/>
              <w:jc w:val="center"/>
              <w:keepNext w:val="0"/>
              <w:keepLines w:val="0"/>
              <w:pageBreakBefore w:val="0"/>
            </w:pPr>
            <w:r>
              <w:rPr>
                <w:rFonts w:ascii="Times New Roman" w:hAnsi="Times New Roman" w:eastAsia="宋体" w:cs="Times New Roman"/>
                <w:b w:val="0"/>
                <w:color w:val="000000"/>
                <w:sz w:val="21"/>
              </w:rPr>
              <w:t>2010年或更早的真实业务</w:t>
              <w:br/>
              <w:t>或已核实版本的行业定义</w:t>
              <w:br/>
              <w:t>↓</w:t>
              <w:br/>
              <w:t>原条款、前后要求及适用条件</w:t>
              <w:br/>
              <w:t>↓</w:t>
              <w:br/>
              <w:t>固定Treat或未知状态</w:t>
            </w:r>
          </w:p>
        </w:tc>
        <w:tc>
          <w:tcPr>
            <w:tcW w:type="dxa" w:w="4620"/>
            <w:tcBorders>
              <w:left w:val="single" w:sz="4" w:color="999999"/>
              <w:right w:val="single" w:sz="4" w:color="999999"/>
              <w:top w:val="single" w:sz="4" w:color="999999"/>
              <w:bottom w:val="single" w:sz="4" w:color="999999"/>
            </w:tcBorders>
          </w:tcPr>
          <w:p>
            <w:pPr>
              <w:spacing w:line="288" w:lineRule="auto" w:before="100" w:after="100"/>
              <w:ind w:firstLine="0"/>
              <w:jc w:val="center"/>
              <w:keepNext w:val="0"/>
              <w:keepLines w:val="0"/>
              <w:pageBreakBefore w:val="0"/>
            </w:pPr>
            <w:r>
              <w:rPr>
                <w:rFonts w:ascii="Times New Roman" w:hAnsi="Times New Roman" w:eastAsia="宋体" w:cs="Times New Roman"/>
                <w:b w:val="0"/>
                <w:color w:val="000000"/>
                <w:sz w:val="21"/>
              </w:rPr>
              <w:t>各期原始行业及分类版本</w:t>
              <w:br/>
              <w:t>↓</w:t>
              <w:br/>
              <w:t>必要的新旧转换 → GB2017</w:t>
              <w:br/>
              <w:t>↓</w:t>
              <w:br/>
              <w:t>ISIC Rev.4 → AMNE → 模型部门</w:t>
            </w:r>
          </w:p>
        </w:tc>
      </w:tr>
      <w:tr>
        <w:trPr>
          <w:cantSplit/>
        </w:trPr>
        <w:tc>
          <w:tcPr>
            <w:tcW w:type="dxa" w:w="9240"/>
            <w:gridSpan w:val="2"/>
            <w:tcBorders>
              <w:left w:val="single" w:sz="4" w:color="999999"/>
              <w:right w:val="single" w:sz="4" w:color="999999"/>
              <w:top w:val="single" w:sz="4" w:color="999999"/>
              <w:bottom w:val="single" w:sz="4" w:color="999999"/>
            </w:tcBorders>
          </w:tcPr>
          <w:p>
            <w:pPr>
              <w:spacing w:line="288" w:lineRule="auto" w:before="120" w:after="120"/>
              <w:ind w:firstLine="0"/>
              <w:jc w:val="center"/>
              <w:keepNext w:val="0"/>
              <w:keepLines w:val="0"/>
              <w:pageBreakBefore w:val="0"/>
            </w:pPr>
            <w:r>
              <w:rPr>
                <w:rFonts w:ascii="Times New Roman" w:hAnsi="Times New Roman" w:eastAsia="宋体" w:cs="Times New Roman"/>
                <w:b w:val="0"/>
                <w:color w:val="000000"/>
                <w:sz w:val="21"/>
              </w:rPr>
              <w:t>↓  企业DID与生产统计：核对比较组、控制关系、生产口径和覆盖范围</w:t>
            </w:r>
          </w:p>
        </w:tc>
      </w:tr>
      <w:tr>
        <w:trPr>
          <w:cantSplit/>
        </w:trPr>
        <w:tc>
          <w:tcPr>
            <w:tcW w:type="dxa" w:w="9240"/>
            <w:gridSpan w:val="2"/>
            <w:tcBorders>
              <w:left w:val="single" w:sz="4" w:color="999999"/>
              <w:right w:val="single" w:sz="4" w:color="999999"/>
              <w:top w:val="single" w:sz="4" w:color="999999"/>
              <w:bottom w:val="single" w:sz="4" w:color="999999"/>
            </w:tcBorders>
          </w:tcPr>
          <w:p>
            <w:pPr>
              <w:spacing w:line="288" w:lineRule="auto" w:before="120" w:after="120"/>
              <w:ind w:firstLine="0"/>
              <w:jc w:val="center"/>
              <w:keepNext w:val="0"/>
              <w:keepLines w:val="0"/>
              <w:pageBreakBefore w:val="0"/>
            </w:pPr>
            <w:r>
              <w:rPr>
                <w:rFonts w:ascii="Times New Roman" w:hAnsi="Times New Roman" w:eastAsia="宋体" w:cs="Times New Roman"/>
                <w:b w:val="0"/>
                <w:color w:val="000000"/>
                <w:sz w:val="21"/>
              </w:rPr>
              <w:t>↓  2014年可比生产目标 → 等效MP成本 → 一般均衡反事实</w:t>
              <w:br/>
              <w:t>后续环节以资料和识别条件成立为前提</w:t>
            </w:r>
          </w:p>
        </w:tc>
      </w:tr>
    </w:tbl>
    <w:p>
      <w:pPr>
        <w:keepNext w:val="0"/>
        <w:keepLines w:val="0"/>
        <w:pageBreakBefore w:val="0"/>
        <w:widowControl w:val="0"/>
        <w:spacing w:before="0" w:after="0" w:line="20" w:lineRule="exact"/>
        <w:ind w:firstLine="0"/>
      </w:pPr>
      <w:r>
        <w:rPr>
          <w:rFonts w:ascii="Times New Roman" w:hAnsi="Times New Roman" w:eastAsia="宋体" w:cs="Times New Roman"/>
          <w:b w:val="0"/>
          <w:color w:val="000000"/>
          <w:sz w:val="2"/>
        </w:rPr>
        <w:br w:type="page"/>
      </w:r>
    </w:p>
    <w:p>
      <w:pPr>
        <w:pStyle w:val="Heading1"/>
        <w:keepNext w:val="0"/>
        <w:keepLines w:val="0"/>
        <w:pageBreakBefore w:val="0"/>
        <w:spacing w:before="0"/>
      </w:pPr>
      <w:r>
        <w:rPr>
          <w:rFonts w:ascii="Times New Roman" w:hAnsi="Times New Roman" w:eastAsia="宋体" w:cs="Times New Roman"/>
          <w:b/>
          <w:color w:val="000000"/>
          <w:sz w:val="28"/>
        </w:rPr>
        <w:t>A.1 研究问题、政策背景与作用机制</w:t>
      </w:r>
    </w:p>
    <w:p>
      <w:pPr>
        <w:pStyle w:val="Heading2"/>
        <w:keepNext w:val="0"/>
        <w:keepLines w:val="0"/>
        <w:pageBreakBefore w:val="0"/>
      </w:pPr>
      <w:r>
        <w:rPr>
          <w:rFonts w:ascii="Times New Roman" w:hAnsi="Times New Roman" w:eastAsia="宋体" w:cs="Times New Roman"/>
          <w:b/>
          <w:color w:val="000000"/>
          <w:sz w:val="25"/>
        </w:rPr>
        <w:t>A.1.1 研究对象与时间安排</w:t>
      </w:r>
    </w:p>
    <w:p>
      <w:pPr>
        <w:keepNext w:val="0"/>
        <w:keepLines w:val="0"/>
        <w:pageBreakBefore w:val="0"/>
      </w:pPr>
      <w:r>
        <w:rPr>
          <w:rFonts w:ascii="Times New Roman" w:hAnsi="Times New Roman" w:eastAsia="宋体" w:cs="Times New Roman"/>
          <w:b w:val="0"/>
          <w:color w:val="000000"/>
          <w:sz w:val="24"/>
        </w:rPr>
        <w:t>2011年目录修订于当年4月公开征求意见，正式目录于12月公布，自2012年1月30日起施行。[1—3] 本研究把2011年纳入改革后，考察政策信息公开及随后实施的连续过程。2011年的年度变化主要反映信息公开后的反应，2012年反映实施后的反应，2013—2014年反映后续调整。年度数据无法单独分离4月公告与12月正式公布的作用，静态估计也不解释为法律实施当年的独立效果。</w:t>
      </w:r>
    </w:p>
    <w:p>
      <w:pPr>
        <w:keepNext w:val="0"/>
        <w:keepLines w:val="0"/>
        <w:pageBreakBefore w:val="0"/>
      </w:pPr>
      <w:r>
        <w:rPr>
          <w:rFonts w:ascii="Times New Roman" w:hAnsi="Times New Roman" w:eastAsia="宋体" w:cs="Times New Roman"/>
          <w:b w:val="0"/>
          <w:color w:val="000000"/>
          <w:sz w:val="24"/>
        </w:rPr>
        <w:t>本轮放宽通过比较2007版目录、2011年征求意见稿、正式目录及当时有效的相关规定加以识别。比较的对象是同一项改革前业务在不同规则下可以接受外资的条件。例如，允许外资持股的上限提高，即使提高后仍有限制，也可能构成本轮放宽。条目退出鼓励类、条文合并或名称变更是否改变准入条件，则需要结合其他规定判断。国家发展改革委的修订说明指出，新目录吸收了2007年以来已经出台的政策内容，因此版本间的文字差异不必然代表2011年新增加的开放机会。[4]</w:t>
      </w:r>
    </w:p>
    <w:p>
      <w:pPr>
        <w:keepNext w:val="0"/>
        <w:keepLines w:val="0"/>
        <w:pageBreakBefore w:val="0"/>
      </w:pPr>
      <w:r>
        <w:rPr>
          <w:rFonts w:ascii="Times New Roman" w:hAnsi="Times New Roman" w:eastAsia="宋体" w:cs="Times New Roman"/>
          <w:b w:val="0"/>
          <w:color w:val="000000"/>
          <w:sz w:val="24"/>
        </w:rPr>
        <w:t>2007版目录在2007年12月1日才开始实施。2007年仍保留在改革前窗口，但对当年已经受到目录更替影响的业务作单独标记，并在后续比较中检验其影响。[1] 草案与正式目录也分别保存，记录有关变化是否已经出现在4月草案中。时间划分保持一致，法律事实的差别通过具体业务及年度动态解释。</w:t>
      </w:r>
    </w:p>
    <w:p>
      <w:pPr>
        <w:pStyle w:val="Heading2"/>
        <w:keepNext w:val="0"/>
        <w:keepLines w:val="0"/>
        <w:pageBreakBefore w:val="0"/>
      </w:pPr>
      <w:r>
        <w:rPr>
          <w:rFonts w:ascii="Times New Roman" w:hAnsi="Times New Roman" w:eastAsia="宋体" w:cs="Times New Roman"/>
          <w:b/>
          <w:color w:val="000000"/>
          <w:sz w:val="25"/>
        </w:rPr>
        <w:t>A.1.2 企业反应与可检验的机制</w:t>
      </w:r>
    </w:p>
    <w:p>
      <w:pPr>
        <w:keepNext w:val="0"/>
        <w:keepLines w:val="0"/>
        <w:pageBreakBefore w:val="0"/>
      </w:pPr>
      <w:r>
        <w:rPr>
          <w:rFonts w:ascii="Times New Roman" w:hAnsi="Times New Roman" w:eastAsia="宋体" w:cs="Times New Roman"/>
          <w:b w:val="0"/>
          <w:color w:val="000000"/>
          <w:sz w:val="24"/>
        </w:rPr>
        <w:t>外资股比或合资要求限制了企业可以选择的所有权结构。放宽这些要求，可能使外国投资者增加持股、调整管理权，并改变技术投入和投资激励。Eppinger和Ma（2023）利用中国此前的外资准入改革研究所有权调整，提供了将具体产品与政策要求相匹配的研究范例。[5] 该文使用企业主要产品文字，本研究当前税调资料尚未发现同类字段，因而只能借鉴其重视业务适用的思路，不能直接假定具有相同的匹配精度。</w:t>
      </w:r>
    </w:p>
    <w:p>
      <w:pPr>
        <w:keepNext w:val="0"/>
        <w:keepLines w:val="0"/>
        <w:pageBreakBefore w:val="0"/>
      </w:pPr>
      <w:r>
        <w:rPr>
          <w:rFonts w:ascii="Times New Roman" w:hAnsi="Times New Roman" w:eastAsia="宋体" w:cs="Times New Roman"/>
          <w:b w:val="0"/>
          <w:color w:val="000000"/>
          <w:sz w:val="24"/>
        </w:rPr>
        <w:t>国内企业同样可能受到影响。改革可能扩大其接受外资收购或增资的机会，也可能通过竞争加剧、采购关系和技术传播改变其经营状况。企业是否在改革后实际引入外资，是需要解释的行为结果，不能据此决定其改革前是否属于处理组。有关项目和交易的适用还需遵守核准、并购及行业专项规则；目录变化不等于既有企业的原批准条件自动变更。[4,6]</w:t>
      </w:r>
    </w:p>
    <w:p>
      <w:pPr>
        <w:keepNext w:val="0"/>
        <w:keepLines w:val="0"/>
        <w:pageBreakBefore w:val="0"/>
      </w:pPr>
      <w:r>
        <w:rPr>
          <w:rFonts w:ascii="Times New Roman" w:hAnsi="Times New Roman" w:eastAsia="宋体" w:cs="Times New Roman"/>
          <w:b w:val="0"/>
          <w:color w:val="000000"/>
          <w:sz w:val="24"/>
        </w:rPr>
        <w:t>生产扩张、控制权变化与外国控制生产份额上升具有不同含义。某企业从国内控制转为外国控制，即使产出不变，也会提高外国控制企业的生产份额；同一份额上升还可能来自外国企业扩张或国内企业收缩。研究因此分别考察总生产、外国与国内控制生产，以及能够观察的投资和控制权变化。外资持股增加是否改善生产效率、竞争是否促进国内企业调整，均作为待检验的机制，不预设所有企业或部门的反应方向相同。</w:t>
      </w:r>
    </w:p>
    <w:p>
      <w:pPr>
        <w:pStyle w:val="Heading2"/>
        <w:keepNext w:val="0"/>
        <w:keepLines w:val="0"/>
        <w:pageBreakBefore w:val="0"/>
      </w:pPr>
      <w:r>
        <w:rPr>
          <w:rFonts w:ascii="Times New Roman" w:hAnsi="Times New Roman" w:eastAsia="宋体" w:cs="Times New Roman"/>
          <w:b/>
          <w:color w:val="000000"/>
          <w:sz w:val="25"/>
        </w:rPr>
        <w:t>A.1.3 企业分析与结构分析的关系</w:t>
      </w:r>
    </w:p>
    <w:p>
      <w:pPr>
        <w:keepNext w:val="0"/>
        <w:keepLines w:val="0"/>
        <w:pageBreakBefore w:val="0"/>
      </w:pPr>
      <w:r>
        <w:rPr>
          <w:rFonts w:ascii="Times New Roman" w:hAnsi="Times New Roman" w:eastAsia="宋体" w:cs="Times New Roman"/>
          <w:b w:val="0"/>
          <w:color w:val="000000"/>
          <w:sz w:val="24"/>
        </w:rPr>
        <w:t>跨国生产（multinational production，MP）指企业在其母国之外组织生产。其产品可以在生产国销售，也可以销往其他国家，所以跨国生产价值不同于外资流入额或出口额。经济合作与发展组织的分析性跨国企业活动数据库（OECD Analytical AMNE，以下简称AMNE）提供按国家、部门和企业控制类型组织的生产资料，可用于连接企业证据与部门模型。[7]</w:t>
      </w:r>
    </w:p>
    <w:p>
      <w:pPr>
        <w:keepNext w:val="0"/>
        <w:keepLines w:val="0"/>
        <w:pageBreakBefore w:val="0"/>
      </w:pPr>
      <w:r>
        <w:rPr>
          <w:rFonts w:ascii="Times New Roman" w:hAnsi="Times New Roman" w:eastAsia="宋体" w:cs="Times New Roman"/>
          <w:b w:val="0"/>
          <w:color w:val="000000"/>
          <w:sz w:val="24"/>
        </w:rPr>
        <w:t>研究依次回答三个问题：哪些企业的改革前业务受到本轮放宽，受到放宽的企业相对可比企业发生了什么变化，以及这些变化能否解释部门跨国生产结构的调整。第三个问题需要额外的数据和模型条件。企业样本中的相对效应不能直接当成全国部门的总量变化，部门份额的变化也不能未经模型推导便解释为成本下降。</w:t>
      </w:r>
    </w:p>
    <w:p>
      <w:pPr>
        <w:keepNext w:val="0"/>
        <w:keepLines w:val="0"/>
        <w:pageBreakBefore w:val="0"/>
      </w:pPr>
      <w:r>
        <w:rPr>
          <w:rFonts w:ascii="Times New Roman" w:hAnsi="Times New Roman" w:eastAsia="宋体" w:cs="Times New Roman"/>
          <w:b w:val="0"/>
          <w:color w:val="000000"/>
          <w:sz w:val="24"/>
        </w:rPr>
        <w:t>为保持这一关系，政策适用识别与部门归属分开进行。政策路径使用改革前信息，形成固定处理身份；部门路径使用各期行业资料，确定当期生产计入哪个部门。两条路径在生产分析中衔接，具体安排见图A1。行业分类可以提供业务范围的参照，但不会增加原数据中没有的产品或资格信息。</w:t>
      </w:r>
    </w:p>
    <w:p>
      <w:pPr>
        <w:pStyle w:val="Heading1"/>
        <w:keepNext w:val="0"/>
        <w:keepLines w:val="0"/>
        <w:pageBreakBefore w:val="0"/>
        <w:spacing w:before="0"/>
      </w:pPr>
      <w:r>
        <w:rPr>
          <w:rFonts w:ascii="Times New Roman" w:hAnsi="Times New Roman" w:eastAsia="宋体" w:cs="Times New Roman"/>
          <w:b/>
          <w:color w:val="000000"/>
          <w:sz w:val="28"/>
        </w:rPr>
        <w:t>A.2 企业资料、样本范围与主要变量</w:t>
      </w:r>
    </w:p>
    <w:p>
      <w:pPr>
        <w:pStyle w:val="Heading2"/>
        <w:keepNext w:val="0"/>
        <w:keepLines w:val="0"/>
        <w:pageBreakBefore w:val="0"/>
      </w:pPr>
      <w:r>
        <w:rPr>
          <w:rFonts w:ascii="Times New Roman" w:hAnsi="Times New Roman" w:eastAsia="宋体" w:cs="Times New Roman"/>
          <w:b/>
          <w:color w:val="000000"/>
          <w:sz w:val="25"/>
        </w:rPr>
        <w:t>A.2.1 现有资料能够提供什么</w:t>
      </w:r>
    </w:p>
    <w:p>
      <w:pPr>
        <w:keepNext w:val="0"/>
        <w:keepLines w:val="0"/>
        <w:pageBreakBefore w:val="0"/>
      </w:pPr>
      <w:r>
        <w:rPr>
          <w:rFonts w:ascii="Times New Roman" w:hAnsi="Times New Roman" w:eastAsia="宋体" w:cs="Times New Roman"/>
          <w:b w:val="0"/>
          <w:color w:val="000000"/>
          <w:sz w:val="24"/>
        </w:rPr>
        <w:t>主要微观资料为本地2007—2014年度税收调查DTA及配套填报说明。年度DTA带有整理者标签，现有文件不能直接视为未经处理的原始报送表。字段名称、标签行号与各年原表的关系，需要结合整理字典或处理脚本进一步核对。基本信息表提供企业标识、名称、地址和行政区划等信息，行业字段需要从年度表取得。[8]</w:t>
      </w:r>
    </w:p>
    <w:p>
      <w:pPr>
        <w:keepNext w:val="0"/>
        <w:keepLines w:val="0"/>
        <w:pageBreakBefore w:val="0"/>
      </w:pPr>
      <w:r>
        <w:rPr>
          <w:rFonts w:ascii="Times New Roman" w:hAnsi="Times New Roman" w:eastAsia="宋体" w:cs="Times New Roman"/>
          <w:b w:val="0"/>
          <w:color w:val="000000"/>
          <w:sz w:val="24"/>
        </w:rPr>
        <w:t>现有行业字段最高可表示“门类字母＋四位小类”，例如C4190。门类表示制造业等大范围活动，四位数字表示更细的行业类别。企业代码所代表的是主要经济活动所属类别，不能据此断言企业只有一种业务。2007年填报说明明确采用GB/T 4754—2002，并要求按税务登记证表的国标行业填写。其他年份尚缺少能够确定现有DTA分类口径的完整来源说明，表A1区分已确认的调查要求与代码抽查支持的推断。</w:t>
      </w:r>
      <w:r>
        <w:rPr>
          <w:rFonts w:ascii="Times New Roman" w:hAnsi="Times New Roman" w:eastAsia="宋体" w:cs="Times New Roman"/>
          <w:b w:val="0"/>
          <w:color w:val="000000"/>
          <w:sz w:val="2"/>
        </w:rPr>
        <w:br w:type="page"/>
      </w:r>
    </w:p>
    <w:p>
      <w:pPr>
        <w:keepNext w:val="0"/>
        <w:keepLines w:val="0"/>
        <w:pageBreakBefore w:val="0"/>
        <w:ind w:firstLine="0"/>
        <w:jc w:val="center"/>
      </w:pPr>
      <w:r>
        <w:rPr>
          <w:rFonts w:ascii="Times New Roman" w:hAnsi="Times New Roman" w:eastAsia="宋体" w:cs="Times New Roman"/>
          <w:b/>
          <w:color w:val="000000"/>
          <w:sz w:val="22"/>
        </w:rPr>
        <w:t>表A1 现有税调行业字段及分类版本证据</w:t>
      </w:r>
    </w:p>
    <w:tbl>
      <w:tblPr>
        <w:tblW w:type="auto" w:w="0"/>
        <w:jc w:val="center"/>
        <w:tblLayout w:type="fixed"/>
        <w:tblLook w:firstColumn="1" w:firstRow="1" w:lastColumn="0" w:lastRow="0" w:noHBand="0" w:noVBand="1" w:val="04A0"/>
      </w:tblPr>
      <w:tblGrid>
        <w:gridCol w:w="1417"/>
        <w:gridCol w:w="2324"/>
        <w:gridCol w:w="5499"/>
      </w:tblGrid>
      <w:tr>
        <w:trPr>
          <w:cantSplit/>
          <w:tblHeader/>
        </w:trPr>
        <w:tc>
          <w:tcPr>
            <w:tcW w:type="dxa" w:w="1417"/>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年度</w:t>
            </w:r>
          </w:p>
        </w:tc>
        <w:tc>
          <w:tcPr>
            <w:tcW w:type="dxa" w:w="2324"/>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行业字段</w:t>
            </w:r>
          </w:p>
        </w:tc>
        <w:tc>
          <w:tcPr>
            <w:tcW w:type="dxa" w:w="5499"/>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分类口径与证据边界</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2007</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；另有</w:t>
            </w:r>
            <w:r>
              <w:rPr>
                <w:rFonts w:ascii="Consolas" w:hAnsi="Consolas" w:eastAsia="宋体" w:cs="Consolas"/>
                <w:b w:val="0"/>
                <w:color w:val="000000"/>
                <w:sz w:val="19"/>
              </w:rPr>
              <w:t>industry1</w:t>
            </w:r>
            <w:r>
              <w:rPr>
                <w:rFonts w:ascii="Times New Roman" w:hAnsi="Times New Roman" w:eastAsia="宋体" w:cs="Times New Roman"/>
                <w:b w:val="0"/>
                <w:color w:val="000000"/>
                <w:sz w:val="21"/>
              </w:rPr>
              <w:t>、</w:t>
            </w:r>
            <w:r>
              <w:rPr>
                <w:rFonts w:ascii="Consolas" w:hAnsi="Consolas" w:eastAsia="宋体" w:cs="Consolas"/>
                <w:b w:val="0"/>
                <w:color w:val="000000"/>
                <w:sz w:val="19"/>
              </w:rPr>
              <w:t>industry2</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填报说明明确GB2002；后两字段是字母、数字拆分。整理后逐行口径仍需核对。</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2008—2010</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hylb</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有限代码抽查支持GB2002；本地说明尚不能确认整份数据的分类版本。</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2011</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hylb</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有限代码抽查支持GB2011；仍需年度信息表或整理记录确认。</w:t>
            </w:r>
          </w:p>
        </w:tc>
      </w:tr>
      <w:tr>
        <w:trPr>
          <w:cantSplit/>
        </w:trPr>
        <w:tc>
          <w:tcPr>
            <w:tcW w:type="dxa" w:w="1417"/>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2012</w:t>
            </w:r>
          </w:p>
        </w:tc>
        <w:tc>
          <w:tcPr>
            <w:tcW w:type="dxa" w:w="232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w:t>
            </w:r>
            <w:r>
              <w:rPr>
                <w:rFonts w:ascii="Consolas" w:hAnsi="Consolas" w:eastAsia="宋体" w:cs="Consolas"/>
                <w:b w:val="0"/>
                <w:color w:val="000000"/>
                <w:sz w:val="19"/>
              </w:rPr>
              <w:t>hydm</w:t>
            </w:r>
          </w:p>
        </w:tc>
        <w:tc>
          <w:tcPr>
            <w:tcW w:type="dxa" w:w="5499"/>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样本支持GB2011；双字段来源及转换关系未明。</w:t>
            </w:r>
          </w:p>
        </w:tc>
      </w:tr>
      <w:tr>
        <w:trPr>
          <w:cantSplit/>
        </w:trPr>
        <w:tc>
          <w:tcPr>
            <w:tcW w:type="dxa" w:w="1417"/>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2013—2014</w:t>
            </w:r>
          </w:p>
        </w:tc>
        <w:tc>
          <w:tcPr>
            <w:tcW w:type="dxa" w:w="2324"/>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Consolas" w:hAnsi="Consolas" w:eastAsia="宋体" w:cs="Consolas"/>
                <w:b w:val="0"/>
                <w:color w:val="000000"/>
                <w:sz w:val="19"/>
              </w:rPr>
              <w:t>industry</w:t>
            </w:r>
            <w:r>
              <w:rPr>
                <w:rFonts w:ascii="Times New Roman" w:hAnsi="Times New Roman" w:eastAsia="宋体" w:cs="Times New Roman"/>
                <w:b w:val="0"/>
                <w:color w:val="000000"/>
                <w:sz w:val="21"/>
              </w:rPr>
              <w:t>、</w:t>
            </w:r>
            <w:r>
              <w:rPr>
                <w:rFonts w:ascii="Consolas" w:hAnsi="Consolas" w:eastAsia="宋体" w:cs="Consolas"/>
                <w:b w:val="0"/>
                <w:color w:val="000000"/>
                <w:sz w:val="19"/>
              </w:rPr>
              <w:t>hy_dm</w:t>
            </w:r>
          </w:p>
        </w:tc>
        <w:tc>
          <w:tcPr>
            <w:tcW w:type="dxa" w:w="5499"/>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样本支持GB2011；双字段来源及转换关系未明。</w:t>
            </w:r>
          </w:p>
        </w:tc>
      </w:tr>
    </w:tbl>
    <w:p>
      <w:pPr>
        <w:keepNext w:val="0"/>
        <w:keepLines w:val="0"/>
        <w:pageBreakBefore w:val="0"/>
        <w:spacing w:line="276" w:lineRule="auto" w:before="80"/>
        <w:ind w:firstLine="0"/>
      </w:pPr>
      <w:r>
        <w:rPr>
          <w:rFonts w:ascii="Times New Roman" w:hAnsi="Times New Roman" w:eastAsia="宋体" w:cs="Times New Roman"/>
          <w:b w:val="0"/>
          <w:color w:val="000000"/>
          <w:sz w:val="20"/>
        </w:rPr>
        <w:t>表注：依据年度DTA元数据、填报资料及每年文件前5,000行的非随机抽查。抽查不代表全样本覆盖率，也不能排除混合版本。2012—2014年双字段共同非空的抽查记录一致，但缺失范围不同，尚不能据此确定替代或填补规则。保留原始字符串，避免数值化丢失前导零。[8]</w:t>
      </w:r>
    </w:p>
    <w:p>
      <w:pPr>
        <w:keepNext w:val="0"/>
        <w:keepLines w:val="0"/>
        <w:pageBreakBefore w:val="0"/>
      </w:pPr>
      <w:r>
        <w:rPr>
          <w:rFonts w:ascii="Times New Roman" w:hAnsi="Times New Roman" w:eastAsia="宋体" w:cs="Times New Roman"/>
          <w:b w:val="0"/>
          <w:color w:val="000000"/>
          <w:sz w:val="24"/>
        </w:rPr>
        <w:t>目前未发现明确记录主营业务、核心产品或经营范围的文字字段。“主营业务收入”“主营业务成本”等是金额，不能作为业务描述。企业名称也不足以证明其具体产品及法律适用。需要更细业务证据的企业，可考虑查找改革前工商档案、同期年报或其他能够追溯到2010年及以前的资料；这些补充来源是否可得、能否可靠对应到税调企业，仍需验证。</w:t>
      </w:r>
    </w:p>
    <w:p>
      <w:pPr>
        <w:pStyle w:val="Heading2"/>
        <w:keepNext w:val="0"/>
        <w:keepLines w:val="0"/>
        <w:pageBreakBefore w:val="0"/>
      </w:pPr>
      <w:r>
        <w:rPr>
          <w:rFonts w:ascii="Times New Roman" w:hAnsi="Times New Roman" w:eastAsia="宋体" w:cs="Times New Roman"/>
          <w:b/>
          <w:color w:val="000000"/>
          <w:sz w:val="25"/>
        </w:rPr>
        <w:t>A.2.2 生产、收入、投资与控制关系</w:t>
      </w:r>
    </w:p>
    <w:p>
      <w:pPr>
        <w:keepNext w:val="0"/>
        <w:keepLines w:val="0"/>
        <w:pageBreakBefore w:val="0"/>
      </w:pPr>
      <w:r>
        <w:rPr>
          <w:rFonts w:ascii="Times New Roman" w:hAnsi="Times New Roman" w:eastAsia="宋体" w:cs="Times New Roman"/>
          <w:b w:val="0"/>
          <w:color w:val="000000"/>
          <w:sz w:val="24"/>
        </w:rPr>
        <w:t>企业生产价值记为</w:t>
      </w:r>
      <m:oMath>
        <m:sSub>
          <m:e>
            <m:r>
              <w:rPr>
                <w:rFonts w:ascii="Cambria Math" w:hAnsi="Cambria Math" w:cs="Cambria Math" w:eastAsia="宋体"/>
                <w:sz w:val="24"/>
              </w:rPr>
              <m:t>Q</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，其中</w:t>
      </w:r>
      <m:oMath>
        <m:r>
          <w:rPr>
            <w:rFonts w:ascii="Cambria Math" w:hAnsi="Cambria Math" w:cs="Cambria Math" w:eastAsia="宋体"/>
            <w:sz w:val="24"/>
          </w:rPr>
          <m:t>f</m:t>
        </m:r>
      </m:oMath>
      <w:r>
        <w:rPr>
          <w:rFonts w:ascii="Times New Roman" w:hAnsi="Times New Roman" w:eastAsia="宋体" w:cs="Times New Roman"/>
          <w:b w:val="0"/>
          <w:color w:val="000000"/>
          <w:sz w:val="24"/>
        </w:rPr>
        <w:t>为企业、</w:t>
      </w:r>
      <m:oMath>
        <m:r>
          <w:rPr>
            <w:rFonts w:ascii="Cambria Math" w:hAnsi="Cambria Math" w:cs="Cambria Math" w:eastAsia="宋体"/>
            <w:sz w:val="24"/>
          </w:rPr>
          <m:t>t</m:t>
        </m:r>
      </m:oMath>
      <w:r>
        <w:rPr>
          <w:rFonts w:ascii="Times New Roman" w:hAnsi="Times New Roman" w:eastAsia="宋体" w:cs="Times New Roman"/>
          <w:b w:val="0"/>
          <w:color w:val="000000"/>
          <w:sz w:val="24"/>
        </w:rPr>
        <w:t>为年份。它表示企业在一定期间形成的生产活动价值。营业收入记为</w:t>
      </w:r>
      <m:oMath>
        <m:sSub>
          <m:e>
            <m:r>
              <w:rPr>
                <w:rFonts w:ascii="Cambria Math" w:hAnsi="Cambria Math" w:cs="Cambria Math" w:eastAsia="宋体"/>
                <w:sz w:val="24"/>
              </w:rPr>
              <m:t>R</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，反映销售及相关经营收入。两者会因存货变化、转售业务及行业核算方式而不同。若只能取得收入，企业层面可以研究收入反应，但结果不直接命名为生产数量或生产率变化，也不直接替代AMNE生产价值。</w:t>
      </w:r>
    </w:p>
    <w:p>
      <w:pPr>
        <w:keepNext w:val="0"/>
        <w:keepLines w:val="0"/>
        <w:pageBreakBefore w:val="0"/>
      </w:pPr>
      <w:r>
        <w:rPr>
          <w:rFonts w:ascii="Times New Roman" w:hAnsi="Times New Roman" w:eastAsia="宋体" w:cs="Times New Roman"/>
          <w:b w:val="0"/>
          <w:color w:val="000000"/>
          <w:sz w:val="24"/>
        </w:rPr>
        <w:t>现有DTA中，2007年的</w:t>
      </w:r>
      <w:r>
        <w:rPr>
          <w:rFonts w:ascii="Consolas" w:hAnsi="Consolas" w:eastAsia="宋体" w:cs="Consolas"/>
          <w:b w:val="0"/>
          <w:color w:val="000000"/>
          <w:sz w:val="22"/>
        </w:rPr>
        <w:t>m310</w:t>
      </w:r>
      <w:r>
        <w:rPr>
          <w:rFonts w:ascii="Times New Roman" w:hAnsi="Times New Roman" w:eastAsia="宋体" w:cs="Times New Roman"/>
          <w:b w:val="0"/>
          <w:color w:val="000000"/>
          <w:sz w:val="24"/>
        </w:rPr>
        <w:t>、2008—2011年的</w:t>
      </w:r>
      <w:r>
        <w:rPr>
          <w:rFonts w:ascii="Consolas" w:hAnsi="Consolas" w:eastAsia="宋体" w:cs="Consolas"/>
          <w:b w:val="0"/>
          <w:color w:val="000000"/>
          <w:sz w:val="22"/>
        </w:rPr>
        <w:t>qt_zcz</w:t>
      </w:r>
      <w:r>
        <w:rPr>
          <w:rFonts w:ascii="Times New Roman" w:hAnsi="Times New Roman" w:eastAsia="宋体" w:cs="Times New Roman"/>
          <w:b w:val="0"/>
          <w:color w:val="000000"/>
          <w:sz w:val="24"/>
        </w:rPr>
        <w:t>标为本年企业总产值；2012、2013、2014年的候选字段分别为</w:t>
      </w:r>
      <w:r>
        <w:rPr>
          <w:rFonts w:ascii="Consolas" w:hAnsi="Consolas" w:eastAsia="宋体" w:cs="Consolas"/>
          <w:b w:val="0"/>
          <w:color w:val="000000"/>
          <w:sz w:val="22"/>
        </w:rPr>
        <w:t>f437</w:t>
      </w:r>
      <w:r>
        <w:rPr>
          <w:rFonts w:ascii="Times New Roman" w:hAnsi="Times New Roman" w:eastAsia="宋体" w:cs="Times New Roman"/>
          <w:b w:val="0"/>
          <w:color w:val="000000"/>
          <w:sz w:val="24"/>
        </w:rPr>
        <w:t>、</w:t>
      </w:r>
      <w:r>
        <w:rPr>
          <w:rFonts w:ascii="Consolas" w:hAnsi="Consolas" w:eastAsia="宋体" w:cs="Consolas"/>
          <w:b w:val="0"/>
          <w:color w:val="000000"/>
          <w:sz w:val="22"/>
        </w:rPr>
        <w:t>f440</w:t>
      </w:r>
      <w:r>
        <w:rPr>
          <w:rFonts w:ascii="Times New Roman" w:hAnsi="Times New Roman" w:eastAsia="宋体" w:cs="Times New Roman"/>
          <w:b w:val="0"/>
          <w:color w:val="000000"/>
          <w:sz w:val="24"/>
        </w:rPr>
        <w:t>、</w:t>
      </w:r>
      <w:r>
        <w:rPr>
          <w:rFonts w:ascii="Consolas" w:hAnsi="Consolas" w:eastAsia="宋体" w:cs="Consolas"/>
          <w:b w:val="0"/>
          <w:color w:val="000000"/>
          <w:sz w:val="22"/>
        </w:rPr>
        <w:t>f393</w:t>
      </w:r>
      <w:r>
        <w:rPr>
          <w:rFonts w:ascii="Times New Roman" w:hAnsi="Times New Roman" w:eastAsia="宋体" w:cs="Times New Roman"/>
          <w:b w:val="0"/>
          <w:color w:val="000000"/>
          <w:sz w:val="24"/>
        </w:rPr>
        <w:t>，含义来自当年企业表对应行次。已读填报说明将总产值定义为独立核算企业形成的最终产品或提供劳务的总价值，并未统一限定为工业专用指标，但这也不能证明各行业都有完整、可比的填报。营业收入、所得税申报收入与总产值分别核对；商贸企业的商品销售全额尤其不能直接等同于商贸服务产出。[8]</w:t>
      </w:r>
    </w:p>
    <w:p>
      <w:pPr>
        <w:keepNext w:val="0"/>
        <w:keepLines w:val="0"/>
        <w:pageBreakBefore w:val="0"/>
      </w:pPr>
      <w:r>
        <w:rPr>
          <w:rFonts w:ascii="Times New Roman" w:hAnsi="Times New Roman" w:eastAsia="宋体" w:cs="Times New Roman"/>
          <w:b w:val="0"/>
          <w:color w:val="000000"/>
          <w:sz w:val="24"/>
        </w:rPr>
        <w:t>这些候选关系还需核对整理过程。例如，2008—2011年</w:t>
      </w:r>
      <w:r>
        <w:rPr>
          <w:rFonts w:ascii="Consolas" w:hAnsi="Consolas" w:eastAsia="宋体" w:cs="Consolas"/>
          <w:b w:val="0"/>
          <w:color w:val="000000"/>
          <w:sz w:val="22"/>
        </w:rPr>
        <w:t>qt_zcz</w:t>
      </w:r>
      <w:r>
        <w:rPr>
          <w:rFonts w:ascii="Times New Roman" w:hAnsi="Times New Roman" w:eastAsia="宋体" w:cs="Times New Roman"/>
          <w:b w:val="0"/>
          <w:color w:val="000000"/>
          <w:sz w:val="24"/>
        </w:rPr>
        <w:t>的标签统一写为行437，但2008、2009、2010年原表总产值分别位于行267、310、365。差异本身不能证明整理有误，也不能以统一标签代替来源核验。原表金额单位为千元，当前DTA是否另作换算仍须查明。研究据此建立逐年变量来源表，记录原表项目、直接字段、单位、适用范围和转换方式，优先在生产指标可比的部门开展分析。</w:t>
      </w:r>
    </w:p>
    <w:p>
      <w:pPr>
        <w:keepNext w:val="0"/>
        <w:keepLines w:val="0"/>
        <w:pageBreakBefore w:val="0"/>
      </w:pPr>
      <w:r>
        <w:rPr>
          <w:rFonts w:ascii="Times New Roman" w:hAnsi="Times New Roman" w:eastAsia="宋体" w:cs="Times New Roman"/>
          <w:b w:val="0"/>
          <w:color w:val="000000"/>
          <w:sz w:val="24"/>
        </w:rPr>
        <w:t>所有金额统一单位和价格口径。按行业价格指数调整名义金额时，所得仍是价格调整后的价值指标，不能在缺少产品数量和企业价格的情况下解释为纯粹物量变化。部门加总则须与所选AMNE及模型基准年的估值保持一致。</w:t>
      </w:r>
    </w:p>
    <w:p>
      <w:pPr>
        <w:keepNext w:val="0"/>
        <w:keepLines w:val="0"/>
        <w:pageBreakBefore w:val="0"/>
      </w:pPr>
      <w:r>
        <w:rPr>
          <w:rFonts w:ascii="Times New Roman" w:hAnsi="Times New Roman" w:eastAsia="宋体" w:cs="Times New Roman"/>
          <w:b w:val="0"/>
          <w:color w:val="000000"/>
          <w:sz w:val="24"/>
        </w:rPr>
        <w:t>投资和就业用于帮助理解生产变化。固定资产原值、净值和本年增加额分别反映不同会计概念；资产账面值之差还包括折旧、处置及重估，不能直接视为新增投资。税调的“本年增加固定资产”按自身填报定义使用，不等同于完整资本形成或外资流入。就业口径也有变化：已读2007—2009年原表采用全年平均人数，2010—2014年原表采用年初、年末人数。即使整理表出现统一字段，也不能据此认定全年口径一致。研究分别确认能够形成面板的指标；没有可比来源的结果保留为待补充项目。</w:t>
      </w:r>
    </w:p>
    <w:p>
      <w:pPr>
        <w:keepNext w:val="0"/>
        <w:keepLines w:val="0"/>
        <w:pageBreakBefore w:val="0"/>
      </w:pPr>
      <w:r>
        <w:rPr>
          <w:rFonts w:ascii="Times New Roman" w:hAnsi="Times New Roman" w:eastAsia="宋体" w:cs="Times New Roman"/>
          <w:b w:val="0"/>
          <w:color w:val="000000"/>
          <w:sz w:val="24"/>
        </w:rPr>
        <w:t>外国控制关系的要求高于登记注册类型或直接出资比例。登记为外商投资企业，并不自动表示外国投资者拥有多数控制权；直接资本来源也未必揭示最终控制主体。现有资料尚未证实2007—2014年能够连续取得外商、港澳台资本分项，更未证实能够识别最终控制母国。因而外国持股、外国控制及其生产份额只能在相应字段或外部控制链资料核实后构造。登记类型可以作为自身含义明确的描述或行为指标，不能替代最终控制。</w:t>
      </w:r>
    </w:p>
    <w:p>
      <w:pPr>
        <w:keepNext w:val="0"/>
        <w:keepLines w:val="0"/>
        <w:pageBreakBefore w:val="0"/>
      </w:pPr>
      <w:r>
        <w:rPr>
          <w:rFonts w:ascii="Times New Roman" w:hAnsi="Times New Roman" w:eastAsia="宋体" w:cs="Times New Roman"/>
          <w:b w:val="0"/>
          <w:color w:val="000000"/>
          <w:sz w:val="24"/>
        </w:rPr>
        <w:t>AMNE控制定义须按选定发布版核对。本地2024版说明采用超过50%的所有权标准，并对中国数据作了相应处理。[7] 使用其他发布版时应重新确认门槛、间接控制、港澳台及境外回流投资的处理。只获得直接持股资料时，可形成明确标注的代理指标并开展敏感性分析；在其与AMNE控制口径的关系尚未建立前，不据此反演部门成本。</w:t>
      </w:r>
    </w:p>
    <w:p>
      <w:pPr>
        <w:pStyle w:val="Heading2"/>
        <w:keepNext w:val="0"/>
        <w:keepLines w:val="0"/>
        <w:pageBreakBefore w:val="0"/>
      </w:pPr>
      <w:r>
        <w:rPr>
          <w:rFonts w:ascii="Times New Roman" w:hAnsi="Times New Roman" w:eastAsia="宋体" w:cs="Times New Roman"/>
          <w:b/>
          <w:color w:val="000000"/>
          <w:sz w:val="25"/>
        </w:rPr>
        <w:t>A.2.3 企业面板、退出与总体覆盖</w:t>
      </w:r>
    </w:p>
    <w:p>
      <w:pPr>
        <w:keepNext w:val="0"/>
        <w:keepLines w:val="0"/>
        <w:pageBreakBefore w:val="0"/>
      </w:pPr>
      <w:r>
        <w:rPr>
          <w:rFonts w:ascii="Times New Roman" w:hAnsi="Times New Roman" w:eastAsia="宋体" w:cs="Times New Roman"/>
          <w:b w:val="0"/>
          <w:color w:val="000000"/>
          <w:sz w:val="24"/>
        </w:rPr>
        <w:t>企业基准研究2010年末已经经营的企业，名单及处理依据均由改革前资料确定。企业标识的稳定性、重复记录和更名改号需要通过原始说明及可核实的登记信息检查。名称、地址可辅助核验，但不直接据模糊相似度合并企业。2011年以后新设企业不进入原有企业的基准比较，在行业总体分析中另行考察。</w:t>
      </w:r>
    </w:p>
    <w:p>
      <w:pPr>
        <w:keepNext w:val="0"/>
        <w:keepLines w:val="0"/>
        <w:pageBreakBefore w:val="0"/>
      </w:pPr>
      <w:r>
        <w:rPr>
          <w:rFonts w:ascii="Times New Roman" w:hAnsi="Times New Roman" w:eastAsia="宋体" w:cs="Times New Roman"/>
          <w:b w:val="0"/>
          <w:color w:val="000000"/>
          <w:sz w:val="24"/>
        </w:rPr>
        <w:t>研究不要求企业在2007—2014年每年都出现，也不按改革后是否持续存续或被收购选择样本。某企业从税调文件消失，可能是停产、退出调查、申报中断或标识变化。只有核实相应期间确未生产，才将该期间生产记为零；企业在年内关闭仍可能有当年产出，不能据年度状态将全年补零。无法区分缺失原因的记录保持缺失，并报告对估计范围的影响。选择概率加权只有在调查进入或失访机制具备相应信息时采用，不能用任意权重补齐未知企业。</w:t>
      </w:r>
    </w:p>
    <w:p>
      <w:pPr>
        <w:keepNext w:val="0"/>
        <w:keepLines w:val="0"/>
        <w:pageBreakBefore w:val="0"/>
      </w:pPr>
      <w:r>
        <w:rPr>
          <w:rFonts w:ascii="Times New Roman" w:hAnsi="Times New Roman" w:eastAsia="宋体" w:cs="Times New Roman"/>
          <w:b w:val="0"/>
          <w:color w:val="000000"/>
          <w:sz w:val="24"/>
        </w:rPr>
        <w:t>2007年调查说明区分重点调查与抽样调查，税调并非全国全部经营企业名录。现有资料尚未提供经核实的抽样框、扩展权重及连续跟踪规则。没有这些依据时，税调加总只能称为样本生产，不能称为全国部门总生产。新设企业、未被调查企业及控制关系不明企业的覆盖，将在部门目标构造中单独处理。</w:t>
      </w:r>
    </w:p>
    <w:p>
      <w:pPr>
        <w:pStyle w:val="Heading1"/>
        <w:keepNext w:val="0"/>
        <w:keepLines w:val="0"/>
        <w:pageBreakBefore w:val="0"/>
        <w:spacing w:before="0"/>
      </w:pPr>
      <w:r>
        <w:rPr>
          <w:rFonts w:ascii="Times New Roman" w:hAnsi="Times New Roman" w:eastAsia="宋体" w:cs="Times New Roman"/>
          <w:b/>
          <w:color w:val="000000"/>
          <w:sz w:val="28"/>
        </w:rPr>
        <w:t>A.3 从政策条款识别企业处理身份</w:t>
      </w:r>
    </w:p>
    <w:p>
      <w:pPr>
        <w:pStyle w:val="Heading2"/>
        <w:keepNext w:val="0"/>
        <w:keepLines w:val="0"/>
        <w:pageBreakBefore w:val="0"/>
      </w:pPr>
      <w:r>
        <w:rPr>
          <w:rFonts w:ascii="Times New Roman" w:hAnsi="Times New Roman" w:eastAsia="宋体" w:cs="Times New Roman"/>
          <w:b/>
          <w:color w:val="000000"/>
          <w:sz w:val="25"/>
        </w:rPr>
        <w:t>A.3.1 保留法律依据，按实际需要解析条款</w:t>
      </w:r>
    </w:p>
    <w:p>
      <w:pPr>
        <w:keepNext w:val="0"/>
        <w:keepLines w:val="0"/>
        <w:pageBreakBefore w:val="0"/>
      </w:pPr>
      <w:r>
        <w:rPr>
          <w:rFonts w:ascii="Times New Roman" w:hAnsi="Times New Roman" w:eastAsia="宋体" w:cs="Times New Roman"/>
          <w:b w:val="0"/>
          <w:color w:val="000000"/>
          <w:sz w:val="24"/>
        </w:rPr>
        <w:t>政策识别围绕“企业改革前业务的外资准入条件是否因本轮修订而改善”展开。完整保留2007目录、2011草案、正式目录和相关规定，以原始章节、条款编号及具体语句定位证据。在通读并核对本轮增删改内容后，对样本涉及的业务作详细比较。这样既能检查候选检索是否遗漏有关变化，也能避免在企业业务尚不明确时为所有条款预先建立细分编码并穷尽映射行业。</w:t>
      </w:r>
    </w:p>
    <w:p>
      <w:pPr>
        <w:keepNext w:val="0"/>
        <w:keepLines w:val="0"/>
        <w:pageBreakBefore w:val="0"/>
      </w:pPr>
      <w:r>
        <w:rPr>
          <w:rFonts w:ascii="Times New Roman" w:hAnsi="Times New Roman" w:eastAsia="宋体" w:cs="Times New Roman"/>
          <w:b w:val="0"/>
          <w:color w:val="000000"/>
          <w:sz w:val="24"/>
        </w:rPr>
        <w:t>一个条款可能包含多种活动，其括号内的股比要求也可能只适用于其中一部分。遇到这种情况，按具体语句解析各活动及其条件；同一业务同时受到多项规则约束时，将有关要求一并核对。需要拆解的是影响法律结论的适用范围，记录仍可直接回到原条款和子项。改革前后要求用明确文字保存，股比上限等具有直接含义的数值同时记录，不另行构造六维限制向量或主观总分。</w:t>
      </w:r>
    </w:p>
    <w:p>
      <w:pPr>
        <w:keepNext w:val="0"/>
        <w:keepLines w:val="0"/>
        <w:pageBreakBefore w:val="0"/>
      </w:pPr>
      <w:r>
        <w:rPr>
          <w:rFonts w:ascii="Times New Roman" w:hAnsi="Times New Roman" w:eastAsia="宋体" w:cs="Times New Roman"/>
          <w:b w:val="0"/>
          <w:color w:val="000000"/>
          <w:sz w:val="24"/>
        </w:rPr>
        <w:t>天然食品添加剂、食品配料生产提供了一个具体例子。2007目录鼓励类在该项下附有合资合作要求，2011草案和正式目录删除了这一要求。[1—3] 这证明目录层面的条件发生放宽，但同一食品或化工行业还包含其他活动，仍须核对企业具体业务及专项规定。条款消失、鼓励资格调整，以及一项要求放宽而另一项收紧的情形，也分别按法律效果处理。</w:t>
      </w:r>
    </w:p>
    <w:p>
      <w:pPr>
        <w:pStyle w:val="Heading2"/>
        <w:keepNext w:val="0"/>
        <w:keepLines w:val="0"/>
        <w:pageBreakBefore w:val="0"/>
      </w:pPr>
      <w:r>
        <w:rPr>
          <w:rFonts w:ascii="Times New Roman" w:hAnsi="Times New Roman" w:eastAsia="宋体" w:cs="Times New Roman"/>
          <w:b/>
          <w:color w:val="000000"/>
          <w:sz w:val="25"/>
        </w:rPr>
        <w:t>A.3.2 有业务资料与仅有行业代码的识别方式</w:t>
      </w:r>
    </w:p>
    <w:p>
      <w:pPr>
        <w:keepNext w:val="0"/>
        <w:keepLines w:val="0"/>
        <w:pageBreakBefore w:val="0"/>
      </w:pPr>
      <w:r>
        <w:rPr>
          <w:rFonts w:ascii="Times New Roman" w:hAnsi="Times New Roman" w:eastAsia="宋体" w:cs="Times New Roman"/>
          <w:b w:val="0"/>
          <w:color w:val="000000"/>
          <w:sz w:val="24"/>
        </w:rPr>
        <w:t>有改革前业务文字时，以当时主营产品、实际经营活动、地区及可观察资格检索政策，并比较相关要求。业务资料应记录其时间、来源和与企业标识的对应依据。资料发布日期较晚，但内容不能证明改革前状态的，不用于倒推固定处理身份。多项业务分别核查，保留受影响范围。</w:t>
      </w:r>
    </w:p>
    <w:p>
      <w:pPr>
        <w:keepNext w:val="0"/>
        <w:keepLines w:val="0"/>
        <w:pageBreakBefore w:val="0"/>
      </w:pPr>
      <w:r>
        <w:rPr>
          <w:rFonts w:ascii="Times New Roman" w:hAnsi="Times New Roman" w:eastAsia="宋体" w:cs="Times New Roman"/>
          <w:b w:val="0"/>
          <w:color w:val="000000"/>
          <w:sz w:val="24"/>
        </w:rPr>
        <w:t>仅有行业代码时，先核实代码版本，再读取该版本行业名称、定义以及包括和不包括的活动。行业说明提供一个可能活动的范围。若范围内所有活动均受到已确认的本轮放宽，且其他必要条件均可核实，可以据此判断该企业的主要活动受益；若仅部分活动受到放宽，则需要企业业务资料才能进一步区分。这里不必先将原行业转换为GB2017，原版本定义往往更能准确说明当年代码的含义。</w:t>
      </w:r>
    </w:p>
    <w:p>
      <w:pPr>
        <w:keepNext w:val="0"/>
        <w:keepLines w:val="0"/>
        <w:pageBreakBefore w:val="0"/>
      </w:pPr>
      <w:r>
        <w:rPr>
          <w:rFonts w:ascii="Times New Roman" w:hAnsi="Times New Roman" w:eastAsia="宋体" w:cs="Times New Roman"/>
          <w:b w:val="0"/>
          <w:color w:val="000000"/>
          <w:sz w:val="24"/>
        </w:rPr>
        <w:t>对每个“分类版本、行业类别及可观察条件”的唯一组合，可以共用一次复核后的政策判断。相同信息对应的企业不应因重复调用大语言模型而得到不同身份。大语言模型用于寻找候选条款、解析语句和比较范围，不能自行补出产品用途、工艺、投资者资格或项目条件。官方分类对照已有明确关系时，直接使用对照表。</w:t>
      </w:r>
    </w:p>
    <w:p>
      <w:pPr>
        <w:keepNext w:val="0"/>
        <w:keepLines w:val="0"/>
        <w:pageBreakBefore w:val="0"/>
      </w:pPr>
      <w:r>
        <w:rPr>
          <w:rFonts w:ascii="Times New Roman" w:hAnsi="Times New Roman" w:eastAsia="宋体" w:cs="Times New Roman"/>
          <w:b w:val="0"/>
          <w:color w:val="000000"/>
          <w:sz w:val="24"/>
        </w:rPr>
        <w:t>覆盖范围与放宽判断分别记录，二者含义见表A2。人工重点复核放宽、部分覆盖、条款删除及交叉规则，并抽查未放宽记录以发现漏检。若使用模型批量辅助判断，在独立人工核验样本上分别报告错误赋值、漏检和无法判断的比例，保存提示词、模型版本、引用语句及修改依据。</w:t>
      </w:r>
    </w:p>
    <w:p>
      <w:pPr>
        <w:keepNext w:val="0"/>
        <w:keepLines w:val="0"/>
        <w:pageBreakBefore w:val="0"/>
        <w:ind w:firstLine="0"/>
        <w:jc w:val="center"/>
      </w:pPr>
      <w:r>
        <w:rPr>
          <w:rFonts w:ascii="Times New Roman" w:hAnsi="Times New Roman" w:eastAsia="宋体" w:cs="Times New Roman"/>
          <w:b/>
          <w:color w:val="000000"/>
          <w:sz w:val="22"/>
        </w:rPr>
        <w:t>表A2 类别覆盖与企业处理身份的关系</w:t>
      </w:r>
    </w:p>
    <w:tbl>
      <w:tblPr>
        <w:tblW w:type="auto" w:w="0"/>
        <w:jc w:val="center"/>
        <w:tblLayout w:type="fixed"/>
        <w:tblLook w:firstColumn="1" w:firstRow="1" w:lastColumn="0" w:lastRow="0" w:noHBand="0" w:noVBand="1" w:val="04A0"/>
      </w:tblPr>
      <w:tblGrid>
        <w:gridCol w:w="1984"/>
        <w:gridCol w:w="3005"/>
        <w:gridCol w:w="4252"/>
      </w:tblGrid>
      <w:tr>
        <w:trPr>
          <w:cantSplit/>
          <w:tblHeader/>
        </w:trPr>
        <w:tc>
          <w:tcPr>
            <w:tcW w:type="dxa" w:w="1984"/>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类别与政策的关系</w:t>
            </w:r>
          </w:p>
        </w:tc>
        <w:tc>
          <w:tcPr>
            <w:tcW w:type="dxa" w:w="3005"/>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可以得出的结论</w:t>
            </w:r>
          </w:p>
        </w:tc>
        <w:tc>
          <w:tcPr>
            <w:tcW w:type="dxa" w:w="4252"/>
            <w:vAlign w:val="center"/>
            <w:tcBorders>
              <w:left w:val="nil" w:sz="6" w:color="666666"/>
              <w:right w:val="nil" w:sz="6" w:color="666666"/>
              <w:top w:val="nil" w:sz="6" w:color="666666"/>
              <w:bottom w:val="nil" w:sz="6" w:color="666666"/>
              <w:top w:val="single" w:sz="10" w:color="000000"/>
              <w:bottom w:val="single" w:sz="6" w:color="000000"/>
            </w:tcBorders>
          </w:tcPr>
          <w:p>
            <w:pPr>
              <w:keepNext w:val="0"/>
              <w:keepLines w:val="0"/>
              <w:pageBreakBefore w:val="0"/>
              <w:spacing w:before="80" w:after="80" w:line="283" w:lineRule="auto"/>
              <w:ind w:firstLine="0"/>
            </w:pPr>
            <w:r>
              <w:rPr>
                <w:rFonts w:ascii="Times New Roman" w:hAnsi="Times New Roman" w:eastAsia="宋体" w:cs="Times New Roman"/>
                <w:b/>
                <w:color w:val="000000"/>
                <w:sz w:val="21"/>
              </w:rPr>
              <w:t>仍需处理的事项</w:t>
            </w:r>
          </w:p>
        </w:tc>
      </w:tr>
      <w:tr>
        <w:trPr>
          <w:cantSplit/>
        </w:trPr>
        <w:tc>
          <w:tcPr>
            <w:tcW w:type="dxa" w:w="198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完整覆盖</w:t>
            </w:r>
          </w:p>
        </w:tc>
        <w:tc>
          <w:tcPr>
            <w:tcW w:type="dxa" w:w="3005"/>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类别内全部活动适用该项要求</w:t>
            </w:r>
          </w:p>
        </w:tc>
        <w:tc>
          <w:tcPr>
            <w:tcW w:type="dxa" w:w="4252"/>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比较前后要求，并核对地区、资格及其他规则</w:t>
            </w:r>
          </w:p>
        </w:tc>
      </w:tr>
      <w:tr>
        <w:trPr>
          <w:cantSplit/>
        </w:trPr>
        <w:tc>
          <w:tcPr>
            <w:tcW w:type="dxa" w:w="198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部分覆盖</w:t>
            </w:r>
          </w:p>
        </w:tc>
        <w:tc>
          <w:tcPr>
            <w:tcW w:type="dxa" w:w="3005"/>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只有类别内一部分活动适用</w:t>
            </w:r>
          </w:p>
        </w:tc>
        <w:tc>
          <w:tcPr>
            <w:tcW w:type="dxa" w:w="4252"/>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具体活动未知时，不赋0或1</w:t>
            </w:r>
          </w:p>
        </w:tc>
      </w:tr>
      <w:tr>
        <w:trPr>
          <w:cantSplit/>
        </w:trPr>
        <w:tc>
          <w:tcPr>
            <w:tcW w:type="dxa" w:w="1984"/>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明确不适用</w:t>
            </w:r>
          </w:p>
        </w:tc>
        <w:tc>
          <w:tcPr>
            <w:tcW w:type="dxa" w:w="3005"/>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该类别可排除这项条款</w:t>
            </w:r>
          </w:p>
        </w:tc>
        <w:tc>
          <w:tcPr>
            <w:tcW w:type="dxa" w:w="4252"/>
            <w:vAlign w:val="center"/>
            <w:tcBorders>
              <w:left w:val="nil" w:sz="6" w:color="666666"/>
              <w:right w:val="nil" w:sz="6" w:color="666666"/>
              <w:top w:val="nil" w:sz="6" w:color="666666"/>
              <w:bottom w:val="nil" w:sz="6" w:color="666666"/>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继续检查其他相关条款，不能直接作为对照</w:t>
            </w:r>
          </w:p>
        </w:tc>
      </w:tr>
      <w:tr>
        <w:trPr>
          <w:cantSplit/>
        </w:trPr>
        <w:tc>
          <w:tcPr>
            <w:tcW w:type="dxa" w:w="1984"/>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资料不足</w:t>
            </w:r>
          </w:p>
        </w:tc>
        <w:tc>
          <w:tcPr>
            <w:tcW w:type="dxa" w:w="3005"/>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版本、业务或法律条件不足以判断</w:t>
            </w:r>
          </w:p>
        </w:tc>
        <w:tc>
          <w:tcPr>
            <w:tcW w:type="dxa" w:w="4252"/>
            <w:vAlign w:val="center"/>
            <w:tcBorders>
              <w:left w:val="nil" w:sz="6" w:color="666666"/>
              <w:right w:val="nil" w:sz="6" w:color="666666"/>
              <w:top w:val="nil" w:sz="6" w:color="666666"/>
              <w:bottom w:val="nil" w:sz="6" w:color="666666"/>
              <w:bottom w:val="single" w:sz="10" w:color="000000"/>
            </w:tcBorders>
          </w:tcPr>
          <w:p>
            <w:pPr>
              <w:keepNext w:val="0"/>
              <w:keepLines w:val="0"/>
              <w:pageBreakBefore w:val="0"/>
              <w:spacing w:before="80" w:after="80" w:line="283" w:lineRule="auto"/>
              <w:ind w:firstLine="0"/>
            </w:pPr>
            <w:r>
              <w:rPr>
                <w:rFonts w:ascii="Times New Roman" w:hAnsi="Times New Roman" w:eastAsia="宋体" w:cs="Times New Roman"/>
                <w:b w:val="0"/>
                <w:color w:val="000000"/>
                <w:sz w:val="21"/>
              </w:rPr>
              <w:t>保留未知及所缺资料</w:t>
            </w:r>
          </w:p>
        </w:tc>
      </w:tr>
    </w:tbl>
    <w:p>
      <w:pPr>
        <w:pStyle w:val="Heading2"/>
        <w:keepNext w:val="0"/>
        <w:keepLines w:val="0"/>
        <w:pageBreakBefore w:val="0"/>
      </w:pPr>
      <w:r>
        <w:rPr>
          <w:rFonts w:ascii="Times New Roman" w:hAnsi="Times New Roman" w:eastAsia="宋体" w:cs="Times New Roman"/>
          <w:b/>
          <w:color w:val="000000"/>
          <w:sz w:val="25"/>
        </w:rPr>
        <w:t>A.3.3 处理组、对照组与未知企业</w:t>
      </w:r>
    </w:p>
    <w:p>
      <w:pPr>
        <w:keepNext w:val="0"/>
        <w:keepLines w:val="0"/>
        <w:pageBreakBefore w:val="0"/>
      </w:pPr>
      <w:r>
        <w:rPr>
          <w:rFonts w:ascii="Times New Roman" w:hAnsi="Times New Roman" w:eastAsia="宋体" w:cs="Times New Roman"/>
          <w:b w:val="0"/>
          <w:color w:val="000000"/>
          <w:sz w:val="24"/>
        </w:rPr>
        <w:t>企业处理变量记为</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oMath>
      <w:r>
        <w:rPr>
          <w:rFonts w:ascii="Times New Roman" w:hAnsi="Times New Roman" w:eastAsia="宋体" w:cs="Times New Roman"/>
          <w:b w:val="0"/>
          <w:color w:val="000000"/>
          <w:sz w:val="24"/>
        </w:rPr>
        <w:t>。当改革前业务及适用条件可以确认属于本轮实际放宽范围时，取</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=1</m:t>
        </m:r>
      </m:oMath>
      <w:r>
        <w:rPr>
          <w:rFonts w:ascii="Times New Roman" w:hAnsi="Times New Roman" w:eastAsia="宋体" w:cs="Times New Roman"/>
          <w:b w:val="0"/>
          <w:color w:val="000000"/>
          <w:sz w:val="24"/>
        </w:rPr>
        <w:t>；可以确认未受到本轮相关放宽且符合对照条件时，取</w:t>
      </w:r>
      <m:oMath>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=0</m:t>
        </m:r>
      </m:oMath>
      <w:r>
        <w:rPr>
          <w:rFonts w:ascii="Times New Roman" w:hAnsi="Times New Roman" w:eastAsia="宋体" w:cs="Times New Roman"/>
          <w:b w:val="0"/>
          <w:color w:val="000000"/>
          <w:sz w:val="24"/>
        </w:rPr>
        <w:t>；业务或法律适用不足以判断时，记为未知。未检索到条款不等于未受放宽，原来已经享有相同待遇也不算本轮新增受益。</w:t>
      </w:r>
    </w:p>
    <w:p>
      <w:pPr>
        <w:keepNext w:val="0"/>
        <w:keepLines w:val="0"/>
        <w:pageBreakBefore w:val="0"/>
      </w:pPr>
      <w:r>
        <w:rPr>
          <w:rFonts w:ascii="Times New Roman" w:hAnsi="Times New Roman" w:eastAsia="宋体" w:cs="Times New Roman"/>
          <w:b w:val="0"/>
          <w:color w:val="000000"/>
          <w:sz w:val="24"/>
        </w:rPr>
        <w:t>多业务企业中，某项真实业务已确认受到放宽，可以记为处理企业，同时注明部分业务受益。对照身份则要求有关业务均未受到本轮放宽。只知道主要行业，尤其已有多业务迹象时，无法自动排除其他业务受益。如果后续只能识别主要活动的政策暴露，应将其作为另一个明确界定的研究口径，与完整业务信息样本作比较，而不把两种口径混用。</w:t>
      </w:r>
    </w:p>
    <w:p>
      <w:pPr>
        <w:keepNext w:val="0"/>
        <w:keepLines w:val="0"/>
        <w:pageBreakBefore w:val="0"/>
      </w:pPr>
      <w:r>
        <w:rPr>
          <w:rFonts w:ascii="Times New Roman" w:hAnsi="Times New Roman" w:eastAsia="宋体" w:cs="Times New Roman"/>
          <w:b w:val="0"/>
          <w:color w:val="000000"/>
          <w:sz w:val="24"/>
        </w:rPr>
        <w:t>企业在改革前属于国内控制还是外国控制，不决定其是否具备处理资格。处理身份始终固定，改革后的持股、收购、投资、迁移和业务变化作为结果。地区或资格存在特殊安排时，比较实际能够适用的要求；港澳注册身份本身不足以证明取得CEPA下的资格。项目过渡安排及新增投资、增资和股权转让的适用分别核查。</w:t>
      </w:r>
    </w:p>
    <w:p>
      <w:pPr>
        <w:keepNext w:val="0"/>
        <w:keepLines w:val="0"/>
        <w:pageBreakBefore w:val="0"/>
      </w:pPr>
      <w:r>
        <w:rPr>
          <w:rFonts w:ascii="Times New Roman" w:hAnsi="Times New Roman" w:eastAsia="宋体" w:cs="Times New Roman"/>
          <w:b w:val="0"/>
          <w:color w:val="000000"/>
          <w:sz w:val="24"/>
        </w:rPr>
        <w:t>对照企业除了没有本轮放宽，还应与处理企业具有可解释的比较关系。只因两者处于相近行业或规模相似，不能证明没有改革时的生产走势可比。研究在估计前结合业务和制度状态确定对照范围，将受到同期独立放宽、明显收紧或难以区分政策叠加的业务单列，避免把所有非处理企业机械合并为对照组。</w:t>
      </w:r>
    </w:p>
    <w:p>
      <w:pPr>
        <w:pStyle w:val="Heading1"/>
        <w:keepNext w:val="0"/>
        <w:keepLines w:val="0"/>
        <w:pageBreakBefore w:val="0"/>
        <w:spacing w:before="0"/>
      </w:pPr>
      <w:r>
        <w:rPr>
          <w:rFonts w:ascii="Times New Roman" w:hAnsi="Times New Roman" w:eastAsia="宋体" w:cs="Times New Roman"/>
          <w:b/>
          <w:color w:val="000000"/>
          <w:sz w:val="28"/>
        </w:rPr>
        <w:t>A.4 从历史行业代码到AMNE及模型部门</w:t>
      </w:r>
    </w:p>
    <w:p>
      <w:pPr>
        <w:pStyle w:val="Heading2"/>
        <w:keepNext w:val="0"/>
        <w:keepLines w:val="0"/>
        <w:pageBreakBefore w:val="0"/>
      </w:pPr>
      <w:r>
        <w:rPr>
          <w:rFonts w:ascii="Times New Roman" w:hAnsi="Times New Roman" w:eastAsia="宋体" w:cs="Times New Roman"/>
          <w:b/>
          <w:color w:val="000000"/>
          <w:sz w:val="25"/>
        </w:rPr>
        <w:t>A.4.1 分类转换的用途与依据</w:t>
      </w:r>
    </w:p>
    <w:p>
      <w:pPr>
        <w:keepNext w:val="0"/>
        <w:keepLines w:val="0"/>
        <w:pageBreakBefore w:val="0"/>
      </w:pPr>
      <w:r>
        <w:rPr>
          <w:rFonts w:ascii="Times New Roman" w:hAnsi="Times New Roman" w:eastAsia="宋体" w:cs="Times New Roman"/>
          <w:b w:val="0"/>
          <w:color w:val="000000"/>
          <w:sz w:val="24"/>
        </w:rPr>
        <w:t>部门归属用于汇总生产，并不决定企业是否受到本轮政策放宽。企业当期行业根据当期业务及分类版本处理，统一到GB/T 4754—2017及第1号修改单，再与联合国《所有经济活动的国际标准产业分类》第四版（ISIC Rev.4）衔接，最后归入所选AMNE及结构模型部门。[7,9,10] ISIC提供国际比较口径，AMNE和模型通常进一步合并若干行业。</w:t>
      </w:r>
    </w:p>
    <w:p>
      <w:pPr>
        <w:keepNext w:val="0"/>
        <w:keepLines w:val="0"/>
        <w:pageBreakBefore w:val="0"/>
      </w:pPr>
      <w:r>
        <w:rPr>
          <w:rFonts w:ascii="Times New Roman" w:hAnsi="Times New Roman" w:eastAsia="宋体" w:cs="Times New Roman"/>
          <w:b w:val="0"/>
          <w:color w:val="000000"/>
          <w:sz w:val="24"/>
        </w:rPr>
        <w:t>GB2002代码先利用本地GB2002—GB2011对照表转换，再使用GB2017附录B；GB2011代码直接从附录B进入。附录C提供GB2017与ISIC Rev.4的对应。每一步保存来源版本、原码、目标候选、完整或部分内容的关系和依据位置。表中一个旧码出现多次，通常表示活动被拆分，不能只保留首次匹配，也不能按候选数量平均分配产出。</w:t>
      </w:r>
    </w:p>
    <w:p>
      <w:pPr>
        <w:keepNext w:val="0"/>
        <w:keepLines w:val="0"/>
        <w:pageBreakBefore w:val="0"/>
      </w:pPr>
      <w:r>
        <w:rPr>
          <w:rFonts w:ascii="Times New Roman" w:hAnsi="Times New Roman" w:eastAsia="宋体" w:cs="Times New Roman"/>
          <w:b w:val="0"/>
          <w:color w:val="000000"/>
          <w:sz w:val="24"/>
        </w:rPr>
        <w:t>部门层面有时可以比四位小类更早得到明确结论。保留全部合理候选后，如果它们最终属于同一部门，就可以在该部门层面确定归属；跨部门且没有业务或产出依据时，保持未确定状态。存在明确分业务产出的企业，可以按相应活动分配；只有总产出的企业，按能够核实的主要活动归类，并说明这是企业层面的行业归属，不是对各项业务产出的拆分。</w:t>
      </w:r>
    </w:p>
    <w:p>
      <w:pPr>
        <w:pStyle w:val="Heading2"/>
        <w:keepNext w:val="0"/>
        <w:keepLines w:val="0"/>
        <w:pageBreakBefore w:val="0"/>
      </w:pPr>
      <w:r>
        <w:rPr>
          <w:rFonts w:ascii="Times New Roman" w:hAnsi="Times New Roman" w:eastAsia="宋体" w:cs="Times New Roman"/>
          <w:b/>
          <w:color w:val="000000"/>
          <w:sz w:val="25"/>
        </w:rPr>
        <w:t>A.4.2 同码异义与部分内容转入</w:t>
      </w:r>
    </w:p>
    <w:p>
      <w:pPr>
        <w:keepNext w:val="0"/>
        <w:keepLines w:val="0"/>
        <w:pageBreakBefore w:val="0"/>
      </w:pPr>
      <w:r>
        <w:rPr>
          <w:rFonts w:ascii="Times New Roman" w:hAnsi="Times New Roman" w:eastAsia="宋体" w:cs="Times New Roman"/>
          <w:b w:val="0"/>
          <w:color w:val="000000"/>
          <w:sz w:val="24"/>
        </w:rPr>
        <w:t>C4190说明了核实版本的重要性。GB2002的4190是“其他仪器仪表的制造及修理”，在2002—2011对照表中分别涉及2011版4090和4360。经GB2017与ISIC转换，制造部分指向ISIC2651，修理部分指向3313，在2024版AMNE中分别归入C26和C31T33。缺少具体业务时，这个旧码不能唯一确定AMNE部门。[7,9,10]</w:t>
      </w:r>
    </w:p>
    <w:p>
      <w:pPr>
        <w:keepNext w:val="0"/>
        <w:keepLines w:val="0"/>
        <w:pageBreakBefore w:val="0"/>
      </w:pPr>
      <w:r>
        <w:rPr>
          <w:rFonts w:ascii="Times New Roman" w:hAnsi="Times New Roman" w:eastAsia="宋体" w:cs="Times New Roman"/>
          <w:b w:val="0"/>
          <w:color w:val="000000"/>
          <w:sz w:val="24"/>
        </w:rPr>
        <w:t>GB2011的4190则是“其他未列明制造业”，经GB2017的4190对应ISIC3290，在2024版AMNE中归入C31T33。同样的四位数字因此不能跨版本直接沿用。“其他未列明”名称能够提供分类范围，但不足以证明企业生产某种具体产品，更不能据此推断其政策待遇。</w:t>
      </w:r>
    </w:p>
    <w:p>
      <w:pPr>
        <w:keepNext w:val="0"/>
        <w:keepLines w:val="0"/>
        <w:pageBreakBefore w:val="0"/>
      </w:pPr>
      <w:r>
        <w:rPr>
          <w:rFonts w:ascii="Times New Roman" w:hAnsi="Times New Roman" w:eastAsia="宋体" w:cs="Times New Roman"/>
          <w:b w:val="0"/>
          <w:color w:val="000000"/>
          <w:sz w:val="24"/>
        </w:rPr>
        <w:t>GB2011的1363“水产饲料制造”指以低值水产品及加工废弃物为主要原料的饲料加工，并不等于捕捞、养殖或所有用于水产养殖的饲料。GB2017附录B将旧1363的部分内容分别转入1321和1329；GB2017的1363已经是“鱼油提取及制品制造”，对应旧1364。两条部分转入关系均需保留，不能以代码相同为由保留旧1363。</w:t>
      </w:r>
    </w:p>
    <w:p>
      <w:pPr>
        <w:keepNext w:val="0"/>
        <w:keepLines w:val="0"/>
        <w:pageBreakBefore w:val="0"/>
      </w:pPr>
      <w:r>
        <w:rPr>
          <w:rFonts w:ascii="Times New Roman" w:hAnsi="Times New Roman" w:eastAsia="宋体" w:cs="Times New Roman"/>
          <w:b w:val="0"/>
          <w:color w:val="000000"/>
          <w:sz w:val="24"/>
        </w:rPr>
        <w:t>相关资料还存在一处真实不一致：GB2017正文和附录B将“其他饲料加工”写作1329，附录C写作1322；本地第1号修改单没有处理这一处。[9] 此外，GB注释列在1329中的饲料用鱼粉，在ISIC说明中归入1020而非1080。[10] 后续对照应保留原文及异常说明，结合名称和定义复核，不能声称官方已经更正。上述饲料活动的已知候选均落在ISIC第10大类，在2024版AMNE中归入C10T12，因此可以确定这一部门，同时保留细分类的不确定性。</w:t>
      </w:r>
    </w:p>
    <w:p>
      <w:pPr>
        <w:pStyle w:val="Heading2"/>
        <w:keepNext w:val="0"/>
        <w:keepLines w:val="0"/>
        <w:pageBreakBefore w:val="0"/>
      </w:pPr>
      <w:r>
        <w:rPr>
          <w:rFonts w:ascii="Times New Roman" w:hAnsi="Times New Roman" w:eastAsia="宋体" w:cs="Times New Roman"/>
          <w:b/>
          <w:color w:val="000000"/>
          <w:sz w:val="25"/>
        </w:rPr>
        <w:t>A.4.3 发布版与模型部门的统一</w:t>
      </w:r>
    </w:p>
    <w:p>
      <w:pPr>
        <w:keepNext w:val="0"/>
        <w:keepLines w:val="0"/>
        <w:pageBreakBefore w:val="0"/>
      </w:pPr>
      <w:r>
        <w:rPr>
          <w:rFonts w:ascii="Times New Roman" w:hAnsi="Times New Roman" w:eastAsia="宋体" w:cs="Times New Roman"/>
          <w:b w:val="0"/>
          <w:color w:val="000000"/>
          <w:sz w:val="24"/>
        </w:rPr>
        <w:t>本地AMNE资料包含多个发布版。以2024版为例，其部门表有41个行业，ISIC第31、32、33大类合并为C31T33，数据与2024年2月ICIO相衔接。[7] 发布版更新可能改变国家覆盖、历史数值、控制定义及估算方式。即使部门代码相同，也不能将不同版本的产出、份额和模型参数随意组合。</w:t>
      </w:r>
    </w:p>
    <w:p>
      <w:pPr>
        <w:keepNext w:val="0"/>
        <w:keepLines w:val="0"/>
        <w:pageBreakBefore w:val="0"/>
      </w:pPr>
      <w:r>
        <w:rPr>
          <w:rFonts w:ascii="Times New Roman" w:hAnsi="Times New Roman" w:eastAsia="宋体" w:cs="Times New Roman"/>
          <w:b w:val="0"/>
          <w:color w:val="000000"/>
          <w:sz w:val="24"/>
        </w:rPr>
        <w:t>现有模型采用较宽部门，本地代码出现20部门设定，部分反事实又使用截取后的部门范围。因此还需要明确“AMNE部门—模型部门”的最终聚合表、顺序及保留范围。研究将在锁定模型版本后确定AMNE及投入产出数据库版本；当前2024版只用于说明已核实的映射路径，不预先作为最终校准数据。行业转换确定而模型聚合尚未确定的记录，不能称为已完成全部映射。</w:t>
      </w:r>
    </w:p>
    <w:p>
      <w:pPr>
        <w:pStyle w:val="Heading1"/>
        <w:keepNext w:val="0"/>
        <w:keepLines w:val="0"/>
        <w:pageBreakBefore w:val="0"/>
        <w:spacing w:before="0"/>
      </w:pPr>
      <w:r>
        <w:rPr>
          <w:rFonts w:ascii="Times New Roman" w:hAnsi="Times New Roman" w:eastAsia="宋体" w:cs="Times New Roman"/>
          <w:b/>
          <w:color w:val="000000"/>
          <w:sz w:val="28"/>
        </w:rPr>
        <w:t>A.5 企业效应的识别与检验</w:t>
      </w:r>
    </w:p>
    <w:p>
      <w:pPr>
        <w:pStyle w:val="Heading2"/>
        <w:keepNext w:val="0"/>
        <w:keepLines w:val="0"/>
        <w:pageBreakBefore w:val="0"/>
      </w:pPr>
      <w:r>
        <w:rPr>
          <w:rFonts w:ascii="Times New Roman" w:hAnsi="Times New Roman" w:eastAsia="宋体" w:cs="Times New Roman"/>
          <w:b/>
          <w:color w:val="000000"/>
          <w:sz w:val="25"/>
        </w:rPr>
        <w:t>A.5.1 单轮改革的基准模型</w:t>
      </w:r>
    </w:p>
    <w:p>
      <w:pPr>
        <w:keepNext w:val="0"/>
        <w:keepLines w:val="0"/>
        <w:pageBreakBefore w:val="0"/>
      </w:pPr>
      <w:r>
        <w:rPr>
          <w:rFonts w:ascii="Times New Roman" w:hAnsi="Times New Roman" w:eastAsia="宋体" w:cs="Times New Roman"/>
          <w:b w:val="0"/>
          <w:color w:val="000000"/>
          <w:sz w:val="24"/>
        </w:rPr>
        <w:t>双重差分（difference-in-differences，DID）通过比较处理组与对照组在改革前后的变化，区分政策相关反应与共同时间变化。本研究的处理身份由改革前信息固定，改革后指示变量</w:t>
      </w:r>
      <m:oMath>
        <m:sSub>
          <m:e>
            <m:r>
              <m:rPr>
                <m:sty m:val="p"/>
              </m:rPr>
              <w:rPr>
                <w:rFonts w:ascii="Cambria Math" w:hAnsi="Cambria Math" w:cs="Cambria Math" w:eastAsia="宋体"/>
                <w:sz w:val="24"/>
              </w:rPr>
              <m:t>Post</m:t>
            </m:r>
          </m:e>
          <m:sub>
            <m:r>
              <w:rPr>
                <w:rFonts w:ascii="Cambria Math" w:hAnsi="Cambria Math" w:cs="Cambria Math" w:eastAsia="宋体"/>
                <w:sz w:val="24"/>
              </w:rPr>
              <m:t>t</m:t>
            </m:r>
          </m:sub>
        </m:sSub>
      </m:oMath>
      <w:r>
        <w:rPr>
          <w:rFonts w:ascii="Times New Roman" w:hAnsi="Times New Roman" w:eastAsia="宋体" w:cs="Times New Roman"/>
          <w:b w:val="0"/>
          <w:color w:val="000000"/>
          <w:sz w:val="24"/>
        </w:rPr>
        <w:t>在2011—2014年取1，在2007—2010年取0。企业层面分析首先研究可以可靠识别的原有企业，估计范围不因后续部门映射是否完整而随意缩小。</w:t>
      </w:r>
    </w:p>
    <w:p>
      <w:pPr>
        <w:keepNext w:val="0"/>
        <w:keepLines w:val="0"/>
        <w:pageBreakBefore w:val="0"/>
      </w:pPr>
      <w:r>
        <w:rPr>
          <w:rFonts w:ascii="Times New Roman" w:hAnsi="Times New Roman" w:eastAsia="宋体" w:cs="Times New Roman"/>
          <w:b w:val="0"/>
          <w:color w:val="000000"/>
          <w:sz w:val="24"/>
        </w:rPr>
        <w:t>生产价值具有非负、偏态并可能包含零值的特点，采用泊松伪最大似然（Poisson pseudo-maximum likelihood，PPML）估计条件均值，即在给定企业特征和比较条件下的平均生产价值。[11] 这一方法可以处理非负连续金额，不要求金额服从泊松分布。它也不自动解决样本选择或政策内生性，因果解释仍取决于DID的识别条件。[12]</w:t>
      </w:r>
    </w:p>
    <w:p>
      <w:pPr>
        <w:keepNext w:val="0"/>
        <w:keepLines w:val="0"/>
        <w:pageBreakBefore w:val="0"/>
      </w:pPr>
      <w:r>
        <w:rPr>
          <w:rFonts w:ascii="Times New Roman" w:hAnsi="Times New Roman" w:eastAsia="宋体" w:cs="Times New Roman"/>
          <w:b w:val="0"/>
          <w:color w:val="000000"/>
          <w:sz w:val="24"/>
        </w:rPr>
        <w:t>设</w:t>
      </w:r>
      <m:oMath>
        <m:r>
          <w:rPr>
            <w:rFonts w:ascii="Cambria Math" w:hAnsi="Cambria Math" w:cs="Cambria Math" w:eastAsia="宋体"/>
            <w:sz w:val="24"/>
          </w:rPr>
          <m:t>b(f)</m:t>
        </m:r>
      </m:oMath>
      <w:r>
        <w:rPr>
          <w:rFonts w:ascii="Times New Roman" w:hAnsi="Times New Roman" w:eastAsia="宋体" w:cs="Times New Roman"/>
          <w:b w:val="0"/>
          <w:color w:val="000000"/>
          <w:sz w:val="24"/>
        </w:rPr>
        <w:t>为根据改革前行业确定的比较组，</w:t>
      </w:r>
      <m:oMath>
        <m:sSub>
          <m:e>
            <m:r>
              <w:rPr>
                <w:rFonts w:ascii="Cambria Math" w:hAnsi="Cambria Math" w:cs="Cambria Math" w:eastAsia="宋体"/>
                <w:sz w:val="24"/>
              </w:rPr>
              <m:t>r</m:t>
            </m:r>
          </m:e>
          <m:sub>
            <m:r>
              <w:rPr>
                <w:rFonts w:ascii="Cambria Math" w:hAnsi="Cambria Math" w:cs="Cambria Math" w:eastAsia="宋体"/>
                <w:sz w:val="24"/>
              </w:rPr>
              <m:t>f0</m:t>
            </m:r>
          </m:sub>
        </m:sSub>
      </m:oMath>
      <w:r>
        <w:rPr>
          <w:rFonts w:ascii="Times New Roman" w:hAnsi="Times New Roman" w:eastAsia="宋体" w:cs="Times New Roman"/>
          <w:b w:val="0"/>
          <w:color w:val="000000"/>
          <w:sz w:val="24"/>
        </w:rPr>
        <w:t>为改革前地区，</w:t>
      </w:r>
      <m:oMath>
        <m:sSub>
          <m:e>
            <m:r>
              <m:rPr>
                <m:scr m:val="script"/>
              </m:rPr>
              <w:rPr>
                <w:rFonts w:ascii="Cambria Math" w:hAnsi="Cambria Math" w:cs="Cambria Math" w:eastAsia="宋体"/>
                <w:sz w:val="24"/>
              </w:rPr>
              <m:t>Z</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为估计使用的信息。基准条件均值写为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r>
          <m:rPr>
            <m:scr m:val="double-struck"/>
            <m:sty m:val="p"/>
          </m:rPr>
          <w:rPr>
            <w:rFonts w:ascii="Cambria Math" w:hAnsi="Cambria Math" w:cs="Cambria Math" w:eastAsia="宋体"/>
            <w:sz w:val="24"/>
          </w:rPr>
          <m:t>E</m:t>
        </m:r>
        <m:r>
          <w:rPr>
            <w:rFonts w:ascii="Cambria Math" w:hAnsi="Cambria Math" w:cs="Cambria Math" w:eastAsia="宋体"/>
            <w:sz w:val="24"/>
          </w:rPr>
          <m:t>[</m:t>
        </m:r>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sSub>
          <m:e>
            <m:r>
              <m:rPr>
                <m:scr m:val="script"/>
              </m:rPr>
              <w:rPr>
                <w:rFonts w:ascii="Cambria Math" w:hAnsi="Cambria Math" w:cs="Cambria Math" w:eastAsia="宋体"/>
                <w:sz w:val="24"/>
              </w:rPr>
              <m:t>Z</m:t>
            </m:r>
          </m:e>
          <m:sub>
            <m:r>
              <w:rPr>
                <w:rFonts w:ascii="Cambria Math" w:hAnsi="Cambria Math" w:cs="Cambria Math" w:eastAsia="宋体"/>
                <w:sz w:val="24"/>
              </w:rPr>
              <m:t>ft</m:t>
            </m:r>
          </m:sub>
        </m:sSub>
        <m:r>
          <w:rPr>
            <w:rFonts w:ascii="Cambria Math" w:hAnsi="Cambria Math" w:cs="Cambria Math" w:eastAsia="宋体"/>
            <w:sz w:val="24"/>
          </w:rPr>
          <m:t>]=</m:t>
        </m:r>
        <m:r>
          <m:rPr>
            <m:sty m:val="p"/>
          </m:rPr>
          <w:rPr>
            <w:rFonts w:ascii="Cambria Math" w:hAnsi="Cambria Math" w:cs="Cambria Math" w:eastAsia="宋体"/>
            <w:sz w:val="24"/>
          </w:rPr>
          <m:t>exp</m:t>
        </m:r>
        <m:d>
          <m:dPr>
            <m:begChr m:val="["/>
            <m:sepChr m:val="+"/>
            <m:endChr m:val="]"/>
          </m:dPr>
          <m:e>
            <m:sSub>
              <m:e>
                <m:r>
                  <w:rPr>
                    <w:rFonts w:ascii="Cambria Math" w:hAnsi="Cambria Math" w:cs="Cambria Math" w:eastAsia="宋体"/>
                    <w:sz w:val="24"/>
                  </w:rPr>
                  <m:t>α</m:t>
                </m:r>
              </m:e>
              <m:sub>
                <m:r>
                  <w:rPr>
                    <w:rFonts w:ascii="Cambria Math" w:hAnsi="Cambria Math" w:cs="Cambria Math" w:eastAsia="宋体"/>
                    <w:sz w:val="24"/>
                  </w:rPr>
                  <m:t>f</m:t>
                </m:r>
              </m:sub>
            </m:sSub>
          </m:e>
          <m:e>
            <m:sSub>
              <m:e>
                <m:r>
                  <w:rPr>
                    <w:rFonts w:ascii="Cambria Math" w:hAnsi="Cambria Math" w:cs="Cambria Math" w:eastAsia="宋体"/>
                    <w:sz w:val="24"/>
                  </w:rPr>
                  <m:t>λ</m:t>
                </m:r>
              </m:e>
              <m:sub>
                <m:r>
                  <w:rPr>
                    <w:rFonts w:ascii="Cambria Math" w:hAnsi="Cambria Math" w:cs="Cambria Math" w:eastAsia="宋体"/>
                    <w:sz w:val="24"/>
                  </w:rPr>
                  <m:t>b(f),t</m:t>
                </m:r>
              </m:sub>
            </m:sSub>
          </m:e>
          <m:e>
            <m:sSub>
              <m:e>
                <m:r>
                  <w:rPr>
                    <w:rFonts w:ascii="Cambria Math" w:hAnsi="Cambria Math" w:cs="Cambria Math" w:eastAsia="宋体"/>
                    <w:sz w:val="24"/>
                  </w:rPr>
                  <m:t>η</m:t>
                </m:r>
              </m:e>
              <m:sub>
                <m:sSub>
                  <m:e>
                    <m:r>
                      <w:rPr>
                        <w:rFonts w:ascii="Cambria Math" w:hAnsi="Cambria Math" w:cs="Cambria Math" w:eastAsia="宋体"/>
                        <w:sz w:val="24"/>
                      </w:rPr>
                      <m:t>r</m:t>
                    </m:r>
                  </m:e>
                  <m:sub>
                    <m:r>
                      <w:rPr>
                        <w:rFonts w:ascii="Cambria Math" w:hAnsi="Cambria Math" w:cs="Cambria Math" w:eastAsia="宋体"/>
                        <w:sz w:val="24"/>
                      </w:rPr>
                      <m:t>f0</m:t>
                    </m:r>
                  </m:sub>
                </m:sSub>
                <m:r>
                  <w:rPr>
                    <w:rFonts w:ascii="Cambria Math" w:hAnsi="Cambria Math" w:cs="Cambria Math" w:eastAsia="宋体"/>
                    <w:sz w:val="24"/>
                  </w:rPr>
                  <m:t>,t</m:t>
                </m:r>
              </m:sub>
            </m:sSub>
          </m:e>
          <m:e>
            <m:sSub>
              <m:e>
                <m:r>
                  <w:rPr>
                    <w:rFonts w:ascii="Cambria Math" w:hAnsi="Cambria Math" w:cs="Cambria Math" w:eastAsia="宋体"/>
                    <w:sz w:val="24"/>
                  </w:rPr>
                  <m:t>L</m:t>
                </m:r>
              </m:e>
              <m:sub>
                <m:r>
                  <w:rPr>
                    <w:rFonts w:ascii="Cambria Math" w:hAnsi="Cambria Math" w:cs="Cambria Math" w:eastAsia="宋体"/>
                    <w:sz w:val="24"/>
                  </w:rPr>
                  <m:t>ft</m:t>
                </m:r>
              </m:sub>
            </m:sSub>
          </m:e>
        </m:d>
        <m:r>
          <w:rPr>
            <w:rFonts w:ascii="Cambria Math" w:hAnsi="Cambria Math" w:cs="Cambria Math" w:eastAsia="宋体"/>
            <w:sz w:val="24"/>
          </w:rPr>
          <m:t>.</m:t>
        </m:r>
      </m:oMath>
      <w:r>
        <w:rPr>
          <w:rFonts w:ascii="Times New Roman" w:hAnsi="Times New Roman" w:eastAsia="宋体" w:cs="Times New Roman"/>
          <w:b w:val="0"/>
          <w:color w:val="000000"/>
          <w:sz w:val="22"/>
        </w:rPr>
        <w:tab/>
        <w:t>（A1）</w:t>
      </w:r>
    </w:p>
    <w:p>
      <w:pPr>
        <w:keepNext w:val="0"/>
        <w:keepLines w:val="0"/>
        <w:pageBreakBefore w:val="0"/>
      </w:pPr>
      <w:r>
        <w:rPr>
          <w:rFonts w:ascii="Times New Roman" w:hAnsi="Times New Roman" w:eastAsia="宋体" w:cs="Times New Roman"/>
          <w:b w:val="0"/>
          <w:color w:val="000000"/>
          <w:sz w:val="24"/>
        </w:rPr>
        <w:t>其中，</w:t>
      </w:r>
      <m:oMath>
        <m:sSub>
          <m:e>
            <m:r>
              <w:rPr>
                <w:rFonts w:ascii="Cambria Math" w:hAnsi="Cambria Math" w:cs="Cambria Math" w:eastAsia="宋体"/>
                <w:sz w:val="24"/>
              </w:rPr>
              <m:t>α</m:t>
            </m:r>
          </m:e>
          <m:sub>
            <m:r>
              <w:rPr>
                <w:rFonts w:ascii="Cambria Math" w:hAnsi="Cambria Math" w:cs="Cambria Math" w:eastAsia="宋体"/>
                <w:sz w:val="24"/>
              </w:rPr>
              <m:t>f</m:t>
            </m:r>
          </m:sub>
        </m:sSub>
      </m:oMath>
      <w:r>
        <w:rPr>
          <w:rFonts w:ascii="Times New Roman" w:hAnsi="Times New Roman" w:eastAsia="宋体" w:cs="Times New Roman"/>
          <w:b w:val="0"/>
          <w:color w:val="000000"/>
          <w:sz w:val="24"/>
        </w:rPr>
        <w:t>吸收企业稳定特征，</w:t>
      </w:r>
      <m:oMath>
        <m:sSub>
          <m:e>
            <m:r>
              <w:rPr>
                <w:rFonts w:ascii="Cambria Math" w:hAnsi="Cambria Math" w:cs="Cambria Math" w:eastAsia="宋体"/>
                <w:sz w:val="24"/>
              </w:rPr>
              <m:t>λ</m:t>
            </m:r>
          </m:e>
          <m:sub>
            <m:r>
              <w:rPr>
                <w:rFonts w:ascii="Cambria Math" w:hAnsi="Cambria Math" w:cs="Cambria Math" w:eastAsia="宋体"/>
                <w:sz w:val="24"/>
              </w:rPr>
              <m:t>b(f),t</m:t>
            </m:r>
          </m:sub>
        </m:sSub>
      </m:oMath>
      <w:r>
        <w:rPr>
          <w:rFonts w:ascii="Times New Roman" w:hAnsi="Times New Roman" w:eastAsia="宋体" w:cs="Times New Roman"/>
          <w:b w:val="0"/>
          <w:color w:val="000000"/>
          <w:sz w:val="24"/>
        </w:rPr>
        <w:t>吸收同行业比较组在各年的共同变化，</w:t>
      </w:r>
      <m:oMath>
        <m:sSub>
          <m:e>
            <m:r>
              <w:rPr>
                <w:rFonts w:ascii="Cambria Math" w:hAnsi="Cambria Math" w:cs="Cambria Math" w:eastAsia="宋体"/>
                <w:sz w:val="24"/>
              </w:rPr>
              <m:t>η</m:t>
            </m:r>
          </m:e>
          <m:sub>
            <m:sSub>
              <m:e>
                <m:r>
                  <w:rPr>
                    <w:rFonts w:ascii="Cambria Math" w:hAnsi="Cambria Math" w:cs="Cambria Math" w:eastAsia="宋体"/>
                    <w:sz w:val="24"/>
                  </w:rPr>
                  <m:t>r</m:t>
                </m:r>
              </m:e>
              <m:sub>
                <m:r>
                  <w:rPr>
                    <w:rFonts w:ascii="Cambria Math" w:hAnsi="Cambria Math" w:cs="Cambria Math" w:eastAsia="宋体"/>
                    <w:sz w:val="24"/>
                  </w:rPr>
                  <m:t>f0</m:t>
                </m:r>
              </m:sub>
            </m:sSub>
            <m:r>
              <w:rPr>
                <w:rFonts w:ascii="Cambria Math" w:hAnsi="Cambria Math" w:cs="Cambria Math" w:eastAsia="宋体"/>
                <w:sz w:val="24"/>
              </w:rPr>
              <m:t>,t</m:t>
            </m:r>
          </m:sub>
        </m:sSub>
      </m:oMath>
      <w:r>
        <w:rPr>
          <w:rFonts w:ascii="Times New Roman" w:hAnsi="Times New Roman" w:eastAsia="宋体" w:cs="Times New Roman"/>
          <w:b w:val="0"/>
          <w:color w:val="000000"/>
          <w:sz w:val="24"/>
        </w:rPr>
        <w:t>吸收改革前所在地区的年度共同变化。</w:t>
      </w:r>
      <w:r>
        <w:rPr>
          <w:rFonts w:ascii="Times New Roman" w:hAnsi="Times New Roman" w:eastAsia="宋体" w:cs="Times New Roman"/>
          <w:b w:val="0"/>
          <w:color w:val="000000"/>
          <w:sz w:val="2"/>
        </w:rPr>
        <w:br w:type="page"/>
      </w:r>
    </w:p>
    <w:p>
      <w:pPr>
        <w:keepNext w:val="0"/>
        <w:keepLines w:val="0"/>
        <w:pageBreakBefore w:val="0"/>
      </w:pPr>
      <w:r>
        <w:rPr>
          <w:rFonts w:ascii="Times New Roman" w:hAnsi="Times New Roman" w:eastAsia="宋体" w:cs="Times New Roman"/>
          <w:b w:val="0"/>
          <w:color w:val="000000"/>
          <w:sz w:val="24"/>
        </w:rPr>
        <w:t>静态政策项为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L</m:t>
            </m:r>
          </m:e>
          <m:sub>
            <m:r>
              <w:rPr>
                <w:rFonts w:ascii="Cambria Math" w:hAnsi="Cambria Math" w:cs="Cambria Math" w:eastAsia="宋体"/>
                <w:sz w:val="24"/>
              </w:rPr>
              <m:t>ft</m:t>
            </m:r>
          </m:sub>
        </m:sSub>
        <m:r>
          <w:rPr>
            <w:rFonts w:ascii="Cambria Math" w:hAnsi="Cambria Math" w:cs="Cambria Math" w:eastAsia="宋体"/>
            <w:sz w:val="24"/>
          </w:rPr>
          <m:t>=β</m:t>
        </m:r>
        <m:sSub>
          <m:e>
            <m:r>
              <m:rPr>
                <m:sty m:val="p"/>
              </m:rPr>
              <w:rPr>
                <w:rFonts w:ascii="Cambria Math" w:hAnsi="Cambria Math" w:cs="Cambria Math" w:eastAsia="宋体"/>
                <w:sz w:val="24"/>
              </w:rPr>
              <m:t>Treat</m:t>
            </m:r>
          </m:e>
          <m:sub>
            <m:r>
              <w:rPr>
                <w:rFonts w:ascii="Cambria Math" w:hAnsi="Cambria Math" w:cs="Cambria Math" w:eastAsia="宋体"/>
                <w:sz w:val="24"/>
              </w:rPr>
              <m:t>f</m:t>
            </m:r>
          </m:sub>
        </m:sSub>
        <m:r>
          <w:rPr>
            <w:rFonts w:ascii="Cambria Math" w:hAnsi="Cambria Math" w:cs="Cambria Math" w:eastAsia="宋体"/>
            <w:sz w:val="24"/>
          </w:rPr>
          <m:t>×</m:t>
        </m:r>
        <m:sSub>
          <m:e>
            <m:r>
              <m:rPr>
                <m:sty m:val="p"/>
              </m:rPr>
              <w:rPr>
                <w:rFonts w:ascii="Cambria Math" w:hAnsi="Cambria Math" w:cs="Cambria Math" w:eastAsia="宋体"/>
                <w:sz w:val="24"/>
              </w:rPr>
              <m:t>Post</m:t>
            </m:r>
          </m:e>
          <m:sub>
            <m:r>
              <w:rPr>
                <w:rFonts w:ascii="Cambria Math" w:hAnsi="Cambria Math" w:cs="Cambria Math" w:eastAsia="宋体"/>
                <w:sz w:val="24"/>
              </w:rPr>
              <m:t>t</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（A2）</w:t>
      </w:r>
    </w:p>
    <w:p>
      <w:pPr>
        <w:keepNext w:val="0"/>
        <w:keepLines w:val="0"/>
        <w:pageBreakBefore w:val="0"/>
      </w:pPr>
      <w:r>
        <w:rPr>
          <w:rFonts w:ascii="Times New Roman" w:hAnsi="Times New Roman" w:eastAsia="宋体" w:cs="Times New Roman"/>
          <w:b w:val="0"/>
          <w:color w:val="000000"/>
          <w:sz w:val="24"/>
        </w:rPr>
        <w:t>在式（A1）的共同系数设定下，</w:t>
      </w:r>
      <m:oMath>
        <m:r>
          <m:rPr>
            <m:sty m:val="p"/>
          </m:rPr>
          <w:rPr>
            <w:rFonts w:ascii="Cambria Math" w:hAnsi="Cambria Math" w:cs="Cambria Math" w:eastAsia="宋体"/>
            <w:sz w:val="24"/>
          </w:rPr>
          <m:t>exp</m:t>
        </m:r>
        <m:r>
          <w:rPr>
            <w:rFonts w:ascii="Cambria Math" w:hAnsi="Cambria Math" w:cs="Cambria Math" w:eastAsia="宋体"/>
            <w:sz w:val="24"/>
          </w:rPr>
          <m:t>(β)−1</m:t>
        </m:r>
      </m:oMath>
      <w:r>
        <w:rPr>
          <w:rFonts w:ascii="Times New Roman" w:hAnsi="Times New Roman" w:eastAsia="宋体" w:cs="Times New Roman"/>
          <w:b w:val="0"/>
          <w:color w:val="000000"/>
          <w:sz w:val="24"/>
        </w:rPr>
        <w:t>表示政策项对应的条件均值比例差异。它不是所有企业产出变化的简单平均，也不是部门成本变化。静态系数概括2011—2014年的过程，年度反应由动态规格进一步描述。需要报告金额效应时，以相同企业范围的有、无改革预测之差计算。</w:t>
      </w:r>
    </w:p>
    <w:p>
      <w:pPr>
        <w:keepNext w:val="0"/>
        <w:keepLines w:val="0"/>
        <w:pageBreakBefore w:val="0"/>
      </w:pPr>
      <w:r>
        <w:rPr>
          <w:rFonts w:ascii="Times New Roman" w:hAnsi="Times New Roman" w:eastAsia="宋体" w:cs="Times New Roman"/>
          <w:b w:val="0"/>
          <w:color w:val="000000"/>
          <w:sz w:val="24"/>
        </w:rPr>
        <w:t>选择行业固定效应时，必须保留实际存在的处理差异。同一四位小类内有可核实的业务或条件差异，可以使用四位行业与年份交互；整类企业处理身份相同时，这组固定效应会吸收政策项，需要预先确定较宽的行业比较组。较宽分组意味着更多依赖行业之间的可比性，应说明选择依据。地区与年份交互也可能吸收仅来自地区的处理变化，因而要检查两组固定效应联合控制后还剩哪些比较。</w:t>
      </w:r>
    </w:p>
    <w:p>
      <w:pPr>
        <w:keepNext w:val="0"/>
        <w:keepLines w:val="0"/>
        <w:pageBreakBefore w:val="0"/>
      </w:pPr>
      <w:r>
        <w:rPr>
          <w:rFonts w:ascii="Times New Roman" w:hAnsi="Times New Roman" w:eastAsia="宋体" w:cs="Times New Roman"/>
          <w:b w:val="0"/>
          <w:color w:val="000000"/>
          <w:sz w:val="24"/>
        </w:rPr>
        <w:t>补充控制限于具有明确来源和含义的改革前特征及其与年份的交互。改革后的规模、投资、所有权及行业变动可能是政策作用的结果，不直接作为基准控制变量。企业的改革前行业和地区固定效应分组也不随其事后转行业或迁移重编。</w:t>
      </w:r>
    </w:p>
    <w:p>
      <w:pPr>
        <w:pStyle w:val="Heading2"/>
        <w:keepNext w:val="0"/>
        <w:keepLines w:val="0"/>
        <w:pageBreakBefore w:val="0"/>
      </w:pPr>
      <w:r>
        <w:rPr>
          <w:rFonts w:ascii="Times New Roman" w:hAnsi="Times New Roman" w:eastAsia="宋体" w:cs="Times New Roman"/>
          <w:b/>
          <w:color w:val="000000"/>
          <w:sz w:val="25"/>
        </w:rPr>
        <w:t>A.5.2 年度动态与识别假设</w:t>
      </w:r>
    </w:p>
    <w:p>
      <w:pPr>
        <w:keepNext w:val="0"/>
        <w:keepLines w:val="0"/>
        <w:pageBreakBefore w:val="0"/>
      </w:pPr>
      <w:r>
        <w:rPr>
          <w:rFonts w:ascii="Times New Roman" w:hAnsi="Times New Roman" w:eastAsia="宋体" w:cs="Times New Roman"/>
          <w:b w:val="0"/>
          <w:color w:val="000000"/>
          <w:sz w:val="24"/>
        </w:rPr>
        <w:t>动态分析以2011年为起点，令</w:t>
      </w:r>
      <m:oMath>
        <m:r>
          <w:rPr>
            <w:rFonts w:ascii="Cambria Math" w:hAnsi="Cambria Math" w:cs="Cambria Math" w:eastAsia="宋体"/>
            <w:sz w:val="24"/>
          </w:rPr>
          <m:t>h=t−2011</m:t>
        </m:r>
      </m:oMath>
      <w:r>
        <w:rPr>
          <w:rFonts w:ascii="Times New Roman" w:hAnsi="Times New Roman" w:eastAsia="宋体" w:cs="Times New Roman"/>
          <w:b w:val="0"/>
          <w:color w:val="000000"/>
          <w:sz w:val="24"/>
        </w:rPr>
        <w:t>，2010年对应</w:t>
      </w:r>
      <m:oMath>
        <m:r>
          <w:rPr>
            <w:rFonts w:ascii="Cambria Math" w:hAnsi="Cambria Math" w:cs="Cambria Math" w:eastAsia="宋体"/>
            <w:sz w:val="24"/>
          </w:rPr>
          <m:t>h=−1</m:t>
        </m:r>
      </m:oMath>
      <w:r>
        <w:rPr>
          <w:rFonts w:ascii="Times New Roman" w:hAnsi="Times New Roman" w:eastAsia="宋体" w:cs="Times New Roman"/>
          <w:b w:val="0"/>
          <w:color w:val="000000"/>
          <w:sz w:val="24"/>
        </w:rPr>
        <w:t>。用下式替换静态政策项：</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2"/>
              </w:rPr>
              <m:t>L</m:t>
            </m:r>
          </m:e>
          <m:sub>
            <m:r>
              <w:rPr>
                <w:rFonts w:ascii="Cambria Math" w:hAnsi="Cambria Math" w:cs="Cambria Math" w:eastAsia="宋体"/>
                <w:sz w:val="22"/>
              </w:rPr>
              <m:t>ft</m:t>
            </m:r>
          </m:sub>
        </m:sSub>
        <m:r>
          <w:rPr>
            <w:rFonts w:ascii="Cambria Math" w:hAnsi="Cambria Math" w:cs="Cambria Math" w:eastAsia="宋体"/>
            <w:sz w:val="22"/>
          </w:rPr>
          <m:t>=</m:t>
        </m:r>
        <m:nary>
          <m:naryPr>
            <m:chr m:val="∑"/>
            <m:limLoc m:val="subSup"/>
            <m:grow m:val="1"/>
            <m:subHide m:val="off"/>
            <m:supHide m:val="on"/>
          </m:naryPr>
          <m:sub>
            <m:r>
              <w:rPr>
                <w:rFonts w:ascii="Cambria Math" w:hAnsi="Cambria Math" w:cs="Cambria Math" w:eastAsia="宋体"/>
                <w:sz w:val="22"/>
              </w:rPr>
              <m:t>h∈</m:t>
            </m:r>
            <m:r>
              <m:rPr>
                <m:scr m:val="script"/>
              </m:rPr>
              <w:rPr>
                <w:rFonts w:ascii="Cambria Math" w:hAnsi="Cambria Math" w:cs="Cambria Math" w:eastAsia="宋体"/>
                <w:sz w:val="22"/>
              </w:rPr>
              <m:t>H</m:t>
            </m:r>
            <m:r>
              <w:rPr>
                <w:rFonts w:ascii="Cambria Math" w:hAnsi="Cambria Math" w:cs="Cambria Math" w:eastAsia="宋体"/>
                <w:sz w:val="22"/>
              </w:rPr>
              <m:t>,</m:t>
            </m:r>
            <m:r>
              <w:rPr>
                <w:rFonts w:ascii="Cambria Math" w:hAnsi="Cambria Math" w:cs="Cambria Math" w:eastAsia="宋体"/>
                <w:sz w:val="22"/>
              </w:rPr>
              <m:t>h≠−1</m:t>
            </m:r>
          </m:sub>
          <m:sup/>
          <m:e>
            <m:sSub>
              <m:e>
                <m:r>
                  <w:rPr>
                    <w:rFonts w:ascii="Cambria Math" w:hAnsi="Cambria Math" w:cs="Cambria Math" w:eastAsia="宋体"/>
                    <w:sz w:val="22"/>
                  </w:rPr>
                  <m:t>β</m:t>
                </m:r>
              </m:e>
              <m:sub>
                <m:r>
                  <w:rPr>
                    <w:rFonts w:ascii="Cambria Math" w:hAnsi="Cambria Math" w:cs="Cambria Math" w:eastAsia="宋体"/>
                    <w:sz w:val="22"/>
                  </w:rPr>
                  <m:t>h</m:t>
                </m:r>
              </m:sub>
            </m:sSub>
          </m:e>
        </m:nary>
        <m:sSub>
          <m:e>
            <m:r>
              <m:rPr>
                <m:sty m:val="p"/>
              </m:rPr>
              <w:rPr>
                <w:rFonts w:ascii="Cambria Math" w:hAnsi="Cambria Math" w:cs="Cambria Math" w:eastAsia="宋体"/>
                <w:sz w:val="22"/>
              </w:rPr>
              <m:t>Treat</m:t>
            </m:r>
          </m:e>
          <m:sub>
            <m:r>
              <w:rPr>
                <w:rFonts w:ascii="Cambria Math" w:hAnsi="Cambria Math" w:cs="Cambria Math" w:eastAsia="宋体"/>
                <w:sz w:val="22"/>
              </w:rPr>
              <m:t>f</m:t>
            </m:r>
          </m:sub>
        </m:sSub>
        <m:r>
          <m:rPr>
            <m:sty m:val="b"/>
          </m:rPr>
          <w:rPr>
            <w:rFonts w:ascii="Cambria Math" w:hAnsi="Cambria Math" w:cs="Cambria Math" w:eastAsia="宋体"/>
            <w:sz w:val="22"/>
          </w:rPr>
          <m:t>1</m:t>
        </m:r>
        <m:r>
          <w:rPr>
            <w:rFonts w:ascii="Cambria Math" w:hAnsi="Cambria Math" w:cs="Cambria Math" w:eastAsia="宋体"/>
            <w:sz w:val="22"/>
          </w:rPr>
          <m:t>(t−2011=h).</m:t>
        </m:r>
      </m:oMath>
      <w:r>
        <w:rPr>
          <w:rFonts w:ascii="Times New Roman" w:hAnsi="Times New Roman" w:eastAsia="宋体" w:cs="Times New Roman"/>
          <w:b w:val="0"/>
          <w:color w:val="000000"/>
          <w:sz w:val="22"/>
        </w:rPr>
        <w:tab/>
        <w:t>（A3）</w:t>
      </w:r>
    </w:p>
    <w:p>
      <w:pPr>
        <w:keepNext w:val="0"/>
        <w:keepLines w:val="0"/>
        <w:pageBreakBefore w:val="0"/>
      </w:pPr>
      <w:r>
        <w:rPr>
          <w:rFonts w:ascii="Times New Roman" w:hAnsi="Times New Roman" w:eastAsia="宋体" w:cs="Times New Roman"/>
          <w:b w:val="0"/>
          <w:color w:val="000000"/>
          <w:sz w:val="24"/>
        </w:rPr>
        <w:t>式中</w:t>
      </w:r>
      <m:oMath>
        <m:r>
          <m:rPr>
            <m:scr m:val="script"/>
          </m:rPr>
          <w:rPr>
            <w:rFonts w:ascii="Cambria Math" w:hAnsi="Cambria Math" w:cs="Cambria Math" w:eastAsia="宋体"/>
            <w:sz w:val="24"/>
          </w:rPr>
          <m:t>H</m:t>
        </m:r>
        <m:r>
          <w:rPr>
            <w:rFonts w:ascii="Cambria Math" w:hAnsi="Cambria Math" w:cs="Cambria Math" w:eastAsia="宋体"/>
            <w:sz w:val="24"/>
          </w:rPr>
          <m:t>={−4,−3,−2,−1,0,1,2,3}</m:t>
        </m:r>
      </m:oMath>
      <w:r>
        <w:rPr>
          <w:rFonts w:ascii="Times New Roman" w:hAnsi="Times New Roman" w:eastAsia="宋体" w:cs="Times New Roman"/>
          <w:b w:val="0"/>
          <w:color w:val="000000"/>
          <w:sz w:val="24"/>
        </w:rPr>
        <w:t>，</w:t>
      </w:r>
      <m:oMath>
        <m:r>
          <m:rPr>
            <m:sty m:val="b"/>
          </m:rPr>
          <w:rPr>
            <w:rFonts w:ascii="Cambria Math" w:hAnsi="Cambria Math" w:cs="Cambria Math" w:eastAsia="宋体"/>
            <w:sz w:val="24"/>
          </w:rPr>
          <m:t>1</m:t>
        </m:r>
        <m:r>
          <w:rPr>
            <w:rFonts w:ascii="Cambria Math" w:hAnsi="Cambria Math" w:cs="Cambria Math" w:eastAsia="宋体"/>
            <w:sz w:val="24"/>
          </w:rPr>
          <m:t>(·)</m:t>
        </m:r>
      </m:oMath>
      <w:r>
        <w:rPr>
          <w:rFonts w:ascii="Times New Roman" w:hAnsi="Times New Roman" w:eastAsia="宋体" w:cs="Times New Roman"/>
          <w:b w:val="0"/>
          <w:color w:val="000000"/>
          <w:sz w:val="24"/>
        </w:rPr>
        <w:t>为条件成立时取1的指示函数。2007、2008、2009年系数描述两组在改革前相对2010年的变化；2011、2012、2013、2014年系数分别描述信息公开和实施后的年度反应。静态与动态为替代规格，不在同一方程中同时放入重复的政策项。</w:t>
      </w:r>
    </w:p>
    <w:p>
      <w:pPr>
        <w:keepNext w:val="0"/>
        <w:keepLines w:val="0"/>
        <w:pageBreakBefore w:val="0"/>
      </w:pPr>
      <w:r>
        <w:rPr>
          <w:rFonts w:ascii="Times New Roman" w:hAnsi="Times New Roman" w:eastAsia="宋体" w:cs="Times New Roman"/>
          <w:b w:val="0"/>
          <w:color w:val="000000"/>
          <w:sz w:val="24"/>
        </w:rPr>
        <w:t>式（A1）的因果解释要求无本轮改革时，两组条件生产均值按可比的比例变化，即乘法平行趋势。它还要求改革前没有未被研究安排处理的提前反应，并且调查进入、缺失及变量记录没有因政策而产生无法区分的系统变化。改革前动态及其置信区间有助于判断这些假设，但前期系数不显著不能证明平行趋势成立。2010年若已存在更早信息引起的预期反应，也会影响参照年含义，需要结合政策背景核查。</w:t>
      </w:r>
    </w:p>
    <w:p>
      <w:pPr>
        <w:keepNext w:val="0"/>
        <w:keepLines w:val="0"/>
        <w:pageBreakBefore w:val="0"/>
      </w:pPr>
      <w:r>
        <w:rPr>
          <w:rFonts w:ascii="Times New Roman" w:hAnsi="Times New Roman" w:eastAsia="宋体" w:cs="Times New Roman"/>
          <w:b w:val="0"/>
          <w:color w:val="000000"/>
          <w:sz w:val="24"/>
        </w:rPr>
        <w:t>回归识别的是在所选比较范围内的相对反应。对照企业若受到竞争或供应链溢出，估计可能是直接受放宽企业相对于间接受影响企业的差异。研究将结合改革前业务联系、地区和投入产出关系说明潜在溢出，并比较合理的对照范围。只有在相应依据支持时，才把估计解释为处理企业相对于完全无改革状态的效应。</w:t>
      </w:r>
    </w:p>
    <w:p>
      <w:pPr>
        <w:keepNext w:val="0"/>
        <w:keepLines w:val="0"/>
        <w:pageBreakBefore w:val="0"/>
      </w:pPr>
      <w:r>
        <w:rPr>
          <w:rFonts w:ascii="Times New Roman" w:hAnsi="Times New Roman" w:eastAsia="宋体" w:cs="Times New Roman"/>
          <w:b w:val="0"/>
          <w:color w:val="000000"/>
          <w:sz w:val="24"/>
        </w:rPr>
        <w:t>企业反应可能因改革前控制类型、业务范围和部门而不同。异质性组别在查看政策结果前依据研究问题和样本支持确定。单一共同系数是一个需要检验的简化；部门成本研究需要部门目标时，不能把总体系数复制到各部门后称为已识别的部门异质性。缺少处理或对照支持的部门保留描述性证据。</w:t>
      </w:r>
    </w:p>
    <w:p>
      <w:pPr>
        <w:pStyle w:val="Heading2"/>
        <w:keepNext w:val="0"/>
        <w:keepLines w:val="0"/>
        <w:pageBreakBefore w:val="0"/>
      </w:pPr>
      <w:r>
        <w:rPr>
          <w:rFonts w:ascii="Times New Roman" w:hAnsi="Times New Roman" w:eastAsia="宋体" w:cs="Times New Roman"/>
          <w:b/>
          <w:color w:val="000000"/>
          <w:sz w:val="25"/>
        </w:rPr>
        <w:t>A.5.3 推断、其他结果与同期政策</w:t>
      </w:r>
    </w:p>
    <w:p>
      <w:pPr>
        <w:keepNext w:val="0"/>
        <w:keepLines w:val="0"/>
        <w:pageBreakBefore w:val="0"/>
      </w:pPr>
      <w:r>
        <w:rPr>
          <w:rFonts w:ascii="Times New Roman" w:hAnsi="Times New Roman" w:eastAsia="宋体" w:cs="Times New Roman"/>
          <w:b w:val="0"/>
          <w:color w:val="000000"/>
          <w:sz w:val="24"/>
        </w:rPr>
        <w:t>同受一项政策或行业冲击影响的企业，其未解释变化可能相互关联，不能把每家企业都当作一份独立证据。聚类标准误允许同一组内的误差相关，分组层级依据政策赋值方式和共同冲击范围确定。若同一行业企业共享处理身份和行业冲击，应考虑行业层面的相关性；同一条款跨多个行业、多个地区共同作用时，还需评估更宽的共同政策信息。细分记录的数量、企业数量和目录条款数量均不能直接当作独立冲击数量。有效政策组较少时，报告比较来源，并仅在方法的适用条件成立时采用小样本推断。</w:t>
      </w:r>
    </w:p>
    <w:p>
      <w:pPr>
        <w:keepNext w:val="0"/>
        <w:keepLines w:val="0"/>
        <w:pageBreakBefore w:val="0"/>
      </w:pPr>
      <w:r>
        <w:rPr>
          <w:rFonts w:ascii="Times New Roman" w:hAnsi="Times New Roman" w:eastAsia="宋体" w:cs="Times New Roman"/>
          <w:b w:val="0"/>
          <w:color w:val="000000"/>
          <w:sz w:val="24"/>
        </w:rPr>
        <w:t>对经核实的存续或控制身份等结果，用0和1表示两种状态，可采用与基准DID比较范围一致的线性概率模型，考察相应状态发生概率的变化。因变量按0和1计量时，系数乘以100后以百分点表示；同时检查预测概率是否超出0至1，并比较适当的非线性规格。投资金额和就业等按各自变量性质选择方法，分别报告可比口径及实际样本。持股比例、最终控制身份和相应控制权变化，仅在所需资料核实后研究；登记类别变化按其自身含义报告，不替代上述变量。</w:t>
      </w:r>
    </w:p>
    <w:p>
      <w:pPr>
        <w:keepNext w:val="0"/>
        <w:keepLines w:val="0"/>
        <w:pageBreakBefore w:val="0"/>
      </w:pPr>
      <w:r>
        <w:rPr>
          <w:rFonts w:ascii="Times New Roman" w:hAnsi="Times New Roman" w:eastAsia="宋体" w:cs="Times New Roman"/>
          <w:b w:val="0"/>
          <w:color w:val="000000"/>
          <w:sz w:val="24"/>
        </w:rPr>
        <w:t>同期政策核查集中在既定窗口内进行。除2007目录更替外，重点核对2012年证券专项调整、2013—2014年上海自贸试验区安排、期间CEPA措施以及项目核准备案制度变化。[6] 根据改革前业务、地址及可观察资格识别可能重叠的范围，比较排除这些范围后的结果。自贸区边界不能由“位于上海”替代，CEPA资格也不能由改革后的收购方倒推。鼓励待遇变化如果与准入放宽同时发生，其影响需单独讨论；无法区分时，结果解释限于相应政策组合。</w:t>
      </w:r>
    </w:p>
    <w:p>
      <w:pPr>
        <w:pStyle w:val="Heading1"/>
        <w:keepNext w:val="0"/>
        <w:keepLines w:val="0"/>
        <w:pageBreakBefore w:val="0"/>
        <w:spacing w:before="0"/>
      </w:pPr>
      <w:r>
        <w:rPr>
          <w:rFonts w:ascii="Times New Roman" w:hAnsi="Times New Roman" w:eastAsia="宋体" w:cs="Times New Roman"/>
          <w:b/>
          <w:color w:val="000000"/>
          <w:sz w:val="28"/>
        </w:rPr>
        <w:t>A.6 企业生产反应与2014年部门目标</w:t>
      </w:r>
    </w:p>
    <w:p>
      <w:pPr>
        <w:pStyle w:val="Heading2"/>
        <w:keepNext w:val="0"/>
        <w:keepLines w:val="0"/>
        <w:pageBreakBefore w:val="0"/>
      </w:pPr>
      <w:r>
        <w:rPr>
          <w:rFonts w:ascii="Times New Roman" w:hAnsi="Times New Roman" w:eastAsia="宋体" w:cs="Times New Roman"/>
          <w:b/>
          <w:color w:val="000000"/>
          <w:sz w:val="25"/>
        </w:rPr>
        <w:t>A.6.1 控制身份与生产归属</w:t>
      </w:r>
    </w:p>
    <w:p>
      <w:pPr>
        <w:keepNext w:val="0"/>
        <w:keepLines w:val="0"/>
        <w:pageBreakBefore w:val="0"/>
      </w:pPr>
      <w:r>
        <w:rPr>
          <w:rFonts w:ascii="Times New Roman" w:hAnsi="Times New Roman" w:eastAsia="宋体" w:cs="Times New Roman"/>
          <w:b w:val="0"/>
          <w:color w:val="000000"/>
          <w:sz w:val="24"/>
        </w:rPr>
        <w:t>将企业效应转为部门目标，需要把外国与国内控制生产分别计量。只有在控制身份已核实的记录中，定义外国控制指示变量</w:t>
      </w:r>
      <m:oMath>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oMath>
      <w:r>
        <w:rPr>
          <w:rFonts w:ascii="Times New Roman" w:hAnsi="Times New Roman" w:eastAsia="宋体" w:cs="Times New Roman"/>
          <w:b w:val="0"/>
          <w:color w:val="000000"/>
          <w:sz w:val="24"/>
        </w:rPr>
        <w:t>，并构造</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r>
          <m:rPr>
            <m:nor/>
          </m:rPr>
          <w:rPr>
            <w:rFonts w:ascii="Cambria Math" w:hAnsi="Cambria Math" w:cs="Cambria Math" w:eastAsia="宋体"/>
            <w:sz w:val="24"/>
          </w:rPr>
          <m:t xml:space="preserve">  </m:t>
        </m:r>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D</m:t>
            </m:r>
          </m:sup>
        </m:sSubSup>
        <m:r>
          <w:rPr>
            <w:rFonts w:ascii="Cambria Math" w:hAnsi="Cambria Math" w:cs="Cambria Math" w:eastAsia="宋体"/>
            <w:sz w:val="24"/>
          </w:rPr>
          <m:t>=(1−</m:t>
        </m:r>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（A4）</w:t>
      </w:r>
    </w:p>
    <w:p>
      <w:pPr>
        <w:keepNext w:val="0"/>
        <w:keepLines w:val="0"/>
        <w:pageBreakBefore w:val="0"/>
      </w:pPr>
      <w:r>
        <w:rPr>
          <w:rFonts w:ascii="Times New Roman" w:hAnsi="Times New Roman" w:eastAsia="宋体" w:cs="Times New Roman"/>
          <w:b w:val="0"/>
          <w:color w:val="000000"/>
          <w:sz w:val="24"/>
        </w:rPr>
        <w:t>这两个结果把同一家企业的产出按当期控制身份归属。国内企业被外资取得控制权后，其产出进入外国控制生产，原有企业集合不变。控制身份未知的企业，两项产出均为未确定，而不能一项补零、另一项视为全部产出。若控制母国不可得，但外国控制身份本身可核实，仍可研究合计外国生产；母国别分析则需要额外资料。</w:t>
      </w:r>
    </w:p>
    <w:p>
      <w:pPr>
        <w:keepNext w:val="0"/>
        <w:keepLines w:val="0"/>
        <w:pageBreakBefore w:val="0"/>
      </w:pPr>
      <w:r>
        <w:rPr>
          <w:rFonts w:ascii="Times New Roman" w:hAnsi="Times New Roman" w:eastAsia="宋体" w:cs="Times New Roman"/>
          <w:b w:val="0"/>
          <w:color w:val="000000"/>
          <w:sz w:val="24"/>
        </w:rPr>
        <w:t>外国和国内生产可分别采用式（A1）—（A3），允许各自的固定效应和政策系数不同。企业全期属于国内控制时，其外国控制生产可能全为零；另一些企业则相反。高维固定效应PPML会因全零组或分离删除观测，所谓分离是某些变量组合能够完全预测零结果、使相关参数无法得到有限估计。[13] 因此，两式的估计样本可能不同，机械取交集会改变研究对象，尤其可能集中保留发生控制权转换的企业。</w:t>
      </w:r>
    </w:p>
    <w:p>
      <w:pPr>
        <w:keepNext w:val="0"/>
        <w:keepLines w:val="0"/>
        <w:pageBreakBefore w:val="0"/>
      </w:pPr>
      <w:r>
        <w:rPr>
          <w:rFonts w:ascii="Times New Roman" w:hAnsi="Times New Roman" w:eastAsia="宋体" w:cs="Times New Roman"/>
          <w:b w:val="0"/>
          <w:color w:val="000000"/>
          <w:sz w:val="24"/>
        </w:rPr>
        <w:t>估计样本与预测范围分别记录。样本外或缺少可识别固定效应的企业不能直接填零预测，也不能凭软件保留了零值观测就认定已识别外国进入。可考虑按改革前行业、地区和处理身份固定企业组后加总，或者使用具有共同支持的较低维条件均值模型；这些方法都需要重新说明组内差异和预测假设。方案是否可行，取决于两类生产的实际支持，不能预先承诺完整企业反事实。</w:t>
      </w:r>
    </w:p>
    <w:p>
      <w:pPr>
        <w:pStyle w:val="Heading2"/>
        <w:keepNext w:val="0"/>
        <w:keepLines w:val="0"/>
        <w:pageBreakBefore w:val="0"/>
      </w:pPr>
      <w:r>
        <w:rPr>
          <w:rFonts w:ascii="Times New Roman" w:hAnsi="Times New Roman" w:eastAsia="宋体" w:cs="Times New Roman"/>
          <w:b/>
          <w:color w:val="000000"/>
          <w:sz w:val="25"/>
        </w:rPr>
        <w:t>A.6.2 加总方式与行业权重</w:t>
      </w:r>
    </w:p>
    <w:p>
      <w:pPr>
        <w:keepNext w:val="0"/>
        <w:keepLines w:val="0"/>
        <w:pageBreakBefore w:val="0"/>
      </w:pPr>
      <w:r>
        <w:rPr>
          <w:rFonts w:ascii="Times New Roman" w:hAnsi="Times New Roman" w:eastAsia="宋体" w:cs="Times New Roman"/>
          <w:b w:val="0"/>
          <w:color w:val="000000"/>
          <w:sz w:val="24"/>
        </w:rPr>
        <w:t>设</w:t>
      </w:r>
      <m:oMath>
        <m:sSub>
          <m:e>
            <m:r>
              <m:rPr>
                <m:scr m:val="script"/>
              </m:rPr>
              <w:rPr>
                <w:rFonts w:ascii="Cambria Math" w:hAnsi="Cambria Math" w:cs="Cambria Math" w:eastAsia="宋体"/>
                <w:sz w:val="24"/>
              </w:rPr>
              <m:t>B</m:t>
            </m:r>
          </m:e>
          <m:sub>
            <m:r>
              <w:rPr>
                <w:rFonts w:ascii="Cambria Math" w:hAnsi="Cambria Math" w:cs="Cambria Math" w:eastAsia="宋体"/>
                <w:sz w:val="24"/>
              </w:rPr>
              <m:t>jt</m:t>
            </m:r>
          </m:sub>
        </m:sSub>
      </m:oMath>
      <w:r>
        <w:rPr>
          <w:rFonts w:ascii="Times New Roman" w:hAnsi="Times New Roman" w:eastAsia="宋体" w:cs="Times New Roman"/>
          <w:b w:val="0"/>
          <w:color w:val="000000"/>
          <w:sz w:val="24"/>
        </w:rPr>
        <w:t>为当期能够唯一归入模型部门</w:t>
      </w:r>
      <m:oMath>
        <m:r>
          <w:rPr>
            <w:rFonts w:ascii="Cambria Math" w:hAnsi="Cambria Math" w:cs="Cambria Math" w:eastAsia="宋体"/>
            <w:sz w:val="24"/>
          </w:rPr>
          <m:t>j</m:t>
        </m:r>
      </m:oMath>
      <w:r>
        <w:rPr>
          <w:rFonts w:ascii="Times New Roman" w:hAnsi="Times New Roman" w:eastAsia="宋体" w:cs="Times New Roman"/>
          <w:b w:val="0"/>
          <w:color w:val="000000"/>
          <w:sz w:val="24"/>
        </w:rPr>
        <w:t>、且生产和控制关系均已核实的企业记录集合，</w:t>
      </w:r>
      <m:oMath>
        <m:sSub>
          <m:e>
            <m:r>
              <w:rPr>
                <w:rFonts w:ascii="Cambria Math" w:hAnsi="Cambria Math" w:cs="Cambria Math" w:eastAsia="宋体"/>
                <w:sz w:val="24"/>
              </w:rPr>
              <m:t>ω</m:t>
            </m:r>
          </m:e>
          <m:sub>
            <m:r>
              <w:rPr>
                <w:rFonts w:ascii="Cambria Math" w:hAnsi="Cambria Math" w:cs="Cambria Math" w:eastAsia="宋体"/>
                <w:sz w:val="24"/>
              </w:rPr>
              <m:t>ft</m:t>
            </m:r>
          </m:sub>
        </m:sSub>
      </m:oMath>
      <w:r>
        <w:rPr>
          <w:rFonts w:ascii="Times New Roman" w:hAnsi="Times New Roman" w:eastAsia="宋体" w:cs="Times New Roman"/>
          <w:b w:val="0"/>
          <w:color w:val="000000"/>
          <w:sz w:val="24"/>
        </w:rPr>
        <w:t>为有来源依据的调查扩展权重。部门外国与国内生产分别为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F</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f∈</m:t>
            </m:r>
            <m:sSub>
              <m:e>
                <m:r>
                  <m:rPr>
                    <m:scr m:val="script"/>
                  </m:rPr>
                  <w:rPr>
                    <w:rFonts w:ascii="Cambria Math" w:hAnsi="Cambria Math" w:cs="Cambria Math" w:eastAsia="宋体"/>
                    <w:sz w:val="24"/>
                  </w:rPr>
                  <m:t>B</m:t>
                </m:r>
              </m:e>
              <m:sub>
                <m:r>
                  <w:rPr>
                    <w:rFonts w:ascii="Cambria Math" w:hAnsi="Cambria Math" w:cs="Cambria Math" w:eastAsia="宋体"/>
                    <w:sz w:val="24"/>
                  </w:rPr>
                  <m:t>jt</m:t>
                </m:r>
              </m:sub>
            </m:sSub>
          </m:sub>
          <m:sup/>
          <m:e>
            <m:sSub>
              <m:e>
                <m:r>
                  <w:rPr>
                    <w:rFonts w:ascii="Cambria Math" w:hAnsi="Cambria Math" w:cs="Cambria Math" w:eastAsia="宋体"/>
                    <w:sz w:val="24"/>
                  </w:rPr>
                  <m:t>ω</m:t>
                </m:r>
              </m:e>
              <m:sub>
                <m:r>
                  <w:rPr>
                    <w:rFonts w:ascii="Cambria Math" w:hAnsi="Cambria Math" w:cs="Cambria Math" w:eastAsia="宋体"/>
                    <w:sz w:val="24"/>
                  </w:rPr>
                  <m:t>ft</m:t>
                </m:r>
              </m:sub>
            </m:sSub>
          </m:e>
        </m:nary>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F</m:t>
            </m:r>
          </m:sup>
        </m:sSubSup>
        <m:r>
          <w:rPr>
            <w:rFonts w:ascii="Cambria Math" w:hAnsi="Cambria Math" w:cs="Cambria Math" w:eastAsia="宋体"/>
            <w:sz w:val="24"/>
          </w:rPr>
          <m:t>,</m:t>
        </m:r>
        <m:r>
          <m:rPr>
            <m:nor/>
          </m:rPr>
          <w:rPr>
            <w:rFonts w:ascii="Cambria Math" w:hAnsi="Cambria Math" w:cs="Cambria Math" w:eastAsia="宋体"/>
            <w:sz w:val="24"/>
          </w:rPr>
          <m:t xml:space="preserve">  </m:t>
        </m:r>
        <m:sSub>
          <m:e>
            <m:r>
              <w:rPr>
                <w:rFonts w:ascii="Cambria Math" w:hAnsi="Cambria Math" w:cs="Cambria Math" w:eastAsia="宋体"/>
                <w:sz w:val="24"/>
              </w:rPr>
              <m:t>D</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f∈</m:t>
            </m:r>
            <m:sSub>
              <m:e>
                <m:r>
                  <m:rPr>
                    <m:scr m:val="script"/>
                  </m:rPr>
                  <w:rPr>
                    <w:rFonts w:ascii="Cambria Math" w:hAnsi="Cambria Math" w:cs="Cambria Math" w:eastAsia="宋体"/>
                    <w:sz w:val="24"/>
                  </w:rPr>
                  <m:t>B</m:t>
                </m:r>
              </m:e>
              <m:sub>
                <m:r>
                  <w:rPr>
                    <w:rFonts w:ascii="Cambria Math" w:hAnsi="Cambria Math" w:cs="Cambria Math" w:eastAsia="宋体"/>
                    <w:sz w:val="24"/>
                  </w:rPr>
                  <m:t>jt</m:t>
                </m:r>
              </m:sub>
            </m:sSub>
          </m:sub>
          <m:sup/>
          <m:e>
            <m:sSub>
              <m:e>
                <m:r>
                  <w:rPr>
                    <w:rFonts w:ascii="Cambria Math" w:hAnsi="Cambria Math" w:cs="Cambria Math" w:eastAsia="宋体"/>
                    <w:sz w:val="24"/>
                  </w:rPr>
                  <m:t>ω</m:t>
                </m:r>
              </m:e>
              <m:sub>
                <m:r>
                  <w:rPr>
                    <w:rFonts w:ascii="Cambria Math" w:hAnsi="Cambria Math" w:cs="Cambria Math" w:eastAsia="宋体"/>
                    <w:sz w:val="24"/>
                  </w:rPr>
                  <m:t>ft</m:t>
                </m:r>
              </m:sub>
            </m:sSub>
          </m:e>
        </m:nary>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D</m:t>
            </m:r>
          </m:sup>
        </m:sSubSup>
        <m:r>
          <w:rPr>
            <w:rFonts w:ascii="Cambria Math" w:hAnsi="Cambria Math" w:cs="Cambria Math" w:eastAsia="宋体"/>
            <w:sz w:val="24"/>
          </w:rPr>
          <m:t>.</m:t>
        </m:r>
      </m:oMath>
      <w:r>
        <w:rPr>
          <w:rFonts w:ascii="Times New Roman" w:hAnsi="Times New Roman" w:eastAsia="宋体" w:cs="Times New Roman"/>
          <w:b w:val="0"/>
          <w:color w:val="000000"/>
          <w:sz w:val="22"/>
        </w:rPr>
        <w:tab/>
        <w:t>（A5）</w:t>
      </w:r>
    </w:p>
    <w:p>
      <w:pPr>
        <w:keepNext w:val="0"/>
        <w:keepLines w:val="0"/>
        <w:pageBreakBefore w:val="0"/>
      </w:pPr>
      <w:r>
        <w:rPr>
          <w:rFonts w:ascii="Times New Roman" w:hAnsi="Times New Roman" w:eastAsia="宋体" w:cs="Times New Roman"/>
          <w:b w:val="0"/>
          <w:color w:val="000000"/>
          <w:sz w:val="24"/>
        </w:rPr>
        <w:t>无总体扩展依据而取</w:t>
      </w:r>
      <m:oMath>
        <m:sSub>
          <m:e>
            <m:r>
              <w:rPr>
                <w:rFonts w:ascii="Cambria Math" w:hAnsi="Cambria Math" w:cs="Cambria Math" w:eastAsia="宋体"/>
                <w:sz w:val="24"/>
              </w:rPr>
              <m:t>ω</m:t>
            </m:r>
          </m:e>
          <m:sub>
            <m:r>
              <w:rPr>
                <w:rFonts w:ascii="Cambria Math" w:hAnsi="Cambria Math" w:cs="Cambria Math" w:eastAsia="宋体"/>
                <w:sz w:val="24"/>
              </w:rPr>
              <m:t>ft</m:t>
            </m:r>
          </m:sub>
        </m:sSub>
        <m:r>
          <w:rPr>
            <w:rFonts w:ascii="Cambria Math" w:hAnsi="Cambria Math" w:cs="Cambria Math" w:eastAsia="宋体"/>
            <w:sz w:val="24"/>
          </w:rPr>
          <m:t>=1</m:t>
        </m:r>
      </m:oMath>
      <w:r>
        <w:rPr>
          <w:rFonts w:ascii="Times New Roman" w:hAnsi="Times New Roman" w:eastAsia="宋体" w:cs="Times New Roman"/>
          <w:b w:val="0"/>
          <w:color w:val="000000"/>
          <w:sz w:val="24"/>
        </w:rPr>
        <w:t>时，式（A5）得到的是已覆盖样本的生产。采用总体权重，需要确认其针对的调查范围、年度和单位与记录一致。只有可靠分业务产出时才把企业记录细分为业务记录；细分后各项必须与企业总量核对，确保每笔产出只计一次。</w:t>
      </w:r>
    </w:p>
    <w:p>
      <w:pPr>
        <w:keepNext w:val="0"/>
        <w:keepLines w:val="0"/>
        <w:pageBreakBefore w:val="0"/>
      </w:pPr>
      <w:r>
        <w:rPr>
          <w:rFonts w:ascii="Times New Roman" w:hAnsi="Times New Roman" w:eastAsia="宋体" w:cs="Times New Roman"/>
          <w:b w:val="0"/>
          <w:color w:val="000000"/>
          <w:sz w:val="24"/>
        </w:rPr>
        <w:t>外国控制生产份额定义为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M</m:t>
            </m:r>
          </m:e>
          <m:sub>
            <m:r>
              <w:rPr>
                <w:rFonts w:ascii="Cambria Math" w:hAnsi="Cambria Math" w:cs="Cambria Math" w:eastAsia="宋体"/>
                <w:sz w:val="24"/>
              </w:rPr>
              <m:t>jt</m:t>
            </m:r>
          </m:sub>
        </m:sSub>
        <m:r>
          <w:rPr>
            <w:rFonts w:ascii="Cambria Math" w:hAnsi="Cambria Math" w:cs="Cambria Math" w:eastAsia="宋体"/>
            <w:sz w:val="24"/>
          </w:rPr>
          <m:t>=</m:t>
        </m:r>
        <m:f>
          <m:fPr>
            <m:type m:val="bar"/>
          </m:fPr>
          <m:num>
            <m:sSub>
              <m:e>
                <m:r>
                  <w:rPr>
                    <w:rFonts w:ascii="Cambria Math" w:hAnsi="Cambria Math" w:cs="Cambria Math" w:eastAsia="宋体"/>
                    <w:sz w:val="24"/>
                  </w:rPr>
                  <m:t>F</m:t>
                </m:r>
              </m:e>
              <m:sub>
                <m:r>
                  <w:rPr>
                    <w:rFonts w:ascii="Cambria Math" w:hAnsi="Cambria Math" w:cs="Cambria Math" w:eastAsia="宋体"/>
                    <w:sz w:val="24"/>
                  </w:rPr>
                  <m:t>jt</m:t>
                </m:r>
              </m:sub>
            </m:sSub>
          </m:num>
          <m:den>
            <m:sSub>
              <m:e>
                <m:r>
                  <w:rPr>
                    <w:rFonts w:ascii="Cambria Math" w:hAnsi="Cambria Math" w:cs="Cambria Math" w:eastAsia="宋体"/>
                    <w:sz w:val="24"/>
                  </w:rPr>
                  <m:t>F</m:t>
                </m:r>
              </m:e>
              <m:sub>
                <m:r>
                  <w:rPr>
                    <w:rFonts w:ascii="Cambria Math" w:hAnsi="Cambria Math" w:cs="Cambria Math" w:eastAsia="宋体"/>
                    <w:sz w:val="24"/>
                  </w:rPr>
                  <m:t>jt</m:t>
                </m:r>
              </m:sub>
            </m:sSub>
            <m:r>
              <w:rPr>
                <w:rFonts w:ascii="Cambria Math" w:hAnsi="Cambria Math" w:cs="Cambria Math" w:eastAsia="宋体"/>
                <w:sz w:val="24"/>
              </w:rPr>
              <m:t>+</m:t>
            </m:r>
            <m:sSub>
              <m:e>
                <m:r>
                  <w:rPr>
                    <w:rFonts w:ascii="Cambria Math" w:hAnsi="Cambria Math" w:cs="Cambria Math" w:eastAsia="宋体"/>
                    <w:sz w:val="24"/>
                  </w:rPr>
                  <m:t>D</m:t>
                </m:r>
              </m:e>
              <m:sub>
                <m:r>
                  <w:rPr>
                    <w:rFonts w:ascii="Cambria Math" w:hAnsi="Cambria Math" w:cs="Cambria Math" w:eastAsia="宋体"/>
                    <w:sz w:val="24"/>
                  </w:rPr>
                  <m:t>jt</m:t>
                </m:r>
              </m:sub>
            </m:sSub>
          </m:den>
        </m:f>
        <m:r>
          <w:rPr>
            <w:rFonts w:ascii="Cambria Math" w:hAnsi="Cambria Math" w:cs="Cambria Math" w:eastAsia="宋体"/>
            <w:sz w:val="24"/>
          </w:rPr>
          <m:t>.</m:t>
        </m:r>
      </m:oMath>
      <w:r>
        <w:rPr>
          <w:rFonts w:ascii="Times New Roman" w:hAnsi="Times New Roman" w:eastAsia="宋体" w:cs="Times New Roman"/>
          <w:b w:val="0"/>
          <w:color w:val="000000"/>
          <w:sz w:val="22"/>
        </w:rPr>
        <w:tab/>
        <w:t>（A6）</w:t>
      </w:r>
    </w:p>
    <w:p>
      <w:pPr>
        <w:keepNext w:val="0"/>
        <w:keepLines w:val="0"/>
        <w:pageBreakBefore w:val="0"/>
      </w:pPr>
      <w:r>
        <w:rPr>
          <w:rFonts w:ascii="Times New Roman" w:hAnsi="Times New Roman" w:eastAsia="宋体" w:cs="Times New Roman"/>
          <w:b w:val="0"/>
          <w:color w:val="000000"/>
          <w:sz w:val="24"/>
        </w:rPr>
        <w:t>分母为零时该份额没有定义。若将若干不重叠的小行业</w:t>
      </w:r>
      <m:oMath>
        <m:r>
          <w:rPr>
            <w:rFonts w:ascii="Cambria Math" w:hAnsi="Cambria Math" w:cs="Cambria Math" w:eastAsia="宋体"/>
            <w:sz w:val="24"/>
          </w:rPr>
          <m:t>c</m:t>
        </m:r>
      </m:oMath>
      <w:r>
        <w:rPr>
          <w:rFonts w:ascii="Times New Roman" w:hAnsi="Times New Roman" w:eastAsia="宋体" w:cs="Times New Roman"/>
          <w:b w:val="0"/>
          <w:color w:val="000000"/>
          <w:sz w:val="24"/>
        </w:rPr>
        <w:t>汇入同一部门，应先加总外国和国内生产，再计算份额。这等价于按小行业总生产价值</w:t>
      </w:r>
      <m:oMath>
        <m:sSub>
          <m:e>
            <m:r>
              <w:rPr>
                <w:rFonts w:ascii="Cambria Math" w:hAnsi="Cambria Math" w:cs="Cambria Math" w:eastAsia="宋体"/>
                <w:sz w:val="24"/>
              </w:rPr>
              <m:t>Q</m:t>
            </m:r>
          </m:e>
          <m:sub>
            <m:r>
              <w:rPr>
                <w:rFonts w:ascii="Cambria Math" w:hAnsi="Cambria Math" w:cs="Cambria Math" w:eastAsia="宋体"/>
                <w:sz w:val="24"/>
              </w:rPr>
              <m:t>ct</m:t>
            </m:r>
          </m:sub>
        </m:sSub>
      </m:oMath>
      <w:r>
        <w:rPr>
          <w:rFonts w:ascii="Times New Roman" w:hAnsi="Times New Roman" w:eastAsia="宋体" w:cs="Times New Roman"/>
          <w:b w:val="0"/>
          <w:color w:val="000000"/>
          <w:sz w:val="24"/>
        </w:rPr>
        <w:t>加权：</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M</m:t>
            </m:r>
          </m:e>
          <m:sub>
            <m:r>
              <w:rPr>
                <w:rFonts w:ascii="Cambria Math" w:hAnsi="Cambria Math" w:cs="Cambria Math" w:eastAsia="宋体"/>
                <w:sz w:val="24"/>
              </w:rPr>
              <m:t>jt</m:t>
            </m:r>
          </m:sub>
        </m:sSub>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c∈j</m:t>
            </m:r>
          </m:sub>
          <m:sup/>
          <m:e>
            <m:sSub>
              <m:e>
                <m:r>
                  <w:rPr>
                    <w:rFonts w:ascii="Cambria Math" w:hAnsi="Cambria Math" w:cs="Cambria Math" w:eastAsia="宋体"/>
                    <w:sz w:val="24"/>
                  </w:rPr>
                  <m:t>s</m:t>
                </m:r>
              </m:e>
              <m:sub>
                <m:r>
                  <w:rPr>
                    <w:rFonts w:ascii="Cambria Math" w:hAnsi="Cambria Math" w:cs="Cambria Math" w:eastAsia="宋体"/>
                    <w:sz w:val="24"/>
                  </w:rPr>
                  <m:t>ct</m:t>
                </m:r>
              </m:sub>
            </m:sSub>
          </m:e>
        </m:nary>
        <m:sSub>
          <m:e>
            <m:r>
              <w:rPr>
                <w:rFonts w:ascii="Cambria Math" w:hAnsi="Cambria Math" w:cs="Cambria Math" w:eastAsia="宋体"/>
                <w:sz w:val="24"/>
              </w:rPr>
              <m:t>M</m:t>
            </m:r>
          </m:e>
          <m:sub>
            <m:r>
              <w:rPr>
                <w:rFonts w:ascii="Cambria Math" w:hAnsi="Cambria Math" w:cs="Cambria Math" w:eastAsia="宋体"/>
                <w:sz w:val="24"/>
              </w:rPr>
              <m:t>ct</m:t>
            </m:r>
          </m:sub>
        </m:sSub>
        <m:r>
          <w:rPr>
            <w:rFonts w:ascii="Cambria Math" w:hAnsi="Cambria Math" w:cs="Cambria Math" w:eastAsia="宋体"/>
            <w:sz w:val="24"/>
          </w:rPr>
          <m:t>,</m:t>
        </m:r>
        <m:r>
          <m:rPr>
            <m:nor/>
          </m:rPr>
          <w:rPr>
            <w:rFonts w:ascii="Cambria Math" w:hAnsi="Cambria Math" w:cs="Cambria Math" w:eastAsia="宋体"/>
            <w:sz w:val="24"/>
          </w:rPr>
          <m:t xml:space="preserve">  </m:t>
        </m:r>
        <m:sSub>
          <m:e>
            <m:r>
              <w:rPr>
                <w:rFonts w:ascii="Cambria Math" w:hAnsi="Cambria Math" w:cs="Cambria Math" w:eastAsia="宋体"/>
                <w:sz w:val="24"/>
              </w:rPr>
              <m:t>s</m:t>
            </m:r>
          </m:e>
          <m:sub>
            <m:r>
              <w:rPr>
                <w:rFonts w:ascii="Cambria Math" w:hAnsi="Cambria Math" w:cs="Cambria Math" w:eastAsia="宋体"/>
                <w:sz w:val="24"/>
              </w:rPr>
              <m:t>ct</m:t>
            </m:r>
          </m:sub>
        </m:sSub>
        <m:r>
          <w:rPr>
            <w:rFonts w:ascii="Cambria Math" w:hAnsi="Cambria Math" w:cs="Cambria Math" w:eastAsia="宋体"/>
            <w:sz w:val="24"/>
          </w:rPr>
          <m:t>=</m:t>
        </m:r>
        <m:f>
          <m:fPr>
            <m:type m:val="bar"/>
          </m:fPr>
          <m:num>
            <m:sSub>
              <m:e>
                <m:r>
                  <w:rPr>
                    <w:rFonts w:ascii="Cambria Math" w:hAnsi="Cambria Math" w:cs="Cambria Math" w:eastAsia="宋体"/>
                    <w:sz w:val="24"/>
                  </w:rPr>
                  <m:t>Q</m:t>
                </m:r>
              </m:e>
              <m:sub>
                <m:r>
                  <w:rPr>
                    <w:rFonts w:ascii="Cambria Math" w:hAnsi="Cambria Math" w:cs="Cambria Math" w:eastAsia="宋体"/>
                    <w:sz w:val="24"/>
                  </w:rPr>
                  <m:t>ct</m:t>
                </m:r>
              </m:sub>
            </m:sSub>
          </m:num>
          <m:den>
            <m:nary>
              <m:naryPr>
                <m:chr m:val="∑"/>
                <m:limLoc m:val="subSup"/>
                <m:grow m:val="1"/>
                <m:subHide m:val="off"/>
                <m:supHide m:val="on"/>
              </m:naryPr>
              <m:sub>
                <m:r>
                  <w:rPr>
                    <w:rFonts w:ascii="Cambria Math" w:hAnsi="Cambria Math" w:cs="Cambria Math" w:eastAsia="宋体"/>
                    <w:sz w:val="24"/>
                  </w:rPr>
                  <m:t>k∈j</m:t>
                </m:r>
              </m:sub>
              <m:sup/>
              <m:e>
                <m:sSub>
                  <m:e>
                    <m:r>
                      <w:rPr>
                        <w:rFonts w:ascii="Cambria Math" w:hAnsi="Cambria Math" w:cs="Cambria Math" w:eastAsia="宋体"/>
                        <w:sz w:val="24"/>
                      </w:rPr>
                      <m:t>Q</m:t>
                    </m:r>
                  </m:e>
                  <m:sub>
                    <m:r>
                      <w:rPr>
                        <w:rFonts w:ascii="Cambria Math" w:hAnsi="Cambria Math" w:cs="Cambria Math" w:eastAsia="宋体"/>
                        <w:sz w:val="24"/>
                      </w:rPr>
                      <m:t>kt</m:t>
                    </m:r>
                  </m:sub>
                </m:sSub>
              </m:e>
            </m:nary>
          </m:den>
        </m:f>
        <m:r>
          <w:rPr>
            <w:rFonts w:ascii="Cambria Math" w:hAnsi="Cambria Math" w:cs="Cambria Math" w:eastAsia="宋体"/>
            <w:sz w:val="24"/>
          </w:rPr>
          <m:t>.</m:t>
        </m:r>
      </m:oMath>
      <w:r>
        <w:rPr>
          <w:rFonts w:ascii="Times New Roman" w:hAnsi="Times New Roman" w:eastAsia="宋体" w:cs="Times New Roman"/>
          <w:b w:val="0"/>
          <w:color w:val="000000"/>
          <w:sz w:val="22"/>
        </w:rPr>
        <w:tab/>
        <w:t>（A7）</w:t>
      </w:r>
    </w:p>
    <w:p>
      <w:pPr>
        <w:keepNext w:val="0"/>
        <w:keepLines w:val="0"/>
        <w:pageBreakBefore w:val="0"/>
      </w:pPr>
      <w:r>
        <w:rPr>
          <w:rFonts w:ascii="Times New Roman" w:hAnsi="Times New Roman" w:eastAsia="宋体" w:cs="Times New Roman"/>
          <w:b w:val="0"/>
          <w:color w:val="000000"/>
          <w:sz w:val="24"/>
        </w:rPr>
        <w:t>这里的权重来自生产价值，不是行业数量、企业数量或政策条款数量。它用于生产加总，也不用于平均法律要求。固定改革前产出权重的指标可以描述在初始构成下的控制身份变化，但回答的问题与当期实际生产份额不同，应分别报告。</w:t>
      </w:r>
    </w:p>
    <w:p>
      <w:pPr>
        <w:keepNext w:val="0"/>
        <w:keepLines w:val="0"/>
        <w:pageBreakBefore w:val="0"/>
      </w:pPr>
      <w:r>
        <w:rPr>
          <w:rFonts w:ascii="Times New Roman" w:hAnsi="Times New Roman" w:eastAsia="宋体" w:cs="Times New Roman"/>
          <w:b w:val="0"/>
          <w:color w:val="000000"/>
          <w:sz w:val="24"/>
        </w:rPr>
        <w:t>跨行业加总统一货币、价格年份与估值口径。某一细行业使用共同价格因子时，因子可能在该行业份额的分子分母中抵消；不同细行业之间仍不能混合不同价格口径后求部门份额。无法归属的产出、控制关系不明的产出及调查外生产分别报告，其占比和构成决定样本份额能否代表部门。</w:t>
      </w:r>
    </w:p>
    <w:p>
      <w:pPr>
        <w:pStyle w:val="Heading2"/>
        <w:keepNext w:val="0"/>
        <w:keepLines w:val="0"/>
        <w:pageBreakBefore w:val="0"/>
      </w:pPr>
      <w:r>
        <w:rPr>
          <w:rFonts w:ascii="Times New Roman" w:hAnsi="Times New Roman" w:eastAsia="宋体" w:cs="Times New Roman"/>
          <w:b/>
          <w:color w:val="000000"/>
          <w:sz w:val="25"/>
        </w:rPr>
        <w:t>A.6.3 从原有企业到部门总体</w:t>
      </w:r>
    </w:p>
    <w:p>
      <w:pPr>
        <w:keepNext w:val="0"/>
        <w:keepLines w:val="0"/>
        <w:pageBreakBefore w:val="0"/>
      </w:pPr>
      <w:r>
        <w:rPr>
          <w:rFonts w:ascii="Times New Roman" w:hAnsi="Times New Roman" w:eastAsia="宋体" w:cs="Times New Roman"/>
          <w:b w:val="0"/>
          <w:color w:val="000000"/>
          <w:sz w:val="24"/>
        </w:rPr>
        <w:t>原有企业DID考察改革前已经经营的企业，完整部门生产还包括新设企业及调查未覆盖的企业。覆盖全部经营企业的行业资料可以补充进入和总体变化，但行业总生产已经包含原有企业生产，二者不能相加。研究优先寻求按一致行业、控制定义和年份组织的行业或普查资料，并核实其与税调的重叠范围。</w:t>
      </w:r>
    </w:p>
    <w:p>
      <w:pPr>
        <w:keepNext w:val="0"/>
        <w:keepLines w:val="0"/>
        <w:pageBreakBefore w:val="0"/>
      </w:pPr>
      <w:r>
        <w:rPr>
          <w:rFonts w:ascii="Times New Roman" w:hAnsi="Times New Roman" w:eastAsia="宋体" w:cs="Times New Roman"/>
          <w:b w:val="0"/>
          <w:color w:val="000000"/>
          <w:sz w:val="24"/>
        </w:rPr>
        <w:t>以</w:t>
      </w:r>
      <m:oMath>
        <m:r>
          <w:rPr>
            <w:rFonts w:ascii="Cambria Math" w:hAnsi="Cambria Math" w:cs="Cambria Math" w:eastAsia="宋体"/>
            <w:sz w:val="24"/>
          </w:rPr>
          <m:t>a=1</m:t>
        </m:r>
      </m:oMath>
      <w:r>
        <w:rPr>
          <w:rFonts w:ascii="Times New Roman" w:hAnsi="Times New Roman" w:eastAsia="宋体" w:cs="Times New Roman"/>
          <w:b w:val="0"/>
          <w:color w:val="000000"/>
          <w:sz w:val="24"/>
        </w:rPr>
        <w:t>表示有改革、</w:t>
      </w:r>
      <m:oMath>
        <m:r>
          <w:rPr>
            <w:rFonts w:ascii="Cambria Math" w:hAnsi="Cambria Math" w:cs="Cambria Math" w:eastAsia="宋体"/>
            <w:sz w:val="24"/>
          </w:rPr>
          <m:t>a=0</m:t>
        </m:r>
      </m:oMath>
      <w:r>
        <w:rPr>
          <w:rFonts w:ascii="Times New Roman" w:hAnsi="Times New Roman" w:eastAsia="宋体" w:cs="Times New Roman"/>
          <w:b w:val="0"/>
          <w:color w:val="000000"/>
          <w:sz w:val="24"/>
        </w:rPr>
        <w:t>表示无本轮改革，某一部门的生产可以概念性地写为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2"/>
              </w:rPr>
              <m:t>F</m:t>
            </m:r>
          </m:e>
          <m:sub>
            <m:r>
              <w:rPr>
                <w:rFonts w:ascii="Cambria Math" w:hAnsi="Cambria Math" w:cs="Cambria Math" w:eastAsia="宋体"/>
                <w:sz w:val="22"/>
              </w:rPr>
              <m:t>jt</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F</m:t>
            </m:r>
          </m:e>
          <m:sub>
            <m:r>
              <w:rPr>
                <w:rFonts w:ascii="Cambria Math" w:hAnsi="Cambria Math" w:cs="Cambria Math" w:eastAsia="宋体"/>
                <w:sz w:val="22"/>
              </w:rPr>
              <m:t>jt,</m:t>
            </m:r>
            <m:r>
              <m:rPr>
                <m:sty m:val="p"/>
              </m:rPr>
              <w:rPr>
                <w:rFonts w:ascii="Cambria Math" w:hAnsi="Cambria Math" w:cs="Cambria Math" w:eastAsia="宋体"/>
                <w:sz w:val="22"/>
              </w:rPr>
              <m:t>covered</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F</m:t>
            </m:r>
          </m:e>
          <m:sub>
            <m:r>
              <w:rPr>
                <w:rFonts w:ascii="Cambria Math" w:hAnsi="Cambria Math" w:cs="Cambria Math" w:eastAsia="宋体"/>
                <w:sz w:val="22"/>
              </w:rPr>
              <m:t>jt,</m:t>
            </m:r>
            <m:r>
              <m:rPr>
                <m:sty m:val="p"/>
              </m:rPr>
              <w:rPr>
                <w:rFonts w:ascii="Cambria Math" w:hAnsi="Cambria Math" w:cs="Cambria Math" w:eastAsia="宋体"/>
                <w:sz w:val="22"/>
              </w:rPr>
              <m:t>other</m:t>
            </m:r>
          </m:sub>
          <m:sup>
            <m:r>
              <w:rPr>
                <w:rFonts w:ascii="Cambria Math" w:hAnsi="Cambria Math" w:cs="Cambria Math" w:eastAsia="宋体"/>
                <w:sz w:val="22"/>
              </w:rPr>
              <m:t>a</m:t>
            </m:r>
          </m:sup>
        </m:sSubSup>
        <m:r>
          <w:rPr>
            <w:rFonts w:ascii="Cambria Math" w:hAnsi="Cambria Math" w:cs="Cambria Math" w:eastAsia="宋体"/>
            <w:sz w:val="22"/>
          </w:rPr>
          <m:t>,</m:t>
        </m:r>
        <m:r>
          <m:rPr>
            <m:nor/>
          </m:rPr>
          <w:rPr>
            <w:rFonts w:ascii="Cambria Math" w:hAnsi="Cambria Math" w:cs="Cambria Math" w:eastAsia="宋体"/>
            <w:sz w:val="22"/>
          </w:rPr>
          <m:t xml:space="preserve">  </m:t>
        </m:r>
        <m:sSubSup>
          <m:e>
            <m:r>
              <w:rPr>
                <w:rFonts w:ascii="Cambria Math" w:hAnsi="Cambria Math" w:cs="Cambria Math" w:eastAsia="宋体"/>
                <w:sz w:val="22"/>
              </w:rPr>
              <m:t>D</m:t>
            </m:r>
          </m:e>
          <m:sub>
            <m:r>
              <w:rPr>
                <w:rFonts w:ascii="Cambria Math" w:hAnsi="Cambria Math" w:cs="Cambria Math" w:eastAsia="宋体"/>
                <w:sz w:val="22"/>
              </w:rPr>
              <m:t>jt</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jt,</m:t>
            </m:r>
            <m:r>
              <m:rPr>
                <m:sty m:val="p"/>
              </m:rPr>
              <w:rPr>
                <w:rFonts w:ascii="Cambria Math" w:hAnsi="Cambria Math" w:cs="Cambria Math" w:eastAsia="宋体"/>
                <w:sz w:val="22"/>
              </w:rPr>
              <m:t>covered</m:t>
            </m:r>
          </m:sub>
          <m:sup>
            <m:r>
              <w:rPr>
                <w:rFonts w:ascii="Cambria Math" w:hAnsi="Cambria Math" w:cs="Cambria Math" w:eastAsia="宋体"/>
                <w:sz w:val="22"/>
              </w:rPr>
              <m:t>a</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jt,</m:t>
            </m:r>
            <m:r>
              <m:rPr>
                <m:sty m:val="p"/>
              </m:rPr>
              <w:rPr>
                <w:rFonts w:ascii="Cambria Math" w:hAnsi="Cambria Math" w:cs="Cambria Math" w:eastAsia="宋体"/>
                <w:sz w:val="22"/>
              </w:rPr>
              <m:t>other</m:t>
            </m:r>
          </m:sub>
          <m:sup>
            <m:r>
              <w:rPr>
                <w:rFonts w:ascii="Cambria Math" w:hAnsi="Cambria Math" w:cs="Cambria Math" w:eastAsia="宋体"/>
                <w:sz w:val="22"/>
              </w:rPr>
              <m:t>a</m:t>
            </m:r>
          </m:sup>
        </m:sSubSup>
        <m:r>
          <w:rPr>
            <w:rFonts w:ascii="Cambria Math" w:hAnsi="Cambria Math" w:cs="Cambria Math" w:eastAsia="宋体"/>
            <w:sz w:val="22"/>
          </w:rPr>
          <m:t>.</m:t>
        </m:r>
      </m:oMath>
      <w:r>
        <w:rPr>
          <w:rFonts w:ascii="Times New Roman" w:hAnsi="Times New Roman" w:eastAsia="宋体" w:cs="Times New Roman"/>
          <w:b w:val="0"/>
          <w:color w:val="000000"/>
          <w:sz w:val="22"/>
        </w:rPr>
        <w:tab/>
        <w:t>（A8）</w:t>
      </w:r>
    </w:p>
    <w:p>
      <w:pPr>
        <w:keepNext w:val="0"/>
        <w:keepLines w:val="0"/>
        <w:pageBreakBefore w:val="0"/>
      </w:pPr>
      <w:r>
        <w:rPr>
          <w:rFonts w:ascii="Times New Roman" w:hAnsi="Times New Roman" w:eastAsia="宋体" w:cs="Times New Roman"/>
          <w:b w:val="0"/>
          <w:color w:val="000000"/>
          <w:sz w:val="24"/>
        </w:rPr>
        <w:t>其中covered表示已有可靠预测的范围，other表示其余部门生产。这是覆盖关系的分解，不是已经具备的估计结果。先确定两类生产共同对应的部门总体，再分别记录外国与国内生产可预测的部分；两式的covered范围可以不同，各自的other补充该总体中相应尚未覆盖的生产，不取两式估计样本的交集。其余生产的实际值可以由补充数据提供，无改革值则仍需要识别依据。假定未覆盖生产不受改革影响是一项额外假设，不能通过总量校准自动得到；若采用，应报告覆盖比例并检验不同反应假设对目标的影响。缺乏合理依据的部门不形成正式成本目标。</w:t>
      </w:r>
    </w:p>
    <w:p>
      <w:pPr>
        <w:keepNext w:val="0"/>
        <w:keepLines w:val="0"/>
        <w:pageBreakBefore w:val="0"/>
      </w:pPr>
      <w:r>
        <w:rPr>
          <w:rFonts w:ascii="Times New Roman" w:hAnsi="Times New Roman" w:eastAsia="宋体" w:cs="Times New Roman"/>
          <w:b w:val="0"/>
          <w:color w:val="000000"/>
          <w:sz w:val="24"/>
        </w:rPr>
        <w:t>当期行业资料按当期经营活动归属，能够在统计上反映企业转行业和新进入。若企业有、无改革预测都按实际2014年行业加总，则部门比较固定了实际行业归属，没有识别政策导致的跨部门迁移。可以明确采用这一有限比较，或利用固定行业统计单元的总体生产研究迁移与进入的共同反应；若要分别恢复两种情景下企业的行业选择，需要额外模型和数据。不能以改革后的行业变动重新划分企业Treat来解决这一问题。</w:t>
      </w:r>
    </w:p>
    <w:p>
      <w:pPr>
        <w:pStyle w:val="Heading2"/>
        <w:keepNext w:val="0"/>
        <w:keepLines w:val="0"/>
        <w:pageBreakBefore w:val="0"/>
      </w:pPr>
      <w:r>
        <w:rPr>
          <w:rFonts w:ascii="Times New Roman" w:hAnsi="Times New Roman" w:eastAsia="宋体" w:cs="Times New Roman"/>
          <w:b/>
          <w:color w:val="000000"/>
          <w:sz w:val="25"/>
        </w:rPr>
        <w:t>A.6.4 2014年生产目标的构造与解释</w:t>
      </w:r>
    </w:p>
    <w:p>
      <w:pPr>
        <w:keepNext w:val="0"/>
        <w:keepLines w:val="0"/>
        <w:pageBreakBefore w:val="0"/>
      </w:pPr>
      <w:r>
        <w:rPr>
          <w:rFonts w:ascii="Times New Roman" w:hAnsi="Times New Roman" w:eastAsia="宋体" w:cs="Times New Roman"/>
          <w:b w:val="0"/>
          <w:color w:val="000000"/>
          <w:sz w:val="24"/>
        </w:rPr>
        <w:t>在估计和预测均有依据的范围内，依据年度动态规格分别计算2014年有、无改革的外国与国内生产。若采用共同政策系数，预测通过固定其他条件并改变政策项得到；若使用有支持的部门或企业组异质性，则使用相应系数。2011—2013年的系数用于解释调整过程，不逐年累加成2014年效应。</w:t>
      </w:r>
    </w:p>
    <w:p>
      <w:pPr>
        <w:keepNext w:val="0"/>
        <w:keepLines w:val="0"/>
        <w:pageBreakBefore w:val="0"/>
      </w:pPr>
      <w:r>
        <w:rPr>
          <w:rFonts w:ascii="Times New Roman" w:hAnsi="Times New Roman" w:eastAsia="宋体" w:cs="Times New Roman"/>
          <w:b w:val="0"/>
          <w:color w:val="000000"/>
          <w:sz w:val="24"/>
        </w:rPr>
        <w:t>部门目标采用两种情景的外国控制生产份额之差：</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2"/>
              </w:rPr>
              <m:t>μ</m:t>
            </m:r>
          </m:e>
          <m:sub>
            <m:r>
              <w:rPr>
                <w:rFonts w:ascii="Cambria Math" w:hAnsi="Cambria Math" w:cs="Cambria Math" w:eastAsia="宋体"/>
                <w:sz w:val="22"/>
              </w:rPr>
              <m:t>j</m:t>
            </m:r>
          </m:sub>
        </m:sSub>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1</m:t>
                </m:r>
              </m:sup>
            </m:sSubSup>
          </m:num>
          <m:den>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1</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j,2014</m:t>
                </m:r>
              </m:sub>
              <m:sup>
                <m:r>
                  <w:rPr>
                    <w:rFonts w:ascii="Cambria Math" w:hAnsi="Cambria Math" w:cs="Cambria Math" w:eastAsia="宋体"/>
                    <w:sz w:val="22"/>
                  </w:rPr>
                  <m:t>1</m:t>
                </m:r>
              </m:sup>
            </m:sSubSup>
          </m:den>
        </m:f>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0</m:t>
                </m:r>
              </m:sup>
            </m:sSubSup>
          </m:num>
          <m:den>
            <m:sSubSup>
              <m:e>
                <m:r>
                  <w:rPr>
                    <w:rFonts w:ascii="Cambria Math" w:hAnsi="Cambria Math" w:cs="Cambria Math" w:eastAsia="宋体"/>
                    <w:sz w:val="22"/>
                  </w:rPr>
                  <m:t>F</m:t>
                </m:r>
              </m:e>
              <m:sub>
                <m:r>
                  <w:rPr>
                    <w:rFonts w:ascii="Cambria Math" w:hAnsi="Cambria Math" w:cs="Cambria Math" w:eastAsia="宋体"/>
                    <w:sz w:val="22"/>
                  </w:rPr>
                  <m:t>j,2014</m:t>
                </m:r>
              </m:sub>
              <m:sup>
                <m:r>
                  <w:rPr>
                    <w:rFonts w:ascii="Cambria Math" w:hAnsi="Cambria Math" w:cs="Cambria Math" w:eastAsia="宋体"/>
                    <w:sz w:val="22"/>
                  </w:rPr>
                  <m:t>0</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j,2014</m:t>
                </m:r>
              </m:sub>
              <m:sup>
                <m:r>
                  <w:rPr>
                    <w:rFonts w:ascii="Cambria Math" w:hAnsi="Cambria Math" w:cs="Cambria Math" w:eastAsia="宋体"/>
                    <w:sz w:val="22"/>
                  </w:rPr>
                  <m:t>0</m:t>
                </m:r>
              </m:sup>
            </m:sSubSup>
          </m:den>
        </m:f>
        <m:r>
          <w:rPr>
            <w:rFonts w:ascii="Cambria Math" w:hAnsi="Cambria Math" w:cs="Cambria Math" w:eastAsia="宋体"/>
            <w:sz w:val="22"/>
          </w:rPr>
          <m:t>.</m:t>
        </m:r>
      </m:oMath>
      <w:r>
        <w:rPr>
          <w:rFonts w:ascii="Times New Roman" w:hAnsi="Times New Roman" w:eastAsia="宋体" w:cs="Times New Roman"/>
          <w:b w:val="0"/>
          <w:color w:val="000000"/>
          <w:sz w:val="22"/>
        </w:rPr>
        <w:tab/>
        <w:t>（A9）</w:t>
      </w:r>
    </w:p>
    <w:p>
      <w:pPr>
        <w:keepNext w:val="0"/>
        <w:keepLines w:val="0"/>
        <w:pageBreakBefore w:val="0"/>
      </w:pPr>
      <w:r>
        <w:rPr>
          <w:rFonts w:ascii="Times New Roman" w:hAnsi="Times New Roman" w:eastAsia="宋体" w:cs="Times New Roman"/>
          <w:b w:val="0"/>
          <w:color w:val="000000"/>
          <w:sz w:val="24"/>
        </w:rPr>
        <w:t>份额以0至1计量，</w:t>
      </w:r>
      <m:oMath>
        <m:r>
          <w:rPr>
            <w:rFonts w:ascii="Cambria Math" w:hAnsi="Cambria Math" w:cs="Cambria Math" w:eastAsia="宋体"/>
            <w:sz w:val="24"/>
          </w:rPr>
          <m:t>100</m:t>
        </m:r>
        <m:sSub>
          <m:e>
            <m:r>
              <w:rPr>
                <w:rFonts w:ascii="Cambria Math" w:hAnsi="Cambria Math" w:cs="Cambria Math" w:eastAsia="宋体"/>
                <w:sz w:val="24"/>
              </w:rPr>
              <m:t>μ</m:t>
            </m:r>
          </m:e>
          <m:sub>
            <m:r>
              <w:rPr>
                <w:rFonts w:ascii="Cambria Math" w:hAnsi="Cambria Math" w:cs="Cambria Math" w:eastAsia="宋体"/>
                <w:sz w:val="24"/>
              </w:rPr>
              <m:t>j</m:t>
            </m:r>
          </m:sub>
        </m:sSub>
      </m:oMath>
      <w:r>
        <w:rPr>
          <w:rFonts w:ascii="Times New Roman" w:hAnsi="Times New Roman" w:eastAsia="宋体" w:cs="Times New Roman"/>
          <w:b w:val="0"/>
          <w:color w:val="000000"/>
          <w:sz w:val="24"/>
        </w:rPr>
        <w:t>的单位为百分点。外国生产、国内生产和总生产的变化同时保留，以判断份额变化来自生产规模还是控制权重新归属。两种情景比较同一部门范围，不能分别删去不同的缺失记录后把份额差当作政策效果。</w:t>
      </w:r>
    </w:p>
    <w:p>
      <w:pPr>
        <w:keepNext w:val="0"/>
        <w:keepLines w:val="0"/>
        <w:pageBreakBefore w:val="0"/>
      </w:pPr>
      <w:r>
        <w:rPr>
          <w:rFonts w:ascii="Times New Roman" w:hAnsi="Times New Roman" w:eastAsia="宋体" w:cs="Times New Roman"/>
          <w:b w:val="0"/>
          <w:color w:val="000000"/>
          <w:sz w:val="24"/>
        </w:rPr>
        <w:t>这里还存在DID与结构模型之间的比较对象问题。DID控制行业及地区年度共同变化后，得到的通常是组间相对反应；一般均衡模型则允许对照企业也通过价格、工资和需求受到影响。仅把Treat的回归政策项设为零，并不会自动去除固定效应中可能包含的改革共同影响。因此，式（A9）能否代表整个部门的有、无改革差异，需要另行说明溢出和共同变化的处理。</w:t>
      </w:r>
    </w:p>
    <w:p>
      <w:pPr>
        <w:keepNext w:val="0"/>
        <w:keepLines w:val="0"/>
        <w:pageBreakBefore w:val="0"/>
      </w:pPr>
      <w:r>
        <w:rPr>
          <w:rFonts w:ascii="Times New Roman" w:hAnsi="Times New Roman" w:eastAsia="宋体" w:cs="Times New Roman"/>
          <w:b w:val="0"/>
          <w:color w:val="000000"/>
          <w:sz w:val="24"/>
        </w:rPr>
        <w:t>可行的衔接方式有两种：获得具有充分覆盖和识别依据的部门总量反事实；或让模型在与实证相同的处理、对照及加总规则下生成可比较的相对变化。后一种方式要求模型能够表示有关组别。现有粗部门模型若无法描述同部门内部的处理差异，需要补充活动层面的关系或调整模型，不能直接以部门冲击替代企业间差异。当前尚未完成这一步，故2014年部门目标的可构造性与模型可比性是结构分析前需要解决的研究问题。</w:t>
      </w:r>
    </w:p>
    <w:p>
      <w:pPr>
        <w:pStyle w:val="Heading1"/>
        <w:keepNext w:val="0"/>
        <w:keepLines w:val="0"/>
        <w:pageBreakBefore w:val="0"/>
        <w:spacing w:before="0"/>
      </w:pPr>
      <w:r>
        <w:rPr>
          <w:rFonts w:ascii="Times New Roman" w:hAnsi="Times New Roman" w:eastAsia="宋体" w:cs="Times New Roman"/>
          <w:b/>
          <w:color w:val="000000"/>
          <w:sz w:val="28"/>
        </w:rPr>
        <w:t>A.7 部门成本反演与一般均衡反事实</w:t>
      </w:r>
    </w:p>
    <w:p>
      <w:pPr>
        <w:pStyle w:val="Heading2"/>
        <w:keepNext w:val="0"/>
        <w:keepLines w:val="0"/>
        <w:pageBreakBefore w:val="0"/>
      </w:pPr>
      <w:r>
        <w:rPr>
          <w:rFonts w:ascii="Times New Roman" w:hAnsi="Times New Roman" w:eastAsia="宋体" w:cs="Times New Roman"/>
          <w:b/>
          <w:color w:val="000000"/>
          <w:sz w:val="25"/>
        </w:rPr>
        <w:t>A.7.1 等效跨国生产成本的经济含义</w:t>
      </w:r>
    </w:p>
    <w:p>
      <w:pPr>
        <w:keepNext w:val="0"/>
        <w:keepLines w:val="0"/>
        <w:pageBreakBefore w:val="0"/>
      </w:pPr>
      <w:r>
        <w:rPr>
          <w:rFonts w:ascii="Times New Roman" w:hAnsi="Times New Roman" w:eastAsia="宋体" w:cs="Times New Roman"/>
          <w:b w:val="0"/>
          <w:color w:val="000000"/>
          <w:sz w:val="24"/>
        </w:rPr>
        <w:t>结构模型把跨国生产、贸易及投入产出联系放在同一个经济系统中。设</w:t>
      </w:r>
      <m:oMath>
        <m:r>
          <w:rPr>
            <w:rFonts w:ascii="Cambria Math" w:hAnsi="Cambria Math" w:cs="Cambria Math" w:eastAsia="宋体"/>
            <w:sz w:val="24"/>
          </w:rPr>
          <m:t>i</m:t>
        </m:r>
      </m:oMath>
      <w:r>
        <w:rPr>
          <w:rFonts w:ascii="Times New Roman" w:hAnsi="Times New Roman" w:eastAsia="宋体" w:cs="Times New Roman"/>
          <w:b w:val="0"/>
          <w:color w:val="000000"/>
          <w:sz w:val="24"/>
        </w:rPr>
        <w:t>为生产国、</w:t>
      </w:r>
      <m:oMath>
        <m:r>
          <w:rPr>
            <w:rFonts w:ascii="Cambria Math" w:hAnsi="Cambria Math" w:cs="Cambria Math" w:eastAsia="宋体"/>
            <w:sz w:val="24"/>
          </w:rPr>
          <m:t>m</m:t>
        </m:r>
      </m:oMath>
      <w:r>
        <w:rPr>
          <w:rFonts w:ascii="Times New Roman" w:hAnsi="Times New Roman" w:eastAsia="宋体" w:cs="Times New Roman"/>
          <w:b w:val="0"/>
          <w:color w:val="000000"/>
          <w:sz w:val="24"/>
        </w:rPr>
        <w:t>为企业母国、</w:t>
      </w:r>
      <m:oMath>
        <m:r>
          <w:rPr>
            <w:rFonts w:ascii="Cambria Math" w:hAnsi="Cambria Math" w:cs="Cambria Math" w:eastAsia="宋体"/>
            <w:sz w:val="24"/>
          </w:rPr>
          <m:t>n</m:t>
        </m:r>
      </m:oMath>
      <w:r>
        <w:rPr>
          <w:rFonts w:ascii="Times New Roman" w:hAnsi="Times New Roman" w:eastAsia="宋体" w:cs="Times New Roman"/>
          <w:b w:val="0"/>
          <w:color w:val="000000"/>
          <w:sz w:val="24"/>
        </w:rPr>
        <w:t>为销售目的国、</w:t>
      </w:r>
      <m:oMath>
        <m:r>
          <w:rPr>
            <w:rFonts w:ascii="Cambria Math" w:hAnsi="Cambria Math" w:cs="Cambria Math" w:eastAsia="宋体"/>
            <w:sz w:val="24"/>
          </w:rPr>
          <m:t>j</m:t>
        </m:r>
      </m:oMath>
      <w:r>
        <w:rPr>
          <w:rFonts w:ascii="Times New Roman" w:hAnsi="Times New Roman" w:eastAsia="宋体" w:cs="Times New Roman"/>
          <w:b w:val="0"/>
          <w:color w:val="000000"/>
          <w:sz w:val="24"/>
        </w:rPr>
        <w:t>为部门，</w:t>
      </w:r>
      <m:oMath>
        <m:r>
          <w:rPr>
            <w:rFonts w:ascii="Cambria Math" w:hAnsi="Cambria Math" w:cs="Cambria Math" w:eastAsia="宋体"/>
            <w:sz w:val="24"/>
          </w:rPr>
          <m:t>C</m:t>
        </m:r>
      </m:oMath>
      <w:r>
        <w:rPr>
          <w:rFonts w:ascii="Times New Roman" w:hAnsi="Times New Roman" w:eastAsia="宋体" w:cs="Times New Roman"/>
          <w:b w:val="0"/>
          <w:color w:val="000000"/>
          <w:sz w:val="24"/>
        </w:rPr>
        <w:t>表示中国。母国企业在某生产国的跨国生产效率为</w:t>
      </w:r>
      <m:oMath>
        <m:sSubSup>
          <m:e>
            <m:r>
              <w:rPr>
                <w:rFonts w:ascii="Cambria Math" w:hAnsi="Cambria Math" w:cs="Cambria Math" w:eastAsia="宋体"/>
                <w:sz w:val="24"/>
              </w:rPr>
              <m:t>ξ</m:t>
            </m:r>
          </m:e>
          <m:sub>
            <m:r>
              <w:rPr>
                <w:rFonts w:ascii="Cambria Math" w:hAnsi="Cambria Math" w:cs="Cambria Math" w:eastAsia="宋体"/>
                <w:sz w:val="24"/>
              </w:rPr>
              <m:t>im</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。给定其他条件，效率越高，生产同样产品所需的成本越低。用一个乘数表示这种效率对单位成本的影响，下文称其为成本楔子，并定义为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d</m:t>
            </m:r>
          </m:e>
          <m:sub>
            <m:r>
              <w:rPr>
                <w:rFonts w:ascii="Cambria Math" w:hAnsi="Cambria Math" w:cs="Cambria Math" w:eastAsia="宋体"/>
                <w:sz w:val="24"/>
              </w:rPr>
              <m:t>im</m:t>
            </m:r>
          </m:sub>
          <m:sup>
            <m:r>
              <m:rPr>
                <m:sty m:val="p"/>
              </m:rPr>
              <w:rPr>
                <w:rFonts w:ascii="Cambria Math" w:hAnsi="Cambria Math" w:cs="Cambria Math" w:eastAsia="宋体"/>
                <w:sz w:val="24"/>
              </w:rPr>
              <m:t>MP</m:t>
            </m:r>
            <m:r>
              <w:rPr>
                <w:rFonts w:ascii="Cambria Math" w:hAnsi="Cambria Math" w:cs="Cambria Math" w:eastAsia="宋体"/>
                <w:sz w:val="24"/>
              </w:rPr>
              <m:t>,j</m:t>
            </m:r>
          </m:sup>
        </m:sSubSup>
        <m:r>
          <w:rPr>
            <w:rFonts w:ascii="Cambria Math" w:hAnsi="Cambria Math" w:cs="Cambria Math" w:eastAsia="宋体"/>
            <w:sz w:val="24"/>
          </w:rPr>
          <m:t>=</m:t>
        </m:r>
        <m:f>
          <m:fPr>
            <m:type m:val="bar"/>
          </m:fPr>
          <m:num>
            <m:r>
              <w:rPr>
                <w:rFonts w:ascii="Cambria Math" w:hAnsi="Cambria Math" w:cs="Cambria Math" w:eastAsia="宋体"/>
                <w:sz w:val="24"/>
              </w:rPr>
              <m:t>1</m:t>
            </m:r>
          </m:num>
          <m:den>
            <m:sSubSup>
              <m:e>
                <m:r>
                  <w:rPr>
                    <w:rFonts w:ascii="Cambria Math" w:hAnsi="Cambria Math" w:cs="Cambria Math" w:eastAsia="宋体"/>
                    <w:sz w:val="24"/>
                  </w:rPr>
                  <m:t>ξ</m:t>
                </m:r>
              </m:e>
              <m:sub>
                <m:r>
                  <w:rPr>
                    <w:rFonts w:ascii="Cambria Math" w:hAnsi="Cambria Math" w:cs="Cambria Math" w:eastAsia="宋体"/>
                    <w:sz w:val="24"/>
                  </w:rPr>
                  <m:t>im</m:t>
                </m:r>
              </m:sub>
              <m:sup>
                <m:r>
                  <w:rPr>
                    <w:rFonts w:ascii="Cambria Math" w:hAnsi="Cambria Math" w:cs="Cambria Math" w:eastAsia="宋体"/>
                    <w:sz w:val="24"/>
                  </w:rPr>
                  <m:t>j</m:t>
                </m:r>
              </m:sup>
            </m:sSubSup>
          </m:den>
        </m:f>
        <m:r>
          <w:rPr>
            <w:rFonts w:ascii="Cambria Math" w:hAnsi="Cambria Math" w:cs="Cambria Math" w:eastAsia="宋体"/>
            <w:sz w:val="24"/>
          </w:rPr>
          <m:t>.</m:t>
        </m:r>
      </m:oMath>
      <w:r>
        <w:rPr>
          <w:rFonts w:ascii="Times New Roman" w:hAnsi="Times New Roman" w:eastAsia="宋体" w:cs="Times New Roman"/>
          <w:b w:val="0"/>
          <w:color w:val="000000"/>
          <w:sz w:val="22"/>
        </w:rPr>
        <w:tab/>
        <w:t>（A10）</w:t>
      </w:r>
    </w:p>
    <w:p>
      <w:pPr>
        <w:keepNext w:val="0"/>
        <w:keepLines w:val="0"/>
        <w:pageBreakBefore w:val="0"/>
      </w:pPr>
      <w:r>
        <w:rPr>
          <w:rFonts w:ascii="Times New Roman" w:hAnsi="Times New Roman" w:eastAsia="宋体" w:cs="Times New Roman"/>
          <w:b w:val="0"/>
          <w:color w:val="000000"/>
          <w:sz w:val="24"/>
        </w:rPr>
        <w:t>本研究希望寻找一个成本变化，使模型能够重现本轮改革对应的可比生产目标。这样的成本是给定模型、参数和目标下的等效MP成本。现实中的准入规则可能通过进入机会、股权安排、管理效率和固定支出共同作用，单一单位成本楔子并不逐项还原这些机制。只有在该简化能够解释主要生产变化时，才将其用于后续反事实；它不是企业直接支付费用的观测值，也不是回归未解释部分的重新命名。</w:t>
      </w:r>
    </w:p>
    <w:p>
      <w:pPr>
        <w:keepNext w:val="0"/>
        <w:keepLines w:val="0"/>
        <w:pageBreakBefore w:val="0"/>
      </w:pPr>
      <w:r>
        <w:rPr>
          <w:rFonts w:ascii="Times New Roman" w:hAnsi="Times New Roman" w:eastAsia="宋体" w:cs="Times New Roman"/>
          <w:b w:val="0"/>
          <w:color w:val="000000"/>
          <w:sz w:val="24"/>
        </w:rPr>
        <w:t>现有参考模型允许给定母国的企业调整生产地与销售市场，但没有股权份额或既有企业收购的决策方程，不能直接模拟国内企业被外资取得控制权。控制权转换可使原有产出从国内生产移入外国生产，即使总产出没有增加。研究因此同时核对外国、国内及总生产的反应，并依据真实记录分析控制权转换的贡献。如果这一机制主导经验变化，现有单位成本冲击就未必能够合理承接目标，需要扩展所有权机制，或保留微观及行业结果。不能根据改革后是否被收购剔除企业，也不能将所有权重新归属直接解释为生产效率提高。即使等效成本能够拟合合计份额，也只能说明现有模型可以表示该变化，不能据此证明收购通过降低单位生产成本产生福利。</w:t>
      </w:r>
      <w:r>
        <w:rPr>
          <w:rFonts w:ascii="Times New Roman" w:hAnsi="Times New Roman" w:eastAsia="宋体" w:cs="Times New Roman"/>
          <w:b w:val="0"/>
          <w:color w:val="000000"/>
          <w:sz w:val="2"/>
        </w:rPr>
        <w:br w:type="page"/>
      </w:r>
    </w:p>
    <w:p>
      <w:pPr>
        <w:pStyle w:val="Heading2"/>
        <w:keepNext w:val="0"/>
        <w:keepLines w:val="0"/>
        <w:pageBreakBefore w:val="0"/>
      </w:pPr>
      <w:r>
        <w:rPr>
          <w:rFonts w:ascii="Times New Roman" w:hAnsi="Times New Roman" w:eastAsia="宋体" w:cs="Times New Roman"/>
          <w:b/>
          <w:color w:val="000000"/>
          <w:sz w:val="25"/>
        </w:rPr>
        <w:t>A.7.2 模型基期与生产口径</w:t>
      </w:r>
    </w:p>
    <w:p>
      <w:pPr>
        <w:keepNext w:val="0"/>
        <w:keepLines w:val="0"/>
        <w:pageBreakBefore w:val="0"/>
      </w:pPr>
      <w:r>
        <w:rPr>
          <w:rFonts w:ascii="Times New Roman" w:hAnsi="Times New Roman" w:eastAsia="宋体" w:cs="Times New Roman"/>
          <w:b w:val="0"/>
          <w:color w:val="000000"/>
          <w:sz w:val="24"/>
        </w:rPr>
        <w:t>成本比较固定在同一2014年条件下。现有参考研究稿采用的部分跨国生产份额为2017—2019年平均值，并使用相应版本的投入产出和AMNE资料。[14] 这一基准不能直接用于识别同一2014年条件下的成本变化。主线需要建立与2014年一致的部门流量、份额、投入产出关系和其他基准，并核对账户及参数。若只能取得其他年份的可用基准，可以将本轮估计反应置于该年份经济结构中开展单独的情景分析，但应明确其基准年及跨期假设，与2014年政策反事实分别报告。</w:t>
      </w:r>
    </w:p>
    <w:p>
      <w:pPr>
        <w:keepNext w:val="0"/>
        <w:keepLines w:val="0"/>
        <w:pageBreakBefore w:val="0"/>
      </w:pPr>
      <w:r>
        <w:rPr>
          <w:rFonts w:ascii="Times New Roman" w:hAnsi="Times New Roman" w:eastAsia="宋体" w:cs="Times New Roman"/>
          <w:b w:val="0"/>
          <w:color w:val="000000"/>
          <w:sz w:val="24"/>
        </w:rPr>
        <w:t>模型流量与企业生产价值也需逐式核对。以</w:t>
      </w:r>
      <m:oMath>
        <m:sSubSup>
          <m:e>
            <m:r>
              <w:rPr>
                <w:rFonts w:ascii="Cambria Math" w:hAnsi="Cambria Math" w:cs="Cambria Math" w:eastAsia="宋体"/>
                <w:sz w:val="24"/>
              </w:rPr>
              <m:t>X</m:t>
            </m:r>
          </m:e>
          <m:sub>
            <m:r>
              <w:rPr>
                <w:rFonts w:ascii="Cambria Math" w:hAnsi="Cambria Math" w:cs="Cambria Math" w:eastAsia="宋体"/>
                <w:sz w:val="24"/>
              </w:rPr>
              <m:t>nCm</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表示母国</w:t>
      </w:r>
      <m:oMath>
        <m:r>
          <w:rPr>
            <w:rFonts w:ascii="Cambria Math" w:hAnsi="Cambria Math" w:cs="Cambria Math" w:eastAsia="宋体"/>
            <w:sz w:val="24"/>
          </w:rPr>
          <m:t>m</m:t>
        </m:r>
      </m:oMath>
      <w:r>
        <w:rPr>
          <w:rFonts w:ascii="Times New Roman" w:hAnsi="Times New Roman" w:eastAsia="宋体" w:cs="Times New Roman"/>
          <w:b w:val="0"/>
          <w:color w:val="000000"/>
          <w:sz w:val="24"/>
        </w:rPr>
        <w:t>企业在中国生产并面向</w:t>
      </w:r>
      <m:oMath>
        <m:r>
          <w:rPr>
            <w:rFonts w:ascii="Cambria Math" w:hAnsi="Cambria Math" w:cs="Cambria Math" w:eastAsia="宋体"/>
            <w:sz w:val="24"/>
          </w:rPr>
          <m:t>n</m:t>
        </m:r>
      </m:oMath>
      <w:r>
        <w:rPr>
          <w:rFonts w:ascii="Times New Roman" w:hAnsi="Times New Roman" w:eastAsia="宋体" w:cs="Times New Roman"/>
          <w:b w:val="0"/>
          <w:color w:val="000000"/>
          <w:sz w:val="24"/>
        </w:rPr>
        <w:t>销售的流量；如果该流量按目的地支出计量，且参考模型中对应的收入转换项为贸易成本</w:t>
      </w:r>
      <m:oMath>
        <m:sSubSup>
          <m:e>
            <m:r>
              <w:rPr>
                <w:rFonts w:ascii="Cambria Math" w:hAnsi="Cambria Math" w:cs="Cambria Math" w:eastAsia="宋体"/>
                <w:sz w:val="24"/>
              </w:rPr>
              <m:t>τ</m:t>
            </m:r>
          </m:e>
          <m:sub>
            <m:r>
              <w:rPr>
                <w:rFonts w:ascii="Cambria Math" w:hAnsi="Cambria Math" w:cs="Cambria Math" w:eastAsia="宋体"/>
                <w:sz w:val="24"/>
              </w:rPr>
              <m:t>nC</m:t>
            </m:r>
          </m:sub>
          <m:sup>
            <m:r>
              <w:rPr>
                <w:rFonts w:ascii="Cambria Math" w:hAnsi="Cambria Math" w:cs="Cambria Math" w:eastAsia="宋体"/>
                <w:sz w:val="24"/>
              </w:rPr>
              <m:t>j</m:t>
            </m:r>
          </m:sup>
        </m:sSubSup>
      </m:oMath>
      <w:r>
        <w:rPr>
          <w:rFonts w:ascii="Times New Roman" w:hAnsi="Times New Roman" w:eastAsia="宋体" w:cs="Times New Roman"/>
          <w:b w:val="0"/>
          <w:color w:val="000000"/>
          <w:sz w:val="24"/>
        </w:rPr>
        <w:t>，生产者收入按下式汇总：</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r>
          <w:rPr>
            <w:rFonts w:ascii="Cambria Math" w:hAnsi="Cambria Math" w:cs="Cambria Math" w:eastAsia="宋体"/>
            <w:sz w:val="24"/>
          </w:rPr>
          <m:t>=</m:t>
        </m:r>
        <m:nary>
          <m:naryPr>
            <m:chr m:val="∑"/>
            <m:limLoc m:val="subSup"/>
            <m:grow m:val="1"/>
            <m:subHide m:val="off"/>
            <m:supHide m:val="on"/>
          </m:naryPr>
          <m:sub>
            <m:r>
              <w:rPr>
                <w:rFonts w:ascii="Cambria Math" w:hAnsi="Cambria Math" w:cs="Cambria Math" w:eastAsia="宋体"/>
                <w:sz w:val="24"/>
              </w:rPr>
              <m:t>n</m:t>
            </m:r>
          </m:sub>
          <m:sup/>
          <m:e>
            <m:f>
              <m:fPr>
                <m:type m:val="bar"/>
              </m:fPr>
              <m:num>
                <m:sSubSup>
                  <m:e>
                    <m:r>
                      <w:rPr>
                        <w:rFonts w:ascii="Cambria Math" w:hAnsi="Cambria Math" w:cs="Cambria Math" w:eastAsia="宋体"/>
                        <w:sz w:val="24"/>
                      </w:rPr>
                      <m:t>X</m:t>
                    </m:r>
                  </m:e>
                  <m:sub>
                    <m:r>
                      <w:rPr>
                        <w:rFonts w:ascii="Cambria Math" w:hAnsi="Cambria Math" w:cs="Cambria Math" w:eastAsia="宋体"/>
                        <w:sz w:val="24"/>
                      </w:rPr>
                      <m:t>nCm</m:t>
                    </m:r>
                  </m:sub>
                  <m:sup>
                    <m:r>
                      <w:rPr>
                        <w:rFonts w:ascii="Cambria Math" w:hAnsi="Cambria Math" w:cs="Cambria Math" w:eastAsia="宋体"/>
                        <w:sz w:val="24"/>
                      </w:rPr>
                      <m:t>j</m:t>
                    </m:r>
                  </m:sup>
                </m:sSubSup>
              </m:num>
              <m:den>
                <m:sSubSup>
                  <m:e>
                    <m:r>
                      <w:rPr>
                        <w:rFonts w:ascii="Cambria Math" w:hAnsi="Cambria Math" w:cs="Cambria Math" w:eastAsia="宋体"/>
                        <w:sz w:val="24"/>
                      </w:rPr>
                      <m:t>τ</m:t>
                    </m:r>
                  </m:e>
                  <m:sub>
                    <m:r>
                      <w:rPr>
                        <w:rFonts w:ascii="Cambria Math" w:hAnsi="Cambria Math" w:cs="Cambria Math" w:eastAsia="宋体"/>
                        <w:sz w:val="24"/>
                      </w:rPr>
                      <m:t>nC</m:t>
                    </m:r>
                  </m:sub>
                  <m:sup>
                    <m:r>
                      <w:rPr>
                        <w:rFonts w:ascii="Cambria Math" w:hAnsi="Cambria Math" w:cs="Cambria Math" w:eastAsia="宋体"/>
                        <w:sz w:val="24"/>
                      </w:rPr>
                      <m:t>j</m:t>
                    </m:r>
                  </m:sup>
                </m:sSubSup>
              </m:den>
            </m:f>
          </m:e>
        </m:nary>
        <m:r>
          <w:rPr>
            <w:rFonts w:ascii="Cambria Math" w:hAnsi="Cambria Math" w:cs="Cambria Math" w:eastAsia="宋体"/>
            <w:sz w:val="24"/>
          </w:rPr>
          <m:t>,</m:t>
        </m:r>
        <m:r>
          <m:rPr>
            <m:nor/>
          </m:rPr>
          <w:rPr>
            <w:rFonts w:ascii="Cambria Math" w:hAnsi="Cambria Math" w:cs="Cambria Math" w:eastAsia="宋体"/>
            <w:sz w:val="24"/>
          </w:rPr>
          <m:t xml:space="preserve">  </m:t>
        </m:r>
        <m:sSubSup>
          <m:e>
            <m:r>
              <w:rPr>
                <w:rFonts w:ascii="Cambria Math" w:hAnsi="Cambria Math" w:cs="Cambria Math" w:eastAsia="宋体"/>
                <w:sz w:val="24"/>
              </w:rPr>
              <m:t>M</m:t>
            </m:r>
          </m:e>
          <m:sub>
            <m:r>
              <w:rPr>
                <w:rFonts w:ascii="Cambria Math" w:hAnsi="Cambria Math" w:cs="Cambria Math" w:eastAsia="宋体"/>
                <w:sz w:val="24"/>
              </w:rPr>
              <m:t>C</m:t>
            </m:r>
          </m:sub>
          <m:sup>
            <m:r>
              <w:rPr>
                <w:rFonts w:ascii="Cambria Math" w:hAnsi="Cambria Math" w:cs="Cambria Math" w:eastAsia="宋体"/>
                <w:sz w:val="24"/>
              </w:rPr>
              <m:t>j</m:t>
            </m:r>
          </m:sup>
        </m:sSubSup>
        <m:r>
          <w:rPr>
            <w:rFonts w:ascii="Cambria Math" w:hAnsi="Cambria Math" w:cs="Cambria Math" w:eastAsia="宋体"/>
            <w:sz w:val="24"/>
          </w:rPr>
          <m:t>=</m:t>
        </m:r>
        <m:f>
          <m:fPr>
            <m:type m:val="bar"/>
          </m:fPr>
          <m:num>
            <m:nary>
              <m:naryPr>
                <m:chr m:val="∑"/>
                <m:limLoc m:val="subSup"/>
                <m:grow m:val="1"/>
                <m:subHide m:val="off"/>
                <m:supHide m:val="on"/>
              </m:naryPr>
              <m:sub>
                <m:r>
                  <w:rPr>
                    <w:rFonts w:ascii="Cambria Math" w:hAnsi="Cambria Math" w:cs="Cambria Math" w:eastAsia="宋体"/>
                    <w:sz w:val="24"/>
                  </w:rPr>
                  <m:t>m≠C</m:t>
                </m:r>
              </m:sub>
              <m:sup/>
              <m:e>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e>
            </m:nary>
          </m:num>
          <m:den>
            <m:nary>
              <m:naryPr>
                <m:chr m:val="∑"/>
                <m:limLoc m:val="subSup"/>
                <m:grow m:val="1"/>
                <m:subHide m:val="off"/>
                <m:supHide m:val="on"/>
              </m:naryPr>
              <m:sub>
                <m:r>
                  <w:rPr>
                    <w:rFonts w:ascii="Cambria Math" w:hAnsi="Cambria Math" w:cs="Cambria Math" w:eastAsia="宋体"/>
                    <w:sz w:val="24"/>
                  </w:rPr>
                  <m:t>m</m:t>
                </m:r>
              </m:sub>
              <m:sup/>
              <m:e>
                <m:sSubSup>
                  <m:e>
                    <m:r>
                      <w:rPr>
                        <w:rFonts w:ascii="Cambria Math" w:hAnsi="Cambria Math" w:cs="Cambria Math" w:eastAsia="宋体"/>
                        <w:sz w:val="24"/>
                      </w:rPr>
                      <m:t>Q</m:t>
                    </m:r>
                  </m:e>
                  <m:sub>
                    <m:r>
                      <w:rPr>
                        <w:rFonts w:ascii="Cambria Math" w:hAnsi="Cambria Math" w:cs="Cambria Math" w:eastAsia="宋体"/>
                        <w:sz w:val="24"/>
                      </w:rPr>
                      <m:t>Cm</m:t>
                    </m:r>
                  </m:sub>
                  <m:sup>
                    <m:r>
                      <w:rPr>
                        <w:rFonts w:ascii="Cambria Math" w:hAnsi="Cambria Math" w:cs="Cambria Math" w:eastAsia="宋体"/>
                        <w:sz w:val="24"/>
                      </w:rPr>
                      <m:t>j</m:t>
                    </m:r>
                  </m:sup>
                </m:sSubSup>
              </m:e>
            </m:nary>
          </m:den>
        </m:f>
        <m:r>
          <w:rPr>
            <w:rFonts w:ascii="Cambria Math" w:hAnsi="Cambria Math" w:cs="Cambria Math" w:eastAsia="宋体"/>
            <w:sz w:val="24"/>
          </w:rPr>
          <m:t>.</m:t>
        </m:r>
      </m:oMath>
      <w:r>
        <w:rPr>
          <w:rFonts w:ascii="Times New Roman" w:hAnsi="Times New Roman" w:eastAsia="宋体" w:cs="Times New Roman"/>
          <w:b w:val="0"/>
          <w:color w:val="000000"/>
          <w:sz w:val="22"/>
        </w:rPr>
        <w:tab/>
        <w:t>（A11）</w:t>
      </w:r>
    </w:p>
    <w:p>
      <w:pPr>
        <w:keepNext w:val="0"/>
        <w:keepLines w:val="0"/>
        <w:pageBreakBefore w:val="0"/>
      </w:pPr>
      <w:r>
        <w:rPr>
          <w:rFonts w:ascii="Times New Roman" w:hAnsi="Times New Roman" w:eastAsia="宋体" w:cs="Times New Roman"/>
          <w:b w:val="0"/>
          <w:color w:val="000000"/>
          <w:sz w:val="24"/>
        </w:rPr>
        <w:t>如果程序输入已经是生产者收入，则直接加总该收入，避免重复除以贸易成本。现有研究稿与推导附录对相关流量的表达尚有需要统一之处，式（A11）所示口径也必须与实际数据处理一致后才能使用。后续对照实现程序，核实贸易成本与关税的定义、价格和货币单位，以及AMNE产出与模型销售流量之间的关系。</w:t>
      </w:r>
    </w:p>
    <w:p>
      <w:pPr>
        <w:pStyle w:val="Heading2"/>
        <w:keepNext w:val="0"/>
        <w:keepLines w:val="0"/>
        <w:pageBreakBefore w:val="0"/>
      </w:pPr>
      <w:r>
        <w:rPr>
          <w:rFonts w:ascii="Times New Roman" w:hAnsi="Times New Roman" w:eastAsia="宋体" w:cs="Times New Roman"/>
          <w:b/>
          <w:color w:val="000000"/>
          <w:sz w:val="25"/>
        </w:rPr>
        <w:t>A.7.3 成本变化的识别与拟合</w:t>
      </w:r>
    </w:p>
    <w:p>
      <w:pPr>
        <w:keepNext w:val="0"/>
        <w:keepLines w:val="0"/>
        <w:pageBreakBefore w:val="0"/>
      </w:pPr>
      <w:r>
        <w:rPr>
          <w:rFonts w:ascii="Times New Roman" w:hAnsi="Times New Roman" w:eastAsia="宋体" w:cs="Times New Roman"/>
          <w:b w:val="0"/>
          <w:color w:val="000000"/>
          <w:sz w:val="24"/>
        </w:rPr>
        <w:t>定义部门</w:t>
      </w:r>
      <m:oMath>
        <m:r>
          <w:rPr>
            <w:rFonts w:ascii="Cambria Math" w:hAnsi="Cambria Math" w:cs="Cambria Math" w:eastAsia="宋体"/>
            <w:sz w:val="24"/>
          </w:rPr>
          <m:t>j</m:t>
        </m:r>
      </m:oMath>
      <w:r>
        <w:rPr>
          <w:rFonts w:ascii="Times New Roman" w:hAnsi="Times New Roman" w:eastAsia="宋体" w:cs="Times New Roman"/>
          <w:b w:val="0"/>
          <w:color w:val="000000"/>
          <w:sz w:val="24"/>
        </w:rPr>
        <w:t>有改革相对于无本轮改革的成本对数变化为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r>
          <m:rPr>
            <m:sty m:val="p"/>
          </m:rPr>
          <w:rPr>
            <w:rFonts w:ascii="Cambria Math" w:hAnsi="Cambria Math" w:cs="Cambria Math" w:eastAsia="宋体"/>
            <w:sz w:val="24"/>
          </w:rPr>
          <m:t>ln</m:t>
        </m:r>
        <m:d>
          <m:dPr>
            <m:sepChr m:val=""/>
          </m:dPr>
          <m:e>
            <m:f>
              <m:fPr>
                <m:type m:val="bar"/>
              </m:fPr>
              <m:num>
                <m:sSubSup>
                  <m:e>
                    <m:r>
                      <w:rPr>
                        <w:rFonts w:ascii="Cambria Math" w:hAnsi="Cambria Math" w:cs="Cambria Math" w:eastAsia="宋体"/>
                        <w:sz w:val="24"/>
                      </w:rPr>
                      <m:t>d</m:t>
                    </m:r>
                  </m:e>
                  <m:sub>
                    <m:r>
                      <w:rPr>
                        <w:rFonts w:ascii="Cambria Math" w:hAnsi="Cambria Math" w:cs="Cambria Math" w:eastAsia="宋体"/>
                        <w:sz w:val="24"/>
                      </w:rPr>
                      <m:t>Cm,1</m:t>
                    </m:r>
                  </m:sub>
                  <m:sup>
                    <m:r>
                      <m:rPr>
                        <m:sty m:val="p"/>
                      </m:rPr>
                      <w:rPr>
                        <w:rFonts w:ascii="Cambria Math" w:hAnsi="Cambria Math" w:cs="Cambria Math" w:eastAsia="宋体"/>
                        <w:sz w:val="24"/>
                      </w:rPr>
                      <m:t>MP</m:t>
                    </m:r>
                    <m:r>
                      <w:rPr>
                        <w:rFonts w:ascii="Cambria Math" w:hAnsi="Cambria Math" w:cs="Cambria Math" w:eastAsia="宋体"/>
                        <w:sz w:val="24"/>
                      </w:rPr>
                      <m:t>,j</m:t>
                    </m:r>
                  </m:sup>
                </m:sSubSup>
              </m:num>
              <m:den>
                <m:sSubSup>
                  <m:e>
                    <m:r>
                      <w:rPr>
                        <w:rFonts w:ascii="Cambria Math" w:hAnsi="Cambria Math" w:cs="Cambria Math" w:eastAsia="宋体"/>
                        <w:sz w:val="24"/>
                      </w:rPr>
                      <m:t>d</m:t>
                    </m:r>
                  </m:e>
                  <m:sub>
                    <m:r>
                      <w:rPr>
                        <w:rFonts w:ascii="Cambria Math" w:hAnsi="Cambria Math" w:cs="Cambria Math" w:eastAsia="宋体"/>
                        <w:sz w:val="24"/>
                      </w:rPr>
                      <m:t>Cm,0</m:t>
                    </m:r>
                  </m:sub>
                  <m:sup>
                    <m:r>
                      <m:rPr>
                        <m:sty m:val="p"/>
                      </m:rPr>
                      <w:rPr>
                        <w:rFonts w:ascii="Cambria Math" w:hAnsi="Cambria Math" w:cs="Cambria Math" w:eastAsia="宋体"/>
                        <w:sz w:val="24"/>
                      </w:rPr>
                      <m:t>MP</m:t>
                    </m:r>
                    <m:r>
                      <w:rPr>
                        <w:rFonts w:ascii="Cambria Math" w:hAnsi="Cambria Math" w:cs="Cambria Math" w:eastAsia="宋体"/>
                        <w:sz w:val="24"/>
                      </w:rPr>
                      <m:t>,j</m:t>
                    </m:r>
                  </m:sup>
                </m:sSubSup>
              </m:den>
            </m:f>
          </m:e>
        </m:d>
        <m:r>
          <w:rPr>
            <w:rFonts w:ascii="Cambria Math" w:hAnsi="Cambria Math" w:cs="Cambria Math" w:eastAsia="宋体"/>
            <w:sz w:val="24"/>
          </w:rPr>
          <m:t>,</m:t>
        </m:r>
        <m:r>
          <m:rPr>
            <m:nor/>
          </m:rPr>
          <w:rPr>
            <w:rFonts w:ascii="Cambria Math" w:hAnsi="Cambria Math" w:cs="Cambria Math" w:eastAsia="宋体"/>
            <w:sz w:val="24"/>
          </w:rPr>
          <m:t xml:space="preserve">  </m:t>
        </m:r>
        <m:r>
          <w:rPr>
            <w:rFonts w:ascii="Cambria Math" w:hAnsi="Cambria Math" w:cs="Cambria Math" w:eastAsia="宋体"/>
            <w:sz w:val="24"/>
          </w:rPr>
          <m:t>m≠C.</m:t>
        </m:r>
      </m:oMath>
      <w:r>
        <w:rPr>
          <w:rFonts w:ascii="Times New Roman" w:hAnsi="Times New Roman" w:eastAsia="宋体" w:cs="Times New Roman"/>
          <w:b w:val="0"/>
          <w:color w:val="000000"/>
          <w:sz w:val="22"/>
        </w:rPr>
        <w:tab/>
        <w:t>（A12）</w:t>
      </w:r>
    </w:p>
    <w:p>
      <w:pPr>
        <w:keepNext w:val="0"/>
        <w:keepLines w:val="0"/>
        <w:pageBreakBefore w:val="0"/>
      </w:pPr>
      <w:r>
        <w:rPr>
          <w:rFonts w:ascii="Times New Roman" w:hAnsi="Times New Roman" w:eastAsia="宋体" w:cs="Times New Roman"/>
          <w:b w:val="0"/>
          <w:color w:val="000000"/>
          <w:sz w:val="24"/>
        </w:rPr>
        <w:t>在仅能识别外国企业合计生产的情况下，基准对同一部门各外国母国施加共同</w:t>
      </w:r>
      <m:oMath>
        <m:sSub>
          <m:e>
            <m:r>
              <w:rPr>
                <w:rFonts w:ascii="Cambria Math" w:hAnsi="Cambria Math" w:cs="Cambria Math" w:eastAsia="宋体"/>
                <w:sz w:val="24"/>
              </w:rPr>
              <m:t>δ</m:t>
            </m:r>
          </m:e>
          <m:sub>
            <m:r>
              <w:rPr>
                <w:rFonts w:ascii="Cambria Math" w:hAnsi="Cambria Math" w:cs="Cambria Math" w:eastAsia="宋体"/>
                <w:sz w:val="24"/>
              </w:rPr>
              <m:t>j</m:t>
            </m:r>
          </m:sub>
        </m:sSub>
      </m:oMath>
      <w:r>
        <w:rPr>
          <w:rFonts w:ascii="Times New Roman" w:hAnsi="Times New Roman" w:eastAsia="宋体" w:cs="Times New Roman"/>
          <w:b w:val="0"/>
          <w:color w:val="000000"/>
          <w:sz w:val="24"/>
        </w:rPr>
        <w:t>；母国别冲击需要母国别独立目标。</w:t>
      </w:r>
      <m:oMath>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&lt;0</m:t>
        </m:r>
      </m:oMath>
      <w:r>
        <w:rPr>
          <w:rFonts w:ascii="Times New Roman" w:hAnsi="Times New Roman" w:eastAsia="宋体" w:cs="Times New Roman"/>
          <w:b w:val="0"/>
          <w:color w:val="000000"/>
          <w:sz w:val="24"/>
        </w:rPr>
        <w:t>表示等效成本下降，相应成本与效率变化倍数为</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acc>
              <m:accPr>
                <m:chr m:val="̂"/>
              </m:accPr>
              <m:e>
                <m:r>
                  <w:rPr>
                    <w:rFonts w:ascii="Cambria Math" w:hAnsi="Cambria Math" w:cs="Cambria Math" w:eastAsia="宋体"/>
                    <w:sz w:val="24"/>
                  </w:rPr>
                  <m:t>d</m:t>
                </m:r>
              </m:e>
            </m:acc>
          </m:e>
          <m:sub>
            <m:r>
              <w:rPr>
                <w:rFonts w:ascii="Cambria Math" w:hAnsi="Cambria Math" w:cs="Cambria Math" w:eastAsia="宋体"/>
                <w:sz w:val="24"/>
              </w:rPr>
              <m:t>Cm</m:t>
            </m:r>
          </m:sub>
          <m:sup>
            <m:r>
              <m:rPr>
                <m:sty m:val="p"/>
              </m:rPr>
              <w:rPr>
                <w:rFonts w:ascii="Cambria Math" w:hAnsi="Cambria Math" w:cs="Cambria Math" w:eastAsia="宋体"/>
                <w:sz w:val="24"/>
              </w:rPr>
              <m:t>MP</m:t>
            </m:r>
            <m:r>
              <w:rPr>
                <w:rFonts w:ascii="Cambria Math" w:hAnsi="Cambria Math" w:cs="Cambria Math" w:eastAsia="宋体"/>
                <w:sz w:val="24"/>
              </w:rPr>
              <m:t>,j</m:t>
            </m:r>
          </m:sup>
        </m:sSubSup>
        <m:r>
          <w:rPr>
            <w:rFonts w:ascii="Cambria Math" w:hAnsi="Cambria Math" w:cs="Cambria Math" w:eastAsia="宋体"/>
            <w:sz w:val="24"/>
          </w:rPr>
          <m:t>=</m:t>
        </m:r>
        <m:r>
          <m:rPr>
            <m:sty m:val="p"/>
          </m:rPr>
          <w:rPr>
            <w:rFonts w:ascii="Cambria Math" w:hAnsi="Cambria Math" w:cs="Cambria Math" w:eastAsia="宋体"/>
            <w:sz w:val="24"/>
          </w:rPr>
          <m:t>exp</m:t>
        </m:r>
        <m:r>
          <w:rPr>
            <w:rFonts w:ascii="Cambria Math" w:hAnsi="Cambria Math" w:cs="Cambria Math" w:eastAsia="宋体"/>
            <w:sz w:val="24"/>
          </w:rPr>
          <m:t>(</m:t>
        </m:r>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r>
          <m:rPr>
            <m:nor/>
          </m:rPr>
          <w:rPr>
            <w:rFonts w:ascii="Cambria Math" w:hAnsi="Cambria Math" w:cs="Cambria Math" w:eastAsia="宋体"/>
            <w:sz w:val="24"/>
          </w:rPr>
          <m:t xml:space="preserve">  </m:t>
        </m:r>
        <m:sSubSup>
          <m:e>
            <m:acc>
              <m:accPr>
                <m:chr m:val="̂"/>
              </m:accPr>
              <m:e>
                <m:r>
                  <w:rPr>
                    <w:rFonts w:ascii="Cambria Math" w:hAnsi="Cambria Math" w:cs="Cambria Math" w:eastAsia="宋体"/>
                    <w:sz w:val="24"/>
                  </w:rPr>
                  <m:t>ξ</m:t>
                </m:r>
              </m:e>
            </m:acc>
          </m:e>
          <m:sub>
            <m:r>
              <w:rPr>
                <w:rFonts w:ascii="Cambria Math" w:hAnsi="Cambria Math" w:cs="Cambria Math" w:eastAsia="宋体"/>
                <w:sz w:val="24"/>
              </w:rPr>
              <m:t>Cm</m:t>
            </m:r>
          </m:sub>
          <m:sup>
            <m:r>
              <w:rPr>
                <w:rFonts w:ascii="Cambria Math" w:hAnsi="Cambria Math" w:cs="Cambria Math" w:eastAsia="宋体"/>
                <w:sz w:val="24"/>
              </w:rPr>
              <m:t>j</m:t>
            </m:r>
          </m:sup>
        </m:sSubSup>
        <m:r>
          <w:rPr>
            <w:rFonts w:ascii="Cambria Math" w:hAnsi="Cambria Math" w:cs="Cambria Math" w:eastAsia="宋体"/>
            <w:sz w:val="24"/>
          </w:rPr>
          <m:t>=</m:t>
        </m:r>
        <m:r>
          <m:rPr>
            <m:sty m:val="p"/>
          </m:rPr>
          <w:rPr>
            <w:rFonts w:ascii="Cambria Math" w:hAnsi="Cambria Math" w:cs="Cambria Math" w:eastAsia="宋体"/>
            <w:sz w:val="24"/>
          </w:rPr>
          <m:t>exp</m:t>
        </m:r>
        <m:r>
          <w:rPr>
            <w:rFonts w:ascii="Cambria Math" w:hAnsi="Cambria Math" w:cs="Cambria Math" w:eastAsia="宋体"/>
            <w:sz w:val="24"/>
          </w:rPr>
          <m:t>(−</m:t>
        </m:r>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m:t>
        </m:r>
      </m:oMath>
      <w:r>
        <w:rPr>
          <w:rFonts w:ascii="Times New Roman" w:hAnsi="Times New Roman" w:eastAsia="宋体" w:cs="Times New Roman"/>
          <w:b w:val="0"/>
          <w:color w:val="000000"/>
          <w:sz w:val="22"/>
        </w:rPr>
        <w:tab/>
        <w:t>（A13）</w:t>
      </w:r>
    </w:p>
    <w:p>
      <w:pPr>
        <w:keepNext w:val="0"/>
        <w:keepLines w:val="0"/>
        <w:pageBreakBefore w:val="0"/>
      </w:pPr>
      <w:r>
        <w:rPr>
          <w:rFonts w:ascii="Times New Roman" w:hAnsi="Times New Roman" w:eastAsia="宋体" w:cs="Times New Roman"/>
          <w:b w:val="0"/>
          <w:color w:val="000000"/>
          <w:sz w:val="24"/>
        </w:rPr>
        <w:t>令经验目标向量为</w:t>
      </w:r>
      <m:oMath>
        <m:acc>
          <m:accPr>
            <m:chr m:val="̂"/>
          </m:accPr>
          <m:e>
            <m:r>
              <m:rPr>
                <m:sty m:val="bi"/>
              </m:rPr>
              <w:rPr>
                <w:rFonts w:ascii="Cambria Math" w:hAnsi="Cambria Math" w:cs="Cambria Math" w:eastAsia="宋体"/>
                <w:sz w:val="24"/>
              </w:rPr>
              <m:t>g</m:t>
            </m:r>
          </m:e>
        </m:acc>
      </m:oMath>
      <w:r>
        <w:rPr>
          <w:rFonts w:ascii="Times New Roman" w:hAnsi="Times New Roman" w:eastAsia="宋体" w:cs="Times New Roman"/>
          <w:b w:val="0"/>
          <w:color w:val="000000"/>
          <w:sz w:val="24"/>
        </w:rPr>
        <w:t>。能够识别完整部门反事实时，该向量由式（A9）的份额差构成；只能识别处理企业相对对照企业的变化时，则按A.5相同的比较组、权重和均值模型构造相对目标，不再用式（A9）代替。模型比较规则</w:t>
      </w:r>
      <m:oMath>
        <m:r>
          <m:rPr>
            <m:scr m:val="script"/>
          </m:rPr>
          <w:rPr>
            <w:rFonts w:ascii="Cambria Math" w:hAnsi="Cambria Math" w:cs="Cambria Math" w:eastAsia="宋体"/>
            <w:sz w:val="24"/>
          </w:rPr>
          <m:t>O</m:t>
        </m:r>
      </m:oMath>
      <w:r>
        <w:rPr>
          <w:rFonts w:ascii="Times New Roman" w:hAnsi="Times New Roman" w:eastAsia="宋体" w:cs="Times New Roman"/>
          <w:b w:val="0"/>
          <w:color w:val="000000"/>
          <w:sz w:val="24"/>
        </w:rPr>
        <w:t>对有、无改革状态实施与实证相同的计算，规定控制类型、部门范围、权重、计价及比较方式。粗部门模型无法表示经验比较组时，就不能构造该相对目标对应的模型指标。</w:t>
      </w:r>
      <w:r>
        <w:rPr>
          <w:rFonts w:ascii="Times New Roman" w:hAnsi="Times New Roman" w:eastAsia="宋体" w:cs="Times New Roman"/>
          <w:b w:val="0"/>
          <w:color w:val="000000"/>
          <w:sz w:val="2"/>
        </w:rPr>
        <w:br w:type="page"/>
      </w:r>
    </w:p>
    <w:p>
      <w:pPr>
        <w:keepNext w:val="0"/>
        <w:keepLines w:val="0"/>
        <w:pageBreakBefore w:val="0"/>
      </w:pPr>
      <w:r>
        <w:rPr>
          <w:rFonts w:ascii="Times New Roman" w:hAnsi="Times New Roman" w:eastAsia="宋体" w:cs="Times New Roman"/>
          <w:b w:val="0"/>
          <w:color w:val="000000"/>
          <w:sz w:val="24"/>
        </w:rPr>
        <w:t>令</w:t>
      </w:r>
      <m:oMath>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m:t>
        </m:r>
        <m:r>
          <m:rPr>
            <m:sty m:val="bi"/>
          </m:rPr>
          <w:rPr>
            <w:rFonts w:ascii="Cambria Math" w:hAnsi="Cambria Math" w:cs="Cambria Math" w:eastAsia="宋体"/>
            <w:sz w:val="24"/>
          </w:rPr>
          <m:t>s</m:t>
        </m:r>
        <m:r>
          <w:rPr>
            <w:rFonts w:ascii="Cambria Math" w:hAnsi="Cambria Math" w:cs="Cambria Math" w:eastAsia="宋体"/>
            <w:sz w:val="24"/>
          </w:rPr>
          <m:t>;Z)</m:t>
        </m:r>
      </m:oMath>
      <w:r>
        <w:rPr>
          <w:rFonts w:ascii="Times New Roman" w:hAnsi="Times New Roman" w:eastAsia="宋体" w:cs="Times New Roman"/>
          <w:b w:val="0"/>
          <w:color w:val="000000"/>
          <w:sz w:val="24"/>
        </w:rPr>
        <w:t>表示从经济状态</w:t>
      </w:r>
      <m:oMath>
        <m:r>
          <w:rPr>
            <w:rFonts w:ascii="Cambria Math" w:hAnsi="Cambria Math" w:cs="Cambria Math" w:eastAsia="宋体"/>
            <w:sz w:val="24"/>
          </w:rPr>
          <m:t>Z</m:t>
        </m:r>
      </m:oMath>
      <w:r>
        <w:rPr>
          <w:rFonts w:ascii="Times New Roman" w:hAnsi="Times New Roman" w:eastAsia="宋体" w:cs="Times New Roman"/>
          <w:b w:val="0"/>
          <w:color w:val="000000"/>
          <w:sz w:val="24"/>
        </w:rPr>
        <w:t>施加MP成本对数变化</w:t>
      </w:r>
      <m:oMath>
        <m:r>
          <m:rPr>
            <m:sty m:val="bi"/>
          </m:rPr>
          <w:rPr>
            <w:rFonts w:ascii="Cambria Math" w:hAnsi="Cambria Math" w:cs="Cambria Math" w:eastAsia="宋体"/>
            <w:sz w:val="24"/>
          </w:rPr>
          <m:t>s</m:t>
        </m:r>
      </m:oMath>
      <w:r>
        <w:rPr>
          <w:rFonts w:ascii="Times New Roman" w:hAnsi="Times New Roman" w:eastAsia="宋体" w:cs="Times New Roman"/>
          <w:b w:val="0"/>
          <w:color w:val="000000"/>
          <w:sz w:val="24"/>
        </w:rPr>
        <w:t>的模型解，</w:t>
      </w:r>
      <m:oMath>
        <m:r>
          <w:rPr>
            <w:rFonts w:ascii="Cambria Math" w:hAnsi="Cambria Math" w:cs="Cambria Math" w:eastAsia="宋体"/>
            <w:sz w:val="24"/>
          </w:rPr>
          <m:t>χ</m:t>
        </m:r>
      </m:oMath>
      <w:r>
        <w:rPr>
          <w:rFonts w:ascii="Times New Roman" w:hAnsi="Times New Roman" w:eastAsia="宋体" w:cs="Times New Roman"/>
          <w:b w:val="0"/>
          <w:color w:val="000000"/>
          <w:sz w:val="24"/>
        </w:rPr>
        <w:t>表示局部均衡（PE）或一般均衡（GE）的求解条件。PE在选定价格、工资和需求给定时比较生产反应，GE允许这些变量随各市场共同调整。若校准状态</w:t>
      </w:r>
      <m:oMath>
        <m:sSup>
          <m:e>
            <m:r>
              <w:rPr>
                <w:rFonts w:ascii="Cambria Math" w:hAnsi="Cambria Math" w:cs="Cambria Math" w:eastAsia="宋体"/>
                <w:sz w:val="24"/>
              </w:rPr>
              <m:t>Z</m:t>
            </m:r>
          </m:e>
          <m:sup>
            <m:r>
              <w:rPr>
                <w:rFonts w:ascii="Cambria Math" w:hAnsi="Cambria Math" w:cs="Cambria Math" w:eastAsia="宋体"/>
                <w:sz w:val="24"/>
              </w:rPr>
              <m:t>1</m:t>
            </m:r>
          </m:sup>
        </m:sSup>
      </m:oMath>
      <w:r>
        <w:rPr>
          <w:rFonts w:ascii="Times New Roman" w:hAnsi="Times New Roman" w:eastAsia="宋体" w:cs="Times New Roman"/>
          <w:b w:val="0"/>
          <w:color w:val="000000"/>
          <w:sz w:val="24"/>
        </w:rPr>
        <w:t>为实际2014年有改革状态，无改革状态为</w:t>
      </w:r>
      <m:oMath>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m:t>
        </m:r>
      </m:oMath>
      <w:r>
        <w:rPr>
          <w:rFonts w:ascii="Times New Roman" w:hAnsi="Times New Roman" w:eastAsia="宋体" w:cs="Times New Roman"/>
          <w:b w:val="0"/>
          <w:color w:val="000000"/>
          <w:sz w:val="24"/>
        </w:rPr>
        <w:t>。由此定义模型与经验目标的差异，并拟合成本：</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r>
          <m:rPr>
            <m:scr m:val="script"/>
          </m:rPr>
          <w:rPr>
            <w:rFonts w:ascii="Cambria Math" w:hAnsi="Cambria Math" w:cs="Cambria Math" w:eastAsia="宋体"/>
            <w:sz w:val="24"/>
          </w:rPr>
          <m:t>O</m:t>
        </m:r>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m:t>
        </m:r>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acc>
          <m:accPr>
            <m:chr m:val="̂"/>
          </m:accPr>
          <m:e>
            <m:r>
              <m:rPr>
                <m:sty m:val="bi"/>
              </m:rPr>
              <w:rPr>
                <w:rFonts w:ascii="Cambria Math" w:hAnsi="Cambria Math" w:cs="Cambria Math" w:eastAsia="宋体"/>
                <w:sz w:val="24"/>
              </w:rPr>
              <m:t>g</m:t>
            </m:r>
          </m:e>
        </m:acc>
        <m:r>
          <w:rPr>
            <w:rFonts w:ascii="Cambria Math" w:hAnsi="Cambria Math" w:cs="Cambria Math" w:eastAsia="宋体"/>
            <w:sz w:val="24"/>
          </w:rPr>
          <m:t>.</m:t>
        </m:r>
      </m:oMath>
      <w:r>
        <w:rPr>
          <w:rFonts w:ascii="Times New Roman" w:hAnsi="Times New Roman" w:eastAsia="宋体" w:cs="Times New Roman"/>
          <w:b w:val="0"/>
          <w:color w:val="000000"/>
          <w:sz w:val="22"/>
        </w:rPr>
        <w:tab/>
        <w:t>（A14）</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acc>
          <m:accPr>
            <m:chr m:val="̂"/>
          </m:accPr>
          <m:e>
            <m:r>
              <m:rPr>
                <m:sty m:val="bi"/>
              </m:rPr>
              <w:rPr>
                <w:rFonts w:ascii="Cambria Math" w:hAnsi="Cambria Math" w:cs="Cambria Math" w:eastAsia="宋体"/>
                <w:sz w:val="24"/>
              </w:rPr>
              <m:t>δ</m:t>
            </m:r>
          </m:e>
        </m:acc>
        <m:r>
          <w:rPr>
            <w:rFonts w:ascii="Cambria Math" w:hAnsi="Cambria Math" w:cs="Cambria Math" w:eastAsia="宋体"/>
            <w:sz w:val="24"/>
          </w:rPr>
          <m:t>=</m:t>
        </m:r>
        <m:sSub>
          <m:e>
            <m:r>
              <m:rPr>
                <m:sty m:val="p"/>
              </m:rPr>
              <w:rPr>
                <w:rFonts w:ascii="Cambria Math" w:hAnsi="Cambria Math" w:cs="Cambria Math" w:eastAsia="宋体"/>
                <w:sz w:val="24"/>
              </w:rPr>
              <m:t>argmin</m:t>
            </m:r>
          </m:e>
          <m:sub>
            <m:r>
              <m:rPr>
                <m:sty m:val="bi"/>
              </m:rPr>
              <w:rPr>
                <w:rFonts w:ascii="Cambria Math" w:hAnsi="Cambria Math" w:cs="Cambria Math" w:eastAsia="宋体"/>
                <w:sz w:val="24"/>
              </w:rPr>
              <m:t>δ</m:t>
            </m:r>
            <m:r>
              <w:rPr>
                <w:rFonts w:ascii="Cambria Math" w:hAnsi="Cambria Math" w:cs="Cambria Math" w:eastAsia="宋体"/>
                <w:sz w:val="24"/>
              </w:rPr>
              <m:t>∈</m:t>
            </m:r>
            <m:r>
              <m:rPr>
                <m:scr m:val="script"/>
              </m:rPr>
              <w:rPr>
                <w:rFonts w:ascii="Cambria Math" w:hAnsi="Cambria Math" w:cs="Cambria Math" w:eastAsia="宋体"/>
                <w:sz w:val="24"/>
              </w:rPr>
              <m:t>D</m:t>
            </m:r>
          </m:sub>
        </m:sSub>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sSup>
          <m:e>
            <m:r>
              <w:rPr>
                <w:rFonts w:ascii="Cambria Math" w:hAnsi="Cambria Math" w:cs="Cambria Math" w:eastAsia="宋体"/>
                <w:sz w:val="24"/>
              </w:rPr>
              <m:t>)</m:t>
            </m:r>
          </m:e>
          <m:sup>
            <m:r>
              <w:rPr>
                <w:rFonts w:ascii="Cambria Math" w:hAnsi="Cambria Math" w:cs="Cambria Math" w:eastAsia="宋体"/>
                <w:sz w:val="24"/>
              </w:rPr>
              <m:t>′</m:t>
            </m:r>
          </m:sup>
        </m:sSup>
        <m:r>
          <w:rPr>
            <w:rFonts w:ascii="Cambria Math" w:hAnsi="Cambria Math" w:cs="Cambria Math" w:eastAsia="宋体"/>
            <w:sz w:val="24"/>
          </w:rPr>
          <m:t>Ω</m:t>
        </m:r>
        <m:r>
          <m:rPr>
            <m:sty m:val="bi"/>
          </m:rPr>
          <w:rPr>
            <w:rFonts w:ascii="Cambria Math" w:hAnsi="Cambria Math" w:cs="Cambria Math" w:eastAsia="宋体"/>
            <w:sz w:val="24"/>
          </w:rPr>
          <m:t>r</m:t>
        </m:r>
        <m:r>
          <w:rPr>
            <w:rFonts w:ascii="Cambria Math" w:hAnsi="Cambria Math" w:cs="Cambria Math" w:eastAsia="宋体"/>
            <w:sz w:val="24"/>
          </w:rPr>
          <m:t>(</m:t>
        </m:r>
        <m:r>
          <m:rPr>
            <m:sty m:val="bi"/>
          </m:rPr>
          <w:rPr>
            <w:rFonts w:ascii="Cambria Math" w:hAnsi="Cambria Math" w:cs="Cambria Math" w:eastAsia="宋体"/>
            <w:sz w:val="24"/>
          </w:rPr>
          <m:t>δ</m:t>
        </m:r>
        <m:r>
          <w:rPr>
            <w:rFonts w:ascii="Cambria Math" w:hAnsi="Cambria Math" w:cs="Cambria Math" w:eastAsia="宋体"/>
            <w:sz w:val="24"/>
          </w:rPr>
          <m:t>).</m:t>
        </m:r>
      </m:oMath>
      <w:r>
        <w:rPr>
          <w:rFonts w:ascii="Times New Roman" w:hAnsi="Times New Roman" w:eastAsia="宋体" w:cs="Times New Roman"/>
          <w:b w:val="0"/>
          <w:color w:val="000000"/>
          <w:sz w:val="22"/>
        </w:rPr>
        <w:tab/>
        <w:t>（A15）</w:t>
      </w:r>
    </w:p>
    <w:p>
      <w:pPr>
        <w:keepNext w:val="0"/>
        <w:keepLines w:val="0"/>
        <w:pageBreakBefore w:val="0"/>
      </w:pPr>
      <w:r>
        <w:rPr>
          <w:rFonts w:ascii="Times New Roman" w:hAnsi="Times New Roman" w:eastAsia="宋体" w:cs="Times New Roman"/>
          <w:b w:val="0"/>
          <w:color w:val="000000"/>
          <w:sz w:val="24"/>
        </w:rPr>
        <w:t>其中</w:t>
      </w:r>
      <m:oMath>
        <m:r>
          <w:rPr>
            <w:rFonts w:ascii="Cambria Math" w:hAnsi="Cambria Math" w:cs="Cambria Math" w:eastAsia="宋体"/>
            <w:sz w:val="24"/>
          </w:rPr>
          <m:t>Ω</m:t>
        </m:r>
      </m:oMath>
      <w:r>
        <w:rPr>
          <w:rFonts w:ascii="Times New Roman" w:hAnsi="Times New Roman" w:eastAsia="宋体" w:cs="Times New Roman"/>
          <w:b w:val="0"/>
          <w:color w:val="000000"/>
          <w:sz w:val="24"/>
        </w:rPr>
        <w:t>为预先确定的拟合权重矩阵，</w:t>
      </w:r>
      <m:oMath>
        <m:r>
          <m:rPr>
            <m:scr m:val="script"/>
          </m:rPr>
          <w:rPr>
            <w:rFonts w:ascii="Cambria Math" w:hAnsi="Cambria Math" w:cs="Cambria Math" w:eastAsia="宋体"/>
            <w:sz w:val="24"/>
          </w:rPr>
          <m:t>D</m:t>
        </m:r>
      </m:oMath>
      <w:r>
        <w:rPr>
          <w:rFonts w:ascii="Times New Roman" w:hAnsi="Times New Roman" w:eastAsia="宋体" w:cs="Times New Roman"/>
          <w:b w:val="0"/>
          <w:color w:val="000000"/>
          <w:sz w:val="24"/>
        </w:rPr>
        <w:t>为经济含义和参数条件允许的范围。具有不同标准误的目标可依据协方差赋权；协方差难以可靠估计时，可使用透明的统一量纲权重并检验敏感性。</w:t>
      </w:r>
    </w:p>
    <w:p>
      <w:pPr>
        <w:keepNext w:val="0"/>
        <w:keepLines w:val="0"/>
        <w:pageBreakBefore w:val="0"/>
      </w:pPr>
      <w:r>
        <w:rPr>
          <w:rFonts w:ascii="Times New Roman" w:hAnsi="Times New Roman" w:eastAsia="宋体" w:cs="Times New Roman"/>
          <w:b w:val="0"/>
          <w:color w:val="000000"/>
          <w:sz w:val="24"/>
        </w:rPr>
        <w:t>目标数量足够并不保证成本参数能够区分。投入产出联系可能使不同部门的成本变化产生相近的生产反应，因此需要检验经验目标能否区分这些变化，具体检查目标对参数变化的导数矩阵及其局部秩，并核对拟合误差、边界解和多组初值下的稳定性。总生产等于外国与国内生产之和，不能将三者全部视为相互独立的额外信息。部门支持不足时，可研究有经济依据的共同成本参数，但不能仅为得到数值解随意合并部门。</w:t>
      </w:r>
    </w:p>
    <w:p>
      <w:pPr>
        <w:keepNext w:val="0"/>
        <w:keepLines w:val="0"/>
        <w:pageBreakBefore w:val="0"/>
      </w:pPr>
      <w:r>
        <w:rPr>
          <w:rFonts w:ascii="Times New Roman" w:hAnsi="Times New Roman" w:eastAsia="宋体" w:cs="Times New Roman"/>
          <w:b w:val="0"/>
          <w:color w:val="000000"/>
          <w:sz w:val="24"/>
        </w:rPr>
        <w:t>2014年处于观察窗口末端，不自动意味着已经达到长期均衡。将其作为GE目标，需要说明调整速度与模型均衡的对应；使用PE拟合后再计算GE，则需报告均衡反馈使生产结果偏离原目标的程度。结构部分将成本与福利解释为特定模型和比较期限下的条件性结果，不能把PE拟合系数直接称为全部均衡效应。</w:t>
      </w:r>
      <w:r>
        <w:rPr>
          <w:rFonts w:ascii="Times New Roman" w:hAnsi="Times New Roman" w:eastAsia="宋体" w:cs="Times New Roman"/>
          <w:b w:val="0"/>
          <w:color w:val="000000"/>
          <w:sz w:val="2"/>
        </w:rPr>
        <w:br w:type="page"/>
      </w:r>
    </w:p>
    <w:p>
      <w:pPr>
        <w:pStyle w:val="Heading2"/>
        <w:keepNext w:val="0"/>
        <w:keepLines w:val="0"/>
        <w:pageBreakBefore w:val="0"/>
      </w:pPr>
      <w:r>
        <w:rPr>
          <w:rFonts w:ascii="Times New Roman" w:hAnsi="Times New Roman" w:eastAsia="宋体" w:cs="Times New Roman"/>
          <w:b/>
          <w:color w:val="000000"/>
          <w:sz w:val="25"/>
        </w:rPr>
        <w:t>A.7.4 反事实设置、边界与实施顺序</w:t>
      </w:r>
    </w:p>
    <w:p>
      <w:pPr>
        <w:keepNext w:val="0"/>
        <w:keepLines w:val="0"/>
        <w:pageBreakBefore w:val="0"/>
      </w:pPr>
      <w:r>
        <w:rPr>
          <w:rFonts w:ascii="Times New Roman" w:hAnsi="Times New Roman" w:eastAsia="宋体" w:cs="Times New Roman"/>
          <w:b w:val="0"/>
          <w:color w:val="000000"/>
          <w:sz w:val="24"/>
        </w:rPr>
        <w:t>令</w:t>
      </w:r>
      <m:oMath>
        <m:sSub>
          <m:e>
            <m:r>
              <m:rPr>
                <m:scr m:val="script"/>
              </m:rPr>
              <w:rPr>
                <w:rFonts w:ascii="Cambria Math" w:hAnsi="Cambria Math" w:cs="Cambria Math" w:eastAsia="宋体"/>
                <w:sz w:val="24"/>
              </w:rPr>
              <m:t>J</m:t>
            </m:r>
          </m:e>
          <m:sub>
            <m:r>
              <w:rPr>
                <w:rFonts w:ascii="Cambria Math" w:hAnsi="Cambria Math" w:cs="Cambria Math" w:eastAsia="宋体"/>
                <w:sz w:val="24"/>
              </w:rPr>
              <m:t>R</m:t>
            </m:r>
          </m:sub>
        </m:sSub>
      </m:oMath>
      <w:r>
        <w:rPr>
          <w:rFonts w:ascii="Times New Roman" w:hAnsi="Times New Roman" w:eastAsia="宋体" w:cs="Times New Roman"/>
          <w:b w:val="0"/>
          <w:color w:val="000000"/>
          <w:sz w:val="24"/>
        </w:rPr>
        <w:t>为获得有效成本估计的部门集合，在贸易成本及其他外生条件给定时，构造仅改变外国企业在华MP成本的效率冲击：</w:t>
      </w:r>
    </w:p>
    <w:p>
      <w:pPr>
        <w:keepNext w:val="0"/>
        <w:keepLines w:val="0"/>
        <w:pageBreakBefore w:val="0"/>
        <w:tabs>
          <w:tab w:pos="4309" w:val="center"/>
          <w:tab w:pos="9241" w:val="right"/>
        </w:tabs>
        <w:spacing w:before="140" w:after="140" w:line="252" w:lineRule="auto"/>
        <w:ind w:firstLine="0"/>
      </w:pPr>
      <w:r>
        <w:rPr>
          <w:rFonts w:ascii="Times New Roman" w:hAnsi="Times New Roman" w:eastAsia="宋体" w:cs="Times New Roman"/>
          <w:b w:val="0"/>
          <w:color w:val="000000"/>
          <w:sz w:val="24"/>
        </w:rPr>
        <w:tab/>
      </w:r>
      <m:oMath>
        <m:sSubSup>
          <m:e>
            <m:acc>
              <m:accPr>
                <m:chr m:val="̂"/>
              </m:accPr>
              <m:e>
                <m:r>
                  <w:rPr>
                    <w:rFonts w:ascii="Cambria Math" w:hAnsi="Cambria Math" w:cs="Cambria Math" w:eastAsia="宋体"/>
                    <w:sz w:val="24"/>
                  </w:rPr>
                  <m:t>ξ</m:t>
                </m:r>
              </m:e>
            </m:acc>
          </m:e>
          <m:sub>
            <m:r>
              <w:rPr>
                <w:rFonts w:ascii="Cambria Math" w:hAnsi="Cambria Math" w:cs="Cambria Math" w:eastAsia="宋体"/>
                <w:sz w:val="24"/>
              </w:rPr>
              <m:t>im</m:t>
            </m:r>
          </m:sub>
          <m:sup>
            <m:r>
              <w:rPr>
                <w:rFonts w:ascii="Cambria Math" w:hAnsi="Cambria Math" w:cs="Cambria Math" w:eastAsia="宋体"/>
                <w:sz w:val="24"/>
              </w:rPr>
              <m:t>j</m:t>
            </m:r>
          </m:sup>
        </m:sSubSup>
        <m:r>
          <w:rPr>
            <w:rFonts w:ascii="Cambria Math" w:hAnsi="Cambria Math" w:cs="Cambria Math" w:eastAsia="宋体"/>
            <w:sz w:val="24"/>
          </w:rPr>
          <m:t>=</m:t>
        </m:r>
        <m:d>
          <m:dPr>
            <m:begChr m:val="{"/>
            <m:sepChr m:val=""/>
            <m:endChr m:val=""/>
          </m:dPr>
          <m:e>
            <m:m>
              <m:mPr>
                <m:baseJc m:val="center"/>
                <m:plcHide m:val="on"/>
                <m:mcs>
                  <m:mc>
                    <m:mcPr>
                      <m:count m:val="2"/>
                      <m:mcJc m:val="center"/>
                    </m:mcPr>
                  </m:mc>
                </m:mcs>
              </m:mPr>
              <m:mr>
                <m:e>
                  <m:r>
                    <m:rPr>
                      <m:sty m:val="p"/>
                    </m:rPr>
                    <w:rPr>
                      <w:rFonts w:ascii="Cambria Math" w:hAnsi="Cambria Math" w:cs="Cambria Math" w:eastAsia="宋体"/>
                      <w:sz w:val="24"/>
                    </w:rPr>
                    <m:t>exp</m:t>
                  </m:r>
                  <m:r>
                    <w:rPr>
                      <w:rFonts w:ascii="Cambria Math" w:hAnsi="Cambria Math" w:cs="Cambria Math" w:eastAsia="宋体"/>
                      <w:sz w:val="24"/>
                    </w:rPr>
                    <m:t>(−</m:t>
                  </m:r>
                  <m:sSub>
                    <m:e>
                      <m:acc>
                        <m:accPr>
                          <m:chr m:val="̂"/>
                        </m:accPr>
                        <m:e>
                          <m:r>
                            <w:rPr>
                              <w:rFonts w:ascii="Cambria Math" w:hAnsi="Cambria Math" w:cs="Cambria Math" w:eastAsia="宋体"/>
                              <w:sz w:val="24"/>
                            </w:rPr>
                            <m:t>δ</m:t>
                          </m:r>
                        </m:e>
                      </m:acc>
                    </m:e>
                    <m:sub>
                      <m:r>
                        <w:rPr>
                          <w:rFonts w:ascii="Cambria Math" w:hAnsi="Cambria Math" w:cs="Cambria Math" w:eastAsia="宋体"/>
                          <w:sz w:val="24"/>
                        </w:rPr>
                        <m:t>j</m:t>
                      </m:r>
                    </m:sub>
                  </m:sSub>
                  <m:r>
                    <w:rPr>
                      <w:rFonts w:ascii="Cambria Math" w:hAnsi="Cambria Math" w:cs="Cambria Math" w:eastAsia="宋体"/>
                      <w:sz w:val="24"/>
                    </w:rPr>
                    <m:t>),</m:t>
                  </m:r>
                </m:e>
                <m:e>
                  <m:r>
                    <w:rPr>
                      <w:rFonts w:ascii="Cambria Math" w:hAnsi="Cambria Math" w:cs="Cambria Math" w:eastAsia="宋体"/>
                      <w:sz w:val="24"/>
                    </w:rPr>
                    <m:t>i=C,</m:t>
                  </m:r>
                  <m:r>
                    <m:rPr>
                      <m:sty m:val="p"/>
                    </m:rPr>
                    <w:rPr>
                      <w:rFonts w:ascii="Cambria Math" w:hAnsi="Cambria Math" w:cs="Cambria Math" w:eastAsia="宋体"/>
                      <w:sz w:val="24"/>
                    </w:rPr>
                    <m:t xml:space="preserve"> </m:t>
                  </m:r>
                  <m:r>
                    <w:rPr>
                      <w:rFonts w:ascii="Cambria Math" w:hAnsi="Cambria Math" w:cs="Cambria Math" w:eastAsia="宋体"/>
                      <w:sz w:val="24"/>
                    </w:rPr>
                    <m:t>m≠C,</m:t>
                  </m:r>
                  <m:r>
                    <m:rPr>
                      <m:sty m:val="p"/>
                    </m:rPr>
                    <w:rPr>
                      <w:rFonts w:ascii="Cambria Math" w:hAnsi="Cambria Math" w:cs="Cambria Math" w:eastAsia="宋体"/>
                      <w:sz w:val="24"/>
                    </w:rPr>
                    <m:t xml:space="preserve"> </m:t>
                  </m:r>
                  <m:r>
                    <w:rPr>
                      <w:rFonts w:ascii="Cambria Math" w:hAnsi="Cambria Math" w:cs="Cambria Math" w:eastAsia="宋体"/>
                      <w:sz w:val="24"/>
                    </w:rPr>
                    <m:t>j∈</m:t>
                  </m:r>
                  <m:sSub>
                    <m:e>
                      <m:r>
                        <m:rPr>
                          <m:scr m:val="script"/>
                        </m:rPr>
                        <w:rPr>
                          <w:rFonts w:ascii="Cambria Math" w:hAnsi="Cambria Math" w:cs="Cambria Math" w:eastAsia="宋体"/>
                          <w:sz w:val="24"/>
                        </w:rPr>
                        <m:t>J</m:t>
                      </m:r>
                    </m:e>
                    <m:sub>
                      <m:r>
                        <w:rPr>
                          <w:rFonts w:ascii="Cambria Math" w:hAnsi="Cambria Math" w:cs="Cambria Math" w:eastAsia="宋体"/>
                          <w:sz w:val="24"/>
                        </w:rPr>
                        <m:t>R</m:t>
                      </m:r>
                    </m:sub>
                  </m:sSub>
                  <m:r>
                    <w:rPr>
                      <w:rFonts w:ascii="Cambria Math" w:hAnsi="Cambria Math" w:cs="Cambria Math" w:eastAsia="宋体"/>
                      <w:sz w:val="24"/>
                    </w:rPr>
                    <m:t>,</m:t>
                  </m:r>
                </m:e>
              </m:mr>
              <m:mr>
                <m:e>
                  <m:r>
                    <w:rPr>
                      <w:rFonts w:ascii="Cambria Math" w:hAnsi="Cambria Math" w:cs="Cambria Math" w:eastAsia="宋体"/>
                      <w:sz w:val="24"/>
                    </w:rPr>
                    <m:t>1,</m:t>
                  </m:r>
                </m:e>
                <m:e>
                  <m:r>
                    <m:rPr>
                      <m:nor/>
                    </m:rPr>
                    <w:rPr>
                      <w:rFonts w:ascii="Cambria Math" w:hAnsi="Cambria Math" w:cs="Cambria Math" w:eastAsia="宋体"/>
                      <w:sz w:val="24"/>
                    </w:rPr>
                    <m:t>其他关系</m:t>
                  </m:r>
                  <m:r>
                    <w:rPr>
                      <w:rFonts w:ascii="Cambria Math" w:hAnsi="Cambria Math" w:cs="Cambria Math" w:eastAsia="宋体"/>
                      <w:sz w:val="24"/>
                    </w:rPr>
                    <m:t>.</m:t>
                  </m:r>
                </m:e>
              </m:mr>
            </m:m>
          </m:e>
        </m:d>
      </m:oMath>
      <w:r>
        <w:rPr>
          <w:rFonts w:ascii="Times New Roman" w:hAnsi="Times New Roman" w:eastAsia="宋体" w:cs="Times New Roman"/>
          <w:b w:val="0"/>
          <w:color w:val="000000"/>
          <w:sz w:val="22"/>
        </w:rPr>
        <w:tab/>
        <w:t>（A16）</w:t>
      </w:r>
    </w:p>
    <w:p>
      <w:pPr>
        <w:keepNext w:val="0"/>
        <w:keepLines w:val="0"/>
        <w:pageBreakBefore w:val="0"/>
      </w:pPr>
      <w:r>
        <w:rPr>
          <w:rFonts w:ascii="Times New Roman" w:hAnsi="Times New Roman" w:eastAsia="宋体" w:cs="Times New Roman"/>
          <w:b w:val="0"/>
          <w:color w:val="000000"/>
          <w:sz w:val="24"/>
        </w:rPr>
        <w:t>一般均衡允许生产地选择、销售方向、中间投入需求、价格、工资及模型中的创新和福利共同变化。没有直接施加成本冲击的部门也可能通过产业联系受到影响。报告部门产出和价格、外国与国内生产、母国和销售目的国分布，以及具有明确定义的实际收入和福利指标。缺少成本识别依据的部门不补入全国平均冲击。</w:t>
      </w:r>
    </w:p>
    <w:p>
      <w:pPr>
        <w:keepNext w:val="0"/>
        <w:keepLines w:val="0"/>
        <w:pageBreakBefore w:val="0"/>
      </w:pPr>
      <w:r>
        <w:rPr>
          <w:rFonts w:ascii="Times New Roman" w:hAnsi="Times New Roman" w:eastAsia="宋体" w:cs="Times New Roman"/>
          <w:b w:val="0"/>
          <w:color w:val="000000"/>
          <w:sz w:val="24"/>
        </w:rPr>
        <w:t>若校准资料已经包含改革，实际2014年状态对应的是有改革经济。此时须结合估计的成本关系反向求出无改革状态，再比较两种情景，不能把同一改革再次施加到实际状态上。反向校准是否存在稳定解、是否与经验无改革预测相符，均需检验。</w:t>
      </w:r>
    </w:p>
    <w:p>
      <w:pPr>
        <w:keepNext w:val="0"/>
        <w:keepLines w:val="0"/>
        <w:pageBreakBefore w:val="0"/>
      </w:pPr>
      <w:r>
        <w:rPr>
          <w:rFonts w:ascii="Times New Roman" w:hAnsi="Times New Roman" w:eastAsia="宋体" w:cs="Times New Roman"/>
          <w:b w:val="0"/>
          <w:color w:val="000000"/>
          <w:sz w:val="24"/>
        </w:rPr>
        <w:t>对禁止准入转为允许、且基期外国生产为零的活动，应单独研究进入。精确帽子代数以基期份额乘以变化倍数表示反事实，零份额不能通过有限倍数产生新进入；人为加入很小的正数会改变经济含义。参考模型中的市场进入固定营销成本也不自动等于在中国设立企业的准入成本。这类业务可以保留微观和行业证据，结构刻画需要相应的进入机制。</w:t>
      </w:r>
    </w:p>
    <w:p>
      <w:pPr>
        <w:keepNext w:val="0"/>
        <w:keepLines w:val="0"/>
        <w:pageBreakBefore w:val="0"/>
      </w:pPr>
      <w:r>
        <w:rPr>
          <w:rFonts w:ascii="Times New Roman" w:hAnsi="Times New Roman" w:eastAsia="宋体" w:cs="Times New Roman"/>
          <w:b w:val="0"/>
          <w:color w:val="000000"/>
          <w:sz w:val="24"/>
        </w:rPr>
        <w:t>实际实施从能够确认的环节展开。完成字段来源与政策适用核查后，先形成固定处理身份、对照范围和企业面板，检查比较支持与改革前动态。控制关系、生产覆盖和行业聚合有依据后，再构造2014年部门目标。目标与模型比较对象、2014年基准及流量口径统一后，才开展成本反演与一般均衡计算。若某一步的数据条件不满足，就保留前一层已经成立的研究结果，并说明下一步需要何种资料或方法。</w:t>
      </w:r>
    </w:p>
    <w:p>
      <w:pPr>
        <w:keepNext w:val="0"/>
        <w:keepLines w:val="0"/>
        <w:pageBreakBefore w:val="0"/>
      </w:pPr>
      <w:r>
        <w:rPr>
          <w:rFonts w:ascii="Times New Roman" w:hAnsi="Times New Roman" w:eastAsia="宋体" w:cs="Times New Roman"/>
          <w:b w:val="0"/>
          <w:color w:val="000000"/>
          <w:sz w:val="24"/>
        </w:rPr>
        <w:t>不确定性也沿这一顺序传递。政策归类可比较严格确认样本与经复核的扩展样本；生产估计报告适当聚类下的区间；部门补充假设和结构参数采用有来源的替代设定。能够实施重抽样时，依实际赋值与误差相关结构重新估计生产目标及成本，不把未收敛或无法反演的抽样结果静默删除。研究最终应使读者能够分别判断政策识别、企业效应和结构解释各自得到多强的证据支持。</w:t>
      </w:r>
      <w:r>
        <w:rPr>
          <w:rFonts w:ascii="Times New Roman" w:hAnsi="Times New Roman" w:eastAsia="宋体" w:cs="Times New Roman"/>
          <w:b w:val="0"/>
          <w:color w:val="000000"/>
          <w:sz w:val="2"/>
        </w:rPr>
        <w:br w:type="page"/>
      </w:r>
    </w:p>
    <w:p>
      <w:pPr>
        <w:pStyle w:val="Heading1"/>
        <w:keepNext w:val="0"/>
        <w:keepLines w:val="0"/>
        <w:pageBreakBefore w:val="0"/>
        <w:spacing w:before="0"/>
      </w:pPr>
      <w:r>
        <w:rPr>
          <w:rFonts w:ascii="Times New Roman" w:hAnsi="Times New Roman" w:eastAsia="宋体" w:cs="Times New Roman"/>
          <w:b/>
          <w:color w:val="000000"/>
          <w:sz w:val="28"/>
        </w:rPr>
        <w:t>参考文献与资料说明</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[1] 国家发展改革委、商务部，2007：《外商投资产业指导目录（2007年修订）》，第57号令。2007年10月31日公布，12月1日施行。</w:t>
      </w:r>
      <w:hyperlink r:id="rId11">
        <w:r>
          <w:rPr>
            <w:rFonts w:ascii="Times New Roman" w:hAnsi="Times New Roman" w:eastAsia="宋体" w:cs="Times New Roman"/>
            <w:b w:val="0"/>
            <w:color w:val="234A70"/>
            <w:sz w:val="21"/>
          </w:rPr>
          <w:t>商务部原文</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[2] 国家发展改革委，2011：《关于〈外商投资产业指导目录（修订征求意见稿）〉公开征求意见的公告》及草案。通知署期4月1日，发改委网页4月2日公开。</w:t>
      </w:r>
      <w:hyperlink r:id="rId12">
        <w:r>
          <w:rPr>
            <w:rFonts w:ascii="Times New Roman" w:hAnsi="Times New Roman" w:eastAsia="宋体" w:cs="Times New Roman"/>
            <w:b w:val="0"/>
            <w:color w:val="234A70"/>
            <w:sz w:val="21"/>
          </w:rPr>
          <w:t>公告</w:t>
        </w:r>
      </w:hyperlink>
      <w:r>
        <w:rPr>
          <w:rFonts w:ascii="Times New Roman" w:hAnsi="Times New Roman" w:eastAsia="宋体" w:cs="Times New Roman"/>
          <w:b w:val="0"/>
          <w:color w:val="000000"/>
          <w:sz w:val="21"/>
        </w:rPr>
        <w:t>；</w:t>
      </w:r>
      <w:hyperlink r:id="rId13">
        <w:r>
          <w:rPr>
            <w:rFonts w:ascii="Times New Roman" w:hAnsi="Times New Roman" w:eastAsia="宋体" w:cs="Times New Roman"/>
            <w:b w:val="0"/>
            <w:color w:val="234A70"/>
            <w:sz w:val="21"/>
          </w:rPr>
          <w:t>草案</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[3] 国家发展改革委、商务部，2011：《外商投资产业指导目录（2011年修订）》，第12号令。令文署期2011年12月24日，网页12月29日公开，2012年1月30日施行。</w:t>
      </w:r>
      <w:hyperlink r:id="rId14">
        <w:r>
          <w:rPr>
            <w:rFonts w:ascii="Times New Roman" w:hAnsi="Times New Roman" w:eastAsia="宋体" w:cs="Times New Roman"/>
            <w:b w:val="0"/>
            <w:color w:val="234A70"/>
            <w:sz w:val="21"/>
          </w:rPr>
          <w:t>令文</w:t>
        </w:r>
      </w:hyperlink>
      <w:r>
        <w:rPr>
          <w:rFonts w:ascii="Times New Roman" w:hAnsi="Times New Roman" w:eastAsia="宋体" w:cs="Times New Roman"/>
          <w:b w:val="0"/>
          <w:color w:val="000000"/>
          <w:sz w:val="21"/>
        </w:rPr>
        <w:t>；</w:t>
      </w:r>
      <w:hyperlink r:id="rId15">
        <w:r>
          <w:rPr>
            <w:rFonts w:ascii="Times New Roman" w:hAnsi="Times New Roman" w:eastAsia="宋体" w:cs="Times New Roman"/>
            <w:b w:val="0"/>
            <w:color w:val="234A70"/>
            <w:sz w:val="21"/>
          </w:rPr>
          <w:t>正式目录</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[4] 国家发展改革委，2011：《优化利用外资结构 促进经济发展方式转变——国家发展改革委有关负责人就〈外商投资产业指导目录（2011年修订）〉答记者问》，12月31日。</w:t>
      </w:r>
      <w:hyperlink r:id="rId16">
        <w:r>
          <w:rPr>
            <w:rFonts w:ascii="Times New Roman" w:hAnsi="Times New Roman" w:eastAsia="宋体" w:cs="Times New Roman"/>
            <w:b w:val="0"/>
            <w:color w:val="234A70"/>
            <w:sz w:val="21"/>
          </w:rPr>
          <w:t>官方说明</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[5] Eppinger, P., and H. Ma. 2023. Optimal Ownership and Firm Performance: An Analysis of China’s FDI Liberalization. CESifo Working Paper No. 10551. 产品匹配见第2.2节及附录A.1。</w:t>
      </w:r>
      <w:hyperlink r:id="rId17">
        <w:r>
          <w:rPr>
            <w:rFonts w:ascii="Times New Roman" w:hAnsi="Times New Roman" w:eastAsia="宋体" w:cs="Times New Roman"/>
            <w:b w:val="0"/>
            <w:color w:val="234A70"/>
            <w:sz w:val="21"/>
          </w:rPr>
          <w:t>论文存档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[6] 项目及同期政策依据：2004年《外商投资项目核准暂行管理办法》（国家发展改革委第22号令）；2009年《外国投资者并购境内企业的规定》（商务部第6号令）；2014年《外商投资项目核准和备案管理办法》（国家发展改革委第12号令）；2012年证监会第86号令；2013、2014年上海自贸试验区负面清单；CEPA及窗口内有关补充协议。具体适用按业务和条款核查。</w:t>
      </w:r>
      <w:hyperlink r:id="rId18">
        <w:r>
          <w:rPr>
            <w:rFonts w:ascii="Times New Roman" w:hAnsi="Times New Roman" w:eastAsia="宋体" w:cs="Times New Roman"/>
            <w:b w:val="0"/>
            <w:color w:val="234A70"/>
            <w:sz w:val="21"/>
          </w:rPr>
          <w:t>2004年办法</w:t>
        </w:r>
      </w:hyperlink>
      <w:r>
        <w:rPr>
          <w:rFonts w:ascii="Times New Roman" w:hAnsi="Times New Roman" w:eastAsia="宋体" w:cs="Times New Roman"/>
          <w:b w:val="0"/>
          <w:color w:val="000000"/>
          <w:sz w:val="21"/>
        </w:rPr>
        <w:t>；</w:t>
      </w:r>
      <w:hyperlink r:id="rId19">
        <w:r>
          <w:rPr>
            <w:rFonts w:ascii="Times New Roman" w:hAnsi="Times New Roman" w:eastAsia="宋体" w:cs="Times New Roman"/>
            <w:b w:val="0"/>
            <w:color w:val="234A70"/>
            <w:sz w:val="21"/>
          </w:rPr>
          <w:t>2009年并购规定</w:t>
        </w:r>
      </w:hyperlink>
      <w:r>
        <w:rPr>
          <w:rFonts w:ascii="Times New Roman" w:hAnsi="Times New Roman" w:eastAsia="宋体" w:cs="Times New Roman"/>
          <w:b w:val="0"/>
          <w:color w:val="000000"/>
          <w:sz w:val="21"/>
        </w:rPr>
        <w:t>；</w:t>
      </w:r>
      <w:hyperlink r:id="rId20">
        <w:r>
          <w:rPr>
            <w:rFonts w:ascii="Times New Roman" w:hAnsi="Times New Roman" w:eastAsia="宋体" w:cs="Times New Roman"/>
            <w:b w:val="0"/>
            <w:color w:val="234A70"/>
            <w:sz w:val="21"/>
          </w:rPr>
          <w:t>2014年办法</w:t>
        </w:r>
      </w:hyperlink>
      <w:r>
        <w:rPr>
          <w:rFonts w:ascii="Times New Roman" w:hAnsi="Times New Roman" w:eastAsia="宋体" w:cs="Times New Roman"/>
          <w:b w:val="0"/>
          <w:color w:val="000000"/>
          <w:sz w:val="21"/>
        </w:rPr>
        <w:t>；</w:t>
      </w:r>
      <w:hyperlink r:id="rId21">
        <w:r>
          <w:rPr>
            <w:rFonts w:ascii="Times New Roman" w:hAnsi="Times New Roman" w:eastAsia="宋体" w:cs="Times New Roman"/>
            <w:b w:val="0"/>
            <w:color w:val="234A70"/>
            <w:sz w:val="21"/>
          </w:rPr>
          <w:t>证券专项调整</w:t>
        </w:r>
      </w:hyperlink>
      <w:r>
        <w:rPr>
          <w:rFonts w:ascii="Times New Roman" w:hAnsi="Times New Roman" w:eastAsia="宋体" w:cs="Times New Roman"/>
          <w:b w:val="0"/>
          <w:color w:val="000000"/>
          <w:sz w:val="21"/>
        </w:rPr>
        <w:t>；</w:t>
      </w:r>
      <w:hyperlink r:id="rId22">
        <w:r>
          <w:rPr>
            <w:rFonts w:ascii="Times New Roman" w:hAnsi="Times New Roman" w:eastAsia="宋体" w:cs="Times New Roman"/>
            <w:b w:val="0"/>
            <w:color w:val="234A70"/>
            <w:sz w:val="21"/>
          </w:rPr>
          <w:t>上海2013年清单</w:t>
        </w:r>
      </w:hyperlink>
      <w:r>
        <w:rPr>
          <w:rFonts w:ascii="Times New Roman" w:hAnsi="Times New Roman" w:eastAsia="宋体" w:cs="Times New Roman"/>
          <w:b w:val="0"/>
          <w:color w:val="000000"/>
          <w:sz w:val="21"/>
        </w:rPr>
        <w:t>；</w:t>
      </w:r>
      <w:hyperlink r:id="rId23">
        <w:r>
          <w:rPr>
            <w:rFonts w:ascii="Times New Roman" w:hAnsi="Times New Roman" w:eastAsia="宋体" w:cs="Times New Roman"/>
            <w:b w:val="0"/>
            <w:color w:val="234A70"/>
            <w:sz w:val="21"/>
          </w:rPr>
          <w:t>CEPA文本入口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[7] OECD. Analytical AMNE Database. 本地2019、2023、2024、2026版数据及随附readme。文中分类例子使用2024版readme-aamne.xlsx，Country_Industry表及ReadMe_analyticalAMNE表；最终估计版尚待与模型锁定。</w:t>
      </w:r>
      <w:hyperlink r:id="rId24">
        <w:r>
          <w:rPr>
            <w:rFonts w:ascii="Times New Roman" w:hAnsi="Times New Roman" w:eastAsia="宋体" w:cs="Times New Roman"/>
            <w:b w:val="0"/>
            <w:color w:val="234A70"/>
            <w:sz w:val="21"/>
          </w:rPr>
          <w:t>OECD数据库说明</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[8] 本地2007—2014年度全国税收调查整理DTA、税调基本信息07_20.dta及“税调变量说明07-16”。2007填报说明第1—2页为信息表及行业口径依据。现有年度DTA带有整理者标签，原始报送表到当前字段的完整转换记录尚待取得。行业代码结论限于元数据、配套说明及有限抽查。</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[9] 国家统计局：GB/T 4754—2002、GB/T 4754—2011、GB/T 4754—2017《国民经济行业分类》及2019年第1号修改单；《2017年国民经济行业分类注释》；GB2002—GB2011新旧对照表。GB2017本地PDF第99页、125页为相关附录B案例，第163页、191—192页为相关附录C对应。正文1329与附录C1322的不一致未被本地修改单解决。</w:t>
      </w:r>
      <w:hyperlink r:id="rId25">
        <w:r>
          <w:rPr>
            <w:rFonts w:ascii="Times New Roman" w:hAnsi="Times New Roman" w:eastAsia="宋体" w:cs="Times New Roman"/>
            <w:b w:val="0"/>
            <w:color w:val="234A70"/>
            <w:sz w:val="21"/>
          </w:rPr>
          <w:t>标准及修改单</w:t>
        </w:r>
      </w:hyperlink>
      <w:r>
        <w:rPr>
          <w:rFonts w:ascii="Times New Roman" w:hAnsi="Times New Roman" w:eastAsia="宋体" w:cs="Times New Roman"/>
          <w:b w:val="0"/>
          <w:color w:val="000000"/>
          <w:sz w:val="21"/>
        </w:rPr>
        <w:t>；</w:t>
      </w:r>
      <w:hyperlink r:id="rId26">
        <w:r>
          <w:rPr>
            <w:rFonts w:ascii="Times New Roman" w:hAnsi="Times New Roman" w:eastAsia="宋体" w:cs="Times New Roman"/>
            <w:b w:val="0"/>
            <w:color w:val="234A70"/>
            <w:sz w:val="21"/>
          </w:rPr>
          <w:t>分类注释</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[10] United Nations. 2008. International Standard Industrial Classification of All Economic Activities, Revision 4. Statistical Papers, Series M, No. 4/Rev.4. 本地中文本用于核对行业定义，饲料用鱼粉的分类排除见PDF第103页（印刷第89页）。</w:t>
      </w:r>
      <w:hyperlink r:id="rId27">
        <w:r>
          <w:rPr>
            <w:rFonts w:ascii="Times New Roman" w:hAnsi="Times New Roman" w:eastAsia="宋体" w:cs="Times New Roman"/>
            <w:b w:val="0"/>
            <w:color w:val="234A70"/>
            <w:sz w:val="21"/>
          </w:rPr>
          <w:t>联合国原典</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[11] Santos Silva, J. M. C., and S. Tenreyro. 2006. The Log of Gravity. The Review of Economics and Statistics, 88(4): 641–658. </w:t>
      </w:r>
      <w:hyperlink r:id="rId28">
        <w:r>
          <w:rPr>
            <w:rFonts w:ascii="Times New Roman" w:hAnsi="Times New Roman" w:eastAsia="宋体" w:cs="Times New Roman"/>
            <w:b w:val="0"/>
            <w:color w:val="234A70"/>
            <w:sz w:val="21"/>
          </w:rPr>
          <w:t>作者资料页</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[12] Wooldridge, J. M. 2023. Simple Approaches to Nonlinear Difference-in-Differences with Panel Data. The Econometrics Journal, 26(3): C31–C66. </w:t>
      </w:r>
      <w:hyperlink r:id="rId29">
        <w:r>
          <w:rPr>
            <w:rFonts w:ascii="Times New Roman" w:hAnsi="Times New Roman" w:eastAsia="宋体" w:cs="Times New Roman"/>
            <w:b w:val="0"/>
            <w:color w:val="234A70"/>
            <w:sz w:val="21"/>
          </w:rPr>
          <w:t>期刊原文</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 xml:space="preserve">[13] Correia, S., P. Guimarães, and T. Zylkin. 2020. Fast Poisson Estimation with High-Dimensional Fixed Effects. The Stata Journal, 20(1): 95–115. </w:t>
      </w:r>
      <w:hyperlink r:id="rId30">
        <w:r>
          <w:rPr>
            <w:rFonts w:ascii="Times New Roman" w:hAnsi="Times New Roman" w:eastAsia="宋体" w:cs="Times New Roman"/>
            <w:b w:val="0"/>
            <w:color w:val="234A70"/>
            <w:sz w:val="21"/>
          </w:rPr>
          <w:t>作者软件与方法文档</w:t>
        </w:r>
      </w:hyperlink>
      <w:r>
        <w:rPr>
          <w:rFonts w:ascii="Times New Roman" w:hAnsi="Times New Roman" w:eastAsia="宋体" w:cs="Times New Roman"/>
          <w:b w:val="0"/>
          <w:color w:val="000000"/>
          <w:sz w:val="21"/>
        </w:rPr>
        <w:t>。</w:t>
      </w:r>
    </w:p>
    <w:p>
      <w:pPr>
        <w:keepNext w:val="0"/>
        <w:keepLines w:val="0"/>
        <w:pageBreakBefore w:val="0"/>
        <w:spacing w:line="276" w:lineRule="auto" w:after="140"/>
        <w:ind w:hanging="360" w:left="360"/>
      </w:pPr>
      <w:r>
        <w:rPr>
          <w:rFonts w:ascii="Times New Roman" w:hAnsi="Times New Roman" w:eastAsia="宋体" w:cs="Times New Roman"/>
          <w:b w:val="0"/>
          <w:color w:val="000000"/>
          <w:sz w:val="21"/>
        </w:rPr>
        <w:t>[14] 《中国高水平制度型开放与全球产业链网络重塑》研究稿及《模型完整推导附录》，本地未刊材料。模型符号与成本关系依该研究框架；2014年校准、部门聚合、流量估值及部分方程与程序的一致性仍需核对。本方案不将研究稿中的校准数值作为已核实的2014年参数。</w:t>
      </w:r>
    </w:p>
    <w:sectPr w:rsidR="00FC693F" w:rsidRPr="0006063C" w:rsidSect="00034616">
      <w:headerReference w:type="default" r:id="rId9"/>
      <w:footerReference w:type="default" r:id="rId10"/>
      <w:pgSz w:w="11906" w:h="16838"/>
      <w:pgMar w:top="1219" w:right="1332" w:bottom="1134" w:left="133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pageBreakBefore w:val="0"/>
      <w:spacing w:after="0"/>
      <w:ind w:firstLine="0"/>
    </w:pPr>
    <w:r>
      <w:rPr>
        <w:rFonts w:ascii="Times New Roman" w:hAnsi="Times New Roman" w:eastAsia="宋体" w:cs="Times New Roman"/>
        <w:b w:val="0"/>
        <w:color w:val="666666"/>
        <w:sz w:val="18"/>
      </w:rPr>
      <w:t>企业微观层面 · v3.35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spacing w:line="324" w:lineRule="auto" w:after="80"/>
      <w:ind w:firstLine="480"/>
    </w:pPr>
    <w:rPr>
      <w:rFonts w:ascii="Times New Roman" w:hAnsi="Times New Roman" w:eastAsia="宋体"/>
      <w:sz w:val="24"/>
    </w:rPr>
  </w:style>
  <w:style w:type="paragraph" w:styleId="Header">
    <w:name w:val="header"/>
    <w:basedOn w:val="Normal"/>
    <w:link w:val="HeaderChar"/>
    <w:uiPriority w:val="99"/>
    <w:unhideWhenUsed/>
    <w:rsid w:val="00E618BF"/>
    <w:pPr>
      <w:keepNext w:val="0"/>
      <w:keepLines w:val="0"/>
      <w:pageBreakBefore w:val="0"/>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pageBreakBefore w:val="0"/>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spacing w:before="240" w:after="120" w:line="288" w:lineRule="auto"/>
      <w:ind w:firstLine="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240" w:after="120" w:line="288" w:lineRule="auto"/>
      <w:ind w:firstLine="0"/>
      <w:outlineLvl w:val="1"/>
    </w:pPr>
    <w:rPr>
      <w:rFonts w:asciiTheme="majorHAnsi" w:eastAsiaTheme="majorEastAsia" w:hAnsiTheme="majorHAnsi" w:cstheme="majorBidi" w:ascii="Times New Roman" w:hAnsi="Times New Roman" w:eastAsia="宋体"/>
      <w:b/>
      <w:bCs/>
      <w:i w:val="0"/>
      <w:color w:val="000000"/>
      <w:sz w:val="25"/>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pageBreakBefore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pageBreakBefore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pageBreakBefore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pageBreakBefore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pageBreakBefore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pageBreakBefore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keepNext w:val="0"/>
      <w:keepLines w:val="0"/>
      <w:pageBreakBefore w:val="0"/>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keepNext w:val="0"/>
      <w:keepLines w:val="0"/>
      <w:pageBreakBefore w:val="0"/>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spacing w:after="120" w:line="288" w:lineRule="auto" w:before="0"/>
      <w:ind w:firstLine="0"/>
      <w:contextualSpacing/>
    </w:pPr>
    <w:rPr>
      <w:rFonts w:asciiTheme="majorHAnsi" w:eastAsiaTheme="majorEastAsia" w:hAnsiTheme="majorHAnsi" w:cstheme="majorBidi" w:ascii="Times New Roman" w:hAnsi="Times New Roman" w:eastAsia="黑体"/>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numPr>
        <w:ilvl w:val="1"/>
      </w:numPr>
      <w:spacing w:line="288" w:lineRule="auto" w:before="0" w:after="120"/>
      <w:ind w:firstLine="0"/>
    </w:pPr>
    <w:rPr>
      <w:rFonts w:asciiTheme="majorHAnsi" w:eastAsiaTheme="majorEastAsia" w:hAnsiTheme="majorHAnsi" w:cstheme="majorBidi" w:ascii="Times New Roman" w:hAnsi="Times New Roman" w:eastAsia="宋体"/>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keepLines w:val="0"/>
      <w:pageBreakBefore w:val="0"/>
      <w:ind w:left="720"/>
      <w:contextualSpacing/>
    </w:pPr>
  </w:style>
  <w:style w:type="paragraph" w:styleId="BodyText">
    <w:name w:val="Body Text"/>
    <w:basedOn w:val="Normal"/>
    <w:link w:val="BodyTextChar"/>
    <w:uiPriority w:val="99"/>
    <w:unhideWhenUsed/>
    <w:rsid w:val="00AA1D8D"/>
    <w:pPr>
      <w:keepNext w:val="0"/>
      <w:keepLines w:val="0"/>
      <w:pageBreakBefore w:val="0"/>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keepNext w:val="0"/>
      <w:keepLines w:val="0"/>
      <w:pageBreakBefore w:val="0"/>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keepNext w:val="0"/>
      <w:keepLines w:val="0"/>
      <w:pageBreakBefore w:val="0"/>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pageBreakBefore w:val="0"/>
      <w:ind w:left="360" w:hanging="360"/>
      <w:contextualSpacing/>
    </w:pPr>
  </w:style>
  <w:style w:type="paragraph" w:styleId="List2">
    <w:name w:val="List 2"/>
    <w:basedOn w:val="Normal"/>
    <w:uiPriority w:val="99"/>
    <w:unhideWhenUsed/>
    <w:rsid w:val="00326F90"/>
    <w:pPr>
      <w:keepNext w:val="0"/>
      <w:keepLines w:val="0"/>
      <w:pageBreakBefore w:val="0"/>
      <w:ind w:left="720" w:hanging="360"/>
      <w:contextualSpacing/>
    </w:pPr>
  </w:style>
  <w:style w:type="paragraph" w:styleId="List3">
    <w:name w:val="List 3"/>
    <w:basedOn w:val="Normal"/>
    <w:uiPriority w:val="99"/>
    <w:unhideWhenUsed/>
    <w:rsid w:val="00326F90"/>
    <w:pPr>
      <w:keepNext w:val="0"/>
      <w:keepLines w:val="0"/>
      <w:pageBreakBefore w:val="0"/>
      <w:ind w:left="1080" w:hanging="360"/>
      <w:contextualSpacing/>
    </w:pPr>
  </w:style>
  <w:style w:type="paragraph" w:styleId="ListBullet">
    <w:name w:val="List Bullet"/>
    <w:basedOn w:val="Normal"/>
    <w:uiPriority w:val="99"/>
    <w:unhideWhenUsed/>
    <w:rsid w:val="00326F90"/>
    <w:pPr>
      <w:keepNext w:val="0"/>
      <w:keepLines w:val="0"/>
      <w:pageBreakBefore w:val="0"/>
      <w:numPr>
        <w:numId w:val="1"/>
      </w:numPr>
      <w:contextualSpacing/>
    </w:pPr>
  </w:style>
  <w:style w:type="paragraph" w:styleId="ListBullet2">
    <w:name w:val="List Bullet 2"/>
    <w:basedOn w:val="Normal"/>
    <w:uiPriority w:val="99"/>
    <w:unhideWhenUsed/>
    <w:rsid w:val="00326F90"/>
    <w:pPr>
      <w:keepNext w:val="0"/>
      <w:keepLines w:val="0"/>
      <w:pageBreakBefore w:val="0"/>
      <w:numPr>
        <w:numId w:val="2"/>
      </w:numPr>
      <w:contextualSpacing/>
    </w:pPr>
  </w:style>
  <w:style w:type="paragraph" w:styleId="ListBullet3">
    <w:name w:val="List Bullet 3"/>
    <w:basedOn w:val="Normal"/>
    <w:uiPriority w:val="99"/>
    <w:unhideWhenUsed/>
    <w:rsid w:val="00326F90"/>
    <w:pPr>
      <w:keepNext w:val="0"/>
      <w:keepLines w:val="0"/>
      <w:pageBreakBefore w:val="0"/>
      <w:numPr>
        <w:numId w:val="3"/>
      </w:numPr>
      <w:contextualSpacing/>
    </w:pPr>
  </w:style>
  <w:style w:type="paragraph" w:styleId="ListNumber">
    <w:name w:val="List Number"/>
    <w:basedOn w:val="Normal"/>
    <w:uiPriority w:val="99"/>
    <w:unhideWhenUsed/>
    <w:rsid w:val="00326F90"/>
    <w:pPr>
      <w:keepNext w:val="0"/>
      <w:keepLines w:val="0"/>
      <w:pageBreakBefore w:val="0"/>
      <w:numPr>
        <w:numId w:val="5"/>
      </w:numPr>
      <w:contextualSpacing/>
    </w:pPr>
  </w:style>
  <w:style w:type="paragraph" w:styleId="ListNumber2">
    <w:name w:val="List Number 2"/>
    <w:basedOn w:val="Normal"/>
    <w:uiPriority w:val="99"/>
    <w:unhideWhenUsed/>
    <w:rsid w:val="0029639D"/>
    <w:pPr>
      <w:keepNext w:val="0"/>
      <w:keepLines w:val="0"/>
      <w:pageBreakBefore w:val="0"/>
      <w:numPr>
        <w:numId w:val="6"/>
      </w:numPr>
      <w:contextualSpacing/>
    </w:pPr>
  </w:style>
  <w:style w:type="paragraph" w:styleId="ListNumber3">
    <w:name w:val="List Number 3"/>
    <w:basedOn w:val="Normal"/>
    <w:uiPriority w:val="99"/>
    <w:unhideWhenUsed/>
    <w:rsid w:val="0029639D"/>
    <w:pPr>
      <w:keepNext w:val="0"/>
      <w:keepLines w:val="0"/>
      <w:pageBreakBefore w:val="0"/>
      <w:numPr>
        <w:numId w:val="7"/>
      </w:numPr>
      <w:contextualSpacing/>
    </w:pPr>
  </w:style>
  <w:style w:type="paragraph" w:styleId="ListContinue">
    <w:name w:val="List Continue"/>
    <w:basedOn w:val="Normal"/>
    <w:uiPriority w:val="99"/>
    <w:unhideWhenUsed/>
    <w:rsid w:val="0029639D"/>
    <w:pPr>
      <w:keepNext w:val="0"/>
      <w:keepLines w:val="0"/>
      <w:pageBreakBefore w:val="0"/>
      <w:spacing w:after="120"/>
      <w:ind w:left="360"/>
      <w:contextualSpacing/>
    </w:pPr>
  </w:style>
  <w:style w:type="paragraph" w:styleId="ListContinue2">
    <w:name w:val="List Continue 2"/>
    <w:basedOn w:val="Normal"/>
    <w:uiPriority w:val="99"/>
    <w:unhideWhenUsed/>
    <w:rsid w:val="0029639D"/>
    <w:pPr>
      <w:keepNext w:val="0"/>
      <w:keepLines w:val="0"/>
      <w:pageBreakBefore w:val="0"/>
      <w:spacing w:after="120"/>
      <w:ind w:left="720"/>
      <w:contextualSpacing/>
    </w:pPr>
  </w:style>
  <w:style w:type="paragraph" w:styleId="ListContinue3">
    <w:name w:val="List Continue 3"/>
    <w:basedOn w:val="Normal"/>
    <w:uiPriority w:val="99"/>
    <w:unhideWhenUsed/>
    <w:rsid w:val="0029639D"/>
    <w:pPr>
      <w:keepNext w:val="0"/>
      <w:keepLines w:val="0"/>
      <w:pageBreakBefore w:val="0"/>
      <w:spacing w:after="120"/>
      <w:ind w:left="1080"/>
      <w:contextualSpacing/>
    </w:pPr>
  </w:style>
  <w:style w:type="paragraph" w:styleId="MacroText">
    <w:name w:val="macro"/>
    <w:link w:val="MacroTextChar"/>
    <w:uiPriority w:val="99"/>
    <w:unhideWhenUsed/>
    <w:rsid w:val="0029639D"/>
    <w:pPr>
      <w:keepNext w:val="0"/>
      <w:keepLines w:val="0"/>
      <w:pageBreakBefore w:val="0"/>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keepLines w:val="0"/>
      <w:pageBreakBefore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Next w:val="0"/>
      <w:keepLines w:val="0"/>
      <w:pageBreakBefore w:val="0"/>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val="0"/>
      <w:keepLines w:val="0"/>
      <w:pageBreakBefore w:val="0"/>
      <w:outlineLvl w:val="9"/>
    </w:pPr>
  </w:style>
  <w:style w:type="table" w:styleId="TableGrid">
    <w:name w:val="Table Grid"/>
    <w:basedOn w:val="TableNormal"/>
    <w:uiPriority w:val="59"/>
    <w:rsid w:val="00FC693F"/>
    <w:pPr>
      <w:keepNext w:val="0"/>
      <w:keepLines w:val="0"/>
      <w:pageBreakBefore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keepNext w:val="0"/>
      <w:keepLines w:val="0"/>
      <w:pageBreakBefore w:val="0"/>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keepNext w:val="0"/>
      <w:keepLines w:val="0"/>
      <w:pageBreakBefore w:val="0"/>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keepNext w:val="0"/>
      <w:keepLines w:val="0"/>
      <w:pageBreakBefore w:val="0"/>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keepNext w:val="0"/>
      <w:keepLines w:val="0"/>
      <w:pageBreakBefore w:val="0"/>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keepNext w:val="0"/>
      <w:keepLines w:val="0"/>
      <w:pageBreakBefore w:val="0"/>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keepNext w:val="0"/>
      <w:keepLines w:val="0"/>
      <w:pageBreakBefore w:val="0"/>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keepNext w:val="0"/>
      <w:keepLines w:val="0"/>
      <w:pageBreakBefore w:val="0"/>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keepNext w:val="0"/>
      <w:keepLines w:val="0"/>
      <w:pageBreakBefore w:val="0"/>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keepNext w:val="0"/>
      <w:keepLines w:val="0"/>
      <w:pageBreakBefore w:val="0"/>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keepNext w:val="0"/>
      <w:keepLines w:val="0"/>
      <w:pageBreakBefore w:val="0"/>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keepNext w:val="0"/>
      <w:keepLines w:val="0"/>
      <w:pageBreakBefore w:val="0"/>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keepNext w:val="0"/>
      <w:keepLines w:val="0"/>
      <w:pageBreakBefore w:val="0"/>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keepNext w:val="0"/>
      <w:keepLines w:val="0"/>
      <w:pageBreakBefore w:val="0"/>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keepNext w:val="0"/>
      <w:keepLines w:val="0"/>
      <w:pageBreakBefore w:val="0"/>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keepNext w:val="0"/>
      <w:keepLines w:val="0"/>
      <w:pageBreakBefore w:val="0"/>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keepNext w:val="0"/>
      <w:keepLines w:val="0"/>
      <w:pageBreakBefore w:val="0"/>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keepNext w:val="0"/>
      <w:keepLines w:val="0"/>
      <w:pageBreakBefore w:val="0"/>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keepNext w:val="0"/>
      <w:keepLines w:val="0"/>
      <w:pageBreakBefore w:val="0"/>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keepNext w:val="0"/>
      <w:keepLines w:val="0"/>
      <w:pageBreakBefore w:val="0"/>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keepNext w:val="0"/>
      <w:keepLines w:val="0"/>
      <w:pageBreakBefore w:val="0"/>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val="0"/>
      <w:keepLines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0"/>
      <w:keepLines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0"/>
      <w:keepLines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fcom.gov.cn/zcfb/wgtzgl/art/2007/art_c2780ab6fee34931808471ffabfe98c3.html" TargetMode="External"/><Relationship Id="rId12" Type="http://schemas.openxmlformats.org/officeDocument/2006/relationships/hyperlink" Target="https://www.ndrc.gov.cn/hdjl/yjzq/201104/t20110402_1165882.html" TargetMode="External"/><Relationship Id="rId13" Type="http://schemas.openxmlformats.org/officeDocument/2006/relationships/hyperlink" Target="https://www.ndrc.gov.cn/hdjl/yjzq/201104/W020190927558505775255.pdf" TargetMode="External"/><Relationship Id="rId14" Type="http://schemas.openxmlformats.org/officeDocument/2006/relationships/hyperlink" Target="https://www.ndrc.gov.cn/xxgk/zcfb/fzggwl/201112/t20111229_960737.html" TargetMode="External"/><Relationship Id="rId15" Type="http://schemas.openxmlformats.org/officeDocument/2006/relationships/hyperlink" Target="https://www.ndrc.gov.cn/xxgk/zcfb/fzggwl/201112/W020190905494803398094.pdf" TargetMode="External"/><Relationship Id="rId16" Type="http://schemas.openxmlformats.org/officeDocument/2006/relationships/hyperlink" Target="https://www.ndrc.gov.cn/xxgk/jd/jd/201112/t20111231_1183135.html" TargetMode="External"/><Relationship Id="rId17" Type="http://schemas.openxmlformats.org/officeDocument/2006/relationships/hyperlink" Target="https://hdl.handle.net/10419/279301" TargetMode="External"/><Relationship Id="rId18" Type="http://schemas.openxmlformats.org/officeDocument/2006/relationships/hyperlink" Target="https://new.tzxm.gov.cn/zckd/flfg/201802/t20180208_1262271.shtml" TargetMode="External"/><Relationship Id="rId19" Type="http://schemas.openxmlformats.org/officeDocument/2006/relationships/hyperlink" Target="https://kmtb.mofcom.gov.cn/zcfg/wgtzgl/art/2009/art_58002982f74142a584b0f0ceee629dd4.html" TargetMode="External"/><Relationship Id="rId20" Type="http://schemas.openxmlformats.org/officeDocument/2006/relationships/hyperlink" Target="https://www.ndrc.gov.cn/xxgk/zcfb/fzggwl/201405/t20140520_960779.html" TargetMode="External"/><Relationship Id="rId21" Type="http://schemas.openxmlformats.org/officeDocument/2006/relationships/hyperlink" Target="https://www.gov.cn/gongbao/content/2013/content_2307064.htm" TargetMode="External"/><Relationship Id="rId22" Type="http://schemas.openxmlformats.org/officeDocument/2006/relationships/hyperlink" Target="https://www.shanghai.gov.cn/nw30984/20200820/0001-30984_37036.html" TargetMode="External"/><Relationship Id="rId23" Type="http://schemas.openxmlformats.org/officeDocument/2006/relationships/hyperlink" Target="https://tga.mofcom.gov.cn/ndygagyjlgjmjmgxdapCEPA/index.html" TargetMode="External"/><Relationship Id="rId24" Type="http://schemas.openxmlformats.org/officeDocument/2006/relationships/hyperlink" Target="https://www.oecd.org/en/data/datasets/global-value-chain-data-across-trade-multinationals-and-services.html" TargetMode="External"/><Relationship Id="rId25" Type="http://schemas.openxmlformats.org/officeDocument/2006/relationships/hyperlink" Target="https://www.stats.gov.cn/sj/tjbz/gjtjbz/202302/t20230213_1902779.html" TargetMode="External"/><Relationship Id="rId26" Type="http://schemas.openxmlformats.org/officeDocument/2006/relationships/hyperlink" Target="https://www.stats.gov.cn/sj/tjbz/gmjjhyfl/202302/t20230213_1902780.html" TargetMode="External"/><Relationship Id="rId27" Type="http://schemas.openxmlformats.org/officeDocument/2006/relationships/hyperlink" Target="https://unstats.un.org/unsd/publication/seriesm/seriesm_4rev4e.pdf" TargetMode="External"/><Relationship Id="rId28" Type="http://schemas.openxmlformats.org/officeDocument/2006/relationships/hyperlink" Target="https://personal.lse.ac.uk/tenreyro/LGW.html" TargetMode="External"/><Relationship Id="rId29" Type="http://schemas.openxmlformats.org/officeDocument/2006/relationships/hyperlink" Target="https://doi.org/10.1093/ectj/utad016" TargetMode="External"/><Relationship Id="rId30" Type="http://schemas.openxmlformats.org/officeDocument/2006/relationships/hyperlink" Target="https://scorreia.com/help/ppmlhdf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2011年外资准入放宽的企业效应与部门成本识别</dc:title>
  <dc:subject>2011年外资准入改革研究方案</dc:subject>
  <dc:creator/>
  <cp:keywords>2011; 外资准入; DID; AMNE; 跨国生产</cp:keywords>
  <dc:description>generated by python-docx</dc:description>
  <cp:lastModifiedBy/>
  <cp:revision>1</cp:revision>
  <dcterms:created xsi:type="dcterms:W3CDTF">2013-12-23T23:15:00Z</dcterms:created>
  <dcterms:modified xsi:type="dcterms:W3CDTF">2013-12-23T23:15:00Z</dcterms:modified>
  <cp:category/>
</cp:coreProperties>
</file>