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2281" w14:textId="43D4F87C" w:rsidR="0008270E" w:rsidRDefault="009D533E">
      <w:pPr>
        <w:rPr>
          <w:rFonts w:ascii="宋体" w:eastAsia="宋体" w:hAnsi="宋体"/>
          <w:sz w:val="24"/>
        </w:rPr>
      </w:pPr>
      <w:r>
        <w:rPr>
          <w:rFonts w:ascii="宋体" w:eastAsia="宋体" w:hAnsi="宋体" w:hint="eastAsia"/>
          <w:sz w:val="24"/>
        </w:rPr>
        <w:t>企业是否受到限制的识别</w:t>
      </w:r>
      <w:r w:rsidR="000D0A6B">
        <w:rPr>
          <w:rFonts w:ascii="宋体" w:eastAsia="宋体" w:hAnsi="宋体" w:hint="eastAsia"/>
          <w:sz w:val="24"/>
        </w:rPr>
        <w:t>思路：</w:t>
      </w:r>
    </w:p>
    <w:p w14:paraId="0A33187E" w14:textId="77777777" w:rsidR="000D0A6B" w:rsidRDefault="000D0A6B" w:rsidP="000D0A6B">
      <w:pPr>
        <w:ind w:firstLine="420"/>
        <w:rPr>
          <w:rFonts w:ascii="宋体" w:eastAsia="宋体" w:hAnsi="宋体"/>
          <w:sz w:val="24"/>
        </w:rPr>
      </w:pPr>
      <w:r>
        <w:rPr>
          <w:rFonts w:ascii="宋体" w:eastAsia="宋体" w:hAnsi="宋体" w:hint="eastAsia"/>
          <w:sz w:val="24"/>
        </w:rPr>
        <w:t>首先根据税收调查数据，可得到企业的行业代码，如</w:t>
      </w:r>
      <w:r w:rsidRPr="000D0A6B">
        <w:rPr>
          <w:rFonts w:ascii="宋体" w:eastAsia="宋体" w:hAnsi="宋体"/>
          <w:sz w:val="24"/>
        </w:rPr>
        <w:t>H6361/H6399/O8390</w:t>
      </w:r>
      <w:r>
        <w:rPr>
          <w:rFonts w:ascii="宋体" w:eastAsia="宋体" w:hAnsi="宋体" w:hint="eastAsia"/>
          <w:sz w:val="24"/>
        </w:rPr>
        <w:t>等，其中H和O等是门类，后四位数字是小类。</w:t>
      </w:r>
    </w:p>
    <w:p w14:paraId="4AF5D8F5" w14:textId="596170D9" w:rsidR="000D0A6B" w:rsidRDefault="000D0A6B" w:rsidP="000D0A6B">
      <w:pPr>
        <w:ind w:firstLine="420"/>
        <w:rPr>
          <w:rFonts w:ascii="宋体" w:eastAsia="宋体" w:hAnsi="宋体" w:hint="eastAsia"/>
          <w:sz w:val="24"/>
        </w:rPr>
      </w:pPr>
      <w:r>
        <w:rPr>
          <w:rFonts w:ascii="宋体" w:eastAsia="宋体" w:hAnsi="宋体" w:hint="eastAsia"/>
          <w:sz w:val="24"/>
        </w:rPr>
        <w:t>其次再根据其对应的国民经济行业标准匹配企业所对应的类别名称，如下图以H6361为例。</w:t>
      </w:r>
    </w:p>
    <w:p w14:paraId="59DC65D9" w14:textId="0271920C" w:rsidR="000D0A6B" w:rsidRDefault="000D0A6B">
      <w:pPr>
        <w:rPr>
          <w:rFonts w:ascii="宋体" w:eastAsia="宋体" w:hAnsi="宋体" w:hint="eastAsia"/>
          <w:sz w:val="24"/>
        </w:rPr>
      </w:pPr>
      <w:r w:rsidRPr="000D0A6B">
        <w:rPr>
          <w:rFonts w:ascii="宋体" w:eastAsia="宋体" w:hAnsi="宋体"/>
          <w:sz w:val="24"/>
        </w:rPr>
        <w:drawing>
          <wp:inline distT="0" distB="0" distL="0" distR="0" wp14:anchorId="59FC8929" wp14:editId="0FC08C4B">
            <wp:extent cx="5274310" cy="3782695"/>
            <wp:effectExtent l="0" t="0" r="2540" b="8255"/>
            <wp:docPr id="292216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6644" name=""/>
                    <pic:cNvPicPr/>
                  </pic:nvPicPr>
                  <pic:blipFill>
                    <a:blip r:embed="rId4"/>
                    <a:stretch>
                      <a:fillRect/>
                    </a:stretch>
                  </pic:blipFill>
                  <pic:spPr>
                    <a:xfrm>
                      <a:off x="0" y="0"/>
                      <a:ext cx="5274310" cy="3782695"/>
                    </a:xfrm>
                    <a:prstGeom prst="rect">
                      <a:avLst/>
                    </a:prstGeom>
                  </pic:spPr>
                </pic:pic>
              </a:graphicData>
            </a:graphic>
          </wp:inline>
        </w:drawing>
      </w:r>
    </w:p>
    <w:p w14:paraId="242B642A" w14:textId="3613549C" w:rsidR="00DA2F65" w:rsidRDefault="000D0A6B" w:rsidP="000D0A6B">
      <w:pPr>
        <w:ind w:firstLine="420"/>
        <w:rPr>
          <w:rFonts w:ascii="宋体" w:eastAsia="宋体" w:hAnsi="宋体" w:hint="eastAsia"/>
          <w:sz w:val="24"/>
        </w:rPr>
      </w:pPr>
      <w:r>
        <w:rPr>
          <w:rFonts w:ascii="宋体" w:eastAsia="宋体" w:hAnsi="宋体" w:hint="eastAsia"/>
          <w:sz w:val="24"/>
        </w:rPr>
        <w:t>接着使用大语言模型llm分析判断企业对应的类别名称</w:t>
      </w:r>
      <w:r w:rsidR="00737143">
        <w:rPr>
          <w:rFonts w:ascii="宋体" w:eastAsia="宋体" w:hAnsi="宋体" w:hint="eastAsia"/>
          <w:sz w:val="24"/>
        </w:rPr>
        <w:t>是否有和负面清单中的条款匹配上，若匹配上则认为企业受到条款限制</w:t>
      </w:r>
      <w:r w:rsidR="00A279BE">
        <w:rPr>
          <w:rFonts w:ascii="宋体" w:eastAsia="宋体" w:hAnsi="宋体" w:hint="eastAsia"/>
          <w:sz w:val="24"/>
        </w:rPr>
        <w:t>；若没有则认为企业未受到条款限制。</w:t>
      </w:r>
    </w:p>
    <w:p w14:paraId="51CD783F" w14:textId="77777777" w:rsidR="00DA2F65" w:rsidRDefault="00DA2F65">
      <w:pPr>
        <w:rPr>
          <w:rFonts w:ascii="宋体" w:eastAsia="宋体" w:hAnsi="宋体"/>
          <w:sz w:val="24"/>
        </w:rPr>
      </w:pPr>
    </w:p>
    <w:p w14:paraId="372B5418" w14:textId="67B0C901" w:rsidR="00DA2F65" w:rsidRDefault="00D801AB">
      <w:pPr>
        <w:rPr>
          <w:rFonts w:ascii="宋体" w:eastAsia="宋体" w:hAnsi="宋体" w:hint="eastAsia"/>
          <w:sz w:val="24"/>
        </w:rPr>
      </w:pPr>
      <w:r>
        <w:rPr>
          <w:rFonts w:ascii="宋体" w:eastAsia="宋体" w:hAnsi="宋体" w:hint="eastAsia"/>
          <w:sz w:val="24"/>
        </w:rPr>
        <w:t>实证思路：</w:t>
      </w:r>
    </w:p>
    <w:p w14:paraId="59AF0D87" w14:textId="77777777" w:rsidR="00DA2F65" w:rsidRDefault="00DA2F65">
      <w:pPr>
        <w:rPr>
          <w:rFonts w:ascii="宋体" w:eastAsia="宋体" w:hAnsi="宋体"/>
          <w:sz w:val="24"/>
        </w:rPr>
      </w:pPr>
    </w:p>
    <w:p w14:paraId="3A5D3B74" w14:textId="0ACEEB21" w:rsidR="00DA2F65" w:rsidRDefault="00D801AB">
      <w:pPr>
        <w:rPr>
          <w:rFonts w:ascii="宋体" w:eastAsia="宋体" w:hAnsi="宋体"/>
          <w:sz w:val="24"/>
        </w:rPr>
      </w:pPr>
      <w:r>
        <w:rPr>
          <w:rFonts w:ascii="宋体" w:eastAsia="宋体" w:hAnsi="宋体" w:hint="eastAsia"/>
          <w:sz w:val="24"/>
        </w:rPr>
        <w:t>企业确定OECD-AMNE行业部门的思路：</w:t>
      </w:r>
    </w:p>
    <w:p w14:paraId="36F77C6D" w14:textId="77777777" w:rsidR="00EF38C3" w:rsidRDefault="00EF38C3" w:rsidP="00D801AB">
      <w:pPr>
        <w:ind w:firstLine="420"/>
        <w:rPr>
          <w:rFonts w:ascii="宋体" w:eastAsia="宋体" w:hAnsi="宋体"/>
          <w:sz w:val="24"/>
        </w:rPr>
      </w:pPr>
      <w:r>
        <w:rPr>
          <w:rFonts w:ascii="宋体" w:eastAsia="宋体" w:hAnsi="宋体" w:hint="eastAsia"/>
          <w:sz w:val="24"/>
        </w:rPr>
        <w:t>首先</w:t>
      </w:r>
      <w:r w:rsidR="00D801AB">
        <w:rPr>
          <w:rFonts w:ascii="宋体" w:eastAsia="宋体" w:hAnsi="宋体" w:hint="eastAsia"/>
          <w:sz w:val="24"/>
        </w:rPr>
        <w:t>在企业是否受到限制的识别思路中我们能够识别企业当时所属的国民经济行业标准中的分类（如</w:t>
      </w:r>
      <w:r w:rsidR="00D801AB" w:rsidRPr="00D801AB">
        <w:rPr>
          <w:rFonts w:ascii="宋体" w:eastAsia="宋体" w:hAnsi="宋体"/>
          <w:sz w:val="24"/>
        </w:rPr>
        <w:t>GBT 4754—2002</w:t>
      </w:r>
      <w:r w:rsidR="00D801AB">
        <w:rPr>
          <w:rFonts w:ascii="宋体" w:eastAsia="宋体" w:hAnsi="宋体" w:hint="eastAsia"/>
          <w:sz w:val="24"/>
        </w:rPr>
        <w:t>和</w:t>
      </w:r>
      <w:r w:rsidR="00D801AB" w:rsidRPr="00D801AB">
        <w:rPr>
          <w:rFonts w:ascii="宋体" w:eastAsia="宋体" w:hAnsi="宋体"/>
          <w:sz w:val="24"/>
        </w:rPr>
        <w:t>GBT 4754—2011</w:t>
      </w:r>
      <w:r w:rsidR="00D801AB">
        <w:rPr>
          <w:rFonts w:ascii="宋体" w:eastAsia="宋体" w:hAnsi="宋体" w:hint="eastAsia"/>
          <w:sz w:val="24"/>
        </w:rPr>
        <w:t>）。</w:t>
      </w:r>
    </w:p>
    <w:p w14:paraId="6CDB0AB7" w14:textId="4AF1BD49" w:rsidR="00984181" w:rsidRDefault="00EF38C3" w:rsidP="00D801AB">
      <w:pPr>
        <w:ind w:firstLine="420"/>
        <w:rPr>
          <w:rFonts w:ascii="宋体" w:eastAsia="宋体" w:hAnsi="宋体" w:hint="eastAsia"/>
          <w:sz w:val="24"/>
        </w:rPr>
      </w:pPr>
      <w:r>
        <w:rPr>
          <w:rFonts w:ascii="宋体" w:eastAsia="宋体" w:hAnsi="宋体" w:hint="eastAsia"/>
          <w:sz w:val="24"/>
        </w:rPr>
        <w:t>其次</w:t>
      </w:r>
      <w:r w:rsidR="00984181">
        <w:rPr>
          <w:rFonts w:ascii="宋体" w:eastAsia="宋体" w:hAnsi="宋体" w:hint="eastAsia"/>
          <w:sz w:val="24"/>
        </w:rPr>
        <w:t>需要结合</w:t>
      </w:r>
      <w:r w:rsidR="00984181" w:rsidRPr="00984181">
        <w:rPr>
          <w:rFonts w:ascii="宋体" w:eastAsia="宋体" w:hAnsi="宋体"/>
          <w:sz w:val="24"/>
        </w:rPr>
        <w:t>GBT 4754—2002和GBT 4754—2011对照表</w:t>
      </w:r>
      <w:r w:rsidR="00984181">
        <w:rPr>
          <w:rFonts w:ascii="宋体" w:eastAsia="宋体" w:hAnsi="宋体" w:hint="eastAsia"/>
          <w:sz w:val="24"/>
        </w:rPr>
        <w:t>匹配上</w:t>
      </w:r>
      <w:r w:rsidR="00984181" w:rsidRPr="00D801AB">
        <w:rPr>
          <w:rFonts w:ascii="宋体" w:eastAsia="宋体" w:hAnsi="宋体"/>
          <w:sz w:val="24"/>
        </w:rPr>
        <w:t>GBT 4754—2002</w:t>
      </w:r>
      <w:r w:rsidR="00984181">
        <w:rPr>
          <w:rFonts w:ascii="宋体" w:eastAsia="宋体" w:hAnsi="宋体" w:hint="eastAsia"/>
          <w:sz w:val="24"/>
        </w:rPr>
        <w:t>和</w:t>
      </w:r>
      <w:r w:rsidR="00984181" w:rsidRPr="00D801AB">
        <w:rPr>
          <w:rFonts w:ascii="宋体" w:eastAsia="宋体" w:hAnsi="宋体"/>
          <w:sz w:val="24"/>
        </w:rPr>
        <w:t>GBT 4754—2011</w:t>
      </w:r>
      <w:r w:rsidR="00984181">
        <w:rPr>
          <w:rFonts w:ascii="宋体" w:eastAsia="宋体" w:hAnsi="宋体" w:hint="eastAsia"/>
          <w:sz w:val="24"/>
        </w:rPr>
        <w:t>的分类变化，再通过</w:t>
      </w:r>
      <w:r w:rsidR="00984181" w:rsidRPr="00984181">
        <w:rPr>
          <w:rFonts w:ascii="宋体" w:eastAsia="宋体" w:hAnsi="宋体"/>
          <w:sz w:val="24"/>
        </w:rPr>
        <w:t>GBT 4754—2017</w:t>
      </w:r>
      <w:r w:rsidR="00984181">
        <w:rPr>
          <w:rFonts w:ascii="宋体" w:eastAsia="宋体" w:hAnsi="宋体" w:hint="eastAsia"/>
          <w:sz w:val="24"/>
        </w:rPr>
        <w:t>的</w:t>
      </w:r>
      <w:r w:rsidR="00984181" w:rsidRPr="00984181">
        <w:rPr>
          <w:rFonts w:ascii="宋体" w:eastAsia="宋体" w:hAnsi="宋体"/>
          <w:sz w:val="24"/>
        </w:rPr>
        <w:t>附录B</w:t>
      </w:r>
      <w:r w:rsidR="00984181">
        <w:rPr>
          <w:rFonts w:ascii="宋体" w:eastAsia="宋体" w:hAnsi="宋体" w:hint="eastAsia"/>
          <w:sz w:val="24"/>
        </w:rPr>
        <w:lastRenderedPageBreak/>
        <w:t>匹配上</w:t>
      </w:r>
      <w:r w:rsidR="00984181" w:rsidRPr="00D801AB">
        <w:rPr>
          <w:rFonts w:ascii="宋体" w:eastAsia="宋体" w:hAnsi="宋体"/>
          <w:sz w:val="24"/>
        </w:rPr>
        <w:t>GBT 4754—20</w:t>
      </w:r>
      <w:r w:rsidR="00984181">
        <w:rPr>
          <w:rFonts w:ascii="宋体" w:eastAsia="宋体" w:hAnsi="宋体" w:hint="eastAsia"/>
          <w:sz w:val="24"/>
        </w:rPr>
        <w:t>11</w:t>
      </w:r>
      <w:r w:rsidR="00984181">
        <w:rPr>
          <w:rFonts w:ascii="宋体" w:eastAsia="宋体" w:hAnsi="宋体" w:hint="eastAsia"/>
          <w:sz w:val="24"/>
        </w:rPr>
        <w:t>和</w:t>
      </w:r>
      <w:r w:rsidR="00984181" w:rsidRPr="00D801AB">
        <w:rPr>
          <w:rFonts w:ascii="宋体" w:eastAsia="宋体" w:hAnsi="宋体"/>
          <w:sz w:val="24"/>
        </w:rPr>
        <w:t>GBT 4754—201</w:t>
      </w:r>
      <w:r w:rsidR="00984181">
        <w:rPr>
          <w:rFonts w:ascii="宋体" w:eastAsia="宋体" w:hAnsi="宋体" w:hint="eastAsia"/>
          <w:sz w:val="24"/>
        </w:rPr>
        <w:t>7的分类变化。从而构建出（</w:t>
      </w:r>
      <w:r w:rsidR="00984181" w:rsidRPr="00D801AB">
        <w:rPr>
          <w:rFonts w:ascii="宋体" w:eastAsia="宋体" w:hAnsi="宋体"/>
          <w:sz w:val="24"/>
        </w:rPr>
        <w:t>GBT 4754—2002</w:t>
      </w:r>
      <w:r w:rsidR="00984181">
        <w:rPr>
          <w:rFonts w:ascii="宋体" w:eastAsia="宋体" w:hAnsi="宋体" w:hint="eastAsia"/>
          <w:sz w:val="24"/>
        </w:rPr>
        <w:t>）-（</w:t>
      </w:r>
      <w:r w:rsidR="00984181" w:rsidRPr="00D801AB">
        <w:rPr>
          <w:rFonts w:ascii="宋体" w:eastAsia="宋体" w:hAnsi="宋体"/>
          <w:sz w:val="24"/>
        </w:rPr>
        <w:t>GBT</w:t>
      </w:r>
      <w:r w:rsidR="00984181">
        <w:rPr>
          <w:rFonts w:ascii="宋体" w:eastAsia="宋体" w:hAnsi="宋体" w:hint="eastAsia"/>
          <w:sz w:val="24"/>
        </w:rPr>
        <w:t>-</w:t>
      </w:r>
      <w:r w:rsidR="00984181" w:rsidRPr="00D801AB">
        <w:rPr>
          <w:rFonts w:ascii="宋体" w:eastAsia="宋体" w:hAnsi="宋体"/>
          <w:sz w:val="24"/>
        </w:rPr>
        <w:t>4754—2011</w:t>
      </w:r>
      <w:r w:rsidR="00984181">
        <w:rPr>
          <w:rFonts w:ascii="宋体" w:eastAsia="宋体" w:hAnsi="宋体" w:hint="eastAsia"/>
          <w:sz w:val="24"/>
        </w:rPr>
        <w:t>）-（</w:t>
      </w:r>
      <w:r w:rsidR="00984181" w:rsidRPr="00D801AB">
        <w:rPr>
          <w:rFonts w:ascii="宋体" w:eastAsia="宋体" w:hAnsi="宋体"/>
          <w:sz w:val="24"/>
        </w:rPr>
        <w:t>GBT 4754—20</w:t>
      </w:r>
      <w:r w:rsidR="00984181">
        <w:rPr>
          <w:rFonts w:ascii="宋体" w:eastAsia="宋体" w:hAnsi="宋体" w:hint="eastAsia"/>
          <w:sz w:val="24"/>
        </w:rPr>
        <w:t>17）的国民经济行业标准的新旧类目对照表。</w:t>
      </w:r>
    </w:p>
    <w:p w14:paraId="19B489EF" w14:textId="4578AF13" w:rsidR="00984181" w:rsidRDefault="00EF38C3" w:rsidP="00D801AB">
      <w:pPr>
        <w:ind w:firstLine="420"/>
        <w:rPr>
          <w:rFonts w:ascii="宋体" w:eastAsia="宋体" w:hAnsi="宋体"/>
          <w:sz w:val="24"/>
        </w:rPr>
      </w:pPr>
      <w:r>
        <w:rPr>
          <w:rFonts w:ascii="宋体" w:eastAsia="宋体" w:hAnsi="宋体" w:hint="eastAsia"/>
          <w:sz w:val="24"/>
        </w:rPr>
        <w:t>接着通过</w:t>
      </w:r>
      <w:r w:rsidRPr="00D801AB">
        <w:rPr>
          <w:rFonts w:ascii="宋体" w:eastAsia="宋体" w:hAnsi="宋体"/>
          <w:sz w:val="24"/>
        </w:rPr>
        <w:t>GBT 4754—20</w:t>
      </w:r>
      <w:r>
        <w:rPr>
          <w:rFonts w:ascii="宋体" w:eastAsia="宋体" w:hAnsi="宋体" w:hint="eastAsia"/>
          <w:sz w:val="24"/>
        </w:rPr>
        <w:t>17</w:t>
      </w:r>
      <w:r>
        <w:rPr>
          <w:rFonts w:ascii="宋体" w:eastAsia="宋体" w:hAnsi="宋体" w:hint="eastAsia"/>
          <w:sz w:val="24"/>
        </w:rPr>
        <w:t>的附录C映射到</w:t>
      </w:r>
      <w:r w:rsidRPr="00EF38C3">
        <w:rPr>
          <w:rFonts w:ascii="宋体" w:eastAsia="宋体" w:hAnsi="宋体"/>
          <w:sz w:val="24"/>
        </w:rPr>
        <w:t>ISIC_Rev.4</w:t>
      </w:r>
      <w:r>
        <w:rPr>
          <w:rFonts w:ascii="宋体" w:eastAsia="宋体" w:hAnsi="宋体" w:hint="eastAsia"/>
          <w:sz w:val="24"/>
        </w:rPr>
        <w:t>。</w:t>
      </w:r>
    </w:p>
    <w:p w14:paraId="571E6A58" w14:textId="243EEAD4" w:rsidR="00EF38C3" w:rsidRDefault="00EF38C3" w:rsidP="00D801AB">
      <w:pPr>
        <w:ind w:firstLine="420"/>
        <w:rPr>
          <w:rFonts w:ascii="宋体" w:eastAsia="宋体" w:hAnsi="宋体" w:hint="eastAsia"/>
          <w:sz w:val="24"/>
        </w:rPr>
      </w:pPr>
      <w:r>
        <w:rPr>
          <w:rFonts w:ascii="宋体" w:eastAsia="宋体" w:hAnsi="宋体" w:hint="eastAsia"/>
          <w:sz w:val="24"/>
        </w:rPr>
        <w:t>最后结合OECD-AMNE的行业部门包含的</w:t>
      </w:r>
      <w:r w:rsidRPr="00EF38C3">
        <w:rPr>
          <w:rFonts w:ascii="宋体" w:eastAsia="宋体" w:hAnsi="宋体"/>
          <w:sz w:val="24"/>
        </w:rPr>
        <w:t>ISIC_Rev.4</w:t>
      </w:r>
      <w:r>
        <w:rPr>
          <w:rFonts w:ascii="宋体" w:eastAsia="宋体" w:hAnsi="宋体" w:hint="eastAsia"/>
          <w:sz w:val="24"/>
        </w:rPr>
        <w:t>大类行业部门信息，就可以建立</w:t>
      </w:r>
      <w:r>
        <w:rPr>
          <w:rFonts w:ascii="宋体" w:eastAsia="宋体" w:hAnsi="宋体" w:hint="eastAsia"/>
          <w:sz w:val="24"/>
        </w:rPr>
        <w:t>（</w:t>
      </w:r>
      <w:r w:rsidRPr="00D801AB">
        <w:rPr>
          <w:rFonts w:ascii="宋体" w:eastAsia="宋体" w:hAnsi="宋体"/>
          <w:sz w:val="24"/>
        </w:rPr>
        <w:t>GBT 4754—2002</w:t>
      </w:r>
      <w:r>
        <w:rPr>
          <w:rFonts w:ascii="宋体" w:eastAsia="宋体" w:hAnsi="宋体" w:hint="eastAsia"/>
          <w:sz w:val="24"/>
        </w:rPr>
        <w:t>）-（</w:t>
      </w:r>
      <w:r w:rsidRPr="00D801AB">
        <w:rPr>
          <w:rFonts w:ascii="宋体" w:eastAsia="宋体" w:hAnsi="宋体"/>
          <w:sz w:val="24"/>
        </w:rPr>
        <w:t>GBT</w:t>
      </w:r>
      <w:r>
        <w:rPr>
          <w:rFonts w:ascii="宋体" w:eastAsia="宋体" w:hAnsi="宋体" w:hint="eastAsia"/>
          <w:sz w:val="24"/>
        </w:rPr>
        <w:t>-</w:t>
      </w:r>
      <w:r w:rsidRPr="00D801AB">
        <w:rPr>
          <w:rFonts w:ascii="宋体" w:eastAsia="宋体" w:hAnsi="宋体"/>
          <w:sz w:val="24"/>
        </w:rPr>
        <w:t>4754—2011</w:t>
      </w:r>
      <w:r>
        <w:rPr>
          <w:rFonts w:ascii="宋体" w:eastAsia="宋体" w:hAnsi="宋体" w:hint="eastAsia"/>
          <w:sz w:val="24"/>
        </w:rPr>
        <w:t>）-（</w:t>
      </w:r>
      <w:r w:rsidRPr="00D801AB">
        <w:rPr>
          <w:rFonts w:ascii="宋体" w:eastAsia="宋体" w:hAnsi="宋体"/>
          <w:sz w:val="24"/>
        </w:rPr>
        <w:t>GBT 4754—20</w:t>
      </w:r>
      <w:r>
        <w:rPr>
          <w:rFonts w:ascii="宋体" w:eastAsia="宋体" w:hAnsi="宋体" w:hint="eastAsia"/>
          <w:sz w:val="24"/>
        </w:rPr>
        <w:t>17）</w:t>
      </w:r>
      <w:r>
        <w:rPr>
          <w:rFonts w:ascii="宋体" w:eastAsia="宋体" w:hAnsi="宋体" w:hint="eastAsia"/>
          <w:sz w:val="24"/>
        </w:rPr>
        <w:t>-</w:t>
      </w:r>
      <w:r w:rsidRPr="00EF38C3">
        <w:rPr>
          <w:rFonts w:ascii="宋体" w:eastAsia="宋体" w:hAnsi="宋体"/>
          <w:sz w:val="24"/>
        </w:rPr>
        <w:t xml:space="preserve"> </w:t>
      </w:r>
      <w:r w:rsidRPr="00EF38C3">
        <w:rPr>
          <w:rFonts w:ascii="宋体" w:eastAsia="宋体" w:hAnsi="宋体"/>
          <w:sz w:val="24"/>
        </w:rPr>
        <w:t>ISIC_Rev.4</w:t>
      </w:r>
      <w:r>
        <w:rPr>
          <w:rFonts w:ascii="宋体" w:eastAsia="宋体" w:hAnsi="宋体" w:hint="eastAsia"/>
          <w:sz w:val="24"/>
        </w:rPr>
        <w:t>-</w:t>
      </w:r>
      <w:r>
        <w:rPr>
          <w:rFonts w:ascii="宋体" w:eastAsia="宋体" w:hAnsi="宋体" w:hint="eastAsia"/>
          <w:sz w:val="24"/>
        </w:rPr>
        <w:t>OECD-AMNE</w:t>
      </w:r>
      <w:r>
        <w:rPr>
          <w:rFonts w:ascii="宋体" w:eastAsia="宋体" w:hAnsi="宋体" w:hint="eastAsia"/>
          <w:sz w:val="24"/>
        </w:rPr>
        <w:t>这样一条企业所属OECD-AMNE行业部门的识别路径了。</w:t>
      </w:r>
    </w:p>
    <w:p w14:paraId="1E4215E7" w14:textId="77777777" w:rsidR="00DA2F65" w:rsidRDefault="00DA2F65">
      <w:pPr>
        <w:rPr>
          <w:rFonts w:ascii="宋体" w:eastAsia="宋体" w:hAnsi="宋体"/>
          <w:sz w:val="24"/>
        </w:rPr>
      </w:pPr>
    </w:p>
    <w:p w14:paraId="38BB7298" w14:textId="2D6DA3F7" w:rsidR="00DA2F65" w:rsidRDefault="00083B6B">
      <w:pPr>
        <w:rPr>
          <w:rFonts w:ascii="宋体" w:eastAsia="宋体" w:hAnsi="宋体"/>
          <w:sz w:val="24"/>
        </w:rPr>
      </w:pPr>
      <w:r>
        <w:rPr>
          <w:rFonts w:ascii="宋体" w:eastAsia="宋体" w:hAnsi="宋体" w:hint="eastAsia"/>
          <w:sz w:val="24"/>
        </w:rPr>
        <w:t>反演思路：</w:t>
      </w:r>
    </w:p>
    <w:p w14:paraId="3E766206" w14:textId="77777777" w:rsidR="00DA2F65" w:rsidRDefault="00DA2F65">
      <w:pPr>
        <w:rPr>
          <w:rFonts w:ascii="宋体" w:eastAsia="宋体" w:hAnsi="宋体"/>
          <w:sz w:val="24"/>
        </w:rPr>
      </w:pPr>
    </w:p>
    <w:p w14:paraId="0A745100" w14:textId="77777777" w:rsidR="00DA2F65" w:rsidRDefault="00DA2F65">
      <w:pPr>
        <w:rPr>
          <w:rFonts w:ascii="宋体" w:eastAsia="宋体" w:hAnsi="宋体"/>
          <w:sz w:val="24"/>
        </w:rPr>
      </w:pPr>
    </w:p>
    <w:p w14:paraId="5349B2B1" w14:textId="77777777" w:rsidR="00DA2F65" w:rsidRDefault="00DA2F65">
      <w:pPr>
        <w:rPr>
          <w:rFonts w:ascii="宋体" w:eastAsia="宋体" w:hAnsi="宋体"/>
          <w:sz w:val="24"/>
        </w:rPr>
      </w:pPr>
    </w:p>
    <w:p w14:paraId="6ECF5741" w14:textId="77777777" w:rsidR="00DA2F65" w:rsidRDefault="00DA2F65">
      <w:pPr>
        <w:rPr>
          <w:rFonts w:ascii="宋体" w:eastAsia="宋体" w:hAnsi="宋体"/>
          <w:sz w:val="24"/>
        </w:rPr>
      </w:pPr>
    </w:p>
    <w:p w14:paraId="4AB7B2D2" w14:textId="77777777" w:rsidR="00DA2F65" w:rsidRDefault="00DA2F65">
      <w:pPr>
        <w:rPr>
          <w:rFonts w:ascii="宋体" w:eastAsia="宋体" w:hAnsi="宋体"/>
          <w:sz w:val="24"/>
        </w:rPr>
      </w:pPr>
    </w:p>
    <w:p w14:paraId="242A791A" w14:textId="77777777" w:rsidR="00DA2F65" w:rsidRDefault="00DA2F65">
      <w:pPr>
        <w:rPr>
          <w:rFonts w:ascii="宋体" w:eastAsia="宋体" w:hAnsi="宋体"/>
          <w:sz w:val="24"/>
        </w:rPr>
      </w:pPr>
    </w:p>
    <w:p w14:paraId="733B1171" w14:textId="77777777" w:rsidR="00DA2F65" w:rsidRDefault="00DA2F65">
      <w:pPr>
        <w:rPr>
          <w:rFonts w:ascii="宋体" w:eastAsia="宋体" w:hAnsi="宋体"/>
          <w:sz w:val="24"/>
        </w:rPr>
      </w:pPr>
    </w:p>
    <w:p w14:paraId="26898789" w14:textId="77777777" w:rsidR="00DA2F65" w:rsidRDefault="00DA2F65">
      <w:pPr>
        <w:rPr>
          <w:rFonts w:ascii="宋体" w:eastAsia="宋体" w:hAnsi="宋体"/>
          <w:sz w:val="24"/>
        </w:rPr>
      </w:pPr>
    </w:p>
    <w:p w14:paraId="6E368F81" w14:textId="77777777" w:rsidR="00DA2F65" w:rsidRDefault="00DA2F65">
      <w:pPr>
        <w:rPr>
          <w:rFonts w:ascii="宋体" w:eastAsia="宋体" w:hAnsi="宋体"/>
          <w:sz w:val="24"/>
        </w:rPr>
      </w:pPr>
    </w:p>
    <w:p w14:paraId="439368D2" w14:textId="77777777" w:rsidR="00DA2F65" w:rsidRDefault="00DA2F65">
      <w:pPr>
        <w:rPr>
          <w:rFonts w:ascii="宋体" w:eastAsia="宋体" w:hAnsi="宋体"/>
          <w:sz w:val="24"/>
        </w:rPr>
      </w:pPr>
    </w:p>
    <w:p w14:paraId="0B7FB746" w14:textId="77777777" w:rsidR="00DA2F65" w:rsidRDefault="00DA2F65">
      <w:pPr>
        <w:rPr>
          <w:rFonts w:ascii="宋体" w:eastAsia="宋体" w:hAnsi="宋体"/>
          <w:sz w:val="24"/>
        </w:rPr>
      </w:pPr>
    </w:p>
    <w:p w14:paraId="3CA525E5" w14:textId="77777777" w:rsidR="00DA2F65" w:rsidRDefault="00DA2F65">
      <w:pPr>
        <w:rPr>
          <w:rFonts w:ascii="宋体" w:eastAsia="宋体" w:hAnsi="宋体"/>
          <w:sz w:val="24"/>
        </w:rPr>
      </w:pPr>
    </w:p>
    <w:p w14:paraId="20E6CC92" w14:textId="77777777" w:rsidR="00DA2F65" w:rsidRDefault="00DA2F65">
      <w:pPr>
        <w:rPr>
          <w:rFonts w:ascii="宋体" w:eastAsia="宋体" w:hAnsi="宋体"/>
          <w:sz w:val="24"/>
        </w:rPr>
      </w:pPr>
    </w:p>
    <w:p w14:paraId="0A433E0C" w14:textId="77777777" w:rsidR="00DA2F65" w:rsidRDefault="00DA2F65">
      <w:pPr>
        <w:rPr>
          <w:rFonts w:ascii="宋体" w:eastAsia="宋体" w:hAnsi="宋体"/>
          <w:sz w:val="24"/>
        </w:rPr>
      </w:pPr>
    </w:p>
    <w:p w14:paraId="0AA36284" w14:textId="77777777" w:rsidR="00DA2F65" w:rsidRDefault="00DA2F65">
      <w:pPr>
        <w:rPr>
          <w:rFonts w:ascii="宋体" w:eastAsia="宋体" w:hAnsi="宋体"/>
          <w:sz w:val="24"/>
        </w:rPr>
      </w:pPr>
    </w:p>
    <w:p w14:paraId="5E1062AD" w14:textId="77777777" w:rsidR="00DA2F65" w:rsidRDefault="00DA2F65">
      <w:pPr>
        <w:rPr>
          <w:rFonts w:ascii="宋体" w:eastAsia="宋体" w:hAnsi="宋体"/>
          <w:sz w:val="24"/>
        </w:rPr>
      </w:pPr>
    </w:p>
    <w:p w14:paraId="4E840752" w14:textId="77777777" w:rsidR="00DA2F65" w:rsidRDefault="00DA2F65">
      <w:pPr>
        <w:rPr>
          <w:rFonts w:ascii="宋体" w:eastAsia="宋体" w:hAnsi="宋体"/>
          <w:sz w:val="24"/>
        </w:rPr>
      </w:pPr>
    </w:p>
    <w:p w14:paraId="05811159" w14:textId="77777777" w:rsidR="00DA2F65" w:rsidRDefault="00DA2F65">
      <w:pPr>
        <w:rPr>
          <w:rFonts w:ascii="宋体" w:eastAsia="宋体" w:hAnsi="宋体"/>
          <w:sz w:val="24"/>
        </w:rPr>
      </w:pPr>
    </w:p>
    <w:p w14:paraId="19A42E5A" w14:textId="77777777" w:rsidR="00DA2F65" w:rsidRDefault="00DA2F65">
      <w:pPr>
        <w:rPr>
          <w:rFonts w:ascii="宋体" w:eastAsia="宋体" w:hAnsi="宋体"/>
          <w:sz w:val="24"/>
        </w:rPr>
      </w:pPr>
    </w:p>
    <w:p w14:paraId="01724DB4" w14:textId="77777777" w:rsidR="00DA2F65" w:rsidRPr="00DA2F65" w:rsidRDefault="00DA2F65">
      <w:pPr>
        <w:rPr>
          <w:rFonts w:ascii="宋体" w:eastAsia="宋体" w:hAnsi="宋体" w:hint="eastAsia"/>
          <w:sz w:val="24"/>
        </w:rPr>
      </w:pPr>
    </w:p>
    <w:sectPr w:rsidR="00DA2F65" w:rsidRPr="00DA2F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4F"/>
    <w:rsid w:val="0008270E"/>
    <w:rsid w:val="00083B6B"/>
    <w:rsid w:val="000D0A6B"/>
    <w:rsid w:val="00654C7D"/>
    <w:rsid w:val="00737143"/>
    <w:rsid w:val="00984181"/>
    <w:rsid w:val="009D533E"/>
    <w:rsid w:val="00A279BE"/>
    <w:rsid w:val="00CD4D4F"/>
    <w:rsid w:val="00D801AB"/>
    <w:rsid w:val="00DA2F65"/>
    <w:rsid w:val="00EF38C3"/>
    <w:rsid w:val="00FF2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8AA95"/>
  <w15:chartTrackingRefBased/>
  <w15:docId w15:val="{7CDA516D-3CA0-48B1-8326-8E7A5FC90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D4D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4D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4D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4D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4D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D4D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4D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4D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D4D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4D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4D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4D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4D4F"/>
    <w:rPr>
      <w:rFonts w:cstheme="majorBidi"/>
      <w:color w:val="0F4761" w:themeColor="accent1" w:themeShade="BF"/>
      <w:sz w:val="28"/>
      <w:szCs w:val="28"/>
    </w:rPr>
  </w:style>
  <w:style w:type="character" w:customStyle="1" w:styleId="50">
    <w:name w:val="标题 5 字符"/>
    <w:basedOn w:val="a0"/>
    <w:link w:val="5"/>
    <w:uiPriority w:val="9"/>
    <w:semiHidden/>
    <w:rsid w:val="00CD4D4F"/>
    <w:rPr>
      <w:rFonts w:cstheme="majorBidi"/>
      <w:color w:val="0F4761" w:themeColor="accent1" w:themeShade="BF"/>
      <w:sz w:val="24"/>
    </w:rPr>
  </w:style>
  <w:style w:type="character" w:customStyle="1" w:styleId="60">
    <w:name w:val="标题 6 字符"/>
    <w:basedOn w:val="a0"/>
    <w:link w:val="6"/>
    <w:uiPriority w:val="9"/>
    <w:semiHidden/>
    <w:rsid w:val="00CD4D4F"/>
    <w:rPr>
      <w:rFonts w:cstheme="majorBidi"/>
      <w:b/>
      <w:bCs/>
      <w:color w:val="0F4761" w:themeColor="accent1" w:themeShade="BF"/>
    </w:rPr>
  </w:style>
  <w:style w:type="character" w:customStyle="1" w:styleId="70">
    <w:name w:val="标题 7 字符"/>
    <w:basedOn w:val="a0"/>
    <w:link w:val="7"/>
    <w:uiPriority w:val="9"/>
    <w:semiHidden/>
    <w:rsid w:val="00CD4D4F"/>
    <w:rPr>
      <w:rFonts w:cstheme="majorBidi"/>
      <w:b/>
      <w:bCs/>
      <w:color w:val="595959" w:themeColor="text1" w:themeTint="A6"/>
    </w:rPr>
  </w:style>
  <w:style w:type="character" w:customStyle="1" w:styleId="80">
    <w:name w:val="标题 8 字符"/>
    <w:basedOn w:val="a0"/>
    <w:link w:val="8"/>
    <w:uiPriority w:val="9"/>
    <w:semiHidden/>
    <w:rsid w:val="00CD4D4F"/>
    <w:rPr>
      <w:rFonts w:cstheme="majorBidi"/>
      <w:color w:val="595959" w:themeColor="text1" w:themeTint="A6"/>
    </w:rPr>
  </w:style>
  <w:style w:type="character" w:customStyle="1" w:styleId="90">
    <w:name w:val="标题 9 字符"/>
    <w:basedOn w:val="a0"/>
    <w:link w:val="9"/>
    <w:uiPriority w:val="9"/>
    <w:semiHidden/>
    <w:rsid w:val="00CD4D4F"/>
    <w:rPr>
      <w:rFonts w:eastAsiaTheme="majorEastAsia" w:cstheme="majorBidi"/>
      <w:color w:val="595959" w:themeColor="text1" w:themeTint="A6"/>
    </w:rPr>
  </w:style>
  <w:style w:type="paragraph" w:styleId="a3">
    <w:name w:val="Title"/>
    <w:basedOn w:val="a"/>
    <w:next w:val="a"/>
    <w:link w:val="a4"/>
    <w:uiPriority w:val="10"/>
    <w:qFormat/>
    <w:rsid w:val="00CD4D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4D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D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4D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D4F"/>
    <w:pPr>
      <w:spacing w:before="160"/>
      <w:jc w:val="center"/>
    </w:pPr>
    <w:rPr>
      <w:i/>
      <w:iCs/>
      <w:color w:val="404040" w:themeColor="text1" w:themeTint="BF"/>
    </w:rPr>
  </w:style>
  <w:style w:type="character" w:customStyle="1" w:styleId="a8">
    <w:name w:val="引用 字符"/>
    <w:basedOn w:val="a0"/>
    <w:link w:val="a7"/>
    <w:uiPriority w:val="29"/>
    <w:rsid w:val="00CD4D4F"/>
    <w:rPr>
      <w:i/>
      <w:iCs/>
      <w:color w:val="404040" w:themeColor="text1" w:themeTint="BF"/>
    </w:rPr>
  </w:style>
  <w:style w:type="paragraph" w:styleId="a9">
    <w:name w:val="List Paragraph"/>
    <w:basedOn w:val="a"/>
    <w:uiPriority w:val="34"/>
    <w:qFormat/>
    <w:rsid w:val="00CD4D4F"/>
    <w:pPr>
      <w:ind w:left="720"/>
      <w:contextualSpacing/>
    </w:pPr>
  </w:style>
  <w:style w:type="character" w:styleId="aa">
    <w:name w:val="Intense Emphasis"/>
    <w:basedOn w:val="a0"/>
    <w:uiPriority w:val="21"/>
    <w:qFormat/>
    <w:rsid w:val="00CD4D4F"/>
    <w:rPr>
      <w:i/>
      <w:iCs/>
      <w:color w:val="0F4761" w:themeColor="accent1" w:themeShade="BF"/>
    </w:rPr>
  </w:style>
  <w:style w:type="paragraph" w:styleId="ab">
    <w:name w:val="Intense Quote"/>
    <w:basedOn w:val="a"/>
    <w:next w:val="a"/>
    <w:link w:val="ac"/>
    <w:uiPriority w:val="30"/>
    <w:qFormat/>
    <w:rsid w:val="00CD4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4D4F"/>
    <w:rPr>
      <w:i/>
      <w:iCs/>
      <w:color w:val="0F4761" w:themeColor="accent1" w:themeShade="BF"/>
    </w:rPr>
  </w:style>
  <w:style w:type="character" w:styleId="ad">
    <w:name w:val="Intense Reference"/>
    <w:basedOn w:val="a0"/>
    <w:uiPriority w:val="32"/>
    <w:qFormat/>
    <w:rsid w:val="00CD4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105</Words>
  <Characters>600</Characters>
  <Application>Microsoft Office Word</Application>
  <DocSecurity>0</DocSecurity>
  <Lines>5</Lines>
  <Paragraphs>1</Paragraphs>
  <ScaleCrop>false</ScaleCrop>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镇宇 杨</dc:creator>
  <cp:keywords/>
  <dc:description/>
  <cp:lastModifiedBy>镇宇 杨</cp:lastModifiedBy>
  <cp:revision>8</cp:revision>
  <dcterms:created xsi:type="dcterms:W3CDTF">2026-10-14T03:57:00Z</dcterms:created>
  <dcterms:modified xsi:type="dcterms:W3CDTF">2026-10-14T04:26:00Z</dcterms:modified>
</cp:coreProperties>
</file>