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28FF" w14:textId="7ADB3A5C" w:rsidR="002D7E2C" w:rsidRDefault="00F94B57">
      <w:pPr>
        <w:pStyle w:val="aa"/>
        <w:jc w:val="center"/>
        <w:rPr>
          <w:lang w:eastAsia="zh-CN"/>
        </w:rPr>
      </w:pPr>
      <w:r>
        <w:rPr>
          <w:rFonts w:hint="eastAsia"/>
          <w:lang w:eastAsia="zh-CN"/>
        </w:rPr>
        <w:t>2</w:t>
      </w:r>
      <w:r w:rsidR="00057618">
        <w:rPr>
          <w:lang w:eastAsia="zh-CN"/>
        </w:rPr>
        <w:t>附录</w:t>
      </w:r>
      <w:r w:rsidR="00057618">
        <w:rPr>
          <w:lang w:eastAsia="zh-CN"/>
        </w:rPr>
        <w:t xml:space="preserve">A </w:t>
      </w:r>
      <w:r w:rsidR="00057618">
        <w:rPr>
          <w:lang w:eastAsia="zh-CN"/>
        </w:rPr>
        <w:t>外资准入改革的企业效应、</w:t>
      </w:r>
      <w:r w:rsidR="00057618">
        <w:rPr>
          <w:lang w:eastAsia="zh-CN"/>
        </w:rPr>
        <w:br/>
      </w:r>
      <w:r w:rsidR="00057618">
        <w:rPr>
          <w:lang w:eastAsia="zh-CN"/>
        </w:rPr>
        <w:t>跨国生产成本识别与一般均衡反事实</w:t>
      </w:r>
    </w:p>
    <w:p w14:paraId="48D7A357" w14:textId="3573A8B0" w:rsidR="002D7E2C" w:rsidRDefault="00057618" w:rsidP="00E9731A">
      <w:pPr>
        <w:ind w:firstLine="720"/>
        <w:rPr>
          <w:lang w:eastAsia="zh-CN"/>
        </w:rPr>
      </w:pPr>
      <w:r>
        <w:rPr>
          <w:lang w:eastAsia="zh-CN"/>
        </w:rPr>
        <w:t>本附录拟以</w:t>
      </w:r>
      <w:r>
        <w:rPr>
          <w:lang w:eastAsia="zh-CN"/>
        </w:rPr>
        <w:t>2015</w:t>
      </w:r>
      <w:r>
        <w:rPr>
          <w:lang w:eastAsia="zh-CN"/>
        </w:rPr>
        <w:t>年《外商投资产业指导目录》修订为研究对象，考察一轮外资准入放宽对企业生产、控制权和存续的影响，并据此研究部门跨国生产成本及一般均衡变化。先依据企业改革前业务判断其是否受到本轮放宽影响，再采用改革前后多年的企业数据进行双重差分（</w:t>
      </w:r>
      <w:r>
        <w:rPr>
          <w:lang w:eastAsia="zh-CN"/>
        </w:rPr>
        <w:t>DID</w:t>
      </w:r>
      <w:r>
        <w:rPr>
          <w:lang w:eastAsia="zh-CN"/>
        </w:rPr>
        <w:t>）分析。其他年份的改革仅在条件具备时用于扩展，</w:t>
      </w:r>
      <w:r w:rsidR="00B44021">
        <w:rPr>
          <w:rFonts w:hint="eastAsia"/>
          <w:lang w:eastAsia="zh-CN"/>
        </w:rPr>
        <w:t>暂</w:t>
      </w:r>
      <w:r>
        <w:rPr>
          <w:lang w:eastAsia="zh-CN"/>
        </w:rPr>
        <w:t>不纳入基准共同估计。</w:t>
      </w:r>
    </w:p>
    <w:p w14:paraId="13A21F3E" w14:textId="5335E4E9" w:rsidR="002D7E2C" w:rsidRDefault="00057618" w:rsidP="00E9731A">
      <w:pPr>
        <w:ind w:firstLine="720"/>
        <w:rPr>
          <w:lang w:eastAsia="zh-CN"/>
        </w:rPr>
      </w:pPr>
      <w:r>
        <w:rPr>
          <w:lang w:eastAsia="zh-CN"/>
        </w:rPr>
        <w:t>政策匹配采用</w:t>
      </w:r>
      <w:r>
        <w:rPr>
          <w:lang w:eastAsia="zh-CN"/>
        </w:rPr>
        <w:t>GB/T 4754—2017</w:t>
      </w:r>
      <w:r>
        <w:rPr>
          <w:lang w:eastAsia="zh-CN"/>
        </w:rPr>
        <w:t>四位小类统一分类，同时保留具体业务、地区和投资者资格的差异。</w:t>
      </w:r>
      <w:r w:rsidR="00F23695" w:rsidRPr="00F23695">
        <w:rPr>
          <w:lang w:eastAsia="zh-CN"/>
        </w:rPr>
        <w:t>企业基准分析考察改革前已有企业的生产、控制权和存续；行业补充分析使用覆盖当期全部经营企业的资料，进一步考察新设企业进入和行业总体生产的变化。</w:t>
      </w:r>
      <w:r w:rsidR="00FF64CE">
        <w:rPr>
          <w:rFonts w:hint="eastAsia"/>
          <w:lang w:eastAsia="zh-CN"/>
        </w:rPr>
        <w:t>当</w:t>
      </w:r>
      <w:r>
        <w:rPr>
          <w:lang w:eastAsia="zh-CN"/>
        </w:rPr>
        <w:t>生产范围、观察期限与结构模型能够对应时，</w:t>
      </w:r>
      <w:r>
        <w:rPr>
          <w:lang w:eastAsia="zh-CN"/>
        </w:rPr>
        <w:t>构造部门目标并反演成本。</w:t>
      </w:r>
    </w:p>
    <w:p w14:paraId="4D9550CF" w14:textId="77777777" w:rsidR="002D7E2C" w:rsidRDefault="00057618" w:rsidP="00F23695">
      <w:pPr>
        <w:keepNext/>
        <w:ind w:firstLine="720"/>
        <w:rPr>
          <w:lang w:eastAsia="zh-CN"/>
        </w:rPr>
      </w:pPr>
      <w:r>
        <w:rPr>
          <w:lang w:eastAsia="zh-CN"/>
        </w:rPr>
        <w:t>设</w:t>
      </w:r>
      <m:oMath>
        <m:box>
          <m:boxPr>
            <m:ctrlPr>
              <w:rPr>
                <w:rFonts w:ascii="Cambria Math" w:hAnsi="Cambria Math"/>
              </w:rPr>
            </m:ctrlPr>
          </m:boxPr>
          <m:e>
            <m:r>
              <w:rPr>
                <w:rFonts w:ascii="Cambria Math" w:hAnsi="Cambria Math"/>
                <w:lang w:eastAsia="zh-CN"/>
              </w:rPr>
              <m:t>f</m:t>
            </m:r>
          </m:e>
        </m:box>
      </m:oMath>
      <w:r>
        <w:rPr>
          <w:lang w:eastAsia="zh-CN"/>
        </w:rPr>
        <w:t>为企业，</w:t>
      </w:r>
      <m:oMath>
        <m:box>
          <m:boxPr>
            <m:ctrlPr>
              <w:rPr>
                <w:rFonts w:ascii="Cambria Math" w:hAnsi="Cambria Math"/>
              </w:rPr>
            </m:ctrlPr>
          </m:boxPr>
          <m:e>
            <m:r>
              <w:rPr>
                <w:rFonts w:ascii="Cambria Math" w:hAnsi="Cambria Math"/>
                <w:lang w:eastAsia="zh-CN"/>
              </w:rPr>
              <m:t>c</m:t>
            </m:r>
          </m:e>
        </m:box>
      </m:oMath>
      <w:r>
        <w:rPr>
          <w:lang w:eastAsia="zh-CN"/>
        </w:rPr>
        <w:t>为</w:t>
      </w:r>
      <w:r>
        <w:rPr>
          <w:lang w:eastAsia="zh-CN"/>
        </w:rPr>
        <w:t>GB</w:t>
      </w:r>
      <w:r>
        <w:rPr>
          <w:lang w:eastAsia="zh-CN"/>
        </w:rPr>
        <w:t>四位小类，</w:t>
      </w:r>
      <m:oMath>
        <m:box>
          <m:boxPr>
            <m:ctrlPr>
              <w:rPr>
                <w:rFonts w:ascii="Cambria Math" w:hAnsi="Cambria Math"/>
              </w:rPr>
            </m:ctrlPr>
          </m:boxPr>
          <m:e>
            <m:r>
              <w:rPr>
                <w:rFonts w:ascii="Cambria Math" w:hAnsi="Cambria Math"/>
                <w:lang w:eastAsia="zh-CN"/>
              </w:rPr>
              <m:t>r</m:t>
            </m:r>
          </m:e>
        </m:box>
      </m:oMath>
      <w:r>
        <w:rPr>
          <w:lang w:eastAsia="zh-CN"/>
        </w:rPr>
        <w:t>为生产地区，</w:t>
      </w:r>
      <m:oMath>
        <m:box>
          <m:boxPr>
            <m:ctrlPr>
              <w:rPr>
                <w:rFonts w:ascii="Cambria Math" w:hAnsi="Cambria Math"/>
              </w:rPr>
            </m:ctrlPr>
          </m:boxPr>
          <m:e>
            <m:r>
              <w:rPr>
                <w:rFonts w:ascii="Cambria Math" w:hAnsi="Cambria Math"/>
                <w:lang w:eastAsia="zh-CN"/>
              </w:rPr>
              <m:t>t</m:t>
            </m:r>
          </m:e>
        </m:box>
      </m:oMath>
      <w:r>
        <w:rPr>
          <w:lang w:eastAsia="zh-CN"/>
        </w:rPr>
        <w:t>为年份；结构模型中</w:t>
      </w:r>
      <m:oMath>
        <m:box>
          <m:boxPr>
            <m:ctrlPr>
              <w:rPr>
                <w:rFonts w:ascii="Cambria Math" w:hAnsi="Cambria Math"/>
              </w:rPr>
            </m:ctrlPr>
          </m:boxPr>
          <m:e>
            <m:r>
              <w:rPr>
                <w:rFonts w:ascii="Cambria Math" w:hAnsi="Cambria Math"/>
                <w:lang w:eastAsia="zh-CN"/>
              </w:rPr>
              <m:t>m</m:t>
            </m:r>
          </m:e>
        </m:box>
      </m:oMath>
      <w:r>
        <w:rPr>
          <w:lang w:eastAsia="zh-CN"/>
        </w:rPr>
        <w:t>为企业最终控制母国，</w:t>
      </w:r>
      <m:oMath>
        <m:box>
          <m:boxPr>
            <m:ctrlPr>
              <w:rPr>
                <w:rFonts w:ascii="Cambria Math" w:hAnsi="Cambria Math"/>
              </w:rPr>
            </m:ctrlPr>
          </m:boxPr>
          <m:e>
            <m:r>
              <w:rPr>
                <w:rFonts w:ascii="Cambria Math" w:hAnsi="Cambria Math"/>
                <w:lang w:eastAsia="zh-CN"/>
              </w:rPr>
              <m:t>i</m:t>
            </m:r>
          </m:e>
        </m:box>
      </m:oMath>
      <w:r>
        <w:rPr>
          <w:lang w:eastAsia="zh-CN"/>
        </w:rPr>
        <w:t>为生产国，</w:t>
      </w:r>
      <m:oMath>
        <m:box>
          <m:boxPr>
            <m:ctrlPr>
              <w:rPr>
                <w:rFonts w:ascii="Cambria Math" w:hAnsi="Cambria Math"/>
              </w:rPr>
            </m:ctrlPr>
          </m:boxPr>
          <m:e>
            <m:r>
              <w:rPr>
                <w:rFonts w:ascii="Cambria Math" w:hAnsi="Cambria Math"/>
                <w:lang w:eastAsia="zh-CN"/>
              </w:rPr>
              <m:t>n</m:t>
            </m:r>
          </m:e>
        </m:box>
      </m:oMath>
      <w:r>
        <w:rPr>
          <w:lang w:eastAsia="zh-CN"/>
        </w:rPr>
        <w:t>为销售目的国，</w:t>
      </w:r>
      <m:oMath>
        <m:box>
          <m:boxPr>
            <m:ctrlPr>
              <w:rPr>
                <w:rFonts w:ascii="Cambria Math" w:hAnsi="Cambria Math"/>
              </w:rPr>
            </m:ctrlPr>
          </m:boxPr>
          <m:e>
            <m:r>
              <w:rPr>
                <w:rFonts w:ascii="Cambria Math" w:hAnsi="Cambria Math"/>
                <w:lang w:eastAsia="zh-CN"/>
              </w:rPr>
              <m:t>j</m:t>
            </m:r>
          </m:e>
        </m:box>
      </m:oMath>
      <w:r>
        <w:rPr>
          <w:lang w:eastAsia="zh-CN"/>
        </w:rPr>
        <w:t>为部门，</w:t>
      </w:r>
      <m:oMath>
        <m:box>
          <m:boxPr>
            <m:ctrlPr>
              <w:rPr>
                <w:rFonts w:ascii="Cambria Math" w:hAnsi="Cambria Math"/>
              </w:rPr>
            </m:ctrlPr>
          </m:boxPr>
          <m:e>
            <m:r>
              <w:rPr>
                <w:rFonts w:ascii="Cambria Math" w:hAnsi="Cambria Math"/>
                <w:lang w:eastAsia="zh-CN"/>
              </w:rPr>
              <m:t>C</m:t>
            </m:r>
          </m:e>
        </m:box>
      </m:oMath>
      <w:r>
        <w:rPr>
          <w:lang w:eastAsia="zh-CN"/>
        </w:rPr>
        <w:t>表示中国。研究依次建立以下关系：</w:t>
      </w:r>
    </w:p>
    <w:p w14:paraId="7449F362" w14:textId="77777777" w:rsidR="002D7E2C" w:rsidRDefault="00057618">
      <w:pPr>
        <w:pStyle w:val="Equation"/>
        <w:keepNext/>
        <w:rPr>
          <w:lang w:eastAsia="zh-CN"/>
        </w:rPr>
      </w:pPr>
      <w:r>
        <w:rPr>
          <w:lang w:eastAsia="zh-CN"/>
        </w:rPr>
        <w:tab/>
      </w:r>
      <m:oMath>
        <m:sSub>
          <m:sSubPr>
            <m:ctrlPr>
              <w:rPr>
                <w:rFonts w:ascii="Cambria Math" w:hAnsi="Cambria Math"/>
              </w:rPr>
            </m:ctrlPr>
          </m:sSubPr>
          <m:e>
            <m:r>
              <m:rPr>
                <m:sty m:val="p"/>
              </m:rPr>
              <w:rPr>
                <w:rFonts w:ascii="Cambria Math" w:hAnsi="Cambria Math"/>
                <w:lang w:eastAsia="zh-CN"/>
              </w:rPr>
              <m:t>Treat</m:t>
            </m:r>
          </m:e>
          <m:sub>
            <m:r>
              <w:rPr>
                <w:rFonts w:ascii="Cambria Math" w:hAnsi="Cambria Math"/>
                <w:lang w:eastAsia="zh-CN"/>
              </w:rPr>
              <m:t>f</m:t>
            </m:r>
          </m:sub>
        </m:sSub>
        <m: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Post</m:t>
            </m:r>
          </m:e>
          <m:sub>
            <m:r>
              <w:rPr>
                <w:rFonts w:ascii="Cambria Math" w:hAnsi="Cambria Math"/>
                <w:lang w:eastAsia="zh-CN"/>
              </w:rPr>
              <m:t>t</m:t>
            </m:r>
          </m:sub>
        </m:sSub>
        <m:r>
          <w:rPr>
            <w:rFonts w:ascii="Cambria Math" w:hAnsi="Cambria Math"/>
            <w:lang w:eastAsia="zh-CN"/>
          </w:rPr>
          <m:t>→</m:t>
        </m:r>
        <m:acc>
          <m:accPr>
            <m:ctrlPr>
              <w:rPr>
                <w:rFonts w:ascii="Cambria Math" w:hAnsi="Cambria Math"/>
              </w:rPr>
            </m:ctrlPr>
          </m:accPr>
          <m:e>
            <m:r>
              <m:rPr>
                <m:sty m:val="bi"/>
              </m:rPr>
              <w:rPr>
                <w:rFonts w:ascii="Cambria Math" w:hAnsi="Cambria Math"/>
                <w:lang w:eastAsia="zh-CN"/>
              </w:rPr>
              <m:t>μ</m:t>
            </m:r>
          </m:e>
        </m:acc>
        <m:r>
          <w:rPr>
            <w:rFonts w:ascii="Cambria Math" w:hAnsi="Cambria Math"/>
            <w:lang w:eastAsia="zh-CN"/>
          </w:rPr>
          <m:t>→</m:t>
        </m:r>
        <m:acc>
          <m:accPr>
            <m:ctrlPr>
              <w:rPr>
                <w:rFonts w:ascii="Cambria Math" w:hAnsi="Cambria Math"/>
              </w:rPr>
            </m:ctrlPr>
          </m:accPr>
          <m:e>
            <m:r>
              <m:rPr>
                <m:sty m:val="bi"/>
              </m:rPr>
              <w:rPr>
                <w:rFonts w:ascii="Cambria Math" w:hAnsi="Cambria Math"/>
                <w:lang w:eastAsia="zh-CN"/>
              </w:rPr>
              <m:t>δ</m:t>
            </m:r>
          </m:e>
        </m:acc>
        <m: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Cmj</m:t>
            </m:r>
          </m:sub>
        </m:sSub>
        <m:r>
          <w:rPr>
            <w:rFonts w:ascii="Cambria Math" w:hAnsi="Cambria Math"/>
            <w:lang w:eastAsia="zh-CN"/>
          </w:rPr>
          <m:t>→{</m:t>
        </m:r>
        <m:r>
          <w:rPr>
            <w:rFonts w:ascii="Cambria Math" w:hAnsi="Cambria Math"/>
            <w:lang w:eastAsia="zh-CN"/>
          </w:rPr>
          <m:t>X</m:t>
        </m:r>
        <m:r>
          <w:rPr>
            <w:rFonts w:ascii="Cambria Math" w:hAnsi="Cambria Math"/>
            <w:lang w:eastAsia="zh-CN"/>
          </w:rPr>
          <m:t>,</m:t>
        </m:r>
        <m:r>
          <w:rPr>
            <w:rFonts w:ascii="Cambria Math" w:hAnsi="Cambria Math"/>
            <w:lang w:eastAsia="zh-CN"/>
          </w:rPr>
          <m:t>P</m:t>
        </m:r>
        <m:r>
          <w:rPr>
            <w:rFonts w:ascii="Cambria Math" w:hAnsi="Cambria Math"/>
            <w:lang w:eastAsia="zh-CN"/>
          </w:rPr>
          <m:t>,</m:t>
        </m:r>
        <m:r>
          <w:rPr>
            <w:rFonts w:ascii="Cambria Math" w:hAnsi="Cambria Math"/>
            <w:lang w:eastAsia="zh-CN"/>
          </w:rPr>
          <m:t>w</m:t>
        </m:r>
        <m:r>
          <w:rPr>
            <w:rFonts w:ascii="Cambria Math" w:hAnsi="Cambria Math"/>
            <w:lang w:eastAsia="zh-CN"/>
          </w:rPr>
          <m:t>,</m:t>
        </m:r>
        <m:r>
          <w:rPr>
            <w:rFonts w:ascii="Cambria Math" w:hAnsi="Cambria Math"/>
            <w:lang w:eastAsia="zh-CN"/>
          </w:rPr>
          <m:t>N</m:t>
        </m:r>
        <m:r>
          <w:rPr>
            <w:rFonts w:ascii="Cambria Math" w:hAnsi="Cambria Math"/>
            <w:lang w:eastAsia="zh-CN"/>
          </w:rPr>
          <m:t>,</m:t>
        </m:r>
        <m:r>
          <w:rPr>
            <w:rFonts w:ascii="Cambria Math" w:hAnsi="Cambria Math"/>
            <w:lang w:eastAsia="zh-CN"/>
          </w:rPr>
          <m:t>W</m:t>
        </m:r>
        <m:r>
          <w:rPr>
            <w:rFonts w:ascii="Cambria Math" w:hAnsi="Cambria Math"/>
            <w:lang w:eastAsia="zh-CN"/>
          </w:rPr>
          <m:t>}.</m:t>
        </m:r>
      </m:oMath>
      <w:r>
        <w:rPr>
          <w:lang w:eastAsia="zh-CN"/>
        </w:rPr>
        <w:tab/>
        <w:t>(A1)</w:t>
      </w:r>
    </w:p>
    <w:p w14:paraId="540ADCCE" w14:textId="2945D9E3" w:rsidR="002D7E2C" w:rsidRDefault="00057618" w:rsidP="00A4575E">
      <w:pPr>
        <w:ind w:firstLine="720"/>
        <w:rPr>
          <w:lang w:eastAsia="zh-CN"/>
        </w:rPr>
      </w:pPr>
      <w:r>
        <w:rPr>
          <w:lang w:eastAsia="zh-CN"/>
        </w:rPr>
        <w:t>其中，</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lang w:eastAsia="zh-CN"/>
                  </w:rPr>
                  <m:t>Treat</m:t>
                </m:r>
              </m:e>
              <m:sub>
                <m:r>
                  <w:rPr>
                    <w:rFonts w:ascii="Cambria Math" w:hAnsi="Cambria Math"/>
                    <w:lang w:eastAsia="zh-CN"/>
                  </w:rPr>
                  <m:t>f</m:t>
                </m:r>
              </m:sub>
            </m:sSub>
          </m:e>
        </m:box>
      </m:oMath>
      <w:r>
        <w:rPr>
          <w:lang w:eastAsia="zh-CN"/>
        </w:rPr>
        <w:t>表示企业是否属于本轮准入放宽范围，</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lang w:eastAsia="zh-CN"/>
                  </w:rPr>
                  <m:t>Post</m:t>
                </m:r>
              </m:e>
              <m:sub>
                <m:r>
                  <w:rPr>
                    <w:rFonts w:ascii="Cambria Math" w:hAnsi="Cambria Math"/>
                    <w:lang w:eastAsia="zh-CN"/>
                  </w:rPr>
                  <m:t>t</m:t>
                </m:r>
              </m:sub>
            </m:sSub>
          </m:e>
        </m:box>
      </m:oMath>
      <w:r>
        <w:rPr>
          <w:lang w:eastAsia="zh-CN"/>
        </w:rPr>
        <w:t>表示所选窗口内的实施后年份，具体定义见</w:t>
      </w:r>
      <w:r>
        <w:rPr>
          <w:lang w:eastAsia="zh-CN"/>
        </w:rPr>
        <w:t>A.2—A.3</w:t>
      </w:r>
      <w:r>
        <w:rPr>
          <w:lang w:eastAsia="zh-CN"/>
        </w:rPr>
        <w:t>。</w:t>
      </w:r>
      <m:oMath>
        <m:box>
          <m:boxPr>
            <m:ctrlPr>
              <w:rPr>
                <w:rFonts w:ascii="Cambria Math" w:hAnsi="Cambria Math"/>
              </w:rPr>
            </m:ctrlPr>
          </m:boxPr>
          <m:e>
            <m:acc>
              <m:accPr>
                <m:ctrlPr>
                  <w:rPr>
                    <w:rFonts w:ascii="Cambria Math" w:hAnsi="Cambria Math"/>
                  </w:rPr>
                </m:ctrlPr>
              </m:accPr>
              <m:e>
                <m:r>
                  <m:rPr>
                    <m:sty m:val="bi"/>
                  </m:rPr>
                  <w:rPr>
                    <w:rFonts w:ascii="Cambria Math" w:hAnsi="Cambria Math"/>
                    <w:lang w:eastAsia="zh-CN"/>
                  </w:rPr>
                  <m:t>μ</m:t>
                </m:r>
              </m:e>
            </m:acc>
          </m:e>
        </m:box>
      </m:oMath>
      <w:r>
        <w:rPr>
          <w:lang w:eastAsia="zh-CN"/>
        </w:rPr>
        <w:t>为估计得到的部门生产变化，</w:t>
      </w:r>
      <m:oMath>
        <m:box>
          <m:boxPr>
            <m:ctrlPr>
              <w:rPr>
                <w:rFonts w:ascii="Cambria Math" w:hAnsi="Cambria Math"/>
              </w:rPr>
            </m:ctrlPr>
          </m:boxPr>
          <m:e>
            <m:acc>
              <m:accPr>
                <m:ctrlPr>
                  <w:rPr>
                    <w:rFonts w:ascii="Cambria Math" w:hAnsi="Cambria Math"/>
                  </w:rPr>
                </m:ctrlPr>
              </m:accPr>
              <m:e>
                <m:r>
                  <m:rPr>
                    <m:sty m:val="bi"/>
                  </m:rPr>
                  <w:rPr>
                    <w:rFonts w:ascii="Cambria Math" w:hAnsi="Cambria Math"/>
                    <w:lang w:eastAsia="zh-CN"/>
                  </w:rPr>
                  <m:t>δ</m:t>
                </m:r>
              </m:e>
            </m:acc>
          </m:e>
        </m:box>
      </m:oMath>
      <w:r>
        <w:rPr>
          <w:lang w:eastAsia="zh-CN"/>
        </w:rPr>
        <w:t>为成本对数变化的估计值，</w:t>
      </w:r>
      <m:oMath>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Cmj</m:t>
                </m:r>
              </m:sub>
            </m:sSub>
          </m:e>
        </m:box>
      </m:oMath>
      <w:r>
        <w:rPr>
          <w:lang w:eastAsia="zh-CN"/>
        </w:rPr>
        <w:t>为跨国生产效率的变化倍数。</w:t>
      </w:r>
      <m:oMath>
        <m:box>
          <m:boxPr>
            <m:ctrlPr>
              <w:rPr>
                <w:rFonts w:ascii="Cambria Math" w:hAnsi="Cambria Math"/>
              </w:rPr>
            </m:ctrlPr>
          </m:boxPr>
          <m:e>
            <m:r>
              <w:rPr>
                <w:rFonts w:ascii="Cambria Math" w:hAnsi="Cambria Math"/>
                <w:lang w:eastAsia="zh-CN"/>
              </w:rPr>
              <m:t>X</m:t>
            </m:r>
          </m:e>
        </m:box>
      </m:oMath>
      <w:r>
        <w:rPr>
          <w:lang w:eastAsia="zh-CN"/>
        </w:rPr>
        <w:t>、</w:t>
      </w:r>
      <m:oMath>
        <m:box>
          <m:boxPr>
            <m:ctrlPr>
              <w:rPr>
                <w:rFonts w:ascii="Cambria Math" w:hAnsi="Cambria Math"/>
              </w:rPr>
            </m:ctrlPr>
          </m:boxPr>
          <m:e>
            <m:r>
              <w:rPr>
                <w:rFonts w:ascii="Cambria Math" w:hAnsi="Cambria Math"/>
                <w:lang w:eastAsia="zh-CN"/>
              </w:rPr>
              <m:t>P</m:t>
            </m:r>
          </m:e>
        </m:box>
      </m:oMath>
      <w:r>
        <w:rPr>
          <w:lang w:eastAsia="zh-CN"/>
        </w:rPr>
        <w:t>、</w:t>
      </w:r>
      <m:oMath>
        <m:box>
          <m:boxPr>
            <m:ctrlPr>
              <w:rPr>
                <w:rFonts w:ascii="Cambria Math" w:hAnsi="Cambria Math"/>
              </w:rPr>
            </m:ctrlPr>
          </m:boxPr>
          <m:e>
            <m:r>
              <w:rPr>
                <w:rFonts w:ascii="Cambria Math" w:hAnsi="Cambria Math"/>
                <w:lang w:eastAsia="zh-CN"/>
              </w:rPr>
              <m:t>w</m:t>
            </m:r>
          </m:e>
        </m:box>
      </m:oMath>
      <w:r>
        <w:rPr>
          <w:lang w:eastAsia="zh-CN"/>
        </w:rPr>
        <w:t>、</w:t>
      </w:r>
      <m:oMath>
        <m:box>
          <m:boxPr>
            <m:ctrlPr>
              <w:rPr>
                <w:rFonts w:ascii="Cambria Math" w:hAnsi="Cambria Math"/>
              </w:rPr>
            </m:ctrlPr>
          </m:boxPr>
          <m:e>
            <m:r>
              <w:rPr>
                <w:rFonts w:ascii="Cambria Math" w:hAnsi="Cambria Math"/>
                <w:lang w:eastAsia="zh-CN"/>
              </w:rPr>
              <m:t>N</m:t>
            </m:r>
          </m:e>
        </m:box>
      </m:oMath>
      <w:r>
        <w:rPr>
          <w:lang w:eastAsia="zh-CN"/>
        </w:rPr>
        <w:t>和</w:t>
      </w:r>
      <m:oMath>
        <m:box>
          <m:boxPr>
            <m:ctrlPr>
              <w:rPr>
                <w:rFonts w:ascii="Cambria Math" w:hAnsi="Cambria Math"/>
              </w:rPr>
            </m:ctrlPr>
          </m:boxPr>
          <m:e>
            <m:r>
              <w:rPr>
                <w:rFonts w:ascii="Cambria Math" w:hAnsi="Cambria Math"/>
                <w:lang w:eastAsia="zh-CN"/>
              </w:rPr>
              <m:t>W</m:t>
            </m:r>
          </m:e>
        </m:box>
      </m:oMath>
      <w:r>
        <w:rPr>
          <w:lang w:eastAsia="zh-CN"/>
        </w:rPr>
        <w:t>依次表示三边生产流量、价格、工资、产品种类和福利。文本匹配参考</w:t>
      </w:r>
      <w:r>
        <w:rPr>
          <w:lang w:eastAsia="zh-CN"/>
        </w:rPr>
        <w:t>Eppinger and Ma</w:t>
      </w:r>
      <w:r>
        <w:rPr>
          <w:lang w:eastAsia="zh-CN"/>
        </w:rPr>
        <w:t>（</w:t>
      </w:r>
      <w:r>
        <w:rPr>
          <w:lang w:eastAsia="zh-CN"/>
        </w:rPr>
        <w:t>2023</w:t>
      </w:r>
      <w:r>
        <w:rPr>
          <w:lang w:eastAsia="zh-CN"/>
        </w:rPr>
        <w:t>）</w:t>
      </w:r>
      <w:r>
        <w:rPr>
          <w:lang w:eastAsia="zh-CN"/>
        </w:rPr>
        <w:t>，结构分析沿用《中国高水平制度型开放与全球产业链网络重塑》及其修订稿的模型</w:t>
      </w:r>
      <w:r>
        <w:rPr>
          <w:lang w:eastAsia="zh-CN"/>
        </w:rPr>
        <w:t>。</w:t>
      </w:r>
    </w:p>
    <w:p w14:paraId="3FC59B62" w14:textId="77777777" w:rsidR="002D7E2C" w:rsidRDefault="00057618">
      <w:pPr>
        <w:pStyle w:val="1"/>
        <w:rPr>
          <w:lang w:eastAsia="zh-CN"/>
        </w:rPr>
      </w:pPr>
      <w:r>
        <w:rPr>
          <w:lang w:eastAsia="zh-CN"/>
        </w:rPr>
        <w:t xml:space="preserve">A.1 </w:t>
      </w:r>
      <w:r>
        <w:rPr>
          <w:lang w:eastAsia="zh-CN"/>
        </w:rPr>
        <w:t>政策文本的测量对象</w:t>
      </w:r>
    </w:p>
    <w:p w14:paraId="1AE6E28F" w14:textId="77777777" w:rsidR="002D7E2C" w:rsidRDefault="00057618">
      <w:pPr>
        <w:pStyle w:val="21"/>
        <w:rPr>
          <w:lang w:eastAsia="zh-CN"/>
        </w:rPr>
      </w:pPr>
      <w:r>
        <w:rPr>
          <w:lang w:eastAsia="zh-CN"/>
        </w:rPr>
        <w:t xml:space="preserve">A.1.1 </w:t>
      </w:r>
      <w:r>
        <w:rPr>
          <w:lang w:eastAsia="zh-CN"/>
        </w:rPr>
        <w:t>政策版本与政策编码单元</w:t>
      </w:r>
    </w:p>
    <w:p w14:paraId="268E4744" w14:textId="4E5D52C7" w:rsidR="002D7E2C" w:rsidRDefault="00057618" w:rsidP="00A4575E">
      <w:pPr>
        <w:ind w:firstLine="720"/>
        <w:rPr>
          <w:lang w:eastAsia="zh-CN"/>
        </w:rPr>
      </w:pPr>
      <w:r>
        <w:rPr>
          <w:lang w:eastAsia="zh-CN"/>
        </w:rPr>
        <w:t>2015</w:t>
      </w:r>
      <w:r>
        <w:rPr>
          <w:lang w:eastAsia="zh-CN"/>
        </w:rPr>
        <w:t>年目录第</w:t>
      </w:r>
      <w:r>
        <w:rPr>
          <w:lang w:eastAsia="zh-CN"/>
        </w:rPr>
        <w:t>22</w:t>
      </w:r>
      <w:r>
        <w:rPr>
          <w:lang w:eastAsia="zh-CN"/>
        </w:rPr>
        <w:t>号令署期为</w:t>
      </w:r>
      <w:r>
        <w:rPr>
          <w:lang w:eastAsia="zh-CN"/>
        </w:rPr>
        <w:t>3</w:t>
      </w:r>
      <w:r>
        <w:rPr>
          <w:lang w:eastAsia="zh-CN"/>
        </w:rPr>
        <w:t>月</w:t>
      </w:r>
      <w:r>
        <w:rPr>
          <w:lang w:eastAsia="zh-CN"/>
        </w:rPr>
        <w:t>10</w:t>
      </w:r>
      <w:r>
        <w:rPr>
          <w:lang w:eastAsia="zh-CN"/>
        </w:rPr>
        <w:t>日，自</w:t>
      </w:r>
      <w:r>
        <w:rPr>
          <w:lang w:eastAsia="zh-CN"/>
        </w:rPr>
        <w:t>4</w:t>
      </w:r>
      <w:r>
        <w:rPr>
          <w:lang w:eastAsia="zh-CN"/>
        </w:rPr>
        <w:t>月</w:t>
      </w:r>
      <w:r>
        <w:rPr>
          <w:lang w:eastAsia="zh-CN"/>
        </w:rPr>
        <w:t>10</w:t>
      </w:r>
      <w:r>
        <w:rPr>
          <w:lang w:eastAsia="zh-CN"/>
        </w:rPr>
        <w:t>日起施行，</w:t>
      </w:r>
      <w:r>
        <w:rPr>
          <w:lang w:eastAsia="zh-CN"/>
        </w:rPr>
        <w:t>2011</w:t>
      </w:r>
      <w:r>
        <w:rPr>
          <w:lang w:eastAsia="zh-CN"/>
        </w:rPr>
        <w:t>年目录同时废止。国家发展改革委的发布说明明确提出放宽制造业及部分服务业准入，并取消名优白酒、起重机械等领域的有关要求。这些调整使</w:t>
      </w:r>
      <w:r>
        <w:rPr>
          <w:lang w:eastAsia="zh-CN"/>
        </w:rPr>
        <w:t>2015</w:t>
      </w:r>
      <w:r>
        <w:rPr>
          <w:lang w:eastAsia="zh-CN"/>
        </w:rPr>
        <w:t>年具有研究代表性</w:t>
      </w:r>
      <w:r w:rsidR="001D0945">
        <w:rPr>
          <w:rFonts w:hint="eastAsia"/>
          <w:lang w:eastAsia="zh-CN"/>
        </w:rPr>
        <w:t>。</w:t>
      </w:r>
    </w:p>
    <w:p w14:paraId="3B50C1D6" w14:textId="77777777" w:rsidR="002D7E2C" w:rsidRDefault="00057618" w:rsidP="001D0945">
      <w:pPr>
        <w:ind w:firstLine="720"/>
        <w:rPr>
          <w:lang w:eastAsia="zh-CN"/>
        </w:rPr>
      </w:pPr>
      <w:r>
        <w:rPr>
          <w:lang w:eastAsia="zh-CN"/>
        </w:rPr>
        <w:lastRenderedPageBreak/>
        <w:t>研究以</w:t>
      </w:r>
      <w:r>
        <w:rPr>
          <w:lang w:eastAsia="zh-CN"/>
        </w:rPr>
        <w:t>2011</w:t>
      </w:r>
      <w:r>
        <w:rPr>
          <w:lang w:eastAsia="zh-CN"/>
        </w:rPr>
        <w:t>年与</w:t>
      </w:r>
      <w:r>
        <w:rPr>
          <w:lang w:eastAsia="zh-CN"/>
        </w:rPr>
        <w:t>2015</w:t>
      </w:r>
      <w:r>
        <w:rPr>
          <w:lang w:eastAsia="zh-CN"/>
        </w:rPr>
        <w:t>年目录为主要文本，同时核查两者之间已生效的规定。修订稿在</w:t>
      </w:r>
      <w:r>
        <w:rPr>
          <w:lang w:eastAsia="zh-CN"/>
        </w:rPr>
        <w:t>2014</w:t>
      </w:r>
      <w:r>
        <w:rPr>
          <w:lang w:eastAsia="zh-CN"/>
        </w:rPr>
        <w:t>年末已公开征求意见，企业可能提前调整，不能把</w:t>
      </w:r>
      <w:r>
        <w:rPr>
          <w:lang w:eastAsia="zh-CN"/>
        </w:rPr>
        <w:t>2015</w:t>
      </w:r>
      <w:r>
        <w:rPr>
          <w:lang w:eastAsia="zh-CN"/>
        </w:rPr>
        <w:t>年</w:t>
      </w:r>
      <w:r>
        <w:rPr>
          <w:lang w:eastAsia="zh-CN"/>
        </w:rPr>
        <w:t>4</w:t>
      </w:r>
      <w:r>
        <w:rPr>
          <w:lang w:eastAsia="zh-CN"/>
        </w:rPr>
        <w:t>月视为首次获得政策信息的时间。同期及后续政策也可能改变两组待遇，窗口安排见</w:t>
      </w:r>
      <w:r>
        <w:rPr>
          <w:lang w:eastAsia="zh-CN"/>
        </w:rPr>
        <w:t>A.3.1</w:t>
      </w:r>
      <w:r>
        <w:rPr>
          <w:lang w:eastAsia="zh-CN"/>
        </w:rPr>
        <w:t>。</w:t>
      </w:r>
      <w:r>
        <w:rPr>
          <w:lang w:eastAsia="zh-CN"/>
        </w:rPr>
        <w:t>⁠</w:t>
      </w:r>
      <w:r>
        <w:rPr>
          <w:rStyle w:val="15"/>
        </w:rPr>
        <w:footnoteReference w:id="1"/>
      </w:r>
    </w:p>
    <w:p w14:paraId="2429092F" w14:textId="77777777" w:rsidR="002D7E2C" w:rsidRDefault="00057618">
      <w:pPr>
        <w:rPr>
          <w:lang w:eastAsia="zh-CN"/>
        </w:rPr>
      </w:pPr>
      <w:r>
        <w:rPr>
          <w:lang w:eastAsia="zh-CN"/>
        </w:rPr>
        <w:t>政策编码单元是某一版本中能够独立判断准入条件的经济活动。同一条款涉及不同业务或适用条件时，按其法律含义拆分；同一业务适用多项规则时，完整保留相关要求。各版本设置内部唯一的</w:t>
      </w:r>
      <w:r>
        <w:rPr>
          <w:lang w:eastAsia="zh-CN"/>
        </w:rPr>
        <w:t>policy_unit_id</w:t>
      </w:r>
      <w:r>
        <w:rPr>
          <w:lang w:eastAsia="zh-CN"/>
        </w:rPr>
        <w:t>，并记录表</w:t>
      </w:r>
      <w:r>
        <w:rPr>
          <w:lang w:eastAsia="zh-CN"/>
        </w:rPr>
        <w:t>A1</w:t>
      </w:r>
      <w:r>
        <w:rPr>
          <w:lang w:eastAsia="zh-CN"/>
        </w:rPr>
        <w:t>所列信息。不同版本的单元分别编码，以统一行业分类和企业改革前业务开展前后比较，不建立政策单元之间的延续、拆分或合并关系。</w:t>
      </w:r>
    </w:p>
    <w:p w14:paraId="55520CC4" w14:textId="77777777" w:rsidR="002D7E2C" w:rsidRDefault="00057618">
      <w:pPr>
        <w:pStyle w:val="af7"/>
        <w:rPr>
          <w:lang w:eastAsia="zh-CN"/>
        </w:rPr>
      </w:pPr>
      <w:r>
        <w:rPr>
          <w:lang w:eastAsia="zh-CN"/>
        </w:rPr>
        <w:t>表</w:t>
      </w:r>
      <w:r>
        <w:rPr>
          <w:lang w:eastAsia="zh-CN"/>
        </w:rPr>
        <w:t xml:space="preserve">A1 </w:t>
      </w:r>
      <w:r>
        <w:rPr>
          <w:lang w:eastAsia="zh-CN"/>
        </w:rPr>
        <w:t>政策编码单元与放宽判断的记录</w:t>
      </w:r>
    </w:p>
    <w:tbl>
      <w:tblPr>
        <w:tblW w:w="0" w:type="auto"/>
        <w:jc w:val="center"/>
        <w:tblBorders>
          <w:top w:val="single" w:sz="8" w:space="0" w:color="000000"/>
          <w:left w:val="nil"/>
          <w:bottom w:val="single" w:sz="8" w:space="0" w:color="000000"/>
          <w:right w:val="nil"/>
          <w:insideH w:val="nil"/>
          <w:insideV w:val="nil"/>
        </w:tblBorders>
        <w:tblLayout w:type="fixed"/>
        <w:tblCellMar>
          <w:top w:w="50" w:type="dxa"/>
          <w:left w:w="80" w:type="dxa"/>
          <w:bottom w:w="50" w:type="dxa"/>
          <w:right w:w="80" w:type="dxa"/>
        </w:tblCellMar>
        <w:tblLook w:val="04A0" w:firstRow="1" w:lastRow="0" w:firstColumn="1" w:lastColumn="0" w:noHBand="0" w:noVBand="1"/>
      </w:tblPr>
      <w:tblGrid>
        <w:gridCol w:w="2434"/>
        <w:gridCol w:w="6926"/>
      </w:tblGrid>
      <w:tr w:rsidR="002D7E2C" w14:paraId="326EFE4C" w14:textId="77777777">
        <w:trPr>
          <w:cantSplit/>
          <w:tblHeader/>
          <w:jc w:val="center"/>
        </w:trPr>
        <w:tc>
          <w:tcPr>
            <w:tcW w:w="2434" w:type="dxa"/>
            <w:tcBorders>
              <w:bottom w:val="single" w:sz="5" w:space="0" w:color="000000"/>
            </w:tcBorders>
            <w:vAlign w:val="center"/>
          </w:tcPr>
          <w:p w14:paraId="47C099FD" w14:textId="77777777" w:rsidR="002D7E2C" w:rsidRDefault="00057618">
            <w:pPr>
              <w:pStyle w:val="TableText"/>
              <w:keepNext/>
            </w:pPr>
            <w:r>
              <w:rPr>
                <w:b/>
              </w:rPr>
              <w:t>记录内容</w:t>
            </w:r>
          </w:p>
        </w:tc>
        <w:tc>
          <w:tcPr>
            <w:tcW w:w="6926" w:type="dxa"/>
            <w:tcBorders>
              <w:bottom w:val="single" w:sz="5" w:space="0" w:color="000000"/>
            </w:tcBorders>
            <w:vAlign w:val="center"/>
          </w:tcPr>
          <w:p w14:paraId="42E05022" w14:textId="77777777" w:rsidR="002D7E2C" w:rsidRDefault="00057618">
            <w:pPr>
              <w:pStyle w:val="TableText"/>
              <w:keepNext/>
            </w:pPr>
            <w:r>
              <w:rPr>
                <w:b/>
              </w:rPr>
              <w:t>具体要求</w:t>
            </w:r>
          </w:p>
        </w:tc>
      </w:tr>
      <w:tr w:rsidR="002D7E2C" w14:paraId="7AF14403" w14:textId="77777777">
        <w:trPr>
          <w:cantSplit/>
          <w:jc w:val="center"/>
        </w:trPr>
        <w:tc>
          <w:tcPr>
            <w:tcW w:w="2434" w:type="dxa"/>
            <w:vAlign w:val="center"/>
          </w:tcPr>
          <w:p w14:paraId="671E6A32" w14:textId="77777777" w:rsidR="002D7E2C" w:rsidRDefault="00057618">
            <w:pPr>
              <w:pStyle w:val="TableText"/>
            </w:pPr>
            <w:r>
              <w:t>版本与原文</w:t>
            </w:r>
          </w:p>
        </w:tc>
        <w:tc>
          <w:tcPr>
            <w:tcW w:w="6926" w:type="dxa"/>
            <w:vAlign w:val="center"/>
          </w:tcPr>
          <w:p w14:paraId="14DCF009" w14:textId="77777777" w:rsidR="002D7E2C" w:rsidRDefault="00057618">
            <w:pPr>
              <w:pStyle w:val="TableText"/>
              <w:rPr>
                <w:lang w:eastAsia="zh-CN"/>
              </w:rPr>
            </w:pPr>
            <w:r>
              <w:rPr>
                <w:lang w:eastAsia="zh-CN"/>
              </w:rPr>
              <w:t>政策名称、版本内编号、官方序号、原文位置及来源</w:t>
            </w:r>
          </w:p>
        </w:tc>
      </w:tr>
      <w:tr w:rsidR="002D7E2C" w14:paraId="79B2E6DE" w14:textId="77777777">
        <w:trPr>
          <w:cantSplit/>
          <w:jc w:val="center"/>
        </w:trPr>
        <w:tc>
          <w:tcPr>
            <w:tcW w:w="2434" w:type="dxa"/>
            <w:vAlign w:val="center"/>
          </w:tcPr>
          <w:p w14:paraId="14CB1084" w14:textId="77777777" w:rsidR="002D7E2C" w:rsidRDefault="00057618">
            <w:pPr>
              <w:pStyle w:val="TableText"/>
            </w:pPr>
            <w:r>
              <w:t>业务与适用条件</w:t>
            </w:r>
          </w:p>
        </w:tc>
        <w:tc>
          <w:tcPr>
            <w:tcW w:w="6926" w:type="dxa"/>
            <w:vAlign w:val="center"/>
          </w:tcPr>
          <w:p w14:paraId="4D45614F" w14:textId="77777777" w:rsidR="002D7E2C" w:rsidRDefault="00057618">
            <w:pPr>
              <w:pStyle w:val="TableText"/>
              <w:rPr>
                <w:lang w:eastAsia="zh-CN"/>
              </w:rPr>
            </w:pPr>
            <w:r>
              <w:rPr>
                <w:lang w:eastAsia="zh-CN"/>
              </w:rPr>
              <w:t>具体活动、地区、投资者资格、项目或交易范围及例外</w:t>
            </w:r>
          </w:p>
        </w:tc>
      </w:tr>
      <w:tr w:rsidR="002D7E2C" w14:paraId="1B78AD1F" w14:textId="77777777">
        <w:trPr>
          <w:cantSplit/>
          <w:jc w:val="center"/>
        </w:trPr>
        <w:tc>
          <w:tcPr>
            <w:tcW w:w="2434" w:type="dxa"/>
            <w:vAlign w:val="center"/>
          </w:tcPr>
          <w:p w14:paraId="5F4FC450" w14:textId="77777777" w:rsidR="002D7E2C" w:rsidRDefault="00057618">
            <w:pPr>
              <w:pStyle w:val="TableText"/>
            </w:pPr>
            <w:r>
              <w:t>时间与法律要求</w:t>
            </w:r>
          </w:p>
        </w:tc>
        <w:tc>
          <w:tcPr>
            <w:tcW w:w="6926" w:type="dxa"/>
            <w:vAlign w:val="center"/>
          </w:tcPr>
          <w:p w14:paraId="122B2009" w14:textId="77777777" w:rsidR="002D7E2C" w:rsidRDefault="00057618">
            <w:pPr>
              <w:pStyle w:val="TableText"/>
              <w:rPr>
                <w:lang w:eastAsia="zh-CN"/>
              </w:rPr>
            </w:pPr>
            <w:r>
              <w:rPr>
                <w:lang w:eastAsia="zh-CN"/>
              </w:rPr>
              <w:t>公开、生效和过渡时间，改革前后各自适用的具体要求</w:t>
            </w:r>
          </w:p>
        </w:tc>
      </w:tr>
      <w:tr w:rsidR="002D7E2C" w14:paraId="0C68647F" w14:textId="77777777">
        <w:trPr>
          <w:cantSplit/>
          <w:jc w:val="center"/>
        </w:trPr>
        <w:tc>
          <w:tcPr>
            <w:tcW w:w="2434" w:type="dxa"/>
            <w:vAlign w:val="center"/>
          </w:tcPr>
          <w:p w14:paraId="7F964C69" w14:textId="77777777" w:rsidR="002D7E2C" w:rsidRDefault="00057618">
            <w:pPr>
              <w:pStyle w:val="TableText"/>
            </w:pPr>
            <w:r>
              <w:t>放宽判断</w:t>
            </w:r>
          </w:p>
        </w:tc>
        <w:tc>
          <w:tcPr>
            <w:tcW w:w="6926" w:type="dxa"/>
            <w:vAlign w:val="center"/>
          </w:tcPr>
          <w:p w14:paraId="43FE434B" w14:textId="77777777" w:rsidR="002D7E2C" w:rsidRDefault="00057618">
            <w:pPr>
              <w:pStyle w:val="TableText"/>
              <w:rPr>
                <w:lang w:eastAsia="zh-CN"/>
              </w:rPr>
            </w:pPr>
            <w:r>
              <w:rPr>
                <w:lang w:eastAsia="zh-CN"/>
              </w:rPr>
              <w:t>确认放宽、未发生本轮放宽或尚不能判断，并附法律依据</w:t>
            </w:r>
          </w:p>
        </w:tc>
      </w:tr>
      <w:tr w:rsidR="002D7E2C" w14:paraId="48327813" w14:textId="77777777">
        <w:trPr>
          <w:cantSplit/>
          <w:jc w:val="center"/>
        </w:trPr>
        <w:tc>
          <w:tcPr>
            <w:tcW w:w="2434" w:type="dxa"/>
            <w:vAlign w:val="center"/>
          </w:tcPr>
          <w:p w14:paraId="1BE42438" w14:textId="77777777" w:rsidR="002D7E2C" w:rsidRDefault="00057618">
            <w:pPr>
              <w:pStyle w:val="TableText"/>
            </w:pPr>
            <w:r>
              <w:t>分类与复核</w:t>
            </w:r>
          </w:p>
        </w:tc>
        <w:tc>
          <w:tcPr>
            <w:tcW w:w="6926" w:type="dxa"/>
            <w:vAlign w:val="center"/>
          </w:tcPr>
          <w:p w14:paraId="1A4E4825" w14:textId="77777777" w:rsidR="002D7E2C" w:rsidRDefault="00057618">
            <w:pPr>
              <w:pStyle w:val="TableText"/>
              <w:rPr>
                <w:lang w:eastAsia="zh-CN"/>
              </w:rPr>
            </w:pPr>
            <w:r>
              <w:rPr>
                <w:lang w:eastAsia="zh-CN"/>
              </w:rPr>
              <w:t>GB2017</w:t>
            </w:r>
            <w:r>
              <w:rPr>
                <w:lang w:eastAsia="zh-CN"/>
              </w:rPr>
              <w:t>候选及覆盖范围、专项规定核查、人工复核记录</w:t>
            </w:r>
          </w:p>
        </w:tc>
      </w:tr>
    </w:tbl>
    <w:p w14:paraId="5335596D" w14:textId="77777777" w:rsidR="002D7E2C" w:rsidRDefault="002D7E2C">
      <w:pPr>
        <w:spacing w:after="40" w:line="84" w:lineRule="auto"/>
        <w:rPr>
          <w:lang w:eastAsia="zh-CN"/>
        </w:rPr>
      </w:pPr>
    </w:p>
    <w:p w14:paraId="40B49359" w14:textId="77777777" w:rsidR="002D7E2C" w:rsidRDefault="00057618">
      <w:pPr>
        <w:pStyle w:val="21"/>
        <w:rPr>
          <w:lang w:eastAsia="zh-CN"/>
        </w:rPr>
      </w:pPr>
      <w:r>
        <w:rPr>
          <w:lang w:eastAsia="zh-CN"/>
        </w:rPr>
        <w:t xml:space="preserve">A.1.2 </w:t>
      </w:r>
      <w:r>
        <w:rPr>
          <w:lang w:eastAsia="zh-CN"/>
        </w:rPr>
        <w:t>准入放宽的判断依据</w:t>
      </w:r>
    </w:p>
    <w:p w14:paraId="6A85949F" w14:textId="77777777" w:rsidR="002D7E2C" w:rsidRDefault="00057618">
      <w:pPr>
        <w:rPr>
          <w:lang w:eastAsia="zh-CN"/>
        </w:rPr>
      </w:pPr>
      <w:r>
        <w:rPr>
          <w:lang w:eastAsia="zh-CN"/>
        </w:rPr>
        <w:t>本文依据同一企业改革前的业务、地区及资格，判断其是否因</w:t>
      </w:r>
      <w:r>
        <w:rPr>
          <w:lang w:eastAsia="zh-CN"/>
        </w:rPr>
        <w:t>2015</w:t>
      </w:r>
      <w:r>
        <w:rPr>
          <w:lang w:eastAsia="zh-CN"/>
        </w:rPr>
        <w:t>年改革获得更宽的外资准入机会。例如，取消中方控股要求、提高外资持股上限，均可能构成放宽。提高上限后仍有股比限制，也属于需要识别的变化；不能只比较改革前后是否</w:t>
      </w:r>
      <w:r>
        <w:rPr>
          <w:lang w:eastAsia="zh-CN"/>
        </w:rPr>
        <w:t>“</w:t>
      </w:r>
      <w:r>
        <w:rPr>
          <w:lang w:eastAsia="zh-CN"/>
        </w:rPr>
        <w:t>仍然受限</w:t>
      </w:r>
      <w:r>
        <w:rPr>
          <w:lang w:eastAsia="zh-CN"/>
        </w:rPr>
        <w:t>”</w:t>
      </w:r>
      <w:r>
        <w:rPr>
          <w:lang w:eastAsia="zh-CN"/>
        </w:rPr>
        <w:t>。对同时放宽一项要求、收紧另一项要求的业务，保留具体变化并单列核查，不自行赋分相抵。</w:t>
      </w:r>
    </w:p>
    <w:p w14:paraId="21A3890E" w14:textId="77777777" w:rsidR="002D7E2C" w:rsidRDefault="00057618">
      <w:pPr>
        <w:rPr>
          <w:lang w:eastAsia="zh-CN"/>
        </w:rPr>
      </w:pPr>
      <w:r>
        <w:rPr>
          <w:lang w:eastAsia="zh-CN"/>
        </w:rPr>
        <w:t>条目删除、合并或鼓励资格改变，须结合实际法律效果判断。</w:t>
      </w:r>
      <w:r>
        <w:rPr>
          <w:lang w:eastAsia="zh-CN"/>
        </w:rPr>
        <w:t>2011</w:t>
      </w:r>
      <w:r>
        <w:rPr>
          <w:lang w:eastAsia="zh-CN"/>
        </w:rPr>
        <w:t>年目录要求名优白酒生产由中方控股，</w:t>
      </w:r>
      <w:r>
        <w:rPr>
          <w:lang w:eastAsia="zh-CN"/>
        </w:rPr>
        <w:t>2015</w:t>
      </w:r>
      <w:r>
        <w:rPr>
          <w:lang w:eastAsia="zh-CN"/>
        </w:rPr>
        <w:t>年删除相关条目，官方发布说明又明确确认取消其股比要求，可以据此认定目录层面的放宽。相反，证券公司外资上限在两版目录中从三分之一变为</w:t>
      </w:r>
      <w:r>
        <w:rPr>
          <w:lang w:eastAsia="zh-CN"/>
        </w:rPr>
        <w:t>49%</w:t>
      </w:r>
      <w:r>
        <w:rPr>
          <w:lang w:eastAsia="zh-CN"/>
        </w:rPr>
        <w:t>，但该项调整已由</w:t>
      </w:r>
      <w:r>
        <w:rPr>
          <w:lang w:eastAsia="zh-CN"/>
        </w:rPr>
        <w:t>2012</w:t>
      </w:r>
      <w:r>
        <w:rPr>
          <w:lang w:eastAsia="zh-CN"/>
        </w:rPr>
        <w:t>年证监会规定实施，不能归为</w:t>
      </w:r>
      <w:r>
        <w:rPr>
          <w:lang w:eastAsia="zh-CN"/>
        </w:rPr>
        <w:t>2015</w:t>
      </w:r>
      <w:r>
        <w:rPr>
          <w:lang w:eastAsia="zh-CN"/>
        </w:rPr>
        <w:t>年新增放宽。</w:t>
      </w:r>
      <w:r>
        <w:rPr>
          <w:lang w:eastAsia="zh-CN"/>
        </w:rPr>
        <w:t>⁠</w:t>
      </w:r>
      <w:r>
        <w:rPr>
          <w:rStyle w:val="15"/>
        </w:rPr>
        <w:footnoteReference w:id="2"/>
      </w:r>
    </w:p>
    <w:p w14:paraId="19CDAA24" w14:textId="77777777" w:rsidR="002D7E2C" w:rsidRDefault="00057618">
      <w:pPr>
        <w:rPr>
          <w:lang w:eastAsia="zh-CN"/>
        </w:rPr>
      </w:pPr>
      <w:r>
        <w:rPr>
          <w:lang w:eastAsia="zh-CN"/>
        </w:rPr>
        <w:lastRenderedPageBreak/>
        <w:t>鼓励类内部也可能取消准入要求，单纯新增鼓励资格则不必然改变准入条件。对伴随税收优惠、项目管理或其他扶持变化的业务，分别记录相关安排。目录本身带来的准入及相应办理条件变化属于本轮政策内容；其他同期措施的差异影响若无法区分，应按政策组合解释，不能将其全部归为准入成本下降。查不到原条款时，继续核实当期有效规定，法律状态未知的记录保留待核查。</w:t>
      </w:r>
    </w:p>
    <w:p w14:paraId="0204E892" w14:textId="77777777" w:rsidR="002D7E2C" w:rsidRDefault="00057618">
      <w:pPr>
        <w:pStyle w:val="21"/>
        <w:rPr>
          <w:lang w:eastAsia="zh-CN"/>
        </w:rPr>
      </w:pPr>
      <w:r>
        <w:rPr>
          <w:lang w:eastAsia="zh-CN"/>
        </w:rPr>
        <w:t xml:space="preserve">A.1.3 </w:t>
      </w:r>
      <w:r>
        <w:rPr>
          <w:lang w:eastAsia="zh-CN"/>
        </w:rPr>
        <w:t>政策文本抽取与人工核验</w:t>
      </w:r>
    </w:p>
    <w:p w14:paraId="115AD314" w14:textId="77777777" w:rsidR="002D7E2C" w:rsidRDefault="00057618">
      <w:pPr>
        <w:rPr>
          <w:lang w:eastAsia="zh-CN"/>
        </w:rPr>
      </w:pPr>
      <w:r>
        <w:rPr>
          <w:lang w:eastAsia="zh-CN"/>
        </w:rPr>
        <w:t>大语言模型辅助识别业务、法律要求、适用条件和例外，每项判断均须对应原文。先检查比例、日期和文本范围，再由人工重点复核本轮放宽、条款删除、专项规定重合及低置信度结果，并随机抽取其他记录核验。以独立人工标注检验活动识别和放宽判断的准确性，分别报告精确率、召回率和</w:t>
      </w:r>
      <w:r>
        <w:rPr>
          <w:lang w:eastAsia="zh-CN"/>
        </w:rPr>
        <w:t>F1</w:t>
      </w:r>
      <w:r>
        <w:rPr>
          <w:lang w:eastAsia="zh-CN"/>
        </w:rPr>
        <w:t>；重复抽取结果用于考察稳定性。模型版本、提示词和人工修改记录随结果保存。</w:t>
      </w:r>
    </w:p>
    <w:p w14:paraId="646055EC" w14:textId="77777777" w:rsidR="002D7E2C" w:rsidRDefault="00057618">
      <w:pPr>
        <w:pStyle w:val="1"/>
        <w:rPr>
          <w:lang w:eastAsia="zh-CN"/>
        </w:rPr>
      </w:pPr>
      <w:r>
        <w:rPr>
          <w:lang w:eastAsia="zh-CN"/>
        </w:rPr>
        <w:t xml:space="preserve">A.2 </w:t>
      </w:r>
      <w:r>
        <w:rPr>
          <w:lang w:eastAsia="zh-CN"/>
        </w:rPr>
        <w:t>从政策编码单元到企业处理身份</w:t>
      </w:r>
    </w:p>
    <w:p w14:paraId="5ECD1D4B" w14:textId="77777777" w:rsidR="002D7E2C" w:rsidRDefault="00057618">
      <w:pPr>
        <w:pStyle w:val="21"/>
        <w:rPr>
          <w:lang w:eastAsia="zh-CN"/>
        </w:rPr>
      </w:pPr>
      <w:r>
        <w:rPr>
          <w:lang w:eastAsia="zh-CN"/>
        </w:rPr>
        <w:t xml:space="preserve">A.2.1 </w:t>
      </w:r>
      <w:r>
        <w:rPr>
          <w:lang w:eastAsia="zh-CN"/>
        </w:rPr>
        <w:t>政策活动与</w:t>
      </w:r>
      <w:r>
        <w:rPr>
          <w:lang w:eastAsia="zh-CN"/>
        </w:rPr>
        <w:t>GB2017</w:t>
      </w:r>
      <w:r>
        <w:rPr>
          <w:lang w:eastAsia="zh-CN"/>
        </w:rPr>
        <w:t>四位小类匹配</w:t>
      </w:r>
    </w:p>
    <w:p w14:paraId="7DE9A8EC" w14:textId="77777777" w:rsidR="002D7E2C" w:rsidRDefault="00057618">
      <w:pPr>
        <w:rPr>
          <w:lang w:eastAsia="zh-CN"/>
        </w:rPr>
      </w:pPr>
      <w:r>
        <w:rPr>
          <w:lang w:eastAsia="zh-CN"/>
        </w:rPr>
        <w:t>本文统一采用</w:t>
      </w:r>
      <w:r>
        <w:rPr>
          <w:lang w:eastAsia="zh-CN"/>
        </w:rPr>
        <w:t>GB/T 4754—2017</w:t>
      </w:r>
      <w:r>
        <w:rPr>
          <w:lang w:eastAsia="zh-CN"/>
        </w:rPr>
        <w:t>及</w:t>
      </w:r>
      <w:r>
        <w:rPr>
          <w:lang w:eastAsia="zh-CN"/>
        </w:rPr>
        <w:t>2019</w:t>
      </w:r>
      <w:r>
        <w:rPr>
          <w:lang w:eastAsia="zh-CN"/>
        </w:rPr>
        <w:t>年第</w:t>
      </w:r>
      <w:r>
        <w:rPr>
          <w:lang w:eastAsia="zh-CN"/>
        </w:rPr>
        <w:t>1</w:t>
      </w:r>
      <w:r>
        <w:rPr>
          <w:lang w:eastAsia="zh-CN"/>
        </w:rPr>
        <w:t>号修改单，以下简称</w:t>
      </w:r>
      <w:r>
        <w:rPr>
          <w:lang w:eastAsia="zh-CN"/>
        </w:rPr>
        <w:t>GB2017</w:t>
      </w:r>
      <w:r>
        <w:rPr>
          <w:lang w:eastAsia="zh-CN"/>
        </w:rPr>
        <w:t>。该标准是研究采用的共同分类，不据此认定</w:t>
      </w:r>
      <w:r>
        <w:rPr>
          <w:lang w:eastAsia="zh-CN"/>
        </w:rPr>
        <w:t>2011</w:t>
      </w:r>
      <w:r>
        <w:rPr>
          <w:lang w:eastAsia="zh-CN"/>
        </w:rPr>
        <w:t>年、</w:t>
      </w:r>
      <w:r>
        <w:rPr>
          <w:lang w:eastAsia="zh-CN"/>
        </w:rPr>
        <w:t>2015</w:t>
      </w:r>
      <w:r>
        <w:rPr>
          <w:lang w:eastAsia="zh-CN"/>
        </w:rPr>
        <w:t>年政策原文按</w:t>
      </w:r>
      <w:r>
        <w:rPr>
          <w:lang w:eastAsia="zh-CN"/>
        </w:rPr>
        <w:t>GB2017</w:t>
      </w:r>
      <w:r>
        <w:rPr>
          <w:lang w:eastAsia="zh-CN"/>
        </w:rPr>
        <w:t>编制。政策文件采用何种分类、企业数据使用何种行业版本，分别依据原始说明核实。</w:t>
      </w:r>
    </w:p>
    <w:p w14:paraId="08026E68" w14:textId="77777777" w:rsidR="002D7E2C" w:rsidRDefault="00057618">
      <w:pPr>
        <w:rPr>
          <w:lang w:eastAsia="zh-CN"/>
        </w:rPr>
      </w:pPr>
      <w:r>
        <w:rPr>
          <w:lang w:eastAsia="zh-CN"/>
        </w:rPr>
        <w:t>基准从政策条款的业务内容直接匹配</w:t>
      </w:r>
      <w:r>
        <w:rPr>
          <w:lang w:eastAsia="zh-CN"/>
        </w:rPr>
        <w:t>GB2017</w:t>
      </w:r>
      <w:r>
        <w:rPr>
          <w:lang w:eastAsia="zh-CN"/>
        </w:rPr>
        <w:t>。用四位小类名称、注释及包括和不包括的活动建立检索资料，根据政策活动和适用范围筛选候选代码，再结合原文与行业定义判断对应关系。语义相似度用于检索，业务是否受到限制及本轮是否放宽仍需依据法律内容核实。</w:t>
      </w:r>
    </w:p>
    <w:p w14:paraId="60524B3E" w14:textId="77777777" w:rsidR="002D7E2C" w:rsidRDefault="00057618">
      <w:pPr>
        <w:rPr>
          <w:lang w:eastAsia="zh-CN"/>
        </w:rPr>
      </w:pPr>
      <w:r>
        <w:rPr>
          <w:lang w:eastAsia="zh-CN"/>
        </w:rPr>
        <w:t>一个单元可以对应多个小类，一个小类也可能涉及多项规则。每条关系分别记录完整覆盖、部分覆盖或范围待核实。例如，</w:t>
      </w:r>
      <w:r>
        <w:rPr>
          <w:lang w:eastAsia="zh-CN"/>
        </w:rPr>
        <w:t>2011</w:t>
      </w:r>
      <w:r>
        <w:rPr>
          <w:lang w:eastAsia="zh-CN"/>
        </w:rPr>
        <w:t>年对</w:t>
      </w:r>
      <w:r>
        <w:rPr>
          <w:lang w:eastAsia="zh-CN"/>
        </w:rPr>
        <w:t>400</w:t>
      </w:r>
      <w:r>
        <w:rPr>
          <w:lang w:eastAsia="zh-CN"/>
        </w:rPr>
        <w:t>吨以下轮式、履带式起重机械制造提出合资、合作要求，</w:t>
      </w:r>
      <w:r>
        <w:rPr>
          <w:lang w:eastAsia="zh-CN"/>
        </w:rPr>
        <w:t>2015</w:t>
      </w:r>
      <w:r>
        <w:rPr>
          <w:lang w:eastAsia="zh-CN"/>
        </w:rPr>
        <w:t>年目录删除相关条目，官方说明确认取消有关要求；匹配企业时仍须核实设备类型和吨位，不能推及全部工程机械。名优白酒的具体范围同样需核实，不能将白酒制造小类内所有企业都赋为处理组。</w:t>
      </w:r>
    </w:p>
    <w:p w14:paraId="501D83F5" w14:textId="77777777" w:rsidR="002D7E2C" w:rsidRDefault="00057618">
      <w:pPr>
        <w:rPr>
          <w:lang w:eastAsia="zh-CN"/>
        </w:rPr>
      </w:pPr>
      <w:r>
        <w:rPr>
          <w:lang w:eastAsia="zh-CN"/>
        </w:rPr>
        <w:lastRenderedPageBreak/>
        <w:t>历史行业代码有明确依据时，使用官方新旧类目对照表辅助核验。拆分或合并产生多个候选的，依据业务内容进一步判断；无法确定时保留合理候选，不指定无依据的唯一代码或分配权重。</w:t>
      </w:r>
    </w:p>
    <w:p w14:paraId="175C2034" w14:textId="77777777" w:rsidR="002D7E2C" w:rsidRDefault="00057618">
      <w:pPr>
        <w:pStyle w:val="21"/>
      </w:pPr>
      <w:r>
        <w:t>A.2.2 GB2017</w:t>
      </w:r>
      <w:r>
        <w:t>四位小类到</w:t>
      </w:r>
      <w:r>
        <w:t>ISIC Rev.4</w:t>
      </w:r>
      <w:r>
        <w:t>及</w:t>
      </w:r>
      <w:r>
        <w:t>AMNE</w:t>
      </w:r>
      <w:r>
        <w:t>部门</w:t>
      </w:r>
    </w:p>
    <w:p w14:paraId="444C2855" w14:textId="77777777" w:rsidR="002D7E2C" w:rsidRDefault="00057618">
      <w:pPr>
        <w:rPr>
          <w:lang w:eastAsia="zh-CN"/>
        </w:rPr>
      </w:pPr>
      <w:r>
        <w:t>在</w:t>
      </w:r>
      <w:r>
        <w:t>GB2017</w:t>
      </w:r>
      <w:r>
        <w:t>分类基础上，依据官方对照资料转换至</w:t>
      </w:r>
      <w:r>
        <w:t>ISIC Rev.4</w:t>
      </w:r>
      <w:r>
        <w:t>四位行业，再按所用</w:t>
      </w:r>
      <w:r>
        <w:t>OECD-AMNE</w:t>
      </w:r>
      <w:r>
        <w:t>数据版本和现有模型部门表归并。</w:t>
      </w:r>
      <w:r>
        <w:rPr>
          <w:lang w:eastAsia="zh-CN"/>
        </w:rPr>
        <w:t>分类版本、对应依据及未能确定的关系一并保存。多个候选行业最终属于同一模型部门时，可以确定部门归属；分属不同部门时，须依据业务资料或分业务产出进一步判断。只有企业总产出且无法确定部门归属时，不任意拆分。该步骤用于按部门加总生产价值，企业政策待遇仍按具体业务判断。</w:t>
      </w:r>
    </w:p>
    <w:p w14:paraId="38B41C9F" w14:textId="77777777" w:rsidR="002D7E2C" w:rsidRDefault="00057618">
      <w:pPr>
        <w:pStyle w:val="21"/>
        <w:rPr>
          <w:lang w:eastAsia="zh-CN"/>
        </w:rPr>
      </w:pPr>
      <w:r>
        <w:rPr>
          <w:lang w:eastAsia="zh-CN"/>
        </w:rPr>
        <w:t xml:space="preserve">A.2.3 </w:t>
      </w:r>
      <w:r>
        <w:rPr>
          <w:lang w:eastAsia="zh-CN"/>
        </w:rPr>
        <w:t>企业改革前业务与政策适用判断</w:t>
      </w:r>
    </w:p>
    <w:p w14:paraId="70BACE22" w14:textId="77777777" w:rsidR="002D7E2C" w:rsidRDefault="00057618">
      <w:pPr>
        <w:keepNext/>
        <w:rPr>
          <w:lang w:eastAsia="zh-CN"/>
        </w:rPr>
      </w:pPr>
      <w:r>
        <w:rPr>
          <w:lang w:eastAsia="zh-CN"/>
        </w:rPr>
        <w:t>以企业公告前核心产品或主营业务描述</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r>
                  <w:rPr>
                    <w:rFonts w:ascii="Cambria Math" w:hAnsi="Cambria Math"/>
                    <w:lang w:eastAsia="zh-CN"/>
                  </w:rPr>
                  <m:t>0</m:t>
                </m:r>
              </m:sub>
            </m:sSub>
          </m:e>
        </m:box>
      </m:oMath>
      <w:r>
        <w:rPr>
          <w:lang w:eastAsia="zh-CN"/>
        </w:rPr>
        <w:t>作为固定比较对象，优先采用</w:t>
      </w:r>
      <w:r>
        <w:rPr>
          <w:lang w:eastAsia="zh-CN"/>
        </w:rPr>
        <w:t>2013</w:t>
      </w:r>
      <w:r>
        <w:rPr>
          <w:lang w:eastAsia="zh-CN"/>
        </w:rPr>
        <w:t>年资料，或能够确认早于公开征求意见的业务记录。相应行业、生产地区和可观察资格也固定在改革前。</w:t>
      </w:r>
      <w:r>
        <w:rPr>
          <w:lang w:eastAsia="zh-CN"/>
        </w:rPr>
        <w:t>2014</w:t>
      </w:r>
      <w:r>
        <w:rPr>
          <w:lang w:eastAsia="zh-CN"/>
        </w:rPr>
        <w:t>年全年业务资料可能包含提前调整，不能直接视为公告前信息。统一企业行业后，分别在改革前后政策文本中检索适用单元。设</w:t>
      </w:r>
      <m:oMath>
        <m:box>
          <m:boxPr>
            <m:ctrlPr>
              <w:rPr>
                <w:rFonts w:ascii="Cambria Math" w:hAnsi="Cambria Math"/>
              </w:rPr>
            </m:ctrlPr>
          </m:boxPr>
          <m:e>
            <m:r>
              <w:rPr>
                <w:rFonts w:ascii="Cambria Math" w:hAnsi="Cambria Math"/>
                <w:lang w:eastAsia="zh-CN"/>
              </w:rPr>
              <m:t>v</m:t>
            </m:r>
          </m:e>
        </m:box>
      </m:oMath>
      <w:r>
        <w:rPr>
          <w:lang w:eastAsia="zh-CN"/>
        </w:rPr>
        <w:t>为版本、</w:t>
      </w:r>
      <m:oMath>
        <m:box>
          <m:boxPr>
            <m:ctrlPr>
              <w:rPr>
                <w:rFonts w:ascii="Cambria Math" w:hAnsi="Cambria Math"/>
              </w:rPr>
            </m:ctrlPr>
          </m:boxPr>
          <m:e>
            <m:r>
              <w:rPr>
                <w:rFonts w:ascii="Cambria Math" w:hAnsi="Cambria Math"/>
                <w:lang w:eastAsia="zh-CN"/>
              </w:rPr>
              <m:t>p</m:t>
            </m:r>
          </m:e>
        </m:box>
      </m:oMath>
      <w:r>
        <w:rPr>
          <w:lang w:eastAsia="zh-CN"/>
        </w:rPr>
        <w:t>为版本内单元，</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pv</m:t>
                </m:r>
              </m:sub>
            </m:sSub>
          </m:e>
        </m:box>
      </m:oMath>
      <w:r>
        <w:rPr>
          <w:lang w:eastAsia="zh-CN"/>
        </w:rPr>
        <w:t>为其活动描述，则检索相似度为：</w:t>
      </w:r>
    </w:p>
    <w:p w14:paraId="4982EE67" w14:textId="77777777" w:rsidR="002D7E2C" w:rsidRDefault="00057618">
      <w:pPr>
        <w:pStyle w:val="Equation"/>
        <w:keepNext/>
      </w:pPr>
      <w:r>
        <w:rPr>
          <w:lang w:eastAsia="zh-CN"/>
        </w:rPr>
        <w:tab/>
      </w:r>
      <m:oMath>
        <m:sSub>
          <m:sSubPr>
            <m:ctrlPr>
              <w:rPr>
                <w:rFonts w:ascii="Cambria Math" w:hAnsi="Cambria Math"/>
              </w:rPr>
            </m:ctrlPr>
          </m:sSubPr>
          <m:e>
            <m:r>
              <w:rPr>
                <w:rFonts w:ascii="Cambria Math" w:hAnsi="Cambria Math"/>
              </w:rPr>
              <m:t>s</m:t>
            </m:r>
          </m:e>
          <m:sub>
            <m:r>
              <w:rPr>
                <w:rFonts w:ascii="Cambria Math" w:hAnsi="Cambria Math"/>
              </w:rPr>
              <m:t>fpv</m:t>
            </m:r>
          </m:sub>
        </m:sSub>
        <m:r>
          <w:rPr>
            <w:rFonts w:ascii="Cambria Math" w:hAnsi="Cambria Math"/>
          </w:rPr>
          <m:t>=</m:t>
        </m:r>
        <m:r>
          <m:rPr>
            <m:sty m:val="p"/>
          </m:rPr>
          <w:rPr>
            <w:rFonts w:ascii="Cambria Math" w:hAnsi="Cambria Math"/>
          </w:rPr>
          <m:t>cos</m:t>
        </m:r>
        <m:r>
          <w:rPr>
            <w:rFonts w:ascii="Cambria Math" w:hAnsi="Cambria Math"/>
          </w:rPr>
          <m:t>[</m:t>
        </m:r>
        <m:r>
          <m:rPr>
            <m:sty m:val="p"/>
          </m:rPr>
          <w:rPr>
            <w:rFonts w:ascii="Cambria Math" w:hAnsi="Cambria Math"/>
          </w:rPr>
          <m:t>emb</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r>
              <w:rPr>
                <w:rFonts w:ascii="Cambria Math" w:hAnsi="Cambria Math"/>
              </w:rPr>
              <m:t>0</m:t>
            </m:r>
          </m:sub>
        </m:sSub>
        <m:r>
          <w:rPr>
            <w:rFonts w:ascii="Cambria Math" w:hAnsi="Cambria Math"/>
          </w:rPr>
          <m:t>),</m:t>
        </m:r>
        <m:r>
          <m:rPr>
            <m:sty m:val="p"/>
          </m:rPr>
          <w:rPr>
            <w:rFonts w:ascii="Cambria Math" w:hAnsi="Cambria Math"/>
          </w:rPr>
          <m:t>emb</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pv</m:t>
            </m:r>
          </m:sub>
        </m:sSub>
        <m:r>
          <w:rPr>
            <w:rFonts w:ascii="Cambria Math" w:hAnsi="Cambria Math"/>
          </w:rPr>
          <m:t>)].</m:t>
        </m:r>
      </m:oMath>
      <w:r>
        <w:tab/>
        <w:t>(A2)</w:t>
      </w:r>
    </w:p>
    <w:p w14:paraId="3F00CF97" w14:textId="77777777" w:rsidR="002D7E2C" w:rsidRDefault="00057618">
      <w:pPr>
        <w:rPr>
          <w:lang w:eastAsia="zh-CN"/>
        </w:rPr>
      </w:pPr>
      <w:r>
        <w:rPr>
          <w:lang w:eastAsia="zh-CN"/>
        </w:rPr>
        <w:t>匹配阈值由独立核验样本确定。存在多个合理候选时，结合产品细节、条款条件和例外复核；多项规则同时适用时，完整记录。未匹配到条款的企业继续核查法律状态，不直接记为未受改革影响。</w:t>
      </w:r>
    </w:p>
    <w:p w14:paraId="1D28BC75" w14:textId="77777777" w:rsidR="002D7E2C" w:rsidRDefault="00057618">
      <w:pPr>
        <w:rPr>
          <w:lang w:eastAsia="zh-CN"/>
        </w:rPr>
      </w:pPr>
      <w:r>
        <w:rPr>
          <w:lang w:eastAsia="zh-CN"/>
        </w:rPr>
        <w:t>原有企业可能通过增资、引入外国股东、并购或新增项目获得放宽机会。</w:t>
      </w:r>
      <w:r>
        <w:rPr>
          <w:lang w:eastAsia="zh-CN"/>
        </w:rPr>
        <w:t>2014</w:t>
      </w:r>
      <w:r>
        <w:rPr>
          <w:lang w:eastAsia="zh-CN"/>
        </w:rPr>
        <w:t>年投资项目核准和备案办法及当时的并购规定，分别涉及这些活动的项目管理和企业交易程序；不能混为同一项审批制度。研究须核对新设、增资、并购及原项目变更各自适用的要求，并结合原批准文件、合同章程和行业许可判断。业务受到放宽，不意味着全部存量项目自动变更经营条件。</w:t>
      </w:r>
      <w:r>
        <w:rPr>
          <w:lang w:eastAsia="zh-CN"/>
        </w:rPr>
        <w:t>⁠</w:t>
      </w:r>
      <w:r>
        <w:rPr>
          <w:rStyle w:val="15"/>
        </w:rPr>
        <w:footnoteReference w:id="3"/>
      </w:r>
    </w:p>
    <w:p w14:paraId="3ED29DDC" w14:textId="77777777" w:rsidR="002D7E2C" w:rsidRDefault="00057618">
      <w:pPr>
        <w:rPr>
          <w:lang w:eastAsia="zh-CN"/>
        </w:rPr>
      </w:pPr>
      <w:r>
        <w:rPr>
          <w:lang w:eastAsia="zh-CN"/>
        </w:rPr>
        <w:lastRenderedPageBreak/>
        <w:t>特殊区域和投资者资格另行核实。上海自贸试验区及广东部分合资格港澳服务提供者在全国改革前可能已有不同待遇，</w:t>
      </w:r>
      <w:r>
        <w:rPr>
          <w:lang w:eastAsia="zh-CN"/>
        </w:rPr>
        <w:t>2015</w:t>
      </w:r>
      <w:r>
        <w:rPr>
          <w:lang w:eastAsia="zh-CN"/>
        </w:rPr>
        <w:t>年四地自贸试验区又适用专项清单。基准优先选择全国目录规则适用明确的范围，用改革前地址核对观察期各年的区域边界，区分此前已享有放宽和</w:t>
      </w:r>
      <w:r>
        <w:rPr>
          <w:lang w:eastAsia="zh-CN"/>
        </w:rPr>
        <w:t>2015</w:t>
      </w:r>
      <w:r>
        <w:rPr>
          <w:lang w:eastAsia="zh-CN"/>
        </w:rPr>
        <w:t>年新设、扩区的影响。对国内企业，按预先确定的一般外资准入口径判断其接受投资的条件，不由改革后收购方的资格倒推处理身份；同一业务同时受到特殊资格安排变化影响的，仍须核实能否区分。无法判断者单列。</w:t>
      </w:r>
    </w:p>
    <w:p w14:paraId="30FED418" w14:textId="77777777" w:rsidR="002D7E2C" w:rsidRDefault="00057618">
      <w:pPr>
        <w:pStyle w:val="21"/>
        <w:rPr>
          <w:lang w:eastAsia="zh-CN"/>
        </w:rPr>
      </w:pPr>
      <w:r>
        <w:rPr>
          <w:lang w:eastAsia="zh-CN"/>
        </w:rPr>
        <w:t xml:space="preserve">A.2.4 </w:t>
      </w:r>
      <w:r>
        <w:rPr>
          <w:lang w:eastAsia="zh-CN"/>
        </w:rPr>
        <w:t>企业处理组与对照组</w:t>
      </w:r>
    </w:p>
    <w:p w14:paraId="3B1B6806" w14:textId="77777777" w:rsidR="002D7E2C" w:rsidRDefault="00057618">
      <w:pPr>
        <w:keepNext/>
        <w:rPr>
          <w:lang w:eastAsia="zh-CN"/>
        </w:rPr>
      </w:pPr>
      <w:r>
        <w:rPr>
          <w:lang w:eastAsia="zh-CN"/>
        </w:rPr>
        <w:t>根据固定业务及适用条件，确认企业是否属于本轮准入放宽范围，定义：</w:t>
      </w:r>
    </w:p>
    <w:p w14:paraId="257276B6" w14:textId="77777777" w:rsidR="002D7E2C" w:rsidRDefault="00057618">
      <w:pPr>
        <w:pStyle w:val="Equation"/>
        <w:keepNext/>
        <w:rPr>
          <w:lang w:eastAsia="zh-CN"/>
        </w:rPr>
      </w:pPr>
      <w:r>
        <w:rPr>
          <w:lang w:eastAsia="zh-CN"/>
        </w:rPr>
        <w:tab/>
      </w:r>
      <m:oMath>
        <m:sSub>
          <m:sSubPr>
            <m:ctrlPr>
              <w:rPr>
                <w:rFonts w:ascii="Cambria Math" w:hAnsi="Cambria Math"/>
              </w:rPr>
            </m:ctrlPr>
          </m:sSubPr>
          <m:e>
            <m:r>
              <m:rPr>
                <m:sty m:val="p"/>
              </m:rPr>
              <w:rPr>
                <w:rFonts w:ascii="Cambria Math" w:hAnsi="Cambria Math"/>
                <w:lang w:eastAsia="zh-CN"/>
              </w:rPr>
              <m:t>Treat</m:t>
            </m:r>
          </m:e>
          <m:sub>
            <m:r>
              <w:rPr>
                <w:rFonts w:ascii="Cambria Math" w:hAnsi="Cambria Math"/>
                <w:lang w:eastAsia="zh-CN"/>
              </w:rPr>
              <m:t>f</m:t>
            </m:r>
          </m:sub>
        </m:sSub>
        <m:r>
          <w:rPr>
            <w:rFonts w:ascii="Cambria Math" w:hAnsi="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eastAsia="zh-CN"/>
                    </w:rPr>
                    <m:t>1,</m:t>
                  </m:r>
                </m:e>
                <m:e>
                  <m:r>
                    <m:rPr>
                      <m:nor/>
                    </m:rPr>
                    <w:rPr>
                      <w:rFonts w:ascii="Cambria Math" w:hAnsi="Cambria Math"/>
                      <w:lang w:eastAsia="zh-CN"/>
                    </w:rPr>
                    <m:t>确认受到本轮放宽影响</m:t>
                  </m:r>
                  <m:r>
                    <w:rPr>
                      <w:rFonts w:ascii="Cambria Math" w:hAnsi="Cambria Math"/>
                      <w:lang w:eastAsia="zh-CN"/>
                    </w:rPr>
                    <m:t>,</m:t>
                  </m:r>
                </m:e>
              </m:mr>
              <m:mr>
                <m:e>
                  <m:r>
                    <w:rPr>
                      <w:rFonts w:ascii="Cambria Math" w:hAnsi="Cambria Math"/>
                      <w:lang w:eastAsia="zh-CN"/>
                    </w:rPr>
                    <m:t>0,</m:t>
                  </m:r>
                </m:e>
                <m:e>
                  <m:r>
                    <m:rPr>
                      <m:nor/>
                    </m:rPr>
                    <w:rPr>
                      <w:rFonts w:ascii="Cambria Math" w:hAnsi="Cambria Math"/>
                      <w:lang w:eastAsia="zh-CN"/>
                    </w:rPr>
                    <m:t>确认未受相关放宽且符合对照条件</m:t>
                  </m:r>
                  <m:r>
                    <w:rPr>
                      <w:rFonts w:ascii="Cambria Math" w:hAnsi="Cambria Math"/>
                      <w:lang w:eastAsia="zh-CN"/>
                    </w:rPr>
                    <m:t>,</m:t>
                  </m:r>
                </m:e>
              </m:mr>
              <m:mr>
                <m:e>
                  <m:r>
                    <m:rPr>
                      <m:sty m:val="p"/>
                    </m:rPr>
                    <w:rPr>
                      <w:rFonts w:ascii="Cambria Math" w:hAnsi="Cambria Math"/>
                      <w:lang w:eastAsia="zh-CN"/>
                    </w:rPr>
                    <m:t>NA</m:t>
                  </m:r>
                  <m:r>
                    <w:rPr>
                      <w:rFonts w:ascii="Cambria Math" w:hAnsi="Cambria Math"/>
                      <w:lang w:eastAsia="zh-CN"/>
                    </w:rPr>
                    <m:t>,</m:t>
                  </m:r>
                </m:e>
                <m:e>
                  <m:r>
                    <m:rPr>
                      <m:nor/>
                    </m:rPr>
                    <w:rPr>
                      <w:rFonts w:ascii="Cambria Math" w:hAnsi="Cambria Math"/>
                      <w:lang w:eastAsia="zh-CN"/>
                    </w:rPr>
                    <m:t>业务或法律适用尚不明确</m:t>
                  </m:r>
                  <m:r>
                    <w:rPr>
                      <w:rFonts w:ascii="Cambria Math" w:hAnsi="Cambria Math"/>
                      <w:lang w:eastAsia="zh-CN"/>
                    </w:rPr>
                    <m:t>.</m:t>
                  </m:r>
                </m:e>
              </m:mr>
            </m:m>
          </m:e>
        </m:d>
      </m:oMath>
      <w:r>
        <w:rPr>
          <w:lang w:eastAsia="zh-CN"/>
        </w:rPr>
        <w:tab/>
        <w:t>(A3)</w:t>
      </w:r>
    </w:p>
    <w:p w14:paraId="3340F75D" w14:textId="77777777" w:rsidR="002D7E2C" w:rsidRDefault="00057618">
      <w:pPr>
        <w:rPr>
          <w:lang w:eastAsia="zh-CN"/>
        </w:rPr>
      </w:pPr>
      <w:r>
        <w:rPr>
          <w:lang w:eastAsia="zh-CN"/>
        </w:rPr>
        <w:t>处理组同时包括符合条件的国内控制和外国控制企业，不要求企业改革后实际发生增资或并购。该分组用于估计准入机会改善后的企业反应。对照组须核实未受到该次相关放宽，并在改革前业务、制度状态和生产趋势上具有可比性；其他政策和竞争、供应链溢出影响按</w:t>
      </w:r>
      <w:r>
        <w:rPr>
          <w:lang w:eastAsia="zh-CN"/>
        </w:rPr>
        <w:t>A.3</w:t>
      </w:r>
      <w:r>
        <w:rPr>
          <w:lang w:eastAsia="zh-CN"/>
        </w:rPr>
        <w:t>核查。已提前享有同等放宽的企业不因</w:t>
      </w:r>
      <w:r>
        <w:rPr>
          <w:lang w:eastAsia="zh-CN"/>
        </w:rPr>
        <w:t>2015</w:t>
      </w:r>
      <w:r>
        <w:rPr>
          <w:lang w:eastAsia="zh-CN"/>
        </w:rPr>
        <w:t>年目录再次列示而进入处理组，也不自动成为合适对照。</w:t>
      </w:r>
    </w:p>
    <w:p w14:paraId="5E5E7D0E" w14:textId="77777777" w:rsidR="002D7E2C" w:rsidRDefault="00057618">
      <w:pPr>
        <w:rPr>
          <w:lang w:eastAsia="zh-CN"/>
        </w:rPr>
      </w:pPr>
      <w:r>
        <w:rPr>
          <w:lang w:eastAsia="zh-CN"/>
        </w:rPr>
        <w:t>多业务企业依据真实记录逐项判断。确认部分业务受到放宽且适用范围清楚的，记为处理组并标明部分覆盖；全部相关业务均未受到放宽且符合对照条件的，才记为对照组。业务范围或交叉法律要求尚不明确的，单列核验。基准不构造业务权重，也不平均不同业务的法定要求。处理身份在观察窗口内固定，改革后的业务调整、迁移和投资行为作为结果研究。</w:t>
      </w:r>
    </w:p>
    <w:p w14:paraId="69F06CDB" w14:textId="77777777" w:rsidR="002D7E2C" w:rsidRDefault="00057618">
      <w:pPr>
        <w:pStyle w:val="1"/>
        <w:rPr>
          <w:lang w:eastAsia="zh-CN"/>
        </w:rPr>
      </w:pPr>
      <w:r>
        <w:rPr>
          <w:lang w:eastAsia="zh-CN"/>
        </w:rPr>
        <w:t xml:space="preserve">A.3 </w:t>
      </w:r>
      <w:r>
        <w:rPr>
          <w:lang w:eastAsia="zh-CN"/>
        </w:rPr>
        <w:t>企业行为识别与跨国生产成本反演</w:t>
      </w:r>
    </w:p>
    <w:p w14:paraId="478D078B" w14:textId="77777777" w:rsidR="002D7E2C" w:rsidRDefault="00057618">
      <w:pPr>
        <w:pStyle w:val="21"/>
        <w:rPr>
          <w:lang w:eastAsia="zh-CN"/>
        </w:rPr>
      </w:pPr>
      <w:r>
        <w:rPr>
          <w:lang w:eastAsia="zh-CN"/>
        </w:rPr>
        <w:t xml:space="preserve">A.3.1 </w:t>
      </w:r>
      <w:r>
        <w:rPr>
          <w:lang w:eastAsia="zh-CN"/>
        </w:rPr>
        <w:t>单轮改革的基准</w:t>
      </w:r>
      <w:r>
        <w:rPr>
          <w:lang w:eastAsia="zh-CN"/>
        </w:rPr>
        <w:t>DID</w:t>
      </w:r>
    </w:p>
    <w:p w14:paraId="08672E40" w14:textId="77777777" w:rsidR="002D7E2C" w:rsidRDefault="00057618">
      <w:pPr>
        <w:rPr>
          <w:lang w:eastAsia="zh-CN"/>
        </w:rPr>
      </w:pPr>
      <w:r>
        <w:rPr>
          <w:lang w:eastAsia="zh-CN"/>
        </w:rPr>
        <w:t>基准采用围绕</w:t>
      </w:r>
      <w:r>
        <w:rPr>
          <w:lang w:eastAsia="zh-CN"/>
        </w:rPr>
        <w:t>2015</w:t>
      </w:r>
      <w:r>
        <w:rPr>
          <w:lang w:eastAsia="zh-CN"/>
        </w:rPr>
        <w:t>年改革的企业</w:t>
      </w:r>
      <w:r>
        <w:rPr>
          <w:lang w:eastAsia="zh-CN"/>
        </w:rPr>
        <w:t>—</w:t>
      </w:r>
      <w:r>
        <w:rPr>
          <w:lang w:eastAsia="zh-CN"/>
        </w:rPr>
        <w:t>年份面板，纳入公告前已经存在、业务和适用条件能够核实的企业。保留多个改革前年份，并在后续政策允许的范围内考察实施年及随后各年。入组依据在改革前确定，不以改革后持续存续或资料齐全筛选样本。新设企业没有公告前业务，在行业补充分析中考察。</w:t>
      </w:r>
    </w:p>
    <w:p w14:paraId="7965FD0D" w14:textId="77777777" w:rsidR="002D7E2C" w:rsidRDefault="00057618">
      <w:pPr>
        <w:rPr>
          <w:lang w:eastAsia="zh-CN"/>
        </w:rPr>
      </w:pPr>
      <w:r>
        <w:rPr>
          <w:lang w:eastAsia="zh-CN"/>
        </w:rPr>
        <w:lastRenderedPageBreak/>
        <w:t>年度时间安排见表</w:t>
      </w:r>
      <w:r>
        <w:rPr>
          <w:lang w:eastAsia="zh-CN"/>
        </w:rPr>
        <w:t>A2</w:t>
      </w:r>
      <w:r>
        <w:rPr>
          <w:lang w:eastAsia="zh-CN"/>
        </w:rPr>
        <w:t>。静态基准剔除</w:t>
      </w:r>
      <w:r>
        <w:rPr>
          <w:lang w:eastAsia="zh-CN"/>
        </w:rPr>
        <w:t>2014</w:t>
      </w:r>
      <w:r>
        <w:rPr>
          <w:lang w:eastAsia="zh-CN"/>
        </w:rPr>
        <w:t>年，避免将可能的提前调整期当作未受影响年份；在所选窗口内，</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lang w:eastAsia="zh-CN"/>
                  </w:rPr>
                  <m:t>Post</m:t>
                </m:r>
              </m:e>
              <m:sub>
                <m:r>
                  <w:rPr>
                    <w:rFonts w:ascii="Cambria Math" w:hAnsi="Cambria Math"/>
                    <w:lang w:eastAsia="zh-CN"/>
                  </w:rPr>
                  <m:t>t</m:t>
                </m:r>
              </m:sub>
            </m:sSub>
            <m:r>
              <w:rPr>
                <w:rFonts w:ascii="Cambria Math" w:hAnsi="Cambria Math"/>
                <w:lang w:eastAsia="zh-CN"/>
              </w:rPr>
              <m:t>=</m:t>
            </m:r>
            <m:r>
              <m:rPr>
                <m:sty m:val="b"/>
              </m:rPr>
              <w:rPr>
                <w:rFonts w:ascii="Cambria Math" w:hAnsi="Cambria Math"/>
                <w:lang w:eastAsia="zh-CN"/>
              </w:rPr>
              <m:t>1</m:t>
            </m:r>
            <m:r>
              <w:rPr>
                <w:rFonts w:ascii="Cambria Math" w:hAnsi="Cambria Math"/>
                <w:lang w:eastAsia="zh-CN"/>
              </w:rPr>
              <m:t>(</m:t>
            </m:r>
            <m:r>
              <w:rPr>
                <w:rFonts w:ascii="Cambria Math" w:hAnsi="Cambria Math"/>
                <w:lang w:eastAsia="zh-CN"/>
              </w:rPr>
              <m:t>t</m:t>
            </m:r>
            <m:r>
              <w:rPr>
                <w:rFonts w:ascii="Cambria Math" w:hAnsi="Cambria Math"/>
                <w:lang w:eastAsia="zh-CN"/>
              </w:rPr>
              <m:t>≥2015)</m:t>
            </m:r>
          </m:e>
        </m:box>
      </m:oMath>
      <w:r>
        <w:rPr>
          <w:lang w:eastAsia="zh-CN"/>
        </w:rPr>
        <w:t>。</w:t>
      </w:r>
      <w:r>
        <w:rPr>
          <w:lang w:eastAsia="zh-CN"/>
        </w:rPr>
        <w:t>2015</w:t>
      </w:r>
      <w:r>
        <w:rPr>
          <w:lang w:eastAsia="zh-CN"/>
        </w:rPr>
        <w:t>年为部分实施年，基准系数反映实施年及随后可用年度的平均反应，不按实施月数机械放大。剔除</w:t>
      </w:r>
      <w:r>
        <w:rPr>
          <w:lang w:eastAsia="zh-CN"/>
        </w:rPr>
        <w:t>2014</w:t>
      </w:r>
      <w:r>
        <w:rPr>
          <w:lang w:eastAsia="zh-CN"/>
        </w:rPr>
        <w:t>年也不能消除预期对随后结果的持续影响，因此研究的是这轮改革及其预期引起的调整，而非</w:t>
      </w:r>
      <w:r>
        <w:rPr>
          <w:lang w:eastAsia="zh-CN"/>
        </w:rPr>
        <w:t>4</w:t>
      </w:r>
      <w:r>
        <w:rPr>
          <w:lang w:eastAsia="zh-CN"/>
        </w:rPr>
        <w:t>月</w:t>
      </w:r>
      <w:r>
        <w:rPr>
          <w:lang w:eastAsia="zh-CN"/>
        </w:rPr>
        <w:t>10</w:t>
      </w:r>
      <w:r>
        <w:rPr>
          <w:lang w:eastAsia="zh-CN"/>
        </w:rPr>
        <w:t>日实施本身的独立净效应。</w:t>
      </w:r>
    </w:p>
    <w:p w14:paraId="58A9D794" w14:textId="77777777" w:rsidR="002D7E2C" w:rsidRDefault="00057618">
      <w:pPr>
        <w:pStyle w:val="af7"/>
        <w:rPr>
          <w:lang w:eastAsia="zh-CN"/>
        </w:rPr>
      </w:pPr>
      <w:r>
        <w:rPr>
          <w:lang w:eastAsia="zh-CN"/>
        </w:rPr>
        <w:t>表</w:t>
      </w:r>
      <w:r>
        <w:rPr>
          <w:lang w:eastAsia="zh-CN"/>
        </w:rPr>
        <w:t xml:space="preserve">A2 </w:t>
      </w:r>
      <w:r>
        <w:rPr>
          <w:lang w:eastAsia="zh-CN"/>
        </w:rPr>
        <w:t>年度观察窗口的安排</w:t>
      </w:r>
    </w:p>
    <w:tbl>
      <w:tblPr>
        <w:tblW w:w="0" w:type="auto"/>
        <w:jc w:val="center"/>
        <w:tblBorders>
          <w:top w:val="single" w:sz="8" w:space="0" w:color="000000"/>
          <w:left w:val="nil"/>
          <w:bottom w:val="single" w:sz="8" w:space="0" w:color="000000"/>
          <w:right w:val="nil"/>
          <w:insideH w:val="nil"/>
          <w:insideV w:val="nil"/>
        </w:tblBorders>
        <w:tblLayout w:type="fixed"/>
        <w:tblCellMar>
          <w:top w:w="50" w:type="dxa"/>
          <w:left w:w="80" w:type="dxa"/>
          <w:bottom w:w="50" w:type="dxa"/>
          <w:right w:w="80" w:type="dxa"/>
        </w:tblCellMar>
        <w:tblLook w:val="04A0" w:firstRow="1" w:lastRow="0" w:firstColumn="1" w:lastColumn="0" w:noHBand="0" w:noVBand="1"/>
      </w:tblPr>
      <w:tblGrid>
        <w:gridCol w:w="1498"/>
        <w:gridCol w:w="3370"/>
        <w:gridCol w:w="4493"/>
      </w:tblGrid>
      <w:tr w:rsidR="002D7E2C" w14:paraId="0978BAFE" w14:textId="77777777">
        <w:trPr>
          <w:cantSplit/>
          <w:tblHeader/>
          <w:jc w:val="center"/>
        </w:trPr>
        <w:tc>
          <w:tcPr>
            <w:tcW w:w="1498" w:type="dxa"/>
            <w:tcBorders>
              <w:bottom w:val="single" w:sz="5" w:space="0" w:color="000000"/>
            </w:tcBorders>
            <w:vAlign w:val="center"/>
          </w:tcPr>
          <w:p w14:paraId="06C02C59" w14:textId="77777777" w:rsidR="002D7E2C" w:rsidRDefault="00057618">
            <w:pPr>
              <w:pStyle w:val="TableText"/>
              <w:keepNext/>
              <w:jc w:val="center"/>
            </w:pPr>
            <w:r>
              <w:rPr>
                <w:b/>
              </w:rPr>
              <w:t>年份</w:t>
            </w:r>
          </w:p>
        </w:tc>
        <w:tc>
          <w:tcPr>
            <w:tcW w:w="3370" w:type="dxa"/>
            <w:tcBorders>
              <w:bottom w:val="single" w:sz="5" w:space="0" w:color="000000"/>
            </w:tcBorders>
            <w:vAlign w:val="center"/>
          </w:tcPr>
          <w:p w14:paraId="1572152C" w14:textId="77777777" w:rsidR="002D7E2C" w:rsidRDefault="00057618">
            <w:pPr>
              <w:pStyle w:val="TableText"/>
              <w:keepNext/>
            </w:pPr>
            <w:r>
              <w:rPr>
                <w:b/>
              </w:rPr>
              <w:t>政策与数据含义</w:t>
            </w:r>
          </w:p>
        </w:tc>
        <w:tc>
          <w:tcPr>
            <w:tcW w:w="4493" w:type="dxa"/>
            <w:tcBorders>
              <w:bottom w:val="single" w:sz="5" w:space="0" w:color="000000"/>
            </w:tcBorders>
            <w:vAlign w:val="center"/>
          </w:tcPr>
          <w:p w14:paraId="54A2ED5C" w14:textId="77777777" w:rsidR="002D7E2C" w:rsidRDefault="00057618">
            <w:pPr>
              <w:pStyle w:val="TableText"/>
              <w:keepNext/>
            </w:pPr>
            <w:r>
              <w:rPr>
                <w:b/>
              </w:rPr>
              <w:t>估计中的处理</w:t>
            </w:r>
          </w:p>
        </w:tc>
      </w:tr>
      <w:tr w:rsidR="002D7E2C" w14:paraId="70D6A91F" w14:textId="77777777">
        <w:trPr>
          <w:cantSplit/>
          <w:jc w:val="center"/>
        </w:trPr>
        <w:tc>
          <w:tcPr>
            <w:tcW w:w="1498" w:type="dxa"/>
            <w:vAlign w:val="center"/>
          </w:tcPr>
          <w:p w14:paraId="77AA4A35" w14:textId="77777777" w:rsidR="002D7E2C" w:rsidRDefault="00057618">
            <w:pPr>
              <w:pStyle w:val="TableText"/>
              <w:keepNext/>
            </w:pPr>
            <w:r>
              <w:t>2013</w:t>
            </w:r>
            <w:r>
              <w:t>年及以前</w:t>
            </w:r>
          </w:p>
        </w:tc>
        <w:tc>
          <w:tcPr>
            <w:tcW w:w="3370" w:type="dxa"/>
            <w:vAlign w:val="center"/>
          </w:tcPr>
          <w:p w14:paraId="5AEDCC56" w14:textId="77777777" w:rsidR="002D7E2C" w:rsidRDefault="00057618">
            <w:pPr>
              <w:pStyle w:val="TableText"/>
              <w:keepNext/>
            </w:pPr>
            <w:r>
              <w:t>公告前完整年度</w:t>
            </w:r>
          </w:p>
        </w:tc>
        <w:tc>
          <w:tcPr>
            <w:tcW w:w="4493" w:type="dxa"/>
            <w:vAlign w:val="center"/>
          </w:tcPr>
          <w:p w14:paraId="6FC4ED76" w14:textId="77777777" w:rsidR="002D7E2C" w:rsidRDefault="00057618">
            <w:pPr>
              <w:pStyle w:val="TableText"/>
              <w:keepNext/>
              <w:rPr>
                <w:lang w:eastAsia="zh-CN"/>
              </w:rPr>
            </w:pPr>
            <w:r>
              <w:rPr>
                <w:lang w:eastAsia="zh-CN"/>
              </w:rPr>
              <w:t>使用多个可比年份；核查更早改革，动态参照期优先取</w:t>
            </w:r>
            <w:r>
              <w:rPr>
                <w:lang w:eastAsia="zh-CN"/>
              </w:rPr>
              <w:t>2013</w:t>
            </w:r>
            <w:r>
              <w:rPr>
                <w:lang w:eastAsia="zh-CN"/>
              </w:rPr>
              <w:t>年</w:t>
            </w:r>
          </w:p>
        </w:tc>
      </w:tr>
      <w:tr w:rsidR="002D7E2C" w14:paraId="28D35A2B" w14:textId="77777777">
        <w:trPr>
          <w:cantSplit/>
          <w:jc w:val="center"/>
        </w:trPr>
        <w:tc>
          <w:tcPr>
            <w:tcW w:w="1498" w:type="dxa"/>
            <w:vAlign w:val="center"/>
          </w:tcPr>
          <w:p w14:paraId="762301C5" w14:textId="77777777" w:rsidR="002D7E2C" w:rsidRDefault="00057618">
            <w:pPr>
              <w:pStyle w:val="TableText"/>
              <w:keepNext/>
            </w:pPr>
            <w:r>
              <w:t>2014</w:t>
            </w:r>
            <w:r>
              <w:t>年</w:t>
            </w:r>
          </w:p>
        </w:tc>
        <w:tc>
          <w:tcPr>
            <w:tcW w:w="3370" w:type="dxa"/>
            <w:vAlign w:val="center"/>
          </w:tcPr>
          <w:p w14:paraId="3807D7FB" w14:textId="77777777" w:rsidR="002D7E2C" w:rsidRDefault="00057618">
            <w:pPr>
              <w:pStyle w:val="TableText"/>
              <w:keepNext/>
              <w:rPr>
                <w:lang w:eastAsia="zh-CN"/>
              </w:rPr>
            </w:pPr>
            <w:r>
              <w:rPr>
                <w:lang w:eastAsia="zh-CN"/>
              </w:rPr>
              <w:t>年末公开征求意见，可能提前调整</w:t>
            </w:r>
          </w:p>
        </w:tc>
        <w:tc>
          <w:tcPr>
            <w:tcW w:w="4493" w:type="dxa"/>
            <w:vAlign w:val="center"/>
          </w:tcPr>
          <w:p w14:paraId="1FF583F0" w14:textId="77777777" w:rsidR="002D7E2C" w:rsidRDefault="00057618">
            <w:pPr>
              <w:pStyle w:val="TableText"/>
              <w:keepNext/>
              <w:rPr>
                <w:lang w:eastAsia="zh-CN"/>
              </w:rPr>
            </w:pPr>
            <w:r>
              <w:rPr>
                <w:lang w:eastAsia="zh-CN"/>
              </w:rPr>
              <w:t>静态基准剔除，动态分析单列</w:t>
            </w:r>
          </w:p>
        </w:tc>
      </w:tr>
      <w:tr w:rsidR="002D7E2C" w14:paraId="65EB6A26" w14:textId="77777777">
        <w:trPr>
          <w:cantSplit/>
          <w:jc w:val="center"/>
        </w:trPr>
        <w:tc>
          <w:tcPr>
            <w:tcW w:w="1498" w:type="dxa"/>
            <w:vAlign w:val="center"/>
          </w:tcPr>
          <w:p w14:paraId="4F36DE24" w14:textId="77777777" w:rsidR="002D7E2C" w:rsidRDefault="00057618">
            <w:pPr>
              <w:pStyle w:val="TableText"/>
              <w:keepNext/>
            </w:pPr>
            <w:r>
              <w:t>2015</w:t>
            </w:r>
            <w:r>
              <w:t>年</w:t>
            </w:r>
          </w:p>
        </w:tc>
        <w:tc>
          <w:tcPr>
            <w:tcW w:w="3370" w:type="dxa"/>
            <w:vAlign w:val="center"/>
          </w:tcPr>
          <w:p w14:paraId="06F4DF9A" w14:textId="77777777" w:rsidR="002D7E2C" w:rsidRDefault="00057618">
            <w:pPr>
              <w:pStyle w:val="TableText"/>
              <w:keepNext/>
              <w:rPr>
                <w:lang w:eastAsia="zh-CN"/>
              </w:rPr>
            </w:pPr>
            <w:r>
              <w:rPr>
                <w:lang w:eastAsia="zh-CN"/>
              </w:rPr>
              <w:t>4</w:t>
            </w:r>
            <w:r>
              <w:rPr>
                <w:lang w:eastAsia="zh-CN"/>
              </w:rPr>
              <w:t>月</w:t>
            </w:r>
            <w:r>
              <w:rPr>
                <w:lang w:eastAsia="zh-CN"/>
              </w:rPr>
              <w:t>10</w:t>
            </w:r>
            <w:r>
              <w:rPr>
                <w:lang w:eastAsia="zh-CN"/>
              </w:rPr>
              <w:t>日实施，全年并非均受新规影响</w:t>
            </w:r>
          </w:p>
        </w:tc>
        <w:tc>
          <w:tcPr>
            <w:tcW w:w="4493" w:type="dxa"/>
            <w:vAlign w:val="center"/>
          </w:tcPr>
          <w:p w14:paraId="7B32C639" w14:textId="77777777" w:rsidR="002D7E2C" w:rsidRDefault="00057618">
            <w:pPr>
              <w:pStyle w:val="TableText"/>
              <w:keepNext/>
              <w:rPr>
                <w:lang w:eastAsia="zh-CN"/>
              </w:rPr>
            </w:pPr>
            <w:r>
              <w:rPr>
                <w:lang w:eastAsia="zh-CN"/>
              </w:rPr>
              <w:t>计入实施后，动态单列实施年反应</w:t>
            </w:r>
          </w:p>
        </w:tc>
      </w:tr>
      <w:tr w:rsidR="002D7E2C" w14:paraId="69AAA8A2" w14:textId="77777777">
        <w:trPr>
          <w:cantSplit/>
          <w:jc w:val="center"/>
        </w:trPr>
        <w:tc>
          <w:tcPr>
            <w:tcW w:w="1498" w:type="dxa"/>
            <w:vAlign w:val="center"/>
          </w:tcPr>
          <w:p w14:paraId="13540DF2" w14:textId="77777777" w:rsidR="002D7E2C" w:rsidRDefault="00057618">
            <w:pPr>
              <w:pStyle w:val="TableText"/>
              <w:keepNext/>
            </w:pPr>
            <w:r>
              <w:t>2016</w:t>
            </w:r>
            <w:r>
              <w:t>年</w:t>
            </w:r>
          </w:p>
        </w:tc>
        <w:tc>
          <w:tcPr>
            <w:tcW w:w="3370" w:type="dxa"/>
            <w:vAlign w:val="center"/>
          </w:tcPr>
          <w:p w14:paraId="1AA7C419" w14:textId="77777777" w:rsidR="002D7E2C" w:rsidRDefault="00057618">
            <w:pPr>
              <w:pStyle w:val="TableText"/>
              <w:keepNext/>
              <w:rPr>
                <w:lang w:eastAsia="zh-CN"/>
              </w:rPr>
            </w:pPr>
            <w:r>
              <w:rPr>
                <w:lang w:eastAsia="zh-CN"/>
              </w:rPr>
              <w:t>实施</w:t>
            </w:r>
            <w:r>
              <w:rPr>
                <w:lang w:eastAsia="zh-CN"/>
              </w:rPr>
              <w:t>2015</w:t>
            </w:r>
            <w:r>
              <w:rPr>
                <w:lang w:eastAsia="zh-CN"/>
              </w:rPr>
              <w:t>规则，另有审批改备案及下一版目录征求意见</w:t>
            </w:r>
          </w:p>
        </w:tc>
        <w:tc>
          <w:tcPr>
            <w:tcW w:w="4493" w:type="dxa"/>
            <w:vAlign w:val="center"/>
          </w:tcPr>
          <w:p w14:paraId="311ABBFD" w14:textId="77777777" w:rsidR="002D7E2C" w:rsidRDefault="00057618">
            <w:pPr>
              <w:pStyle w:val="TableText"/>
              <w:keepNext/>
              <w:rPr>
                <w:lang w:eastAsia="zh-CN"/>
              </w:rPr>
            </w:pPr>
            <w:r>
              <w:rPr>
                <w:lang w:eastAsia="zh-CN"/>
              </w:rPr>
              <w:t>仅在后续政策差异可处理时保留，不能预先视为纯净后期</w:t>
            </w:r>
          </w:p>
        </w:tc>
      </w:tr>
      <w:tr w:rsidR="002D7E2C" w14:paraId="4BC9EAA2" w14:textId="77777777">
        <w:trPr>
          <w:cantSplit/>
          <w:jc w:val="center"/>
        </w:trPr>
        <w:tc>
          <w:tcPr>
            <w:tcW w:w="1498" w:type="dxa"/>
            <w:vAlign w:val="center"/>
          </w:tcPr>
          <w:p w14:paraId="531432E1" w14:textId="77777777" w:rsidR="002D7E2C" w:rsidRDefault="00057618">
            <w:pPr>
              <w:pStyle w:val="TableText"/>
            </w:pPr>
            <w:r>
              <w:t>2017</w:t>
            </w:r>
            <w:r>
              <w:t>年及以后</w:t>
            </w:r>
          </w:p>
        </w:tc>
        <w:tc>
          <w:tcPr>
            <w:tcW w:w="3370" w:type="dxa"/>
            <w:vAlign w:val="center"/>
          </w:tcPr>
          <w:p w14:paraId="48F0CE62" w14:textId="77777777" w:rsidR="002D7E2C" w:rsidRDefault="00057618">
            <w:pPr>
              <w:pStyle w:val="TableText"/>
              <w:rPr>
                <w:lang w:eastAsia="zh-CN"/>
              </w:rPr>
            </w:pPr>
            <w:r>
              <w:rPr>
                <w:lang w:eastAsia="zh-CN"/>
              </w:rPr>
              <w:t>目录、并购程序及其他规则继续变化</w:t>
            </w:r>
          </w:p>
        </w:tc>
        <w:tc>
          <w:tcPr>
            <w:tcW w:w="4493" w:type="dxa"/>
            <w:vAlign w:val="center"/>
          </w:tcPr>
          <w:p w14:paraId="592A6DFA" w14:textId="77777777" w:rsidR="002D7E2C" w:rsidRDefault="00057618">
            <w:pPr>
              <w:pStyle w:val="TableText"/>
              <w:rPr>
                <w:lang w:eastAsia="zh-CN"/>
              </w:rPr>
            </w:pPr>
            <w:r>
              <w:rPr>
                <w:lang w:eastAsia="zh-CN"/>
              </w:rPr>
              <w:t>不自动纳入基准；更长动态须另行核实可比性</w:t>
            </w:r>
          </w:p>
        </w:tc>
      </w:tr>
    </w:tbl>
    <w:p w14:paraId="1C3B2863" w14:textId="77777777" w:rsidR="002D7E2C" w:rsidRDefault="002D7E2C">
      <w:pPr>
        <w:spacing w:after="40" w:line="84" w:lineRule="auto"/>
        <w:rPr>
          <w:lang w:eastAsia="zh-CN"/>
        </w:rPr>
      </w:pPr>
    </w:p>
    <w:p w14:paraId="24892825" w14:textId="77777777" w:rsidR="002D7E2C" w:rsidRDefault="00057618">
      <w:pPr>
        <w:keepNext/>
      </w:pPr>
      <w:r>
        <w:t>对非负生产价值</w:t>
      </w:r>
      <m:oMath>
        <m:box>
          <m:boxPr>
            <m:ctrlPr>
              <w:rPr>
                <w:rFonts w:ascii="Cambria Math" w:hAnsi="Cambria Math"/>
              </w:rPr>
            </m:ctrlPr>
          </m:boxPr>
          <m:e>
            <m:sSub>
              <m:sSubPr>
                <m:ctrlPr>
                  <w:rPr>
                    <w:rFonts w:ascii="Cambria Math" w:hAnsi="Cambria Math"/>
                  </w:rPr>
                </m:ctrlPr>
              </m:sSubPr>
              <m:e>
                <m:r>
                  <w:rPr>
                    <w:rFonts w:ascii="Cambria Math" w:hAnsi="Cambria Math"/>
                  </w:rPr>
                  <m:t>Q</m:t>
                </m:r>
              </m:e>
              <m:sub>
                <m:r>
                  <w:rPr>
                    <w:rFonts w:ascii="Cambria Math" w:hAnsi="Cambria Math"/>
                  </w:rPr>
                  <m:t>ft</m:t>
                </m:r>
              </m:sub>
            </m:sSub>
          </m:e>
        </m:box>
      </m:oMath>
      <w:r>
        <w:t>，采用泊松伪最大似然方法（</w:t>
      </w:r>
      <w:r>
        <w:t>PPML</w:t>
      </w:r>
      <w:r>
        <w:t>；</w:t>
      </w:r>
      <w:r>
        <w:t>Santos Silva and Tenreyro</w:t>
      </w:r>
      <w:r>
        <w:t>，</w:t>
      </w:r>
      <w:r>
        <w:t>2006</w:t>
      </w:r>
      <w:r>
        <w:t>）估计条件均值。以</w:t>
      </w:r>
      <m:oMath>
        <m:box>
          <m:boxPr>
            <m:ctrlPr>
              <w:rPr>
                <w:rFonts w:ascii="Cambria Math" w:hAnsi="Cambria Math"/>
              </w:rPr>
            </m:ctrlPr>
          </m:boxPr>
          <m:e>
            <m:r>
              <m:rPr>
                <m:scr m:val="script"/>
              </m:rPr>
              <w:rPr>
                <w:rFonts w:ascii="Cambria Math" w:hAnsi="Cambria Math"/>
              </w:rPr>
              <m:t>X</m:t>
            </m:r>
          </m:e>
        </m:box>
      </m:oMath>
      <w:r>
        <w:t>表示回归条件信息，</w:t>
      </w:r>
      <m:oMath>
        <m:box>
          <m:boxPr>
            <m:ctrlPr>
              <w:rPr>
                <w:rFonts w:ascii="Cambria Math" w:hAnsi="Cambria Math"/>
              </w:rPr>
            </m:ctrlPr>
          </m:boxPr>
          <m:e>
            <m:r>
              <w:rPr>
                <w:rFonts w:ascii="Cambria Math" w:hAnsi="Cambria Math"/>
              </w:rPr>
              <m:t>b</m:t>
            </m:r>
            <m:r>
              <w:rPr>
                <w:rFonts w:ascii="Cambria Math" w:hAnsi="Cambria Math"/>
              </w:rPr>
              <m:t>(</m:t>
            </m:r>
            <m:r>
              <w:rPr>
                <w:rFonts w:ascii="Cambria Math" w:hAnsi="Cambria Math"/>
              </w:rPr>
              <m:t>f</m:t>
            </m:r>
            <m:r>
              <w:rPr>
                <w:rFonts w:ascii="Cambria Math" w:hAnsi="Cambria Math"/>
              </w:rPr>
              <m:t>)</m:t>
            </m:r>
          </m:e>
        </m:box>
      </m:oMath>
      <w:r>
        <w:t>表示根据改革前行业预先确定的固定效应分组，</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f</m:t>
                </m:r>
                <m:r>
                  <w:rPr>
                    <w:rFonts w:ascii="Cambria Math" w:hAnsi="Cambria Math"/>
                  </w:rPr>
                  <m:t>0</m:t>
                </m:r>
              </m:sub>
            </m:sSub>
          </m:e>
        </m:box>
      </m:oMath>
      <w:r>
        <w:t>为改革前主要生产地区，模型为：</w:t>
      </w:r>
    </w:p>
    <w:p w14:paraId="3CD5E68A" w14:textId="77777777" w:rsidR="002D7E2C" w:rsidRDefault="00057618">
      <w:pPr>
        <w:pStyle w:val="Equation"/>
        <w:keepNext/>
      </w:pPr>
      <w:r>
        <w:tab/>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ft</m:t>
            </m:r>
          </m:sub>
        </m:sSub>
        <m:r>
          <w:rPr>
            <w:rFonts w:ascii="Cambria Math" w:hAnsi="Cambria Math"/>
          </w:rPr>
          <m:t>|</m:t>
        </m:r>
        <m:r>
          <m:rPr>
            <m:scr m:val="script"/>
          </m:rPr>
          <w:rPr>
            <w:rFonts w:ascii="Cambria Math" w:hAnsi="Cambria Math"/>
          </w:rPr>
          <m:t>X</m:t>
        </m:r>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r>
              <w:rPr>
                <w:rFonts w:ascii="Cambria Math" w:hAnsi="Cambria Math"/>
              </w:rPr>
              <m:t>(</m:t>
            </m:r>
            <m:r>
              <w:rPr>
                <w:rFonts w:ascii="Cambria Math" w:hAnsi="Cambria Math"/>
              </w:rPr>
              <m:t>f</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sSub>
              <m:sSubPr>
                <m:ctrlPr>
                  <w:rPr>
                    <w:rFonts w:ascii="Cambria Math" w:hAnsi="Cambria Math"/>
                  </w:rPr>
                </m:ctrlPr>
              </m:sSubPr>
              <m:e>
                <m:r>
                  <w:rPr>
                    <w:rFonts w:ascii="Cambria Math" w:hAnsi="Cambria Math"/>
                  </w:rPr>
                  <m:t>r</m:t>
                </m:r>
              </m:e>
              <m:sub>
                <m:r>
                  <w:rPr>
                    <w:rFonts w:ascii="Cambria Math" w:hAnsi="Cambria Math"/>
                  </w:rPr>
                  <m:t>f</m:t>
                </m:r>
                <m:r>
                  <w:rPr>
                    <w:rFonts w:ascii="Cambria Math" w:hAnsi="Cambria Math"/>
                  </w:rPr>
                  <m:t>0</m:t>
                </m:r>
              </m:sub>
            </m:s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ft</m:t>
            </m:r>
          </m:sub>
        </m:sSub>
        <m:r>
          <w:rPr>
            <w:rFonts w:ascii="Cambria Math" w:hAnsi="Cambria Math"/>
          </w:rPr>
          <m:t>].</m:t>
        </m:r>
      </m:oMath>
      <w:r>
        <w:tab/>
        <w:t>(A4)</w:t>
      </w:r>
    </w:p>
    <w:p w14:paraId="74FA0077" w14:textId="77777777" w:rsidR="002D7E2C" w:rsidRDefault="00057618">
      <w:pPr>
        <w:pStyle w:val="Equation"/>
        <w:keepNext/>
      </w:pPr>
      <w:r>
        <w:tab/>
      </w:r>
      <m:oMath>
        <m:sSub>
          <m:sSubPr>
            <m:ctrlPr>
              <w:rPr>
                <w:rFonts w:ascii="Cambria Math" w:hAnsi="Cambria Math"/>
              </w:rPr>
            </m:ctrlPr>
          </m:sSubPr>
          <m:e>
            <m:r>
              <w:rPr>
                <w:rFonts w:ascii="Cambria Math" w:hAnsi="Cambria Math"/>
              </w:rPr>
              <m:t>L</m:t>
            </m:r>
          </m:e>
          <m:sub>
            <m:r>
              <w:rPr>
                <w:rFonts w:ascii="Cambria Math" w:hAnsi="Cambria Math"/>
              </w:rPr>
              <m:t>ft</m:t>
            </m:r>
          </m:sub>
        </m:sSub>
        <m: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Treat</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w:rPr>
            <w:rFonts w:ascii="Cambria Math" w:hAnsi="Cambria Math"/>
          </w:rPr>
          <m:t>.</m:t>
        </m:r>
      </m:oMath>
      <w:r>
        <w:tab/>
        <w:t>(A5)</w:t>
      </w:r>
    </w:p>
    <w:p w14:paraId="35F0C83F" w14:textId="77777777" w:rsidR="002D7E2C" w:rsidRDefault="00057618">
      <w:pPr>
        <w:rPr>
          <w:lang w:eastAsia="zh-CN"/>
        </w:rPr>
      </w:pPr>
      <w:r>
        <w:rPr>
          <w:lang w:eastAsia="zh-CN"/>
        </w:rPr>
        <w:t>其中，</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f</m:t>
                </m:r>
              </m:sub>
            </m:sSub>
          </m:e>
        </m:box>
      </m:oMath>
      <w:r>
        <w:rPr>
          <w:lang w:eastAsia="zh-CN"/>
        </w:rPr>
        <w:t>控制企业稳定特征，</w:t>
      </w:r>
      <m:oMath>
        <m:box>
          <m:boxPr>
            <m:ctrlPr>
              <w:rPr>
                <w:rFonts w:ascii="Cambria Math" w:hAnsi="Cambria Math"/>
              </w:rPr>
            </m:ctrlPr>
          </m:boxPr>
          <m:e>
            <m:r>
              <w:rPr>
                <w:rFonts w:ascii="Cambria Math" w:hAnsi="Cambria Math"/>
                <w:lang w:eastAsia="zh-CN"/>
              </w:rPr>
              <m:t>λ</m:t>
            </m:r>
          </m:e>
        </m:box>
      </m:oMath>
      <w:r>
        <w:rPr>
          <w:lang w:eastAsia="zh-CN"/>
        </w:rPr>
        <w:t>和</w:t>
      </w:r>
      <m:oMath>
        <m:box>
          <m:boxPr>
            <m:ctrlPr>
              <w:rPr>
                <w:rFonts w:ascii="Cambria Math" w:hAnsi="Cambria Math"/>
              </w:rPr>
            </m:ctrlPr>
          </m:boxPr>
          <m:e>
            <m:r>
              <w:rPr>
                <w:rFonts w:ascii="Cambria Math" w:hAnsi="Cambria Math"/>
                <w:lang w:eastAsia="zh-CN"/>
              </w:rPr>
              <m:t>η</m:t>
            </m:r>
          </m:e>
        </m:box>
      </m:oMath>
      <w:r>
        <w:rPr>
          <w:lang w:eastAsia="zh-CN"/>
        </w:rPr>
        <w:t>分别控制行业及地区的年度共同变化。同一四位小类内存在处理、对照企业且政策差异可识别时，</w:t>
      </w:r>
      <m:oMath>
        <m:box>
          <m:boxPr>
            <m:ctrlPr>
              <w:rPr>
                <w:rFonts w:ascii="Cambria Math" w:hAnsi="Cambria Math"/>
              </w:rPr>
            </m:ctrlPr>
          </m:boxPr>
          <m:e>
            <m:r>
              <w:rPr>
                <w:rFonts w:ascii="Cambria Math" w:hAnsi="Cambria Math"/>
                <w:lang w:eastAsia="zh-CN"/>
              </w:rPr>
              <m:t>b</m:t>
            </m:r>
            <m:r>
              <w:rPr>
                <w:rFonts w:ascii="Cambria Math" w:hAnsi="Cambria Math"/>
                <w:lang w:eastAsia="zh-CN"/>
              </w:rPr>
              <m:t>(</m:t>
            </m:r>
            <m:r>
              <w:rPr>
                <w:rFonts w:ascii="Cambria Math" w:hAnsi="Cambria Math"/>
                <w:lang w:eastAsia="zh-CN"/>
              </w:rPr>
              <m:t>f</m:t>
            </m:r>
            <m:r>
              <w:rPr>
                <w:rFonts w:ascii="Cambria Math" w:hAnsi="Cambria Math"/>
                <w:lang w:eastAsia="zh-CN"/>
              </w:rPr>
              <m:t>)</m:t>
            </m:r>
          </m:e>
        </m:box>
      </m:oMath>
      <w:r>
        <w:rPr>
          <w:lang w:eastAsia="zh-CN"/>
        </w:rPr>
        <w:t>可采用四位分类；改革完整覆盖该小类时，须改用事先选定的较宽行业组，并论证行业间比较。行业层级不依据结果是否显著选择。补充控制变量时，使用改革前特征及其与年份的交互；改革后的融资、规模和投资作为结果或机制研究。</w:t>
      </w:r>
    </w:p>
    <w:p w14:paraId="713EEBD4" w14:textId="77777777" w:rsidR="002D7E2C" w:rsidRDefault="00057618">
      <w:pPr>
        <w:rPr>
          <w:lang w:eastAsia="zh-CN"/>
        </w:rPr>
      </w:pPr>
      <w:r>
        <w:rPr>
          <w:lang w:eastAsia="zh-CN"/>
        </w:rPr>
        <w:t>因果解释要求，在没有本轮改革时，两组条件均值随时间按可比比例变化，即满足乘法平行趋势，并能适当处理提前反应、其他政策差异及溢出。在共同乘法效应设定下，</w:t>
      </w:r>
      <m:oMath>
        <m:box>
          <m:boxPr>
            <m:ctrlPr>
              <w:rPr>
                <w:rFonts w:ascii="Cambria Math" w:hAnsi="Cambria Math"/>
              </w:rPr>
            </m:ctrlPr>
          </m:boxPr>
          <m:e>
            <m:r>
              <m:rPr>
                <m:sty m:val="p"/>
              </m:rPr>
              <w:rPr>
                <w:rFonts w:ascii="Cambria Math" w:hAnsi="Cambria Math"/>
                <w:lang w:eastAsia="zh-CN"/>
              </w:rPr>
              <m:t>exp</m:t>
            </m:r>
            <m:r>
              <w:rPr>
                <w:rFonts w:ascii="Cambria Math" w:hAnsi="Cambria Math"/>
                <w:lang w:eastAsia="zh-CN"/>
              </w:rPr>
              <m:t>(</m:t>
            </m:r>
            <m:r>
              <w:rPr>
                <w:rFonts w:ascii="Cambria Math" w:hAnsi="Cambria Math"/>
                <w:lang w:eastAsia="zh-CN"/>
              </w:rPr>
              <m:t>β</m:t>
            </m:r>
            <m:r>
              <w:rPr>
                <w:rFonts w:ascii="Cambria Math" w:hAnsi="Cambria Math"/>
                <w:lang w:eastAsia="zh-CN"/>
              </w:rPr>
              <m:t>)-1</m:t>
            </m:r>
          </m:e>
        </m:box>
      </m:oMath>
      <w:r>
        <w:rPr>
          <w:lang w:eastAsia="zh-CN"/>
        </w:rPr>
        <w:t>表示处理企业相对于对照企业的条件产出变化；效应随年份不同时，进一步报告动态结果，不将静态系数直接视为各年效应的简单平均。</w:t>
      </w:r>
    </w:p>
    <w:p w14:paraId="15EA2725" w14:textId="77777777" w:rsidR="002D7E2C" w:rsidRDefault="00057618">
      <w:pPr>
        <w:keepNext/>
        <w:rPr>
          <w:lang w:eastAsia="zh-CN"/>
        </w:rPr>
      </w:pPr>
      <w:r>
        <w:rPr>
          <w:lang w:eastAsia="zh-CN"/>
        </w:rPr>
        <w:t>动态分析以</w:t>
      </w:r>
      <w:r>
        <w:rPr>
          <w:lang w:eastAsia="zh-CN"/>
        </w:rPr>
        <w:t>2015</w:t>
      </w:r>
      <w:r>
        <w:rPr>
          <w:lang w:eastAsia="zh-CN"/>
        </w:rPr>
        <w:t>年为实施时点，在含</w:t>
      </w:r>
      <w:r>
        <w:rPr>
          <w:lang w:eastAsia="zh-CN"/>
        </w:rPr>
        <w:t>2014</w:t>
      </w:r>
      <w:r>
        <w:rPr>
          <w:lang w:eastAsia="zh-CN"/>
        </w:rPr>
        <w:t>年的窗口中，以以下政策项替代式（</w:t>
      </w:r>
      <w:r>
        <w:rPr>
          <w:lang w:eastAsia="zh-CN"/>
        </w:rPr>
        <w:t>A5</w:t>
      </w:r>
      <w:r>
        <w:rPr>
          <w:lang w:eastAsia="zh-CN"/>
        </w:rPr>
        <w:t>）：</w:t>
      </w:r>
    </w:p>
    <w:p w14:paraId="52EC651F" w14:textId="77777777" w:rsidR="002D7E2C" w:rsidRDefault="00057618">
      <w:pPr>
        <w:pStyle w:val="Equation"/>
        <w:keepNext/>
      </w:pPr>
      <w:r>
        <w:rPr>
          <w:lang w:eastAsia="zh-CN"/>
        </w:rPr>
        <w:tab/>
      </w:r>
      <m:oMath>
        <m:sSub>
          <m:sSubPr>
            <m:ctrlPr>
              <w:rPr>
                <w:rFonts w:ascii="Cambria Math" w:hAnsi="Cambria Math"/>
              </w:rPr>
            </m:ctrlPr>
          </m:sSubPr>
          <m:e>
            <m:r>
              <w:rPr>
                <w:rFonts w:ascii="Cambria Math" w:hAnsi="Cambria Math"/>
              </w:rPr>
              <m:t>L</m:t>
            </m:r>
          </m:e>
          <m:sub>
            <m:r>
              <w:rPr>
                <w:rFonts w:ascii="Cambria Math" w:hAnsi="Cambria Math"/>
              </w:rPr>
              <m:t>ft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h∈</m:t>
            </m:r>
            <m:r>
              <m:rPr>
                <m:scr m:val="script"/>
              </m:rPr>
              <w:rPr>
                <w:rFonts w:ascii="Cambria Math" w:hAnsi="Cambria Math"/>
              </w:rPr>
              <m:t>H</m:t>
            </m:r>
            <m:r>
              <w:rPr>
                <w:rFonts w:ascii="Cambria Math" w:hAnsi="Cambria Math"/>
              </w:rPr>
              <m:t>,h≠-</m:t>
            </m:r>
            <m:r>
              <w:rPr>
                <w:rFonts w:ascii="Cambria Math" w:hAnsi="Cambria Math"/>
              </w:rPr>
              <m:t>2</m:t>
            </m:r>
          </m:sub>
          <m:sup/>
          <m:e>
            <m:sSub>
              <m:sSubPr>
                <m:ctrlPr>
                  <w:rPr>
                    <w:rFonts w:ascii="Cambria Math" w:hAnsi="Cambria Math"/>
                  </w:rPr>
                </m:ctrlPr>
              </m:sSubPr>
              <m:e>
                <m:r>
                  <w:rPr>
                    <w:rFonts w:ascii="Cambria Math" w:hAnsi="Cambria Math"/>
                  </w:rPr>
                  <m:t>β</m:t>
                </m:r>
              </m:e>
              <m:sub>
                <m:r>
                  <w:rPr>
                    <w:rFonts w:ascii="Cambria Math" w:hAnsi="Cambria Math"/>
                  </w:rPr>
                  <m:t>h</m:t>
                </m:r>
              </m:sub>
            </m:sSub>
          </m:e>
        </m:nary>
        <m:sSub>
          <m:sSubPr>
            <m:ctrlPr>
              <w:rPr>
                <w:rFonts w:ascii="Cambria Math" w:hAnsi="Cambria Math"/>
              </w:rPr>
            </m:ctrlPr>
          </m:sSubPr>
          <m:e>
            <m:r>
              <m:rPr>
                <m:sty m:val="p"/>
              </m:rPr>
              <w:rPr>
                <w:rFonts w:ascii="Cambria Math" w:hAnsi="Cambria Math"/>
              </w:rPr>
              <m:t>Treat</m:t>
            </m:r>
          </m:e>
          <m:sub>
            <m:r>
              <w:rPr>
                <w:rFonts w:ascii="Cambria Math" w:hAnsi="Cambria Math"/>
              </w:rPr>
              <m:t>f</m:t>
            </m:r>
          </m:sub>
        </m:sSub>
        <m:r>
          <m:rPr>
            <m:sty m:val="b"/>
          </m:rPr>
          <w:rPr>
            <w:rFonts w:ascii="Cambria Math" w:hAnsi="Cambria Math"/>
          </w:rPr>
          <m:t>1</m:t>
        </m:r>
        <m:r>
          <w:rPr>
            <w:rFonts w:ascii="Cambria Math" w:hAnsi="Cambria Math"/>
          </w:rPr>
          <m:t>(</m:t>
        </m:r>
        <m:r>
          <w:rPr>
            <w:rFonts w:ascii="Cambria Math" w:hAnsi="Cambria Math"/>
          </w:rPr>
          <m:t>t</m:t>
        </m:r>
        <m:r>
          <w:rPr>
            <w:rFonts w:ascii="Cambria Math" w:hAnsi="Cambria Math"/>
          </w:rPr>
          <m:t>-</m:t>
        </m:r>
        <m:r>
          <w:rPr>
            <w:rFonts w:ascii="Cambria Math" w:hAnsi="Cambria Math"/>
          </w:rPr>
          <m:t>2015=</m:t>
        </m:r>
        <m:r>
          <w:rPr>
            <w:rFonts w:ascii="Cambria Math" w:hAnsi="Cambria Math"/>
          </w:rPr>
          <m:t>h).</m:t>
        </m:r>
      </m:oMath>
      <w:r>
        <w:tab/>
        <w:t>(A6)</w:t>
      </w:r>
    </w:p>
    <w:p w14:paraId="51F03652" w14:textId="77777777" w:rsidR="002D7E2C" w:rsidRDefault="00057618">
      <w:pPr>
        <w:rPr>
          <w:lang w:eastAsia="zh-CN"/>
        </w:rPr>
      </w:pPr>
      <w:r>
        <w:rPr>
          <w:lang w:eastAsia="zh-CN"/>
        </w:rPr>
        <w:t>其中，</w:t>
      </w:r>
      <m:oMath>
        <m:box>
          <m:boxPr>
            <m:ctrlPr>
              <w:rPr>
                <w:rFonts w:ascii="Cambria Math" w:hAnsi="Cambria Math"/>
              </w:rPr>
            </m:ctrlPr>
          </m:boxPr>
          <m:e>
            <m:r>
              <w:rPr>
                <w:rFonts w:ascii="Cambria Math" w:hAnsi="Cambria Math"/>
                <w:lang w:eastAsia="zh-CN"/>
              </w:rPr>
              <m:t>h</m:t>
            </m:r>
          </m:e>
        </m:box>
      </m:oMath>
      <w:r>
        <w:rPr>
          <w:lang w:eastAsia="zh-CN"/>
        </w:rPr>
        <w:t>为相对年份，</w:t>
      </w:r>
      <m:oMath>
        <m:box>
          <m:boxPr>
            <m:ctrlPr>
              <w:rPr>
                <w:rFonts w:ascii="Cambria Math" w:hAnsi="Cambria Math"/>
              </w:rPr>
            </m:ctrlPr>
          </m:boxPr>
          <m:e>
            <m:r>
              <m:rPr>
                <m:scr m:val="script"/>
              </m:rPr>
              <w:rPr>
                <w:rFonts w:ascii="Cambria Math" w:hAnsi="Cambria Math"/>
                <w:lang w:eastAsia="zh-CN"/>
              </w:rPr>
              <m:t>H</m:t>
            </m:r>
          </m:e>
        </m:box>
      </m:oMath>
      <w:r>
        <w:rPr>
          <w:lang w:eastAsia="zh-CN"/>
        </w:rPr>
        <w:t>为预先确定的观察窗口，参照期</w:t>
      </w:r>
      <m:oMath>
        <m:box>
          <m:boxPr>
            <m:ctrlPr>
              <w:rPr>
                <w:rFonts w:ascii="Cambria Math" w:hAnsi="Cambria Math"/>
              </w:rPr>
            </m:ctrlPr>
          </m:boxPr>
          <m:e>
            <m:r>
              <w:rPr>
                <w:rFonts w:ascii="Cambria Math" w:hAnsi="Cambria Math"/>
                <w:lang w:eastAsia="zh-CN"/>
              </w:rPr>
              <m:t>h</m:t>
            </m:r>
            <m:r>
              <w:rPr>
                <w:rFonts w:ascii="Cambria Math" w:hAnsi="Cambria Math"/>
                <w:lang w:eastAsia="zh-CN"/>
              </w:rPr>
              <m:t>=-2</m:t>
            </m:r>
          </m:e>
        </m:box>
      </m:oMath>
      <w:r>
        <w:rPr>
          <w:lang w:eastAsia="zh-CN"/>
        </w:rPr>
        <w:t>对应</w:t>
      </w:r>
      <w:r>
        <w:rPr>
          <w:lang w:eastAsia="zh-CN"/>
        </w:rPr>
        <w:t>2013</w:t>
      </w:r>
      <w:r>
        <w:rPr>
          <w:lang w:eastAsia="zh-CN"/>
        </w:rPr>
        <w:t>年。</w:t>
      </w:r>
      <w:r>
        <w:rPr>
          <w:lang w:eastAsia="zh-CN"/>
        </w:rPr>
        <w:t>2014</w:t>
      </w:r>
      <w:r>
        <w:rPr>
          <w:lang w:eastAsia="zh-CN"/>
        </w:rPr>
        <w:t>年的系数用于考察公开征求意见前后可能的提前调整，</w:t>
      </w:r>
      <w:r>
        <w:rPr>
          <w:lang w:eastAsia="zh-CN"/>
        </w:rPr>
        <w:t>2015</w:t>
      </w:r>
      <w:r>
        <w:rPr>
          <w:lang w:eastAsia="zh-CN"/>
        </w:rPr>
        <w:t>年及随后系数分别反映实施年和后续反应。静态与动态为替代规格。</w:t>
      </w:r>
      <w:r>
        <w:rPr>
          <w:lang w:eastAsia="zh-CN"/>
        </w:rPr>
        <w:t>2013</w:t>
      </w:r>
      <w:r>
        <w:rPr>
          <w:lang w:eastAsia="zh-CN"/>
        </w:rPr>
        <w:t>年以前的系数用于检查公告前趋势；若可用前期很短，应说明检验信息有限，不能把未拒绝零效应当作平行趋势已成立。</w:t>
      </w:r>
    </w:p>
    <w:p w14:paraId="0760BC63" w14:textId="77777777" w:rsidR="002D7E2C" w:rsidRDefault="00057618">
      <w:pPr>
        <w:rPr>
          <w:lang w:eastAsia="zh-CN"/>
        </w:rPr>
      </w:pPr>
      <w:r>
        <w:rPr>
          <w:lang w:eastAsia="zh-CN"/>
        </w:rPr>
        <w:t>后续窗口尤其需要核查</w:t>
      </w:r>
      <w:r>
        <w:rPr>
          <w:lang w:eastAsia="zh-CN"/>
        </w:rPr>
        <w:t>2016</w:t>
      </w:r>
      <w:r>
        <w:rPr>
          <w:lang w:eastAsia="zh-CN"/>
        </w:rPr>
        <w:t>年</w:t>
      </w:r>
      <w:r>
        <w:rPr>
          <w:lang w:eastAsia="zh-CN"/>
        </w:rPr>
        <w:t>10</w:t>
      </w:r>
      <w:r>
        <w:rPr>
          <w:lang w:eastAsia="zh-CN"/>
        </w:rPr>
        <w:t>月审批改备案。其适用范围与</w:t>
      </w:r>
      <w:r>
        <w:rPr>
          <w:lang w:eastAsia="zh-CN"/>
        </w:rPr>
        <w:t>2015</w:t>
      </w:r>
      <w:r>
        <w:rPr>
          <w:lang w:eastAsia="zh-CN"/>
        </w:rPr>
        <w:t>年目录中的限制状态有关，可能使本轮处理组和对照组获得不同程序待遇。</w:t>
      </w:r>
      <w:r>
        <w:rPr>
          <w:lang w:eastAsia="zh-CN"/>
        </w:rPr>
        <w:t>2017</w:t>
      </w:r>
      <w:r>
        <w:rPr>
          <w:lang w:eastAsia="zh-CN"/>
        </w:rPr>
        <w:t>年</w:t>
      </w:r>
      <w:r>
        <w:rPr>
          <w:lang w:eastAsia="zh-CN"/>
        </w:rPr>
        <w:t>7</w:t>
      </w:r>
      <w:r>
        <w:rPr>
          <w:lang w:eastAsia="zh-CN"/>
        </w:rPr>
        <w:t>月目录修订及并购备案扩大，也分别影响准入和控制权结果。基准优先在后续法律待遇可比的范围内估计，并检验共同安排是否仍有差异作用；无法区分时，缩短窗口或限定事前可识别的业务范围。鼓励资格、外汇登记及资本金结汇等同期安排亦按样本适用情况核查，不能默认年度固定效应已消除其全部影响。</w:t>
      </w:r>
      <w:r>
        <w:rPr>
          <w:lang w:eastAsia="zh-CN"/>
        </w:rPr>
        <w:t>⁠</w:t>
      </w:r>
      <w:r>
        <w:rPr>
          <w:rStyle w:val="15"/>
        </w:rPr>
        <w:footnoteReference w:id="4"/>
      </w:r>
    </w:p>
    <w:p w14:paraId="2527D837" w14:textId="77777777" w:rsidR="002D7E2C" w:rsidRDefault="00057618">
      <w:pPr>
        <w:pStyle w:val="21"/>
        <w:rPr>
          <w:lang w:eastAsia="zh-CN"/>
        </w:rPr>
      </w:pPr>
      <w:r>
        <w:rPr>
          <w:lang w:eastAsia="zh-CN"/>
        </w:rPr>
        <w:t xml:space="preserve">A.3.2 </w:t>
      </w:r>
      <w:r>
        <w:rPr>
          <w:lang w:eastAsia="zh-CN"/>
        </w:rPr>
        <w:t>企业行为与样本支持</w:t>
      </w:r>
    </w:p>
    <w:p w14:paraId="049E7CF1" w14:textId="77777777" w:rsidR="002D7E2C" w:rsidRDefault="00057618">
      <w:pPr>
        <w:rPr>
          <w:lang w:eastAsia="zh-CN"/>
        </w:rPr>
      </w:pPr>
      <w:r>
        <w:rPr>
          <w:lang w:eastAsia="zh-CN"/>
        </w:rPr>
        <w:t>企业行为结果包括外资持股、外国控制、全外资、存续、投资和业务调整，估计方法按变量性质选择，沿用同一公告前处理分组。原有国内企业被外资收购计入控制权变化，新设企业另纳入行业统计。不同结果分别说明估计对象和样本范围，不预设所有变量使用同一估计器。</w:t>
      </w:r>
    </w:p>
    <w:p w14:paraId="4F2BDD8D" w14:textId="77777777" w:rsidR="002D7E2C" w:rsidRDefault="00057618">
      <w:pPr>
        <w:rPr>
          <w:lang w:eastAsia="zh-CN"/>
        </w:rPr>
      </w:pPr>
      <w:r>
        <w:rPr>
          <w:lang w:eastAsia="zh-CN"/>
        </w:rPr>
        <w:t>样本按表</w:t>
      </w:r>
      <w:r>
        <w:rPr>
          <w:lang w:eastAsia="zh-CN"/>
        </w:rPr>
        <w:t>A3</w:t>
      </w:r>
      <w:r>
        <w:rPr>
          <w:lang w:eastAsia="zh-CN"/>
        </w:rPr>
        <w:t>逐项检查。企业失访、披露中断、统计门槛变化及标识变更分别核实；确认生产停止后，才按实际状态记录该企业的零产出，并另行研究退出。企业标识变化不能直接视为退出和新进入。改革后存续不是基准入组条件，也不随机删减对照企业以使两组数量相等。</w:t>
      </w:r>
    </w:p>
    <w:p w14:paraId="60DF464F" w14:textId="77777777" w:rsidR="002D7E2C" w:rsidRDefault="00057618">
      <w:pPr>
        <w:pStyle w:val="af7"/>
        <w:rPr>
          <w:lang w:eastAsia="zh-CN"/>
        </w:rPr>
      </w:pPr>
      <w:r>
        <w:rPr>
          <w:lang w:eastAsia="zh-CN"/>
        </w:rPr>
        <w:lastRenderedPageBreak/>
        <w:t>表</w:t>
      </w:r>
      <w:r>
        <w:rPr>
          <w:lang w:eastAsia="zh-CN"/>
        </w:rPr>
        <w:t xml:space="preserve">A3 </w:t>
      </w:r>
      <w:r>
        <w:rPr>
          <w:lang w:eastAsia="zh-CN"/>
        </w:rPr>
        <w:t>基准样本与有效比较检查</w:t>
      </w:r>
    </w:p>
    <w:tbl>
      <w:tblPr>
        <w:tblW w:w="0" w:type="auto"/>
        <w:jc w:val="center"/>
        <w:tblBorders>
          <w:top w:val="single" w:sz="8" w:space="0" w:color="000000"/>
          <w:left w:val="nil"/>
          <w:bottom w:val="single" w:sz="8" w:space="0" w:color="000000"/>
          <w:right w:val="nil"/>
          <w:insideH w:val="nil"/>
          <w:insideV w:val="nil"/>
        </w:tblBorders>
        <w:tblLayout w:type="fixed"/>
        <w:tblCellMar>
          <w:top w:w="50" w:type="dxa"/>
          <w:left w:w="80" w:type="dxa"/>
          <w:bottom w:w="50" w:type="dxa"/>
          <w:right w:w="80" w:type="dxa"/>
        </w:tblCellMar>
        <w:tblLook w:val="04A0" w:firstRow="1" w:lastRow="0" w:firstColumn="1" w:lastColumn="0" w:noHBand="0" w:noVBand="1"/>
      </w:tblPr>
      <w:tblGrid>
        <w:gridCol w:w="2434"/>
        <w:gridCol w:w="6926"/>
      </w:tblGrid>
      <w:tr w:rsidR="002D7E2C" w14:paraId="63D77612" w14:textId="77777777">
        <w:trPr>
          <w:cantSplit/>
          <w:tblHeader/>
          <w:jc w:val="center"/>
        </w:trPr>
        <w:tc>
          <w:tcPr>
            <w:tcW w:w="2434" w:type="dxa"/>
            <w:tcBorders>
              <w:bottom w:val="single" w:sz="5" w:space="0" w:color="000000"/>
            </w:tcBorders>
            <w:vAlign w:val="center"/>
          </w:tcPr>
          <w:p w14:paraId="7099279A" w14:textId="77777777" w:rsidR="002D7E2C" w:rsidRDefault="00057618">
            <w:pPr>
              <w:pStyle w:val="TableText"/>
              <w:keepNext/>
            </w:pPr>
            <w:r>
              <w:rPr>
                <w:b/>
              </w:rPr>
              <w:t>检查内容</w:t>
            </w:r>
          </w:p>
        </w:tc>
        <w:tc>
          <w:tcPr>
            <w:tcW w:w="6926" w:type="dxa"/>
            <w:tcBorders>
              <w:bottom w:val="single" w:sz="5" w:space="0" w:color="000000"/>
            </w:tcBorders>
            <w:vAlign w:val="center"/>
          </w:tcPr>
          <w:p w14:paraId="3E913628" w14:textId="77777777" w:rsidR="002D7E2C" w:rsidRDefault="00057618">
            <w:pPr>
              <w:pStyle w:val="TableText"/>
              <w:keepNext/>
            </w:pPr>
            <w:r>
              <w:rPr>
                <w:b/>
              </w:rPr>
              <w:t>具体安排</w:t>
            </w:r>
          </w:p>
        </w:tc>
      </w:tr>
      <w:tr w:rsidR="002D7E2C" w14:paraId="14F882A6" w14:textId="77777777">
        <w:trPr>
          <w:cantSplit/>
          <w:jc w:val="center"/>
        </w:trPr>
        <w:tc>
          <w:tcPr>
            <w:tcW w:w="2434" w:type="dxa"/>
            <w:vAlign w:val="center"/>
          </w:tcPr>
          <w:p w14:paraId="5BD96CB3" w14:textId="77777777" w:rsidR="002D7E2C" w:rsidRDefault="00057618">
            <w:pPr>
              <w:pStyle w:val="TableText"/>
            </w:pPr>
            <w:r>
              <w:t>改革前入组</w:t>
            </w:r>
          </w:p>
        </w:tc>
        <w:tc>
          <w:tcPr>
            <w:tcW w:w="6926" w:type="dxa"/>
            <w:vAlign w:val="center"/>
          </w:tcPr>
          <w:p w14:paraId="3F2BF8E7" w14:textId="77777777" w:rsidR="002D7E2C" w:rsidRDefault="00057618">
            <w:pPr>
              <w:pStyle w:val="TableText"/>
              <w:rPr>
                <w:lang w:eastAsia="zh-CN"/>
              </w:rPr>
            </w:pPr>
            <w:r>
              <w:rPr>
                <w:lang w:eastAsia="zh-CN"/>
              </w:rPr>
              <w:t>固定业务、地区、法律适用与原有企业名单；国内和外资企业均可纳入</w:t>
            </w:r>
          </w:p>
        </w:tc>
      </w:tr>
      <w:tr w:rsidR="002D7E2C" w14:paraId="4312C6E8" w14:textId="77777777">
        <w:trPr>
          <w:cantSplit/>
          <w:jc w:val="center"/>
        </w:trPr>
        <w:tc>
          <w:tcPr>
            <w:tcW w:w="2434" w:type="dxa"/>
            <w:vAlign w:val="center"/>
          </w:tcPr>
          <w:p w14:paraId="1CB8CDC8" w14:textId="77777777" w:rsidR="002D7E2C" w:rsidRDefault="00057618">
            <w:pPr>
              <w:pStyle w:val="TableText"/>
            </w:pPr>
            <w:r>
              <w:t>逐年支持</w:t>
            </w:r>
          </w:p>
        </w:tc>
        <w:tc>
          <w:tcPr>
            <w:tcW w:w="6926" w:type="dxa"/>
            <w:vAlign w:val="center"/>
          </w:tcPr>
          <w:p w14:paraId="78BB4353" w14:textId="77777777" w:rsidR="002D7E2C" w:rsidRDefault="00057618">
            <w:pPr>
              <w:pStyle w:val="TableText"/>
              <w:rPr>
                <w:lang w:eastAsia="zh-CN"/>
              </w:rPr>
            </w:pPr>
            <w:r>
              <w:rPr>
                <w:lang w:eastAsia="zh-CN"/>
              </w:rPr>
              <w:t>分处理状态报告企业数、产出覆盖、缺失与退出，并核对动态各年的样本构成</w:t>
            </w:r>
          </w:p>
        </w:tc>
      </w:tr>
      <w:tr w:rsidR="002D7E2C" w14:paraId="3FC7C10D" w14:textId="77777777">
        <w:trPr>
          <w:cantSplit/>
          <w:jc w:val="center"/>
        </w:trPr>
        <w:tc>
          <w:tcPr>
            <w:tcW w:w="2434" w:type="dxa"/>
            <w:vAlign w:val="center"/>
          </w:tcPr>
          <w:p w14:paraId="42658095" w14:textId="77777777" w:rsidR="002D7E2C" w:rsidRDefault="00057618">
            <w:pPr>
              <w:pStyle w:val="TableText"/>
            </w:pPr>
            <w:r>
              <w:t>固定效应与影响集中</w:t>
            </w:r>
          </w:p>
        </w:tc>
        <w:tc>
          <w:tcPr>
            <w:tcW w:w="6926" w:type="dxa"/>
            <w:vAlign w:val="center"/>
          </w:tcPr>
          <w:p w14:paraId="4B02A6D9" w14:textId="77777777" w:rsidR="002D7E2C" w:rsidRDefault="00057618">
            <w:pPr>
              <w:pStyle w:val="TableText"/>
              <w:rPr>
                <w:lang w:eastAsia="zh-CN"/>
              </w:rPr>
            </w:pPr>
            <w:r>
              <w:rPr>
                <w:lang w:eastAsia="zh-CN"/>
              </w:rPr>
              <w:t>检查政策差异是否被吸收，哪些行业和企业实际提供比较，结果是否由少数企业主导</w:t>
            </w:r>
          </w:p>
        </w:tc>
      </w:tr>
      <w:tr w:rsidR="002D7E2C" w14:paraId="76D3322F" w14:textId="77777777">
        <w:trPr>
          <w:cantSplit/>
          <w:jc w:val="center"/>
        </w:trPr>
        <w:tc>
          <w:tcPr>
            <w:tcW w:w="2434" w:type="dxa"/>
            <w:vAlign w:val="center"/>
          </w:tcPr>
          <w:p w14:paraId="6D45F0FA" w14:textId="77777777" w:rsidR="002D7E2C" w:rsidRDefault="00057618">
            <w:pPr>
              <w:pStyle w:val="TableText"/>
            </w:pPr>
            <w:r>
              <w:t>估计与预测范围</w:t>
            </w:r>
          </w:p>
        </w:tc>
        <w:tc>
          <w:tcPr>
            <w:tcW w:w="6926" w:type="dxa"/>
            <w:vAlign w:val="center"/>
          </w:tcPr>
          <w:p w14:paraId="2F3A9E2F" w14:textId="77777777" w:rsidR="002D7E2C" w:rsidRDefault="00057618">
            <w:pPr>
              <w:pStyle w:val="TableText"/>
              <w:rPr>
                <w:lang w:eastAsia="zh-CN"/>
              </w:rPr>
            </w:pPr>
            <w:r>
              <w:rPr>
                <w:lang w:eastAsia="zh-CN"/>
              </w:rPr>
              <w:t>分结果记录样本剔除原因；外国、国内生产两式按</w:t>
            </w:r>
            <w:r>
              <w:rPr>
                <w:lang w:eastAsia="zh-CN"/>
              </w:rPr>
              <w:t>A.3.3</w:t>
            </w:r>
            <w:r>
              <w:rPr>
                <w:lang w:eastAsia="zh-CN"/>
              </w:rPr>
              <w:t>单独核查</w:t>
            </w:r>
          </w:p>
        </w:tc>
      </w:tr>
      <w:tr w:rsidR="002D7E2C" w14:paraId="31531F42" w14:textId="77777777">
        <w:trPr>
          <w:cantSplit/>
          <w:jc w:val="center"/>
        </w:trPr>
        <w:tc>
          <w:tcPr>
            <w:tcW w:w="2434" w:type="dxa"/>
            <w:vAlign w:val="center"/>
          </w:tcPr>
          <w:p w14:paraId="1F392F5C" w14:textId="77777777" w:rsidR="002D7E2C" w:rsidRDefault="00057618">
            <w:pPr>
              <w:pStyle w:val="TableText"/>
            </w:pPr>
            <w:r>
              <w:t>政策信息与推断</w:t>
            </w:r>
          </w:p>
        </w:tc>
        <w:tc>
          <w:tcPr>
            <w:tcW w:w="6926" w:type="dxa"/>
            <w:vAlign w:val="center"/>
          </w:tcPr>
          <w:p w14:paraId="6FDAA0AE" w14:textId="77777777" w:rsidR="002D7E2C" w:rsidRDefault="00057618">
            <w:pPr>
              <w:pStyle w:val="TableText"/>
              <w:rPr>
                <w:lang w:eastAsia="zh-CN"/>
              </w:rPr>
            </w:pPr>
            <w:r>
              <w:rPr>
                <w:lang w:eastAsia="zh-CN"/>
              </w:rPr>
              <w:t>根据政策赋值及误差相关性确定聚类，不按企业数或目录条目数计算独立冲击</w:t>
            </w:r>
          </w:p>
        </w:tc>
      </w:tr>
    </w:tbl>
    <w:p w14:paraId="5CE2FE1E" w14:textId="77777777" w:rsidR="002D7E2C" w:rsidRDefault="002D7E2C">
      <w:pPr>
        <w:spacing w:after="40" w:line="84" w:lineRule="auto"/>
        <w:rPr>
          <w:lang w:eastAsia="zh-CN"/>
        </w:rPr>
      </w:pPr>
    </w:p>
    <w:p w14:paraId="0B3BA842" w14:textId="77777777" w:rsidR="002D7E2C" w:rsidRDefault="00057618">
      <w:pPr>
        <w:rPr>
          <w:lang w:eastAsia="zh-CN"/>
        </w:rPr>
      </w:pPr>
      <w:r>
        <w:rPr>
          <w:lang w:eastAsia="zh-CN"/>
        </w:rPr>
        <w:t>一轮目录改革可以涉及多项业务，但这些业务是否提供相对独立的信息，需要结合共同决策、实施安排和行业冲击判断。样本是否充分还取决于可比范围、产出集中程度及政策信息，不设无依据的统一最低企业数。有效政策组很少时，报告推断局限并收窄结论，小样本推断方法也须说明适用条件。</w:t>
      </w:r>
    </w:p>
    <w:p w14:paraId="0AB299E9" w14:textId="77777777" w:rsidR="002D7E2C" w:rsidRDefault="00057618">
      <w:pPr>
        <w:rPr>
          <w:lang w:eastAsia="zh-CN"/>
        </w:rPr>
      </w:pPr>
      <w:r>
        <w:rPr>
          <w:lang w:eastAsia="zh-CN"/>
        </w:rPr>
        <w:t>行业补充分析采用</w:t>
      </w:r>
      <w:r>
        <w:rPr>
          <w:lang w:eastAsia="zh-CN"/>
        </w:rPr>
        <w:t>GB</w:t>
      </w:r>
      <w:r>
        <w:rPr>
          <w:lang w:eastAsia="zh-CN"/>
        </w:rPr>
        <w:t>四位小类</w:t>
      </w:r>
      <w:r>
        <w:rPr>
          <w:lang w:eastAsia="zh-CN"/>
        </w:rPr>
        <w:t>—</w:t>
      </w:r>
      <w:r>
        <w:rPr>
          <w:lang w:eastAsia="zh-CN"/>
        </w:rPr>
        <w:t>地区</w:t>
      </w:r>
      <w:r>
        <w:rPr>
          <w:lang w:eastAsia="zh-CN"/>
        </w:rPr>
        <w:t>—</w:t>
      </w:r>
      <w:r>
        <w:rPr>
          <w:lang w:eastAsia="zh-CN"/>
        </w:rPr>
        <w:t>年份面板，使用覆盖当期全部经营企业的资料，围绕同一轮改革及同一时间安排考察新设企业和行业总生产。改革只涉及部分业务时，标记为</w:t>
      </w:r>
      <w:r>
        <w:rPr>
          <w:lang w:eastAsia="zh-CN"/>
        </w:rPr>
        <w:t>“</w:t>
      </w:r>
      <w:r>
        <w:rPr>
          <w:lang w:eastAsia="zh-CN"/>
        </w:rPr>
        <w:t>包含本轮放宽业务的行业</w:t>
      </w:r>
      <w:r>
        <w:rPr>
          <w:lang w:eastAsia="zh-CN"/>
        </w:rPr>
        <w:t>”</w:t>
      </w:r>
      <w:r>
        <w:rPr>
          <w:lang w:eastAsia="zh-CN"/>
        </w:rPr>
        <w:t>，估计整个行业的反应，不把该标记复制为所有企业的政策待遇。行业间可比性、行业年度效应及后续政策影响须单独论证。</w:t>
      </w:r>
    </w:p>
    <w:p w14:paraId="00C74063" w14:textId="77777777" w:rsidR="002D7E2C" w:rsidRDefault="00057618">
      <w:pPr>
        <w:pStyle w:val="21"/>
        <w:rPr>
          <w:lang w:eastAsia="zh-CN"/>
        </w:rPr>
      </w:pPr>
      <w:r>
        <w:rPr>
          <w:lang w:eastAsia="zh-CN"/>
        </w:rPr>
        <w:t xml:space="preserve">A.3.3 </w:t>
      </w:r>
      <w:r>
        <w:rPr>
          <w:lang w:eastAsia="zh-CN"/>
        </w:rPr>
        <w:t>外国控制企业生产份额的构造</w:t>
      </w:r>
    </w:p>
    <w:p w14:paraId="76FDC70A" w14:textId="77777777" w:rsidR="002D7E2C" w:rsidRDefault="00057618">
      <w:pPr>
        <w:rPr>
          <w:lang w:eastAsia="zh-CN"/>
        </w:rPr>
      </w:pPr>
      <w:r>
        <w:rPr>
          <w:lang w:eastAsia="zh-CN"/>
        </w:rPr>
        <w:t>生产份额依据当期实际生产价值计算。以最终控制主体所在地划分外国和国内控制企业，设</w:t>
      </w:r>
      <m:oMath>
        <m:box>
          <m:boxPr>
            <m:ctrlPr>
              <w:rPr>
                <w:rFonts w:ascii="Cambria Math" w:hAnsi="Cambria Math"/>
              </w:rPr>
            </m:ctrlPr>
          </m:boxPr>
          <m:e>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e>
        </m:box>
      </m:oMath>
      <w:r>
        <w:rPr>
          <w:lang w:eastAsia="zh-CN"/>
        </w:rPr>
        <w:t>为外国控制指示变量。对原有企业，分别以</w:t>
      </w:r>
      <m:oMath>
        <m:box>
          <m:boxPr>
            <m:ctrlPr>
              <w:rPr>
                <w:rFonts w:ascii="Cambria Math" w:hAnsi="Cambria Math"/>
              </w:rPr>
            </m:ctrlPr>
          </m:boxPr>
          <m:e>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sSub>
              <m:sSubPr>
                <m:ctrlPr>
                  <w:rPr>
                    <w:rFonts w:ascii="Cambria Math" w:hAnsi="Cambria Math"/>
                  </w:rPr>
                </m:ctrlPr>
              </m:sSubPr>
              <m:e>
                <m:r>
                  <w:rPr>
                    <w:rFonts w:ascii="Cambria Math" w:hAnsi="Cambria Math"/>
                    <w:lang w:eastAsia="zh-CN"/>
                  </w:rPr>
                  <m:t>Q</m:t>
                </m:r>
              </m:e>
              <m:sub>
                <m:r>
                  <w:rPr>
                    <w:rFonts w:ascii="Cambria Math" w:hAnsi="Cambria Math"/>
                    <w:lang w:eastAsia="zh-CN"/>
                  </w:rPr>
                  <m:t>ft</m:t>
                </m:r>
              </m:sub>
            </m:sSub>
          </m:e>
        </m:box>
      </m:oMath>
      <w:r>
        <w:rPr>
          <w:lang w:eastAsia="zh-CN"/>
        </w:rPr>
        <w:t>和</w:t>
      </w:r>
      <m:oMath>
        <m:box>
          <m:boxPr>
            <m:ctrlPr>
              <w:rPr>
                <w:rFonts w:ascii="Cambria Math" w:hAnsi="Cambria Math"/>
              </w:rPr>
            </m:ctrlPr>
          </m:boxPr>
          <m:e>
            <m:r>
              <w:rPr>
                <w:rFonts w:ascii="Cambria Math" w:hAnsi="Cambria Math"/>
                <w:lang w:eastAsia="zh-CN"/>
              </w:rPr>
              <m:t>(1-</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ft</m:t>
                </m:r>
              </m:sub>
            </m:sSub>
          </m:e>
        </m:box>
      </m:oMath>
      <w:r>
        <w:rPr>
          <w:lang w:eastAsia="zh-CN"/>
        </w:rPr>
        <w:t>作为式（</w:t>
      </w:r>
      <w:r>
        <w:rPr>
          <w:lang w:eastAsia="zh-CN"/>
        </w:rPr>
        <w:t>A4</w:t>
      </w:r>
      <w:r>
        <w:rPr>
          <w:lang w:eastAsia="zh-CN"/>
        </w:rPr>
        <w:t>）</w:t>
      </w:r>
      <w:r>
        <w:rPr>
          <w:lang w:eastAsia="zh-CN"/>
        </w:rPr>
        <w:t>—</w:t>
      </w:r>
      <w:r>
        <w:rPr>
          <w:lang w:eastAsia="zh-CN"/>
        </w:rPr>
        <w:t>（</w:t>
      </w:r>
      <w:r>
        <w:rPr>
          <w:lang w:eastAsia="zh-CN"/>
        </w:rPr>
        <w:t>A6</w:t>
      </w:r>
      <w:r>
        <w:rPr>
          <w:lang w:eastAsia="zh-CN"/>
        </w:rPr>
        <w:t>）的因变量，独立估计各自的固定效应和政策系数。控制权改变时，相应产出在两组之间重新归属，原有企业集合的定义保持不变。</w:t>
      </w:r>
    </w:p>
    <w:p w14:paraId="00C9C9DE" w14:textId="77777777" w:rsidR="002D7E2C" w:rsidRDefault="00057618">
      <w:pPr>
        <w:rPr>
          <w:lang w:eastAsia="zh-CN"/>
        </w:rPr>
      </w:pPr>
      <w:r>
        <w:rPr>
          <w:lang w:eastAsia="zh-CN"/>
        </w:rPr>
        <w:t>两套带企业固定效应的</w:t>
      </w:r>
      <w:r>
        <w:rPr>
          <w:lang w:eastAsia="zh-CN"/>
        </w:rPr>
        <w:t>PPML</w:t>
      </w:r>
      <w:r>
        <w:rPr>
          <w:lang w:eastAsia="zh-CN"/>
        </w:rPr>
        <w:t>可能因全零组或其他分离问题形成不同估计样本。不能机械取两式的交集，这可能主要留下观察期内发生控制权转换的企业。分别报告剔除原因、</w:t>
      </w:r>
      <w:r>
        <w:rPr>
          <w:lang w:eastAsia="zh-CN"/>
        </w:rPr>
        <w:lastRenderedPageBreak/>
        <w:t>估计覆盖和能够形成预测的范围；被剔除企业的反事实产出不能直接记为零。只有能对预先确定的共同生产范围形成有依据的两组预测时，才计算预测份额。</w:t>
      </w:r>
      <w:r>
        <w:rPr>
          <w:lang w:eastAsia="zh-CN"/>
        </w:rPr>
        <w:t>⁠</w:t>
      </w:r>
      <w:r>
        <w:rPr>
          <w:rStyle w:val="15"/>
        </w:rPr>
        <w:footnoteReference w:id="5"/>
      </w:r>
    </w:p>
    <w:p w14:paraId="5851F2A2" w14:textId="77777777" w:rsidR="002D7E2C" w:rsidRDefault="00057618">
      <w:pPr>
        <w:rPr>
          <w:lang w:eastAsia="zh-CN"/>
        </w:rPr>
      </w:pPr>
      <w:r>
        <w:rPr>
          <w:lang w:eastAsia="zh-CN"/>
        </w:rPr>
        <w:t>按改革前行业、地区及处理状态固定企业组，再加总组内产出估计，可作为有条件的补充。该方法改变估计单位，可能掩盖企业差异，也可能仍有全零组，不能自动增加独立政策信息。无法覆盖原定生产范围时，保留企业总产出、控制权等结果，并考察完整行业资料能否提供补充。</w:t>
      </w:r>
    </w:p>
    <w:p w14:paraId="5AD61867" w14:textId="77777777" w:rsidR="002D7E2C" w:rsidRDefault="00057618">
      <w:pPr>
        <w:rPr>
          <w:lang w:eastAsia="zh-CN"/>
        </w:rPr>
      </w:pPr>
      <w:r>
        <w:rPr>
          <w:lang w:eastAsia="zh-CN"/>
        </w:rPr>
        <w:t>行业统计纳入当期全部经营企业，包括新设企业。分业务产出按实际业务和生产地区归属；只有企业总产出时，采用能够核实且可与</w:t>
      </w:r>
      <w:r>
        <w:rPr>
          <w:lang w:eastAsia="zh-CN"/>
        </w:rPr>
        <w:t>AMNE</w:t>
      </w:r>
      <w:r>
        <w:rPr>
          <w:lang w:eastAsia="zh-CN"/>
        </w:rPr>
        <w:t>对应的企业行业分类，不任意拆分至多个候选行业。原有企业回归的处理分组及固定效应采用改革前行业；行业面板保持行业和地区的统计单元不变，将当期全部企业按实际业务归入，以反映进入和业务调整。</w:t>
      </w:r>
    </w:p>
    <w:p w14:paraId="62730DC5" w14:textId="77777777" w:rsidR="002D7E2C" w:rsidRDefault="00057618">
      <w:pPr>
        <w:keepNext/>
        <w:rPr>
          <w:lang w:eastAsia="zh-CN"/>
        </w:rPr>
      </w:pPr>
      <w:r>
        <w:rPr>
          <w:lang w:eastAsia="zh-CN"/>
        </w:rPr>
        <w:t>令</w:t>
      </w:r>
      <m:oMath>
        <m:box>
          <m:boxPr>
            <m:ctrlPr>
              <w:rPr>
                <w:rFonts w:ascii="Cambria Math" w:hAnsi="Cambria Math"/>
              </w:rPr>
            </m:ctrlPr>
          </m:boxPr>
          <m:e>
            <m:r>
              <m:rPr>
                <m:scr m:val="script"/>
              </m:rPr>
              <w:rPr>
                <w:rFonts w:ascii="Cambria Math" w:hAnsi="Cambria Math"/>
                <w:lang w:eastAsia="zh-CN"/>
              </w:rPr>
              <m:t>l</m:t>
            </m:r>
          </m:e>
        </m:box>
      </m:oMath>
      <w:r>
        <w:rPr>
          <w:lang w:eastAsia="zh-CN"/>
        </w:rPr>
        <w:t>表示企业原始资料中可区分的业务记录，</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r>
                  <m:rPr>
                    <m:scr m:val="script"/>
                  </m:rPr>
                  <w:rPr>
                    <w:rFonts w:ascii="Cambria Math" w:hAnsi="Cambria Math"/>
                    <w:lang w:eastAsia="zh-CN"/>
                  </w:rPr>
                  <m:t>l</m:t>
                </m:r>
                <m:r>
                  <w:rPr>
                    <w:rFonts w:ascii="Cambria Math" w:hAnsi="Cambria Math"/>
                    <w:lang w:eastAsia="zh-CN"/>
                  </w:rPr>
                  <m:t>rt</m:t>
                </m:r>
              </m:sub>
            </m:sSub>
          </m:e>
        </m:box>
      </m:oMath>
      <w:r>
        <w:rPr>
          <w:lang w:eastAsia="zh-CN"/>
        </w:rPr>
        <w:t>为相应当期生产价值，</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lang w:eastAsia="zh-CN"/>
                  </w:rPr>
                  <m:t>B</m:t>
                </m:r>
              </m:e>
              <m:sub>
                <m:r>
                  <w:rPr>
                    <w:rFonts w:ascii="Cambria Math" w:hAnsi="Cambria Math"/>
                    <w:lang w:eastAsia="zh-CN"/>
                  </w:rPr>
                  <m:t>jt</m:t>
                </m:r>
              </m:sub>
            </m:sSub>
          </m:e>
        </m:box>
      </m:oMath>
      <w:r>
        <w:rPr>
          <w:lang w:eastAsia="zh-CN"/>
        </w:rPr>
        <w:t>为能够唯一归入部门</w:t>
      </w:r>
      <m:oMath>
        <m:box>
          <m:boxPr>
            <m:ctrlPr>
              <w:rPr>
                <w:rFonts w:ascii="Cambria Math" w:hAnsi="Cambria Math"/>
              </w:rPr>
            </m:ctrlPr>
          </m:boxPr>
          <m:e>
            <m:r>
              <w:rPr>
                <w:rFonts w:ascii="Cambria Math" w:hAnsi="Cambria Math"/>
                <w:lang w:eastAsia="zh-CN"/>
              </w:rPr>
              <m:t>j</m:t>
            </m:r>
          </m:e>
        </m:box>
      </m:oMath>
      <w:r>
        <w:rPr>
          <w:lang w:eastAsia="zh-CN"/>
        </w:rPr>
        <w:t>且控制关系已核实的企业业务</w:t>
      </w:r>
      <w:r>
        <w:rPr>
          <w:lang w:eastAsia="zh-CN"/>
        </w:rPr>
        <w:t>—</w:t>
      </w:r>
      <w:r>
        <w:rPr>
          <w:lang w:eastAsia="zh-CN"/>
        </w:rPr>
        <w:t>地区记录集合。各记录通过</w:t>
      </w:r>
      <w:r>
        <w:rPr>
          <w:lang w:eastAsia="zh-CN"/>
        </w:rPr>
        <w:t>GB2017</w:t>
      </w:r>
      <w:r>
        <w:rPr>
          <w:lang w:eastAsia="zh-CN"/>
        </w:rPr>
        <w:t>、</w:t>
      </w:r>
      <w:r>
        <w:rPr>
          <w:lang w:eastAsia="zh-CN"/>
        </w:rPr>
        <w:t>ISIC Rev.4</w:t>
      </w:r>
      <w:r>
        <w:rPr>
          <w:lang w:eastAsia="zh-CN"/>
        </w:rPr>
        <w:t>及模型部门对照确定归属。外国和国内控制生产分别为：</w:t>
      </w:r>
    </w:p>
    <w:p w14:paraId="72E41D0C" w14:textId="77777777" w:rsidR="002D7E2C" w:rsidRDefault="00057618">
      <w:pPr>
        <w:pStyle w:val="Equation"/>
        <w:keepNext/>
        <w:rPr>
          <w:lang w:eastAsia="zh-CN"/>
        </w:rPr>
      </w:pPr>
      <w:r>
        <w:rPr>
          <w:lang w:eastAsia="zh-CN"/>
        </w:rPr>
        <w:tab/>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jt</m:t>
            </m:r>
          </m:sub>
        </m:sSub>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m:t>
            </m:r>
            <m:r>
              <w:rPr>
                <w:rFonts w:ascii="Cambria Math" w:hAnsi="Cambria Math"/>
                <w:lang w:eastAsia="zh-CN"/>
              </w:rPr>
              <m:t>f</m:t>
            </m:r>
            <m:r>
              <m:rPr>
                <m:scr m:val="script"/>
              </m:rPr>
              <w:rPr>
                <w:rFonts w:ascii="Cambria Math" w:hAnsi="Cambria Math"/>
                <w:lang w:eastAsia="zh-CN"/>
              </w:rPr>
              <m:t>,l,</m:t>
            </m:r>
            <m:r>
              <w:rPr>
                <w:rFonts w:ascii="Cambria Math" w:hAnsi="Cambria Math"/>
                <w:lang w:eastAsia="zh-CN"/>
              </w:rPr>
              <m:t>r</m:t>
            </m:r>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B</m:t>
                </m:r>
              </m:e>
              <m:sub>
                <m:r>
                  <w:rPr>
                    <w:rFonts w:ascii="Cambria Math" w:hAnsi="Cambria Math"/>
                    <w:lang w:eastAsia="zh-CN"/>
                  </w:rPr>
                  <m:t>jt</m:t>
                </m:r>
              </m:sub>
            </m:sSub>
          </m:sub>
          <m:sup/>
          <m:e>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e>
        </m:nary>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r>
              <m:rPr>
                <m:scr m:val="script"/>
              </m:rPr>
              <w:rPr>
                <w:rFonts w:ascii="Cambria Math" w:hAnsi="Cambria Math"/>
                <w:lang w:eastAsia="zh-CN"/>
              </w:rPr>
              <m:t>l</m:t>
            </m:r>
            <m:r>
              <w:rPr>
                <w:rFonts w:ascii="Cambria Math" w:hAnsi="Cambria Math"/>
                <w:lang w:eastAsia="zh-CN"/>
              </w:rPr>
              <m:t>rt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jt</m:t>
            </m:r>
          </m:sub>
        </m:sSub>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m:t>
            </m:r>
            <m:r>
              <w:rPr>
                <w:rFonts w:ascii="Cambria Math" w:hAnsi="Cambria Math"/>
                <w:lang w:eastAsia="zh-CN"/>
              </w:rPr>
              <m:t>f</m:t>
            </m:r>
            <m:r>
              <m:rPr>
                <m:scr m:val="script"/>
              </m:rPr>
              <w:rPr>
                <w:rFonts w:ascii="Cambria Math" w:hAnsi="Cambria Math"/>
                <w:lang w:eastAsia="zh-CN"/>
              </w:rPr>
              <m:t>,l,</m:t>
            </m:r>
            <m:r>
              <w:rPr>
                <w:rFonts w:ascii="Cambria Math" w:hAnsi="Cambria Math"/>
                <w:lang w:eastAsia="zh-CN"/>
              </w:rPr>
              <m:t>r</m:t>
            </m:r>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B</m:t>
                </m:r>
              </m:e>
              <m:sub>
                <m:r>
                  <w:rPr>
                    <w:rFonts w:ascii="Cambria Math" w:hAnsi="Cambria Math"/>
                    <w:lang w:eastAsia="zh-CN"/>
                  </w:rPr>
                  <m:t>jt</m:t>
                </m:r>
              </m:sub>
            </m:sSub>
          </m:sub>
          <m:sup/>
          <m:e>
            <m:r>
              <w:rPr>
                <w:rFonts w:ascii="Cambria Math" w:hAnsi="Cambria Math"/>
                <w:lang w:eastAsia="zh-CN"/>
              </w:rPr>
              <m:t>(1-</m:t>
            </m:r>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r>
              <m:rPr>
                <m:scr m:val="script"/>
              </m:rPr>
              <w:rPr>
                <w:rFonts w:ascii="Cambria Math" w:hAnsi="Cambria Math"/>
                <w:lang w:eastAsia="zh-CN"/>
              </w:rPr>
              <m:t>l</m:t>
            </m:r>
            <m:r>
              <w:rPr>
                <w:rFonts w:ascii="Cambria Math" w:hAnsi="Cambria Math"/>
                <w:lang w:eastAsia="zh-CN"/>
              </w:rPr>
              <m:t>rt</m:t>
            </m:r>
          </m:sub>
        </m:sSub>
        <m:r>
          <w:rPr>
            <w:rFonts w:ascii="Cambria Math" w:hAnsi="Cambria Math"/>
            <w:lang w:eastAsia="zh-CN"/>
          </w:rPr>
          <m:t>.</m:t>
        </m:r>
      </m:oMath>
      <w:r>
        <w:rPr>
          <w:lang w:eastAsia="zh-CN"/>
        </w:rPr>
        <w:tab/>
        <w:t>(A7)</w:t>
      </w:r>
    </w:p>
    <w:p w14:paraId="343B5770" w14:textId="77777777" w:rsidR="002D7E2C" w:rsidRDefault="00057618">
      <w:pPr>
        <w:keepNext/>
        <w:rPr>
          <w:lang w:eastAsia="zh-CN"/>
        </w:rPr>
      </w:pPr>
      <w:r>
        <w:rPr>
          <w:lang w:eastAsia="zh-CN"/>
        </w:rPr>
        <w:t>两组生产使用相同币值、价格年份和估值口径。多个小类归入同一部门时，先加总生产价值，再计算外国控制企业的生产份额：</w:t>
      </w:r>
    </w:p>
    <w:p w14:paraId="639623C0" w14:textId="77777777" w:rsidR="002D7E2C" w:rsidRDefault="00057618">
      <w:pPr>
        <w:pStyle w:val="Equation"/>
        <w:keepNext/>
      </w:pPr>
      <w:r>
        <w:rPr>
          <w:lang w:eastAsia="zh-CN"/>
        </w:rPr>
        <w:tab/>
      </w:r>
      <m:oMath>
        <m:sSubSup>
          <m:sSubSupPr>
            <m:ctrlPr>
              <w:rPr>
                <w:rFonts w:ascii="Cambria Math" w:hAnsi="Cambria Math"/>
              </w:rPr>
            </m:ctrlPr>
          </m:sSubSupPr>
          <m:e>
            <m:r>
              <w:rPr>
                <w:rFonts w:ascii="Cambria Math" w:hAnsi="Cambria Math"/>
              </w:rPr>
              <m:t>M</m:t>
            </m:r>
          </m:e>
          <m:sub>
            <m:r>
              <w:rPr>
                <w:rFonts w:ascii="Cambria Math" w:hAnsi="Cambria Math"/>
              </w:rPr>
              <m:t>jt</m:t>
            </m:r>
          </m:sub>
          <m:sup>
            <m:r>
              <m:rPr>
                <m:sty m:val="p"/>
              </m:rPr>
              <w:rPr>
                <w:rFonts w:ascii="Cambria Math" w:hAnsi="Cambria Math"/>
              </w:rPr>
              <m:t>obs</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jt</m:t>
                </m:r>
              </m:sub>
            </m:sSub>
          </m:num>
          <m:den>
            <m:sSub>
              <m:sSubPr>
                <m:ctrlPr>
                  <w:rPr>
                    <w:rFonts w:ascii="Cambria Math" w:hAnsi="Cambria Math"/>
                  </w:rPr>
                </m:ctrlPr>
              </m:sSubPr>
              <m:e>
                <m:r>
                  <w:rPr>
                    <w:rFonts w:ascii="Cambria Math" w:hAnsi="Cambria Math"/>
                  </w:rPr>
                  <m:t>F</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jt</m:t>
                </m:r>
              </m:sub>
            </m:sSub>
          </m:den>
        </m:f>
        <m:r>
          <w:rPr>
            <w:rFonts w:ascii="Cambria Math" w:hAnsi="Cambria Math"/>
          </w:rPr>
          <m:t>.</m:t>
        </m:r>
      </m:oMath>
      <w:r>
        <w:tab/>
        <w:t>(A8)</w:t>
      </w:r>
    </w:p>
    <w:p w14:paraId="11E66235" w14:textId="77777777" w:rsidR="002D7E2C" w:rsidRDefault="00057618">
      <w:pPr>
        <w:rPr>
          <w:lang w:eastAsia="zh-CN"/>
        </w:rPr>
      </w:pPr>
      <w:r>
        <w:rPr>
          <w:lang w:eastAsia="zh-CN"/>
        </w:rPr>
        <w:t>控制关系或部门归属未确定的产出单列，说明其对部门份额覆盖的影响；分母为零时份额未定义。跨部门份额同样先加总产出再求比例，每笔产出只计一次。</w:t>
      </w:r>
    </w:p>
    <w:p w14:paraId="4E523C7B" w14:textId="77777777" w:rsidR="002D7E2C" w:rsidRDefault="00057618">
      <w:pPr>
        <w:keepNext/>
        <w:rPr>
          <w:lang w:eastAsia="zh-CN"/>
        </w:rPr>
      </w:pPr>
      <w:r>
        <w:rPr>
          <w:lang w:eastAsia="zh-CN"/>
        </w:rPr>
        <w:lastRenderedPageBreak/>
        <w:t>为识别本轮改革引起的生产变化，企业和行业分析分别预测有改革和无改革的外国、国内控制产出。两种情景采用同一生产范围及其他条件，仅改变所选改革的政策项；动态模型中的提前调整也纳入该轮改革的比较。以</w:t>
      </w:r>
      <m:oMath>
        <m:box>
          <m:boxPr>
            <m:ctrlPr>
              <w:rPr>
                <w:rFonts w:ascii="Cambria Math" w:hAnsi="Cambria Math"/>
              </w:rPr>
            </m:ctrlPr>
          </m:boxPr>
          <m:e>
            <m:r>
              <w:rPr>
                <w:rFonts w:ascii="Cambria Math" w:hAnsi="Cambria Math"/>
                <w:lang w:eastAsia="zh-CN"/>
              </w:rPr>
              <m:t>a</m:t>
            </m:r>
            <m:r>
              <w:rPr>
                <w:rFonts w:ascii="Cambria Math" w:hAnsi="Cambria Math"/>
                <w:lang w:eastAsia="zh-CN"/>
              </w:rPr>
              <m:t>=1</m:t>
            </m:r>
          </m:e>
        </m:box>
      </m:oMath>
      <w:r>
        <w:rPr>
          <w:lang w:eastAsia="zh-CN"/>
        </w:rPr>
        <w:t>和</w:t>
      </w:r>
      <m:oMath>
        <m:box>
          <m:boxPr>
            <m:ctrlPr>
              <w:rPr>
                <w:rFonts w:ascii="Cambria Math" w:hAnsi="Cambria Math"/>
              </w:rPr>
            </m:ctrlPr>
          </m:boxPr>
          <m:e>
            <m:r>
              <w:rPr>
                <w:rFonts w:ascii="Cambria Math" w:hAnsi="Cambria Math"/>
                <w:lang w:eastAsia="zh-CN"/>
              </w:rPr>
              <m:t>a</m:t>
            </m:r>
            <m:r>
              <w:rPr>
                <w:rFonts w:ascii="Cambria Math" w:hAnsi="Cambria Math"/>
                <w:lang w:eastAsia="zh-CN"/>
              </w:rPr>
              <m:t>=0</m:t>
            </m:r>
          </m:e>
        </m:box>
      </m:oMath>
      <w:r>
        <w:rPr>
          <w:lang w:eastAsia="zh-CN"/>
        </w:rPr>
        <w:t>表示两种情景，</w:t>
      </w:r>
      <m:oMath>
        <m:box>
          <m:boxPr>
            <m:ctrlPr>
              <w:rPr>
                <w:rFonts w:ascii="Cambria Math" w:hAnsi="Cambria Math"/>
              </w:rPr>
            </m:ctrlPr>
          </m:boxPr>
          <m:e>
            <m:r>
              <w:rPr>
                <w:rFonts w:ascii="Cambria Math" w:hAnsi="Cambria Math"/>
                <w:lang w:eastAsia="zh-CN"/>
              </w:rPr>
              <m:t>g</m:t>
            </m:r>
          </m:e>
        </m:box>
      </m:oMath>
      <w:r>
        <w:rPr>
          <w:lang w:eastAsia="zh-CN"/>
        </w:rPr>
        <w:t>表示相应估计规格中的产出单元，</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lang w:eastAsia="zh-CN"/>
                  </w:rPr>
                  <m:t>S</m:t>
                </m:r>
              </m:e>
              <m:sub>
                <m:r>
                  <w:rPr>
                    <w:rFonts w:ascii="Cambria Math" w:hAnsi="Cambria Math"/>
                    <w:lang w:eastAsia="zh-CN"/>
                  </w:rPr>
                  <m:t>j</m:t>
                </m:r>
              </m:sub>
            </m:sSub>
          </m:e>
        </m:box>
      </m:oMath>
      <w:r>
        <w:rPr>
          <w:lang w:eastAsia="zh-CN"/>
        </w:rPr>
        <w:t>为事先确定的部门</w:t>
      </w:r>
      <m:oMath>
        <m:box>
          <m:boxPr>
            <m:ctrlPr>
              <w:rPr>
                <w:rFonts w:ascii="Cambria Math" w:hAnsi="Cambria Math"/>
              </w:rPr>
            </m:ctrlPr>
          </m:boxPr>
          <m:e>
            <m:r>
              <w:rPr>
                <w:rFonts w:ascii="Cambria Math" w:hAnsi="Cambria Math"/>
                <w:lang w:eastAsia="zh-CN"/>
              </w:rPr>
              <m:t>j</m:t>
            </m:r>
          </m:e>
        </m:box>
      </m:oMath>
      <w:r>
        <w:rPr>
          <w:lang w:eastAsia="zh-CN"/>
        </w:rPr>
        <w:t>的共同生产范围。只有能对该范围形成两组完整且有依据的预测时，才计算：</w:t>
      </w:r>
    </w:p>
    <w:p w14:paraId="43E7217C" w14:textId="77777777" w:rsidR="002D7E2C" w:rsidRDefault="00057618">
      <w:pPr>
        <w:pStyle w:val="Equation"/>
        <w:keepNext/>
      </w:pPr>
      <w:r>
        <w:rPr>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rPr>
                  <m:t>M</m:t>
                </m:r>
              </m:e>
            </m:acc>
          </m:e>
          <m:sub>
            <m:r>
              <w:rPr>
                <w:rFonts w:ascii="Cambria Math" w:hAnsi="Cambria Math"/>
              </w:rPr>
              <m:t>jt</m:t>
            </m:r>
          </m:sub>
          <m:sup>
            <m:r>
              <w:rPr>
                <w:rFonts w:ascii="Cambria Math" w:hAnsi="Cambria Math"/>
              </w:rPr>
              <m:t>a</m:t>
            </m:r>
          </m:sup>
        </m:sSubSup>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g</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j</m:t>
                    </m:r>
                  </m:sub>
                </m:sSub>
              </m:sub>
              <m:sup/>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gt</m:t>
                    </m:r>
                  </m:sub>
                  <m:sup>
                    <m:r>
                      <w:rPr>
                        <w:rFonts w:ascii="Cambria Math" w:hAnsi="Cambria Math"/>
                      </w:rPr>
                      <m:t>a</m:t>
                    </m:r>
                  </m:sup>
                </m:sSubSup>
              </m:e>
            </m:nary>
          </m:num>
          <m:den>
            <m:nary>
              <m:naryPr>
                <m:chr m:val="∑"/>
                <m:limLoc m:val="undOvr"/>
                <m:grow m:val="1"/>
                <m:supHide m:val="1"/>
                <m:ctrlPr>
                  <w:rPr>
                    <w:rFonts w:ascii="Cambria Math" w:hAnsi="Cambria Math"/>
                  </w:rPr>
                </m:ctrlPr>
              </m:naryPr>
              <m:sub>
                <m:r>
                  <w:rPr>
                    <w:rFonts w:ascii="Cambria Math" w:hAnsi="Cambria Math"/>
                  </w:rPr>
                  <m:t>g</m:t>
                </m:r>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j</m:t>
                    </m:r>
                  </m:sub>
                </m:sSub>
              </m:sub>
              <m:sup/>
              <m:e>
                <m:r>
                  <w:rPr>
                    <w:rFonts w:ascii="Cambria Math" w:hAnsi="Cambria Math"/>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gt</m:t>
                </m:r>
              </m:sub>
              <m:sup>
                <m:r>
                  <w:rPr>
                    <w:rFonts w:ascii="Cambria Math" w:hAnsi="Cambria Math"/>
                  </w:rPr>
                  <m:t>a</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gt</m:t>
                </m:r>
              </m:sub>
              <m:sup>
                <m:r>
                  <w:rPr>
                    <w:rFonts w:ascii="Cambria Math" w:hAnsi="Cambria Math"/>
                  </w:rPr>
                  <m:t>a</m:t>
                </m:r>
              </m:sup>
            </m:sSubSup>
            <m:r>
              <w:rPr>
                <w:rFonts w:ascii="Cambria Math" w:hAnsi="Cambria Math"/>
              </w:rPr>
              <m:t>)</m:t>
            </m:r>
          </m:den>
        </m:f>
        <m:r>
          <w:rPr>
            <w:rFonts w:ascii="Cambria Math" w:hAnsi="Cambria Math"/>
          </w:rPr>
          <m:t>,</m:t>
        </m:r>
        <m:r>
          <w:rPr>
            <w:rFonts w:ascii="Cambria Math" w:hAnsi="Cambria Math"/>
          </w:rPr>
          <m:t>a</m:t>
        </m:r>
        <m:r>
          <w:rPr>
            <w:rFonts w:ascii="Cambria Math" w:hAnsi="Cambria Math"/>
          </w:rPr>
          <m:t>∈{0,1}.</m:t>
        </m:r>
      </m:oMath>
      <w:r>
        <w:tab/>
        <w:t>(A9)</w:t>
      </w:r>
    </w:p>
    <w:p w14:paraId="14FC73FB" w14:textId="77777777" w:rsidR="002D7E2C" w:rsidRDefault="00057618">
      <w:r>
        <w:rPr>
          <w:lang w:eastAsia="zh-CN"/>
        </w:rPr>
        <w:t>企业、固定企业组和行业分析分别确定预测范围；出现预测缺口时，报告其范围和原因，不按两式的预测可得性重新取交集。行业总产出已包含原有企业产出，两类估计不能直接相加。部门成本反演优先使用覆盖整个部门的生产目标；只有原有企业或部分行业结果时，须说明其余产出的处理依据。例如，在两种情景下保持未覆盖产出不变，属于额外假设。无法形成可信的完整部门目标时，仅报告微观结果。</w:t>
      </w:r>
      <w:r>
        <w:t>图</w:t>
      </w:r>
      <w:r>
        <w:t>A1</w:t>
      </w:r>
      <w:r>
        <w:t>概括上述衔接。</w:t>
      </w:r>
    </w:p>
    <w:tbl>
      <w:tblPr>
        <w:tblW w:w="0" w:type="auto"/>
        <w:jc w:val="center"/>
        <w:tblLayout w:type="fixed"/>
        <w:tblLook w:val="04A0" w:firstRow="1" w:lastRow="0" w:firstColumn="1" w:lastColumn="0" w:noHBand="0" w:noVBand="1"/>
      </w:tblPr>
      <w:tblGrid>
        <w:gridCol w:w="4680"/>
        <w:gridCol w:w="4680"/>
      </w:tblGrid>
      <w:tr w:rsidR="002D7E2C" w14:paraId="1EBD854C" w14:textId="77777777">
        <w:trPr>
          <w:cantSplit/>
          <w:jc w:val="center"/>
        </w:trPr>
        <w:tc>
          <w:tcPr>
            <w:tcW w:w="9360" w:type="dxa"/>
            <w:gridSpan w:val="2"/>
            <w:tcBorders>
              <w:top w:val="single" w:sz="5" w:space="0" w:color="8497AB"/>
              <w:left w:val="single" w:sz="5" w:space="0" w:color="8497AB"/>
              <w:bottom w:val="single" w:sz="5" w:space="0" w:color="8497AB"/>
              <w:right w:val="single" w:sz="5" w:space="0" w:color="8497AB"/>
            </w:tcBorders>
            <w:shd w:val="clear" w:color="auto" w:fill="EEF2F6"/>
            <w:tcMar>
              <w:top w:w="65" w:type="dxa"/>
              <w:left w:w="95" w:type="dxa"/>
              <w:bottom w:w="65" w:type="dxa"/>
              <w:right w:w="95" w:type="dxa"/>
            </w:tcMar>
            <w:vAlign w:val="center"/>
          </w:tcPr>
          <w:p w14:paraId="33FA272C" w14:textId="77777777" w:rsidR="002D7E2C" w:rsidRDefault="00057618">
            <w:pPr>
              <w:keepNext/>
              <w:keepLines/>
              <w:spacing w:after="0" w:line="264" w:lineRule="auto"/>
              <w:jc w:val="center"/>
              <w:rPr>
                <w:lang w:eastAsia="zh-CN"/>
              </w:rPr>
            </w:pPr>
            <w:r>
              <w:rPr>
                <w:sz w:val="21"/>
                <w:lang w:eastAsia="zh-CN"/>
              </w:rPr>
              <w:t>2011</w:t>
            </w:r>
            <w:r>
              <w:rPr>
                <w:sz w:val="21"/>
                <w:lang w:eastAsia="zh-CN"/>
              </w:rPr>
              <w:t>与</w:t>
            </w:r>
            <w:r>
              <w:rPr>
                <w:sz w:val="21"/>
                <w:lang w:eastAsia="zh-CN"/>
              </w:rPr>
              <w:t>2015</w:t>
            </w:r>
            <w:r>
              <w:rPr>
                <w:sz w:val="21"/>
                <w:lang w:eastAsia="zh-CN"/>
              </w:rPr>
              <w:t>目录分别编码并匹配</w:t>
            </w:r>
            <w:r>
              <w:rPr>
                <w:sz w:val="21"/>
                <w:lang w:eastAsia="zh-CN"/>
              </w:rPr>
              <w:t>GB2017</w:t>
            </w:r>
            <w:r>
              <w:rPr>
                <w:sz w:val="21"/>
                <w:lang w:eastAsia="zh-CN"/>
              </w:rPr>
              <w:br/>
            </w:r>
            <w:r>
              <w:rPr>
                <w:sz w:val="21"/>
                <w:lang w:eastAsia="zh-CN"/>
              </w:rPr>
              <w:t>结合其他有效规定，核实本轮准入放宽</w:t>
            </w:r>
          </w:p>
        </w:tc>
      </w:tr>
      <w:tr w:rsidR="002D7E2C" w14:paraId="538B93DF" w14:textId="77777777">
        <w:trPr>
          <w:cantSplit/>
          <w:jc w:val="center"/>
        </w:trPr>
        <w:tc>
          <w:tcPr>
            <w:tcW w:w="9360" w:type="dxa"/>
            <w:gridSpan w:val="2"/>
            <w:tcMar>
              <w:top w:w="65" w:type="dxa"/>
              <w:left w:w="95" w:type="dxa"/>
              <w:bottom w:w="65" w:type="dxa"/>
              <w:right w:w="95" w:type="dxa"/>
            </w:tcMar>
            <w:vAlign w:val="center"/>
          </w:tcPr>
          <w:p w14:paraId="67AF84EE" w14:textId="77777777" w:rsidR="002D7E2C" w:rsidRDefault="00057618">
            <w:pPr>
              <w:keepNext/>
              <w:keepLines/>
              <w:spacing w:after="0" w:line="264" w:lineRule="auto"/>
              <w:jc w:val="center"/>
            </w:pPr>
            <w:r>
              <w:rPr>
                <w:sz w:val="21"/>
              </w:rPr>
              <w:t>↓</w:t>
            </w:r>
          </w:p>
        </w:tc>
      </w:tr>
      <w:tr w:rsidR="002D7E2C" w14:paraId="2DD21219" w14:textId="77777777">
        <w:trPr>
          <w:cantSplit/>
          <w:jc w:val="center"/>
        </w:trPr>
        <w:tc>
          <w:tcPr>
            <w:tcW w:w="9360" w:type="dxa"/>
            <w:gridSpan w:val="2"/>
            <w:tcBorders>
              <w:top w:val="single" w:sz="5" w:space="0" w:color="8497AB"/>
              <w:left w:val="single" w:sz="5" w:space="0" w:color="8497AB"/>
              <w:bottom w:val="single" w:sz="5" w:space="0" w:color="8497AB"/>
              <w:right w:val="single" w:sz="5" w:space="0" w:color="8497AB"/>
            </w:tcBorders>
            <w:shd w:val="clear" w:color="auto" w:fill="EEF2F6"/>
            <w:tcMar>
              <w:top w:w="65" w:type="dxa"/>
              <w:left w:w="95" w:type="dxa"/>
              <w:bottom w:w="65" w:type="dxa"/>
              <w:right w:w="95" w:type="dxa"/>
            </w:tcMar>
            <w:vAlign w:val="center"/>
          </w:tcPr>
          <w:p w14:paraId="2CB4C40E" w14:textId="77777777" w:rsidR="002D7E2C" w:rsidRDefault="00057618">
            <w:pPr>
              <w:keepNext/>
              <w:keepLines/>
              <w:spacing w:after="0" w:line="264" w:lineRule="auto"/>
              <w:jc w:val="center"/>
              <w:rPr>
                <w:lang w:eastAsia="zh-CN"/>
              </w:rPr>
            </w:pPr>
            <w:r>
              <w:rPr>
                <w:sz w:val="21"/>
                <w:lang w:eastAsia="zh-CN"/>
              </w:rPr>
              <w:t>固定公告前企业业务与适用条件</w:t>
            </w:r>
            <w:r>
              <w:rPr>
                <w:sz w:val="21"/>
                <w:lang w:eastAsia="zh-CN"/>
              </w:rPr>
              <w:br/>
            </w:r>
            <w:r>
              <w:rPr>
                <w:sz w:val="21"/>
                <w:lang w:eastAsia="zh-CN"/>
              </w:rPr>
              <w:t>判定处理组和对照组，确定</w:t>
            </w:r>
            <w:r>
              <w:rPr>
                <w:sz w:val="21"/>
                <w:lang w:eastAsia="zh-CN"/>
              </w:rPr>
              <w:t>2015</w:t>
            </w:r>
            <w:r>
              <w:rPr>
                <w:sz w:val="21"/>
                <w:lang w:eastAsia="zh-CN"/>
              </w:rPr>
              <w:t>年改革观察窗口</w:t>
            </w:r>
          </w:p>
        </w:tc>
      </w:tr>
      <w:tr w:rsidR="002D7E2C" w14:paraId="61EE185A" w14:textId="77777777">
        <w:trPr>
          <w:cantSplit/>
          <w:jc w:val="center"/>
        </w:trPr>
        <w:tc>
          <w:tcPr>
            <w:tcW w:w="9360" w:type="dxa"/>
            <w:gridSpan w:val="2"/>
            <w:tcMar>
              <w:top w:w="65" w:type="dxa"/>
              <w:left w:w="95" w:type="dxa"/>
              <w:bottom w:w="65" w:type="dxa"/>
              <w:right w:w="95" w:type="dxa"/>
            </w:tcMar>
            <w:vAlign w:val="center"/>
          </w:tcPr>
          <w:p w14:paraId="6F0D07B8" w14:textId="77777777" w:rsidR="002D7E2C" w:rsidRDefault="00057618">
            <w:pPr>
              <w:keepNext/>
              <w:keepLines/>
              <w:spacing w:after="0" w:line="264" w:lineRule="auto"/>
              <w:jc w:val="center"/>
            </w:pPr>
            <w:r>
              <w:rPr>
                <w:sz w:val="21"/>
              </w:rPr>
              <w:t>↓</w:t>
            </w:r>
          </w:p>
        </w:tc>
      </w:tr>
      <w:tr w:rsidR="002D7E2C" w14:paraId="0ECFCC51" w14:textId="77777777">
        <w:trPr>
          <w:cantSplit/>
          <w:jc w:val="center"/>
        </w:trPr>
        <w:tc>
          <w:tcPr>
            <w:tcW w:w="4680" w:type="dxa"/>
            <w:tcBorders>
              <w:top w:val="single" w:sz="5" w:space="0" w:color="8497AB"/>
              <w:left w:val="single" w:sz="5" w:space="0" w:color="8497AB"/>
              <w:bottom w:val="single" w:sz="5" w:space="0" w:color="8497AB"/>
              <w:right w:val="single" w:sz="5" w:space="0" w:color="8497AB"/>
            </w:tcBorders>
            <w:shd w:val="clear" w:color="auto" w:fill="FFFFFF"/>
            <w:tcMar>
              <w:top w:w="65" w:type="dxa"/>
              <w:left w:w="95" w:type="dxa"/>
              <w:bottom w:w="65" w:type="dxa"/>
              <w:right w:w="95" w:type="dxa"/>
            </w:tcMar>
            <w:vAlign w:val="center"/>
          </w:tcPr>
          <w:p w14:paraId="06290DF0" w14:textId="77777777" w:rsidR="002D7E2C" w:rsidRDefault="00057618">
            <w:pPr>
              <w:keepNext/>
              <w:keepLines/>
              <w:spacing w:after="0" w:line="264" w:lineRule="auto"/>
              <w:jc w:val="center"/>
              <w:rPr>
                <w:lang w:eastAsia="zh-CN"/>
              </w:rPr>
            </w:pPr>
            <w:r>
              <w:rPr>
                <w:sz w:val="21"/>
                <w:lang w:eastAsia="zh-CN"/>
              </w:rPr>
              <w:t>单轮改革企业</w:t>
            </w:r>
            <w:r>
              <w:rPr>
                <w:sz w:val="21"/>
                <w:lang w:eastAsia="zh-CN"/>
              </w:rPr>
              <w:t>—</w:t>
            </w:r>
            <w:r>
              <w:rPr>
                <w:sz w:val="21"/>
                <w:lang w:eastAsia="zh-CN"/>
              </w:rPr>
              <w:t>年份</w:t>
            </w:r>
            <w:r>
              <w:rPr>
                <w:sz w:val="21"/>
                <w:lang w:eastAsia="zh-CN"/>
              </w:rPr>
              <w:t>DID</w:t>
            </w:r>
            <w:r>
              <w:rPr>
                <w:sz w:val="21"/>
                <w:lang w:eastAsia="zh-CN"/>
              </w:rPr>
              <w:br/>
            </w:r>
            <w:r>
              <w:rPr>
                <w:sz w:val="21"/>
                <w:lang w:eastAsia="zh-CN"/>
              </w:rPr>
              <w:t>原有企业的生产、控制权与存续</w:t>
            </w:r>
          </w:p>
        </w:tc>
        <w:tc>
          <w:tcPr>
            <w:tcW w:w="4680" w:type="dxa"/>
            <w:tcBorders>
              <w:top w:val="single" w:sz="5" w:space="0" w:color="8497AB"/>
              <w:left w:val="single" w:sz="5" w:space="0" w:color="8497AB"/>
              <w:bottom w:val="single" w:sz="5" w:space="0" w:color="8497AB"/>
              <w:right w:val="single" w:sz="5" w:space="0" w:color="8497AB"/>
            </w:tcBorders>
            <w:shd w:val="clear" w:color="auto" w:fill="FFFFFF"/>
            <w:tcMar>
              <w:top w:w="65" w:type="dxa"/>
              <w:left w:w="95" w:type="dxa"/>
              <w:bottom w:w="65" w:type="dxa"/>
              <w:right w:w="95" w:type="dxa"/>
            </w:tcMar>
            <w:vAlign w:val="center"/>
          </w:tcPr>
          <w:p w14:paraId="70087079" w14:textId="77777777" w:rsidR="002D7E2C" w:rsidRDefault="00057618">
            <w:pPr>
              <w:keepNext/>
              <w:keepLines/>
              <w:spacing w:after="0" w:line="264" w:lineRule="auto"/>
              <w:jc w:val="center"/>
              <w:rPr>
                <w:lang w:eastAsia="zh-CN"/>
              </w:rPr>
            </w:pPr>
            <w:r>
              <w:rPr>
                <w:sz w:val="21"/>
                <w:lang w:eastAsia="zh-CN"/>
              </w:rPr>
              <w:t>同轮改革的行业补充分析</w:t>
            </w:r>
            <w:r>
              <w:rPr>
                <w:sz w:val="21"/>
                <w:lang w:eastAsia="zh-CN"/>
              </w:rPr>
              <w:br/>
            </w:r>
            <w:r>
              <w:rPr>
                <w:sz w:val="21"/>
                <w:lang w:eastAsia="zh-CN"/>
              </w:rPr>
              <w:t>完整行业生产，包括新设企业</w:t>
            </w:r>
          </w:p>
        </w:tc>
      </w:tr>
      <w:tr w:rsidR="002D7E2C" w14:paraId="0D3D587B" w14:textId="77777777">
        <w:trPr>
          <w:cantSplit/>
          <w:jc w:val="center"/>
        </w:trPr>
        <w:tc>
          <w:tcPr>
            <w:tcW w:w="4680" w:type="dxa"/>
            <w:tcBorders>
              <w:top w:val="single" w:sz="5" w:space="0" w:color="8497AB"/>
              <w:left w:val="single" w:sz="5" w:space="0" w:color="8497AB"/>
              <w:bottom w:val="single" w:sz="5" w:space="0" w:color="8497AB"/>
              <w:right w:val="single" w:sz="5" w:space="0" w:color="8497AB"/>
            </w:tcBorders>
            <w:shd w:val="clear" w:color="auto" w:fill="FFFFFF"/>
            <w:tcMar>
              <w:top w:w="65" w:type="dxa"/>
              <w:left w:w="95" w:type="dxa"/>
              <w:bottom w:w="65" w:type="dxa"/>
              <w:right w:w="95" w:type="dxa"/>
            </w:tcMar>
            <w:vAlign w:val="center"/>
          </w:tcPr>
          <w:p w14:paraId="54DE0ABA" w14:textId="77777777" w:rsidR="002D7E2C" w:rsidRDefault="00057618">
            <w:pPr>
              <w:keepNext/>
              <w:keepLines/>
              <w:spacing w:after="0" w:line="264" w:lineRule="auto"/>
              <w:jc w:val="center"/>
              <w:rPr>
                <w:lang w:eastAsia="zh-CN"/>
              </w:rPr>
            </w:pPr>
            <w:r>
              <w:rPr>
                <w:sz w:val="21"/>
                <w:lang w:eastAsia="zh-CN"/>
              </w:rPr>
              <w:t>分别核查外国与国内生产的预测范围</w:t>
            </w:r>
            <w:r>
              <w:rPr>
                <w:sz w:val="21"/>
                <w:lang w:eastAsia="zh-CN"/>
              </w:rPr>
              <w:br/>
            </w:r>
            <w:r>
              <w:rPr>
                <w:sz w:val="21"/>
                <w:lang w:eastAsia="zh-CN"/>
              </w:rPr>
              <w:t>不能机械取两套估计样本交集</w:t>
            </w:r>
          </w:p>
        </w:tc>
        <w:tc>
          <w:tcPr>
            <w:tcW w:w="4680" w:type="dxa"/>
            <w:tcBorders>
              <w:top w:val="single" w:sz="5" w:space="0" w:color="8497AB"/>
              <w:left w:val="single" w:sz="5" w:space="0" w:color="8497AB"/>
              <w:bottom w:val="single" w:sz="5" w:space="0" w:color="8497AB"/>
              <w:right w:val="single" w:sz="5" w:space="0" w:color="8497AB"/>
            </w:tcBorders>
            <w:shd w:val="clear" w:color="auto" w:fill="FFFFFF"/>
            <w:tcMar>
              <w:top w:w="65" w:type="dxa"/>
              <w:left w:w="95" w:type="dxa"/>
              <w:bottom w:w="65" w:type="dxa"/>
              <w:right w:w="95" w:type="dxa"/>
            </w:tcMar>
            <w:vAlign w:val="center"/>
          </w:tcPr>
          <w:p w14:paraId="654E7076" w14:textId="77777777" w:rsidR="002D7E2C" w:rsidRDefault="00057618">
            <w:pPr>
              <w:keepNext/>
              <w:keepLines/>
              <w:spacing w:after="0" w:line="264" w:lineRule="auto"/>
              <w:jc w:val="center"/>
              <w:rPr>
                <w:lang w:eastAsia="zh-CN"/>
              </w:rPr>
            </w:pPr>
            <w:r>
              <w:rPr>
                <w:sz w:val="21"/>
                <w:lang w:eastAsia="zh-CN"/>
              </w:rPr>
              <w:t>分别估计外国与国内控制生产</w:t>
            </w:r>
            <w:r>
              <w:rPr>
                <w:sz w:val="21"/>
                <w:lang w:eastAsia="zh-CN"/>
              </w:rPr>
              <w:br/>
            </w:r>
            <w:r>
              <w:rPr>
                <w:sz w:val="21"/>
                <w:lang w:eastAsia="zh-CN"/>
              </w:rPr>
              <w:t>行业总产出已含原有企业产出</w:t>
            </w:r>
          </w:p>
        </w:tc>
      </w:tr>
      <w:tr w:rsidR="002D7E2C" w14:paraId="6A6E15A0" w14:textId="77777777">
        <w:trPr>
          <w:cantSplit/>
          <w:jc w:val="center"/>
        </w:trPr>
        <w:tc>
          <w:tcPr>
            <w:tcW w:w="9360" w:type="dxa"/>
            <w:gridSpan w:val="2"/>
            <w:tcBorders>
              <w:top w:val="single" w:sz="5" w:space="0" w:color="8497AB"/>
              <w:left w:val="single" w:sz="5" w:space="0" w:color="8497AB"/>
              <w:bottom w:val="single" w:sz="5" w:space="0" w:color="8497AB"/>
              <w:right w:val="single" w:sz="5" w:space="0" w:color="8497AB"/>
            </w:tcBorders>
            <w:shd w:val="clear" w:color="auto" w:fill="EEF2F6"/>
            <w:tcMar>
              <w:top w:w="65" w:type="dxa"/>
              <w:left w:w="95" w:type="dxa"/>
              <w:bottom w:w="65" w:type="dxa"/>
              <w:right w:w="95" w:type="dxa"/>
            </w:tcMar>
            <w:vAlign w:val="center"/>
          </w:tcPr>
          <w:p w14:paraId="05781298" w14:textId="77777777" w:rsidR="002D7E2C" w:rsidRDefault="00057618">
            <w:pPr>
              <w:keepNext/>
              <w:keepLines/>
              <w:spacing w:after="0" w:line="264" w:lineRule="auto"/>
              <w:jc w:val="center"/>
              <w:rPr>
                <w:lang w:eastAsia="zh-CN"/>
              </w:rPr>
            </w:pPr>
            <w:r>
              <w:rPr>
                <w:sz w:val="21"/>
                <w:lang w:eastAsia="zh-CN"/>
              </w:rPr>
              <w:t>核实完整部门产出、观察期限及均衡条件</w:t>
            </w:r>
            <w:r>
              <w:rPr>
                <w:sz w:val="21"/>
                <w:lang w:eastAsia="zh-CN"/>
              </w:rPr>
              <w:br/>
            </w:r>
            <w:r>
              <w:rPr>
                <w:sz w:val="21"/>
                <w:lang w:eastAsia="zh-CN"/>
              </w:rPr>
              <w:t>有对应依据时形成所选改革的部门生产目标</w:t>
            </w:r>
          </w:p>
        </w:tc>
      </w:tr>
      <w:tr w:rsidR="002D7E2C" w14:paraId="74A521EB" w14:textId="77777777">
        <w:trPr>
          <w:cantSplit/>
          <w:jc w:val="center"/>
        </w:trPr>
        <w:tc>
          <w:tcPr>
            <w:tcW w:w="9360" w:type="dxa"/>
            <w:gridSpan w:val="2"/>
            <w:tcBorders>
              <w:top w:val="single" w:sz="5" w:space="0" w:color="8497AB"/>
              <w:left w:val="single" w:sz="5" w:space="0" w:color="8497AB"/>
              <w:bottom w:val="single" w:sz="5" w:space="0" w:color="8497AB"/>
              <w:right w:val="single" w:sz="5" w:space="0" w:color="8497AB"/>
            </w:tcBorders>
            <w:shd w:val="clear" w:color="auto" w:fill="FFFFFF"/>
            <w:tcMar>
              <w:top w:w="65" w:type="dxa"/>
              <w:left w:w="95" w:type="dxa"/>
              <w:bottom w:w="65" w:type="dxa"/>
              <w:right w:w="95" w:type="dxa"/>
            </w:tcMar>
            <w:vAlign w:val="center"/>
          </w:tcPr>
          <w:p w14:paraId="1C40951C" w14:textId="77777777" w:rsidR="002D7E2C" w:rsidRDefault="00057618">
            <w:pPr>
              <w:keepNext/>
              <w:keepLines/>
              <w:spacing w:after="0" w:line="264" w:lineRule="auto"/>
              <w:jc w:val="center"/>
              <w:rPr>
                <w:lang w:eastAsia="zh-CN"/>
              </w:rPr>
            </w:pPr>
            <w:r>
              <w:rPr>
                <w:sz w:val="21"/>
                <w:lang w:eastAsia="zh-CN"/>
              </w:rPr>
              <w:t>↓</w:t>
            </w:r>
            <w:r>
              <w:rPr>
                <w:sz w:val="21"/>
                <w:lang w:eastAsia="zh-CN"/>
              </w:rPr>
              <w:br/>
            </w:r>
            <w:r>
              <w:rPr>
                <w:sz w:val="21"/>
                <w:lang w:eastAsia="zh-CN"/>
              </w:rPr>
              <w:t>部门</w:t>
            </w:r>
            <w:r>
              <w:rPr>
                <w:sz w:val="21"/>
                <w:lang w:eastAsia="zh-CN"/>
              </w:rPr>
              <w:t>MP</w:t>
            </w:r>
            <w:r>
              <w:rPr>
                <w:sz w:val="21"/>
                <w:lang w:eastAsia="zh-CN"/>
              </w:rPr>
              <w:t>成本反演</w:t>
            </w:r>
            <w:r>
              <w:rPr>
                <w:sz w:val="21"/>
                <w:lang w:eastAsia="zh-CN"/>
              </w:rPr>
              <w:t xml:space="preserve"> → </w:t>
            </w:r>
            <w:r>
              <w:rPr>
                <w:sz w:val="21"/>
                <w:lang w:eastAsia="zh-CN"/>
              </w:rPr>
              <w:t>同轮改革有无的一般均衡比较</w:t>
            </w:r>
          </w:p>
        </w:tc>
      </w:tr>
    </w:tbl>
    <w:p w14:paraId="7E1330E6" w14:textId="77777777" w:rsidR="002D7E2C" w:rsidRDefault="00057618">
      <w:pPr>
        <w:pStyle w:val="af7"/>
        <w:keepNext w:val="0"/>
        <w:spacing w:before="80" w:after="140"/>
        <w:jc w:val="center"/>
        <w:rPr>
          <w:lang w:eastAsia="zh-CN"/>
        </w:rPr>
      </w:pPr>
      <w:r>
        <w:rPr>
          <w:lang w:eastAsia="zh-CN"/>
        </w:rPr>
        <w:t>图</w:t>
      </w:r>
      <w:r>
        <w:rPr>
          <w:lang w:eastAsia="zh-CN"/>
        </w:rPr>
        <w:t xml:space="preserve">A1 </w:t>
      </w:r>
      <w:r>
        <w:rPr>
          <w:lang w:eastAsia="zh-CN"/>
        </w:rPr>
        <w:t>单轮改革识别与部门成本反演</w:t>
      </w:r>
    </w:p>
    <w:p w14:paraId="4147E390" w14:textId="77777777" w:rsidR="002D7E2C" w:rsidRDefault="00057618">
      <w:pPr>
        <w:rPr>
          <w:lang w:eastAsia="zh-CN"/>
        </w:rPr>
      </w:pPr>
      <w:r>
        <w:rPr>
          <w:lang w:eastAsia="zh-CN"/>
        </w:rPr>
        <w:t>同时保存外国生产、国内生产和总生产的预测变化，区分份额上升来自外国生产扩张、国内生产下降还是控制权转换。原有企业、进入退出和所有权转换的作用分别说明；固定基期产出权重的控制身份指标仅作辅助，不替代当期实际生产份额。</w:t>
      </w:r>
    </w:p>
    <w:p w14:paraId="7DF1D676" w14:textId="77777777" w:rsidR="002D7E2C" w:rsidRDefault="00057618">
      <w:pPr>
        <w:pStyle w:val="21"/>
        <w:rPr>
          <w:lang w:eastAsia="zh-CN"/>
        </w:rPr>
      </w:pPr>
      <w:r>
        <w:rPr>
          <w:lang w:eastAsia="zh-CN"/>
        </w:rPr>
        <w:lastRenderedPageBreak/>
        <w:t xml:space="preserve">A.3.4 </w:t>
      </w:r>
      <w:r>
        <w:rPr>
          <w:lang w:eastAsia="zh-CN"/>
        </w:rPr>
        <w:t>由生产变化反演跨国生产成本</w:t>
      </w:r>
    </w:p>
    <w:p w14:paraId="41BD7430" w14:textId="77777777" w:rsidR="002D7E2C" w:rsidRDefault="00057618">
      <w:pPr>
        <w:rPr>
          <w:lang w:eastAsia="zh-CN"/>
        </w:rPr>
      </w:pPr>
      <w:r>
        <w:rPr>
          <w:lang w:eastAsia="zh-CN"/>
        </w:rPr>
        <w:t>本节将所选改革的生产结果统一到模型部门和计价口径，再调整外国企业在华生产成本，使模型计算的变化与实证目标相符。以</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e>
        </m:box>
      </m:oMath>
      <w:r>
        <w:rPr>
          <w:lang w:eastAsia="zh-CN"/>
        </w:rPr>
        <w:t>表示成本的对数相对变化，负值表示下降。改革前成本水平另由模型数据和校准确定，处理变量的</w:t>
      </w:r>
      <w:r>
        <w:rPr>
          <w:lang w:eastAsia="zh-CN"/>
        </w:rPr>
        <w:t>0</w:t>
      </w:r>
      <w:r>
        <w:rPr>
          <w:lang w:eastAsia="zh-CN"/>
        </w:rPr>
        <w:t>、</w:t>
      </w:r>
      <w:r>
        <w:rPr>
          <w:lang w:eastAsia="zh-CN"/>
        </w:rPr>
        <w:t>1</w:t>
      </w:r>
      <w:r>
        <w:rPr>
          <w:lang w:eastAsia="zh-CN"/>
        </w:rPr>
        <w:t>取值不直接转换为成本。</w:t>
      </w:r>
    </w:p>
    <w:p w14:paraId="1C1F3114" w14:textId="77777777" w:rsidR="002D7E2C" w:rsidRDefault="00057618">
      <w:pPr>
        <w:keepNext/>
        <w:rPr>
          <w:lang w:eastAsia="zh-CN"/>
        </w:rPr>
      </w:pPr>
      <w:r>
        <w:rPr>
          <w:lang w:eastAsia="zh-CN"/>
        </w:rPr>
        <w:t>事先选定比较年份</w:t>
      </w:r>
      <m:oMath>
        <m:box>
          <m:boxPr>
            <m:ctrlPr>
              <w:rPr>
                <w:rFonts w:ascii="Cambria Math" w:hAnsi="Cambria Math"/>
              </w:rPr>
            </m:ctrlPr>
          </m:box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m:t>
                </m:r>
              </m:sup>
            </m:sSup>
          </m:e>
        </m:box>
      </m:oMath>
      <w:r>
        <w:rPr>
          <w:lang w:eastAsia="zh-CN"/>
        </w:rPr>
        <w:t>及相应预测规格，在完整部门范围计算有改革和无改革的生产份额。使用静态规格时，说明共同乘法效应假设；需要刻画特定年度反应时，采用对应的动态系数。以两种情景的份额之差构成目标：</w:t>
      </w:r>
    </w:p>
    <w:p w14:paraId="73AA855C" w14:textId="77777777" w:rsidR="002D7E2C" w:rsidRDefault="00057618">
      <w:pPr>
        <w:pStyle w:val="Equation"/>
        <w:keepNext/>
        <w:rPr>
          <w:lang w:eastAsia="zh-CN"/>
        </w:rPr>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μ</m:t>
                </m:r>
              </m:e>
            </m:acc>
          </m:e>
          <m:sub>
            <m:r>
              <w:rPr>
                <w:rFonts w:ascii="Cambria Math" w:hAnsi="Cambria Math"/>
                <w:lang w:eastAsia="zh-CN"/>
              </w:rPr>
              <m:t>j</m:t>
            </m:r>
          </m:sub>
        </m:sSub>
        <m: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M</m:t>
                </m:r>
              </m:e>
            </m:acc>
          </m:e>
          <m:sub>
            <m:r>
              <w:rPr>
                <w:rFonts w:ascii="Cambria Math" w:hAnsi="Cambria Math"/>
                <w:lang w:eastAsia="zh-CN"/>
              </w:rPr>
              <m:t>j</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m:t>
                </m:r>
              </m:sup>
            </m:sSup>
          </m:sub>
          <m:sup>
            <m:r>
              <w:rPr>
                <w:rFonts w:ascii="Cambria Math" w:hAnsi="Cambria Math"/>
                <w:lang w:eastAsia="zh-CN"/>
              </w:rPr>
              <m:t>1</m:t>
            </m:r>
          </m:sup>
        </m:sSubSup>
        <m: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M</m:t>
                </m:r>
              </m:e>
            </m:acc>
          </m:e>
          <m:sub>
            <m:r>
              <w:rPr>
                <w:rFonts w:ascii="Cambria Math" w:hAnsi="Cambria Math"/>
                <w:lang w:eastAsia="zh-CN"/>
              </w:rPr>
              <m:t>j</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m:t>
                </m:r>
              </m:sup>
            </m:sSup>
          </m:sub>
          <m:sup>
            <m:r>
              <w:rPr>
                <w:rFonts w:ascii="Cambria Math" w:hAnsi="Cambria Math"/>
                <w:lang w:eastAsia="zh-CN"/>
              </w:rPr>
              <m:t>0</m:t>
            </m:r>
          </m:sup>
        </m:sSubSup>
        <m:r>
          <w:rPr>
            <w:rFonts w:ascii="Cambria Math" w:hAnsi="Cambria Math"/>
            <w:lang w:eastAsia="zh-CN"/>
          </w:rPr>
          <m:t>.</m:t>
        </m:r>
      </m:oMath>
      <w:r>
        <w:rPr>
          <w:lang w:eastAsia="zh-CN"/>
        </w:rPr>
        <w:tab/>
        <w:t>(A10)</w:t>
      </w:r>
    </w:p>
    <w:p w14:paraId="6FCB03FE" w14:textId="77777777" w:rsidR="002D7E2C" w:rsidRDefault="00057618">
      <w:pPr>
        <w:rPr>
          <w:lang w:eastAsia="zh-CN"/>
        </w:rPr>
      </w:pPr>
      <w:r>
        <w:rPr>
          <w:lang w:eastAsia="zh-CN"/>
        </w:rPr>
        <w:t>各部门目标组成向量</w:t>
      </w:r>
      <m:oMath>
        <m:box>
          <m:boxPr>
            <m:ctrlPr>
              <w:rPr>
                <w:rFonts w:ascii="Cambria Math" w:hAnsi="Cambria Math"/>
              </w:rPr>
            </m:ctrlPr>
          </m:boxPr>
          <m:e>
            <m:acc>
              <m:accPr>
                <m:ctrlPr>
                  <w:rPr>
                    <w:rFonts w:ascii="Cambria Math" w:hAnsi="Cambria Math"/>
                  </w:rPr>
                </m:ctrlPr>
              </m:accPr>
              <m:e>
                <m:r>
                  <m:rPr>
                    <m:sty m:val="bi"/>
                  </m:rPr>
                  <w:rPr>
                    <w:rFonts w:ascii="Cambria Math" w:hAnsi="Cambria Math"/>
                    <w:lang w:eastAsia="zh-CN"/>
                  </w:rPr>
                  <m:t>μ</m:t>
                </m:r>
              </m:e>
            </m:acc>
          </m:e>
        </m:box>
      </m:oMath>
      <w:r>
        <w:rPr>
          <w:lang w:eastAsia="zh-CN"/>
        </w:rPr>
        <w:t>。份额以</w:t>
      </w:r>
      <w:r>
        <w:rPr>
          <w:lang w:eastAsia="zh-CN"/>
        </w:rPr>
        <w:t>0</w:t>
      </w:r>
      <w:r>
        <w:rPr>
          <w:lang w:eastAsia="zh-CN"/>
        </w:rPr>
        <w:t>至</w:t>
      </w:r>
      <w:r>
        <w:rPr>
          <w:lang w:eastAsia="zh-CN"/>
        </w:rPr>
        <w:t>1</w:t>
      </w:r>
      <w:r>
        <w:rPr>
          <w:lang w:eastAsia="zh-CN"/>
        </w:rPr>
        <w:t>计量，份额之差乘以</w:t>
      </w:r>
      <w:r>
        <w:rPr>
          <w:lang w:eastAsia="zh-CN"/>
        </w:rPr>
        <w:t>100</w:t>
      </w:r>
      <w:r>
        <w:rPr>
          <w:lang w:eastAsia="zh-CN"/>
        </w:rPr>
        <w:t>后表示百分点变化。补充预测范围之外的产出时，先重算两种情景的部门份额，再形成目标。以下成本与均衡符号均对应本轮改革和所选比较期限。</w:t>
      </w:r>
    </w:p>
    <w:p w14:paraId="5A6524ED" w14:textId="77777777" w:rsidR="002D7E2C" w:rsidRDefault="00057618">
      <w:pPr>
        <w:rPr>
          <w:lang w:eastAsia="zh-CN"/>
        </w:rPr>
      </w:pPr>
      <w:r>
        <w:rPr>
          <w:lang w:eastAsia="zh-CN"/>
        </w:rPr>
        <w:t>比较期限须与模型能够表示的调整过程相符。实施年及短期企业反应不能直接视为长期均衡结果；更长观察期又可能包含后续政策。若无法同时说明本轮改革的识别和模型期限的对应，先保留生产结果，不强行反演长期成本或福利。</w:t>
      </w:r>
    </w:p>
    <w:p w14:paraId="75468976" w14:textId="77777777" w:rsidR="002D7E2C" w:rsidRDefault="00057618">
      <w:pPr>
        <w:keepNext/>
        <w:rPr>
          <w:lang w:eastAsia="zh-CN"/>
        </w:rPr>
      </w:pPr>
      <w:r>
        <w:rPr>
          <w:lang w:eastAsia="zh-CN"/>
        </w:rPr>
        <w:t>模型按生产国、母国和销售目的国记录流量，企业资料记录生产价值，二者先统一计价口径。令</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e>
        </m:box>
      </m:oMath>
      <w:r>
        <w:rPr>
          <w:lang w:eastAsia="zh-CN"/>
        </w:rPr>
        <w:t>为依据价格、货币和贸易成本口径进行换算的函数，</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τ</m:t>
                </m:r>
              </m:e>
              <m:sub>
                <m:r>
                  <w:rPr>
                    <w:rFonts w:ascii="Cambria Math" w:hAnsi="Cambria Math"/>
                    <w:lang w:eastAsia="zh-CN"/>
                  </w:rPr>
                  <m:t>nCj</m:t>
                </m:r>
              </m:sub>
            </m:sSub>
          </m:e>
        </m:box>
      </m:oMath>
      <w:r>
        <w:rPr>
          <w:lang w:eastAsia="zh-CN"/>
        </w:rPr>
        <w:t>为中国至目的国</w:t>
      </w:r>
      <m:oMath>
        <m:box>
          <m:boxPr>
            <m:ctrlPr>
              <w:rPr>
                <w:rFonts w:ascii="Cambria Math" w:hAnsi="Cambria Math"/>
              </w:rPr>
            </m:ctrlPr>
          </m:boxPr>
          <m:e>
            <m:r>
              <w:rPr>
                <w:rFonts w:ascii="Cambria Math" w:hAnsi="Cambria Math"/>
                <w:lang w:eastAsia="zh-CN"/>
              </w:rPr>
              <m:t>n</m:t>
            </m:r>
          </m:e>
        </m:box>
      </m:oMath>
      <w:r>
        <w:rPr>
          <w:lang w:eastAsia="zh-CN"/>
        </w:rPr>
        <w:t>的贸易成本，</w:t>
      </w:r>
      <m:oMath>
        <m:box>
          <m:boxPr>
            <m:ctrlPr>
              <w:rPr>
                <w:rFonts w:ascii="Cambria Math" w:hAnsi="Cambria Math"/>
              </w:rPr>
            </m:ctrlPr>
          </m:boxPr>
          <m:e>
            <m:r>
              <m:rPr>
                <m:sty m:val="bi"/>
              </m:rPr>
              <w:rPr>
                <w:rFonts w:ascii="Cambria Math" w:hAnsi="Cambria Math"/>
                <w:lang w:eastAsia="zh-CN"/>
              </w:rPr>
              <m:t>P</m:t>
            </m:r>
          </m:e>
        </m:box>
      </m:oMath>
      <w:r>
        <w:rPr>
          <w:lang w:eastAsia="zh-CN"/>
        </w:rPr>
        <w:t>为相应价格向量。母国</w:t>
      </w:r>
      <m:oMath>
        <m:box>
          <m:boxPr>
            <m:ctrlPr>
              <w:rPr>
                <w:rFonts w:ascii="Cambria Math" w:hAnsi="Cambria Math"/>
              </w:rPr>
            </m:ctrlPr>
          </m:boxPr>
          <m:e>
            <m:r>
              <w:rPr>
                <w:rFonts w:ascii="Cambria Math" w:hAnsi="Cambria Math"/>
                <w:lang w:eastAsia="zh-CN"/>
              </w:rPr>
              <m:t>m</m:t>
            </m:r>
          </m:e>
        </m:box>
      </m:oMath>
      <w:r>
        <w:rPr>
          <w:lang w:eastAsia="zh-CN"/>
        </w:rPr>
        <w:t>企业在中国的生产及外国控制份额为：</w:t>
      </w:r>
    </w:p>
    <w:p w14:paraId="2E146D41" w14:textId="77777777" w:rsidR="002D7E2C" w:rsidRDefault="00057618">
      <w:pPr>
        <w:pStyle w:val="Equation"/>
        <w:keepNext/>
        <w:rPr>
          <w:lang w:eastAsia="zh-CN"/>
        </w:rPr>
      </w:pPr>
      <w:r>
        <w:rPr>
          <w:lang w:eastAsia="zh-CN"/>
        </w:rPr>
        <w:tab/>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Cmj</m:t>
            </m:r>
          </m:sub>
        </m:sSub>
        <m:r>
          <w:rPr>
            <w:rFonts w:ascii="Cambria Math" w:hAnsi="Cambria Math"/>
            <w:lang w:eastAsia="zh-CN"/>
          </w:rPr>
          <m:t>=</m:t>
        </m:r>
        <m:nary>
          <m:naryPr>
            <m:chr m:val="∑"/>
            <m:limLoc m:val="undOvr"/>
            <m:grow m:val="1"/>
            <m:supHide m:val="1"/>
            <m:ctrlPr>
              <w:rPr>
                <w:rFonts w:ascii="Cambria Math" w:hAnsi="Cambria Math"/>
              </w:rPr>
            </m:ctrlPr>
          </m:naryPr>
          <m:sub>
            <m:r>
              <w:rPr>
                <w:rFonts w:ascii="Cambria Math" w:hAnsi="Cambria Math"/>
                <w:lang w:eastAsia="zh-CN"/>
              </w:rPr>
              <m:t>n</m:t>
            </m:r>
          </m:sub>
          <m:sup/>
          <m:e>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e>
        </m:nary>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nCmj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τ</m:t>
            </m:r>
          </m:e>
          <m:sub>
            <m:r>
              <w:rPr>
                <w:rFonts w:ascii="Cambria Math" w:hAnsi="Cambria Math"/>
                <w:lang w:eastAsia="zh-CN"/>
              </w:rPr>
              <m:t>nCj</m:t>
            </m:r>
          </m:sub>
        </m:sSub>
        <m:r>
          <w:rPr>
            <w:rFonts w:ascii="Cambria Math" w:hAnsi="Cambria Math"/>
            <w:lang w:eastAsia="zh-CN"/>
          </w:rPr>
          <m:t>,</m:t>
        </m:r>
        <m:r>
          <m:rPr>
            <m:sty m:val="bi"/>
          </m:rPr>
          <w:rPr>
            <w:rFonts w:ascii="Cambria Math" w:hAnsi="Cambria Math"/>
            <w:lang w:eastAsia="zh-CN"/>
          </w:rPr>
          <m:t>P</m:t>
        </m:r>
        <m: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Cj</m:t>
            </m:r>
          </m:sub>
        </m:sSub>
        <m:r>
          <w:rPr>
            <w:rFonts w:ascii="Cambria Math" w:hAnsi="Cambria Math"/>
            <w:lang w:eastAsia="zh-CN"/>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lang w:eastAsia="zh-CN"/>
                  </w:rPr>
                  <m:t>m</m:t>
                </m:r>
                <m:r>
                  <w:rPr>
                    <w:rFonts w:ascii="Cambria Math" w:hAnsi="Cambria Math"/>
                    <w:lang w:eastAsia="zh-CN"/>
                  </w:rPr>
                  <m:t>≠</m:t>
                </m:r>
                <m:r>
                  <w:rPr>
                    <w:rFonts w:ascii="Cambria Math" w:hAnsi="Cambria Math"/>
                    <w:lang w:eastAsia="zh-CN"/>
                  </w:rPr>
                  <m:t>C</m:t>
                </m:r>
              </m:sub>
              <m:sup/>
              <m:e>
                <m:sSub>
                  <m:sSubPr>
                    <m:ctrlPr>
                      <w:rPr>
                        <w:rFonts w:ascii="Cambria Math" w:hAnsi="Cambria Math"/>
                      </w:rPr>
                    </m:ctrlPr>
                  </m:sSubPr>
                  <m:e>
                    <m:r>
                      <w:rPr>
                        <w:rFonts w:ascii="Cambria Math" w:hAnsi="Cambria Math"/>
                        <w:lang w:eastAsia="zh-CN"/>
                      </w:rPr>
                      <m:t>Q</m:t>
                    </m:r>
                  </m:e>
                  <m:sub>
                    <m:r>
                      <w:rPr>
                        <w:rFonts w:ascii="Cambria Math" w:hAnsi="Cambria Math"/>
                        <w:lang w:eastAsia="zh-CN"/>
                      </w:rPr>
                      <m:t>Cmj</m:t>
                    </m:r>
                  </m:sub>
                </m:sSub>
              </m:e>
            </m:nary>
          </m:num>
          <m:den>
            <m:nary>
              <m:naryPr>
                <m:chr m:val="∑"/>
                <m:limLoc m:val="undOvr"/>
                <m:grow m:val="1"/>
                <m:supHide m:val="1"/>
                <m:ctrlPr>
                  <w:rPr>
                    <w:rFonts w:ascii="Cambria Math" w:hAnsi="Cambria Math"/>
                  </w:rPr>
                </m:ctrlPr>
              </m:naryPr>
              <m:sub>
                <m:r>
                  <w:rPr>
                    <w:rFonts w:ascii="Cambria Math" w:hAnsi="Cambria Math"/>
                    <w:lang w:eastAsia="zh-CN"/>
                  </w:rPr>
                  <m:t>m</m:t>
                </m:r>
              </m:sub>
              <m:sup/>
              <m:e>
                <m:sSub>
                  <m:sSubPr>
                    <m:ctrlPr>
                      <w:rPr>
                        <w:rFonts w:ascii="Cambria Math" w:hAnsi="Cambria Math"/>
                      </w:rPr>
                    </m:ctrlPr>
                  </m:sSubPr>
                  <m:e>
                    <m:r>
                      <w:rPr>
                        <w:rFonts w:ascii="Cambria Math" w:hAnsi="Cambria Math"/>
                        <w:lang w:eastAsia="zh-CN"/>
                      </w:rPr>
                      <m:t>Q</m:t>
                    </m:r>
                  </m:e>
                  <m:sub>
                    <m:r>
                      <w:rPr>
                        <w:rFonts w:ascii="Cambria Math" w:hAnsi="Cambria Math"/>
                        <w:lang w:eastAsia="zh-CN"/>
                      </w:rPr>
                      <m:t>Cmj</m:t>
                    </m:r>
                  </m:sub>
                </m:sSub>
              </m:e>
            </m:nary>
          </m:den>
        </m:f>
        <m:r>
          <w:rPr>
            <w:rFonts w:ascii="Cambria Math" w:hAnsi="Cambria Math"/>
            <w:lang w:eastAsia="zh-CN"/>
          </w:rPr>
          <m:t>.</m:t>
        </m:r>
      </m:oMath>
      <w:r>
        <w:rPr>
          <w:lang w:eastAsia="zh-CN"/>
        </w:rPr>
        <w:tab/>
        <w:t>(A11)</w:t>
      </w:r>
    </w:p>
    <w:p w14:paraId="60B013FA" w14:textId="77777777" w:rsidR="002D7E2C" w:rsidRDefault="00057618">
      <w:pPr>
        <w:keepNext/>
        <w:rPr>
          <w:lang w:eastAsia="zh-CN"/>
        </w:rPr>
      </w:pPr>
      <w:r>
        <w:rPr>
          <w:lang w:eastAsia="zh-CN"/>
        </w:rPr>
        <w:t>采用原模型的生产者收入时，按相应的</w:t>
      </w:r>
      <m:oMath>
        <m:box>
          <m:boxPr>
            <m:ctrlPr>
              <w:rPr>
                <w:rFonts w:ascii="Cambria Math" w:hAnsi="Cambria Math"/>
              </w:rPr>
            </m:ctrlPr>
          </m:boxPr>
          <m:e>
            <m:f>
              <m:fPr>
                <m:type m:val="lin"/>
                <m:ctrlPr>
                  <w:rPr>
                    <w:rFonts w:ascii="Cambria Math" w:hAnsi="Cambria Math"/>
                  </w:rPr>
                </m:ctrlPr>
              </m:fPr>
              <m:num>
                <m:r>
                  <w:rPr>
                    <w:rFonts w:ascii="Cambria Math" w:hAnsi="Cambria Math"/>
                    <w:lang w:eastAsia="zh-CN"/>
                  </w:rPr>
                  <m:t>X</m:t>
                </m:r>
              </m:num>
              <m:den>
                <m:r>
                  <w:rPr>
                    <w:rFonts w:ascii="Cambria Math" w:hAnsi="Cambria Math"/>
                    <w:lang w:eastAsia="zh-CN"/>
                  </w:rPr>
                  <m:t>τ</m:t>
                </m:r>
              </m:den>
            </m:f>
          </m:e>
        </m:box>
      </m:oMath>
      <w:r>
        <w:rPr>
          <w:lang w:eastAsia="zh-CN"/>
        </w:rPr>
        <w:t>关系换算；采用其他估值口径时，先核实其与模型变量的对应。令</w:t>
      </w:r>
      <m:oMath>
        <m:box>
          <m:boxPr>
            <m:ctrlPr>
              <w:rPr>
                <w:rFonts w:ascii="Cambria Math" w:hAnsi="Cambria Math"/>
              </w:rPr>
            </m:ctrlPr>
          </m:boxPr>
          <m:e>
            <m:sSup>
              <m:sSupPr>
                <m:ctrlPr>
                  <w:rPr>
                    <w:rFonts w:ascii="Cambria Math" w:hAnsi="Cambria Math"/>
                  </w:rPr>
                </m:ctrlPr>
              </m:sSupPr>
              <m:e>
                <m:r>
                  <w:rPr>
                    <w:rFonts w:ascii="Cambria Math" w:hAnsi="Cambria Math"/>
                    <w:lang w:eastAsia="zh-CN"/>
                  </w:rPr>
                  <m:t>G</m:t>
                </m:r>
              </m:e>
              <m:sup>
                <m:r>
                  <w:rPr>
                    <w:rFonts w:ascii="Cambria Math" w:hAnsi="Cambria Math"/>
                    <w:lang w:eastAsia="zh-CN"/>
                  </w:rPr>
                  <m:t>χ</m:t>
                </m:r>
              </m:sup>
            </m:sSup>
            <m:r>
              <w:rPr>
                <w:rFonts w:ascii="Cambria Math" w:hAnsi="Cambria Math"/>
                <w:lang w:eastAsia="zh-CN"/>
              </w:rPr>
              <m:t>(</m:t>
            </m:r>
            <m:r>
              <m:rPr>
                <m:sty m:val="bi"/>
              </m:rPr>
              <w:rPr>
                <w:rFonts w:ascii="Cambria Math" w:hAnsi="Cambria Math"/>
                <w:lang w:eastAsia="zh-CN"/>
              </w:rPr>
              <m:t>δ</m:t>
            </m:r>
            <m:r>
              <w:rPr>
                <w:rFonts w:ascii="Cambria Math" w:hAnsi="Cambria Math"/>
                <w:lang w:eastAsia="zh-CN"/>
              </w:rPr>
              <m:t>)</m:t>
            </m:r>
          </m:e>
        </m:box>
      </m:oMath>
      <w:r>
        <w:rPr>
          <w:lang w:eastAsia="zh-CN"/>
        </w:rPr>
        <w:t>为给定成本变化后的模型解，</w:t>
      </w:r>
      <m:oMath>
        <m:box>
          <m:boxPr>
            <m:ctrlPr>
              <w:rPr>
                <w:rFonts w:ascii="Cambria Math" w:hAnsi="Cambria Math"/>
              </w:rPr>
            </m:ctrlPr>
          </m:boxPr>
          <m:e>
            <m:r>
              <w:rPr>
                <w:rFonts w:ascii="Cambria Math" w:hAnsi="Cambria Math"/>
                <w:lang w:eastAsia="zh-CN"/>
              </w:rPr>
              <m:t>χ</m:t>
            </m:r>
            <m:r>
              <w:rPr>
                <w:rFonts w:ascii="Cambria Math" w:hAnsi="Cambria Math"/>
                <w:lang w:eastAsia="zh-CN"/>
              </w:rPr>
              <m:t>∈{</m:t>
            </m:r>
            <m:r>
              <m:rPr>
                <m:sty m:val="p"/>
              </m:rPr>
              <w:rPr>
                <w:rFonts w:ascii="Cambria Math" w:hAnsi="Cambria Math"/>
                <w:lang w:eastAsia="zh-CN"/>
              </w:rPr>
              <m:t>PE</m:t>
            </m:r>
            <m:r>
              <w:rPr>
                <w:rFonts w:ascii="Cambria Math" w:hAnsi="Cambria Math"/>
                <w:lang w:eastAsia="zh-CN"/>
              </w:rPr>
              <m:t>,</m:t>
            </m:r>
            <m:r>
              <m:rPr>
                <m:sty m:val="p"/>
              </m:rPr>
              <w:rPr>
                <w:rFonts w:ascii="Cambria Math" w:hAnsi="Cambria Math"/>
                <w:lang w:eastAsia="zh-CN"/>
              </w:rPr>
              <m:t>GE</m:t>
            </m:r>
            <m:r>
              <w:rPr>
                <w:rFonts w:ascii="Cambria Math" w:hAnsi="Cambria Math"/>
                <w:lang w:eastAsia="zh-CN"/>
              </w:rPr>
              <m:t>}</m:t>
            </m:r>
          </m:e>
        </m:box>
      </m:oMath>
      <w:r>
        <w:rPr>
          <w:lang w:eastAsia="zh-CN"/>
        </w:rPr>
        <w:t>分别表示局部均衡和一般均衡。函数</w:t>
      </w:r>
      <m:oMath>
        <m:box>
          <m:boxPr>
            <m:ctrlPr>
              <w:rPr>
                <w:rFonts w:ascii="Cambria Math" w:hAnsi="Cambria Math"/>
              </w:rPr>
            </m:ctrlPr>
          </m:boxPr>
          <m:e>
            <m:r>
              <w:rPr>
                <w:rFonts w:ascii="Cambria Math" w:hAnsi="Cambria Math"/>
                <w:lang w:eastAsia="zh-CN"/>
              </w:rPr>
              <m:t>O</m:t>
            </m:r>
          </m:e>
        </m:box>
      </m:oMath>
      <w:r>
        <w:rPr>
          <w:lang w:eastAsia="zh-CN"/>
        </w:rPr>
        <w:t>按实证口径计算模型结果，使部门、生产范围、期限及比较方式相对应。拟合偏差及成本估计为：</w:t>
      </w:r>
    </w:p>
    <w:p w14:paraId="5DFB54F4" w14:textId="77777777" w:rsidR="002D7E2C" w:rsidRDefault="00057618">
      <w:pPr>
        <w:pStyle w:val="Equation"/>
        <w:keepNext/>
        <w:rPr>
          <w:lang w:eastAsia="zh-CN"/>
        </w:rPr>
      </w:pPr>
      <w:r>
        <w:rPr>
          <w:lang w:eastAsia="zh-CN"/>
        </w:rPr>
        <w:tab/>
      </w:r>
      <m:oMath>
        <m:r>
          <m:rPr>
            <m:sty m:val="bi"/>
          </m:rPr>
          <w:rPr>
            <w:rFonts w:ascii="Cambria Math" w:hAnsi="Cambria Math"/>
            <w:lang w:eastAsia="zh-CN"/>
          </w:rPr>
          <m:t>ε</m:t>
        </m:r>
        <m:r>
          <w:rPr>
            <w:rFonts w:ascii="Cambria Math" w:hAnsi="Cambria Math"/>
            <w:lang w:eastAsia="zh-CN"/>
          </w:rPr>
          <m:t>(</m:t>
        </m:r>
        <m:r>
          <m:rPr>
            <m:sty m:val="bi"/>
          </m:rPr>
          <w:rPr>
            <w:rFonts w:ascii="Cambria Math" w:hAnsi="Cambria Math"/>
            <w:lang w:eastAsia="zh-CN"/>
          </w:rPr>
          <m:t>δ</m:t>
        </m:r>
        <m:r>
          <w:rPr>
            <w:rFonts w:ascii="Cambria Math" w:hAnsi="Cambria Math"/>
            <w:lang w:eastAsia="zh-CN"/>
          </w:rPr>
          <m:t>)=</m:t>
        </m:r>
        <m:r>
          <w:rPr>
            <w:rFonts w:ascii="Cambria Math" w:hAnsi="Cambria Math"/>
            <w:lang w:eastAsia="zh-CN"/>
          </w:rPr>
          <m:t>ΔO</m:t>
        </m:r>
        <m:r>
          <w:rPr>
            <w:rFonts w:ascii="Cambria Math" w:hAnsi="Cambria Math"/>
            <w:lang w:eastAsia="zh-CN"/>
          </w:rPr>
          <m:t>(</m:t>
        </m:r>
        <m:sSup>
          <m:sSupPr>
            <m:ctrlPr>
              <w:rPr>
                <w:rFonts w:ascii="Cambria Math" w:hAnsi="Cambria Math"/>
              </w:rPr>
            </m:ctrlPr>
          </m:sSupPr>
          <m:e>
            <m:r>
              <w:rPr>
                <w:rFonts w:ascii="Cambria Math" w:hAnsi="Cambria Math"/>
                <w:lang w:eastAsia="zh-CN"/>
              </w:rPr>
              <m:t>G</m:t>
            </m:r>
          </m:e>
          <m:sup>
            <m:r>
              <w:rPr>
                <w:rFonts w:ascii="Cambria Math" w:hAnsi="Cambria Math"/>
                <w:lang w:eastAsia="zh-CN"/>
              </w:rPr>
              <m:t>χ</m:t>
            </m:r>
          </m:sup>
        </m:sSup>
        <m:r>
          <w:rPr>
            <w:rFonts w:ascii="Cambria Math" w:hAnsi="Cambria Math"/>
            <w:lang w:eastAsia="zh-CN"/>
          </w:rPr>
          <m:t>(</m:t>
        </m:r>
        <m:r>
          <m:rPr>
            <m:sty m:val="bi"/>
          </m:rPr>
          <w:rPr>
            <w:rFonts w:ascii="Cambria Math" w:hAnsi="Cambria Math"/>
            <w:lang w:eastAsia="zh-CN"/>
          </w:rPr>
          <m:t>δ</m:t>
        </m:r>
        <m:r>
          <w:rPr>
            <w:rFonts w:ascii="Cambria Math" w:hAnsi="Cambria Math"/>
            <w:lang w:eastAsia="zh-CN"/>
          </w:rPr>
          <m:t>))-</m:t>
        </m:r>
        <m:acc>
          <m:accPr>
            <m:ctrlPr>
              <w:rPr>
                <w:rFonts w:ascii="Cambria Math" w:hAnsi="Cambria Math"/>
              </w:rPr>
            </m:ctrlPr>
          </m:accPr>
          <m:e>
            <m:r>
              <m:rPr>
                <m:sty m:val="bi"/>
              </m:rPr>
              <w:rPr>
                <w:rFonts w:ascii="Cambria Math" w:hAnsi="Cambria Math"/>
                <w:lang w:eastAsia="zh-CN"/>
              </w:rPr>
              <m:t>μ</m:t>
            </m:r>
          </m:e>
        </m:acc>
        <m:r>
          <w:rPr>
            <w:rFonts w:ascii="Cambria Math" w:hAnsi="Cambria Math"/>
            <w:lang w:eastAsia="zh-CN"/>
          </w:rPr>
          <m:t>.</m:t>
        </m:r>
      </m:oMath>
      <w:r>
        <w:rPr>
          <w:lang w:eastAsia="zh-CN"/>
        </w:rPr>
        <w:tab/>
        <w:t>(A12)</w:t>
      </w:r>
    </w:p>
    <w:p w14:paraId="0DF70D81" w14:textId="77777777" w:rsidR="002D7E2C" w:rsidRDefault="00057618">
      <w:pPr>
        <w:pStyle w:val="Equation"/>
        <w:keepNext/>
        <w:rPr>
          <w:lang w:eastAsia="zh-CN"/>
        </w:rPr>
      </w:pPr>
      <w:r>
        <w:rPr>
          <w:lang w:eastAsia="zh-CN"/>
        </w:rPr>
        <w:tab/>
      </w:r>
      <m:oMath>
        <m:acc>
          <m:accPr>
            <m:ctrlPr>
              <w:rPr>
                <w:rFonts w:ascii="Cambria Math" w:hAnsi="Cambria Math"/>
              </w:rPr>
            </m:ctrlPr>
          </m:accPr>
          <m:e>
            <m:r>
              <m:rPr>
                <m:sty m:val="bi"/>
              </m:rPr>
              <w:rPr>
                <w:rFonts w:ascii="Cambria Math" w:hAnsi="Cambria Math"/>
                <w:lang w:eastAsia="zh-CN"/>
              </w:rPr>
              <m:t>δ</m:t>
            </m:r>
          </m:e>
        </m:acc>
        <m:r>
          <w:rPr>
            <w:rFonts w:ascii="Cambria Math" w:hAnsi="Cambria Math"/>
            <w:lang w:eastAsia="zh-CN"/>
          </w:rPr>
          <m:t>=</m:t>
        </m:r>
        <m:limLow>
          <m:limLowPr>
            <m:ctrlPr>
              <w:rPr>
                <w:rFonts w:ascii="Cambria Math" w:hAnsi="Cambria Math"/>
              </w:rPr>
            </m:ctrlPr>
          </m:limLowPr>
          <m:e>
            <m:r>
              <m:rPr>
                <m:sty m:val="p"/>
              </m:rPr>
              <w:rPr>
                <w:rFonts w:ascii="Cambria Math" w:hAnsi="Cambria Math"/>
                <w:lang w:eastAsia="zh-CN"/>
              </w:rPr>
              <m:t>argmin</m:t>
            </m:r>
          </m:e>
          <m:lim>
            <m:r>
              <m:rPr>
                <m:sty m:val="bi"/>
              </m:rPr>
              <w:rPr>
                <w:rFonts w:ascii="Cambria Math" w:hAnsi="Cambria Math"/>
                <w:lang w:eastAsia="zh-CN"/>
              </w:rPr>
              <m:t>δ</m:t>
            </m:r>
            <m:r>
              <w:rPr>
                <w:rFonts w:ascii="Cambria Math" w:hAnsi="Cambria Math"/>
                <w:lang w:eastAsia="zh-CN"/>
              </w:rPr>
              <m:t>∈</m:t>
            </m:r>
            <m:r>
              <m:rPr>
                <m:scr m:val="script"/>
              </m:rPr>
              <w:rPr>
                <w:rFonts w:ascii="Cambria Math" w:hAnsi="Cambria Math"/>
                <w:lang w:eastAsia="zh-CN"/>
              </w:rPr>
              <m:t>D</m:t>
            </m:r>
          </m:lim>
        </m:limLow>
        <m:r>
          <m:rPr>
            <m:sty m:val="bi"/>
          </m:rPr>
          <w:rPr>
            <w:rFonts w:ascii="Cambria Math" w:hAnsi="Cambria Math"/>
            <w:lang w:eastAsia="zh-CN"/>
          </w:rPr>
          <m:t>ε</m:t>
        </m:r>
        <m:r>
          <w:rPr>
            <w:rFonts w:ascii="Cambria Math" w:hAnsi="Cambria Math"/>
            <w:lang w:eastAsia="zh-CN"/>
          </w:rPr>
          <m:t>(</m:t>
        </m:r>
        <m:r>
          <m:rPr>
            <m:sty m:val="bi"/>
          </m:rPr>
          <w:rPr>
            <w:rFonts w:ascii="Cambria Math" w:hAnsi="Cambria Math"/>
            <w:lang w:eastAsia="zh-CN"/>
          </w:rPr>
          <m:t>δ</m:t>
        </m:r>
        <m:sSup>
          <m:sSupPr>
            <m:ctrlPr>
              <w:rPr>
                <w:rFonts w:ascii="Cambria Math" w:hAnsi="Cambria Math"/>
              </w:rPr>
            </m:ctrlPr>
          </m:sSupPr>
          <m:e>
            <m:r>
              <w:rPr>
                <w:rFonts w:ascii="Cambria Math" w:hAnsi="Cambria Math"/>
                <w:lang w:eastAsia="zh-CN"/>
              </w:rPr>
              <m:t>)</m:t>
            </m:r>
          </m:e>
          <m:sup>
            <m:r>
              <w:rPr>
                <w:rFonts w:ascii="Cambria Math" w:hAnsi="Cambria Math"/>
                <w:lang w:eastAsia="zh-CN"/>
              </w:rPr>
              <m:t>'</m:t>
            </m:r>
          </m:sup>
        </m:sSup>
        <m:r>
          <m:rPr>
            <m:sty m:val="bi"/>
          </m:rPr>
          <w:rPr>
            <w:rFonts w:ascii="Cambria Math" w:hAnsi="Cambria Math"/>
            <w:lang w:eastAsia="zh-CN"/>
          </w:rPr>
          <m:t>Wε</m:t>
        </m:r>
        <m:r>
          <w:rPr>
            <w:rFonts w:ascii="Cambria Math" w:hAnsi="Cambria Math"/>
            <w:lang w:eastAsia="zh-CN"/>
          </w:rPr>
          <m:t>(</m:t>
        </m:r>
        <m:r>
          <m:rPr>
            <m:sty m:val="bi"/>
          </m:rPr>
          <w:rPr>
            <w:rFonts w:ascii="Cambria Math" w:hAnsi="Cambria Math"/>
            <w:lang w:eastAsia="zh-CN"/>
          </w:rPr>
          <m:t>δ</m:t>
        </m:r>
        <m:r>
          <w:rPr>
            <w:rFonts w:ascii="Cambria Math" w:hAnsi="Cambria Math"/>
            <w:lang w:eastAsia="zh-CN"/>
          </w:rPr>
          <m:t>).</m:t>
        </m:r>
      </m:oMath>
      <w:r>
        <w:rPr>
          <w:lang w:eastAsia="zh-CN"/>
        </w:rPr>
        <w:tab/>
        <w:t>(A13)</w:t>
      </w:r>
    </w:p>
    <w:p w14:paraId="59CDC0D0" w14:textId="77777777" w:rsidR="002D7E2C" w:rsidRDefault="00057618">
      <w:pPr>
        <w:rPr>
          <w:lang w:eastAsia="zh-CN"/>
        </w:rPr>
      </w:pPr>
      <w:r>
        <w:rPr>
          <w:lang w:eastAsia="zh-CN"/>
        </w:rPr>
        <w:t>其中，</w:t>
      </w:r>
      <m:oMath>
        <m:box>
          <m:boxPr>
            <m:ctrlPr>
              <w:rPr>
                <w:rFonts w:ascii="Cambria Math" w:hAnsi="Cambria Math"/>
              </w:rPr>
            </m:ctrlPr>
          </m:boxPr>
          <m:e>
            <m:r>
              <w:rPr>
                <w:rFonts w:ascii="Cambria Math" w:hAnsi="Cambria Math"/>
                <w:lang w:eastAsia="zh-CN"/>
              </w:rPr>
              <m:t>ΔO</m:t>
            </m:r>
          </m:e>
        </m:box>
      </m:oMath>
      <w:r>
        <w:rPr>
          <w:lang w:eastAsia="zh-CN"/>
        </w:rPr>
        <w:t>比较本轮改革有无两种状态，</w:t>
      </w:r>
      <m:oMath>
        <m:box>
          <m:boxPr>
            <m:ctrlPr>
              <w:rPr>
                <w:rFonts w:ascii="Cambria Math" w:hAnsi="Cambria Math"/>
              </w:rPr>
            </m:ctrlPr>
          </m:boxPr>
          <m:e>
            <m:r>
              <m:rPr>
                <m:scr m:val="script"/>
              </m:rPr>
              <w:rPr>
                <w:rFonts w:ascii="Cambria Math" w:hAnsi="Cambria Math"/>
                <w:lang w:eastAsia="zh-CN"/>
              </w:rPr>
              <m:t>D</m:t>
            </m:r>
          </m:e>
        </m:box>
      </m:oMath>
      <w:r>
        <w:rPr>
          <w:lang w:eastAsia="zh-CN"/>
        </w:rPr>
        <w:t>为依据模型及政策设定确定的参数范围，</w:t>
      </w:r>
      <m:oMath>
        <m:box>
          <m:boxPr>
            <m:ctrlPr>
              <w:rPr>
                <w:rFonts w:ascii="Cambria Math" w:hAnsi="Cambria Math"/>
              </w:rPr>
            </m:ctrlPr>
          </m:boxPr>
          <m:e>
            <m:r>
              <m:rPr>
                <m:sty m:val="bi"/>
              </m:rPr>
              <w:rPr>
                <w:rFonts w:ascii="Cambria Math" w:hAnsi="Cambria Math"/>
                <w:lang w:eastAsia="zh-CN"/>
              </w:rPr>
              <m:t>W</m:t>
            </m:r>
          </m:e>
        </m:box>
      </m:oMath>
      <w:r>
        <w:rPr>
          <w:lang w:eastAsia="zh-CN"/>
        </w:rPr>
        <w:t>按目标协方差或统一量纲预先设定。基准拟合外国控制生产份额，外国和国内生产价值用于</w:t>
      </w:r>
      <w:r>
        <w:rPr>
          <w:lang w:eastAsia="zh-CN"/>
        </w:rPr>
        <w:lastRenderedPageBreak/>
        <w:t>检验；数据能够支持时，可事先规定联合拟合指标。总生产等于两组生产之和，不增加独立目标数量。部门总量在各外国母国面临共同成本变化的假设下识别</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δ</m:t>
                </m:r>
              </m:e>
              <m:sub>
                <m:r>
                  <w:rPr>
                    <w:rFonts w:ascii="Cambria Math" w:hAnsi="Cambria Math"/>
                    <w:lang w:eastAsia="zh-CN"/>
                  </w:rPr>
                  <m:t>j</m:t>
                </m:r>
              </m:sub>
            </m:sSub>
          </m:e>
        </m:box>
      </m:oMath>
      <w:r>
        <w:rPr>
          <w:lang w:eastAsia="zh-CN"/>
        </w:rPr>
        <w:t>；母国别成本需要相应的独立生产目标。</w:t>
      </w:r>
    </w:p>
    <w:p w14:paraId="456AD92F" w14:textId="77777777" w:rsidR="002D7E2C" w:rsidRDefault="00057618">
      <w:pPr>
        <w:rPr>
          <w:lang w:eastAsia="zh-CN"/>
        </w:rPr>
      </w:pPr>
      <w:r>
        <w:rPr>
          <w:lang w:eastAsia="zh-CN"/>
        </w:rPr>
        <w:t>现有模型采用较宽部门，不能直接复现同一</w:t>
      </w:r>
      <w:r>
        <w:rPr>
          <w:lang w:eastAsia="zh-CN"/>
        </w:rPr>
        <w:t>GB</w:t>
      </w:r>
      <w:r>
        <w:rPr>
          <w:lang w:eastAsia="zh-CN"/>
        </w:rPr>
        <w:t>小类内部的企业处理与对照。须按</w:t>
      </w:r>
      <w:r>
        <w:rPr>
          <w:lang w:eastAsia="zh-CN"/>
        </w:rPr>
        <w:t>A.3.3</w:t>
      </w:r>
      <w:r>
        <w:rPr>
          <w:lang w:eastAsia="zh-CN"/>
        </w:rPr>
        <w:t>核实生产范围及补充假设后形成部门比较，不能仅定义换算函数便认定模型已经包含微观差异。目标仍不能可靠构造时，保留企业和行业结果。</w:t>
      </w:r>
    </w:p>
    <w:p w14:paraId="2F1AAFF3" w14:textId="77777777" w:rsidR="002D7E2C" w:rsidRDefault="00057618">
      <w:pPr>
        <w:rPr>
          <w:lang w:eastAsia="zh-CN"/>
        </w:rPr>
      </w:pPr>
      <w:r>
        <w:rPr>
          <w:lang w:eastAsia="zh-CN"/>
        </w:rPr>
        <w:t>PE</w:t>
      </w:r>
      <w:r>
        <w:rPr>
          <w:lang w:eastAsia="zh-CN"/>
        </w:rPr>
        <w:t>反演需要与工资、价格和需求给定的生产目标对应，加入年度固定效应不足以证明这一条件成立。目标包含均衡调整且模型能够计算相应比较时，采用</w:t>
      </w:r>
      <w:r>
        <w:rPr>
          <w:lang w:eastAsia="zh-CN"/>
        </w:rPr>
        <w:t>GE</w:t>
      </w:r>
      <w:r>
        <w:rPr>
          <w:lang w:eastAsia="zh-CN"/>
        </w:rPr>
        <w:t>反演。</w:t>
      </w:r>
      <w:r>
        <w:rPr>
          <w:lang w:eastAsia="zh-CN"/>
        </w:rPr>
        <w:t>PE</w:t>
      </w:r>
      <w:r>
        <w:rPr>
          <w:lang w:eastAsia="zh-CN"/>
        </w:rPr>
        <w:t>成本进入</w:t>
      </w:r>
      <w:r>
        <w:rPr>
          <w:lang w:eastAsia="zh-CN"/>
        </w:rPr>
        <w:t>GE</w:t>
      </w:r>
      <w:r>
        <w:rPr>
          <w:lang w:eastAsia="zh-CN"/>
        </w:rPr>
        <w:t>后，报告新生产结果与原目标的差异；</w:t>
      </w:r>
      <w:r>
        <w:rPr>
          <w:lang w:eastAsia="zh-CN"/>
        </w:rPr>
        <w:t>GE</w:t>
      </w:r>
      <w:r>
        <w:rPr>
          <w:lang w:eastAsia="zh-CN"/>
        </w:rPr>
        <w:t>反演在相同均衡条件下拟合目标。采用弹性近似时，从同一模型和生产指标推导相应弹性，并核实其适用条件。</w:t>
      </w:r>
    </w:p>
    <w:p w14:paraId="2DDCC8E2" w14:textId="77777777" w:rsidR="002D7E2C" w:rsidRDefault="00057618">
      <w:pPr>
        <w:pStyle w:val="1"/>
        <w:rPr>
          <w:lang w:eastAsia="zh-CN"/>
        </w:rPr>
      </w:pPr>
      <w:r>
        <w:rPr>
          <w:lang w:eastAsia="zh-CN"/>
        </w:rPr>
        <w:t xml:space="preserve">A.4 </w:t>
      </w:r>
      <w:r>
        <w:rPr>
          <w:lang w:eastAsia="zh-CN"/>
        </w:rPr>
        <w:t>禁止准入的处理</w:t>
      </w:r>
    </w:p>
    <w:p w14:paraId="0A134425" w14:textId="77777777" w:rsidR="002D7E2C" w:rsidRDefault="00057618">
      <w:pPr>
        <w:rPr>
          <w:lang w:eastAsia="zh-CN"/>
        </w:rPr>
      </w:pPr>
      <w:r>
        <w:rPr>
          <w:lang w:eastAsia="zh-CN"/>
        </w:rPr>
        <w:t>本轮改革中如存在禁止转为允许的业务，单独核实改革前后的有效规则，研究进入、原有企业控制权及生产变化。此类业务与原先允许外资进入、此次进一步放宽条件的业务分别解释。改革前已有外资企业时，核查例外、过渡安排及实际业务范围。</w:t>
      </w:r>
    </w:p>
    <w:p w14:paraId="202A0234" w14:textId="77777777" w:rsidR="002D7E2C" w:rsidRDefault="00057618">
      <w:pPr>
        <w:rPr>
          <w:lang w:eastAsia="zh-CN"/>
        </w:rPr>
      </w:pPr>
      <w:r>
        <w:rPr>
          <w:lang w:eastAsia="zh-CN"/>
        </w:rPr>
        <w:t>基期外资生产份额为零时，现有精确帽子代数将零份额乘以有限变化倍数，仍无法产生外资从无到有的进入。这类情形保留微观结果，不以任意小值替代零份额反演进入成本。原模型中的</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F</m:t>
                </m:r>
              </m:e>
              <m:sub>
                <m:r>
                  <w:rPr>
                    <w:rFonts w:ascii="Cambria Math" w:hAnsi="Cambria Math"/>
                    <w:lang w:eastAsia="zh-CN"/>
                  </w:rPr>
                  <m:t>nj</m:t>
                </m:r>
              </m:sub>
            </m:sSub>
          </m:e>
        </m:box>
      </m:oMath>
      <w:r>
        <w:rPr>
          <w:lang w:eastAsia="zh-CN"/>
        </w:rPr>
        <w:t>是进入消费市场</w:t>
      </w:r>
      <m:oMath>
        <m:box>
          <m:boxPr>
            <m:ctrlPr>
              <w:rPr>
                <w:rFonts w:ascii="Cambria Math" w:hAnsi="Cambria Math"/>
              </w:rPr>
            </m:ctrlPr>
          </m:boxPr>
          <m:e>
            <m:r>
              <w:rPr>
                <w:rFonts w:ascii="Cambria Math" w:hAnsi="Cambria Math"/>
                <w:lang w:eastAsia="zh-CN"/>
              </w:rPr>
              <m:t>n</m:t>
            </m:r>
          </m:e>
        </m:box>
      </m:oMath>
      <w:r>
        <w:rPr>
          <w:lang w:eastAsia="zh-CN"/>
        </w:rPr>
        <w:t>的固定营销成本，并非外国企业在中国设立企业的固定成本；研究新进入需要另行建立相应机制和数据依据。</w:t>
      </w:r>
    </w:p>
    <w:p w14:paraId="06A358AA" w14:textId="77777777" w:rsidR="002D7E2C" w:rsidRDefault="00057618">
      <w:pPr>
        <w:pStyle w:val="1"/>
        <w:rPr>
          <w:lang w:eastAsia="zh-CN"/>
        </w:rPr>
      </w:pPr>
      <w:r>
        <w:rPr>
          <w:lang w:eastAsia="zh-CN"/>
        </w:rPr>
        <w:lastRenderedPageBreak/>
        <w:t xml:space="preserve">A.5 </w:t>
      </w:r>
      <w:r>
        <w:rPr>
          <w:lang w:eastAsia="zh-CN"/>
        </w:rPr>
        <w:t>从制度型</w:t>
      </w:r>
      <w:r>
        <w:rPr>
          <w:lang w:eastAsia="zh-CN"/>
        </w:rPr>
        <w:t>MP</w:t>
      </w:r>
      <w:r>
        <w:rPr>
          <w:lang w:eastAsia="zh-CN"/>
        </w:rPr>
        <w:t>成本变化到结构模型冲击</w:t>
      </w:r>
    </w:p>
    <w:p w14:paraId="438D2815" w14:textId="77777777" w:rsidR="002D7E2C" w:rsidRDefault="00057618">
      <w:pPr>
        <w:pStyle w:val="21"/>
        <w:rPr>
          <w:lang w:eastAsia="zh-CN"/>
        </w:rPr>
      </w:pPr>
      <w:r>
        <w:rPr>
          <w:lang w:eastAsia="zh-CN"/>
        </w:rPr>
        <w:t xml:space="preserve">A.5.1 </w:t>
      </w:r>
      <w:r>
        <w:rPr>
          <w:lang w:eastAsia="zh-CN"/>
        </w:rPr>
        <w:t>反演成本与结构效率项</w:t>
      </w:r>
    </w:p>
    <w:p w14:paraId="19477B8F" w14:textId="77777777" w:rsidR="002D7E2C" w:rsidRDefault="00057618">
      <w:pPr>
        <w:keepNext/>
        <w:rPr>
          <w:lang w:eastAsia="zh-CN"/>
        </w:rPr>
      </w:pPr>
      <w:r>
        <w:rPr>
          <w:lang w:eastAsia="zh-CN"/>
        </w:rPr>
        <w:t>模型以</w:t>
      </w: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ξ</m:t>
                </m:r>
              </m:e>
              <m:sub>
                <m:r>
                  <w:rPr>
                    <w:rFonts w:ascii="Cambria Math" w:hAnsi="Cambria Math"/>
                    <w:lang w:eastAsia="zh-CN"/>
                  </w:rPr>
                  <m:t>imj</m:t>
                </m:r>
              </m:sub>
            </m:sSub>
          </m:e>
        </m:box>
      </m:oMath>
      <w:r>
        <w:rPr>
          <w:lang w:eastAsia="zh-CN"/>
        </w:rPr>
        <w:t>表示母国</w:t>
      </w:r>
      <m:oMath>
        <m:box>
          <m:boxPr>
            <m:ctrlPr>
              <w:rPr>
                <w:rFonts w:ascii="Cambria Math" w:hAnsi="Cambria Math"/>
              </w:rPr>
            </m:ctrlPr>
          </m:boxPr>
          <m:e>
            <m:r>
              <w:rPr>
                <w:rFonts w:ascii="Cambria Math" w:hAnsi="Cambria Math"/>
                <w:lang w:eastAsia="zh-CN"/>
              </w:rPr>
              <m:t>m</m:t>
            </m:r>
          </m:e>
        </m:box>
      </m:oMath>
      <w:r>
        <w:rPr>
          <w:lang w:eastAsia="zh-CN"/>
        </w:rPr>
        <w:t>企业在生产国</w:t>
      </w:r>
      <m:oMath>
        <m:box>
          <m:boxPr>
            <m:ctrlPr>
              <w:rPr>
                <w:rFonts w:ascii="Cambria Math" w:hAnsi="Cambria Math"/>
              </w:rPr>
            </m:ctrlPr>
          </m:boxPr>
          <m:e>
            <m:r>
              <w:rPr>
                <w:rFonts w:ascii="Cambria Math" w:hAnsi="Cambria Math"/>
                <w:lang w:eastAsia="zh-CN"/>
              </w:rPr>
              <m:t>i</m:t>
            </m:r>
          </m:e>
        </m:box>
      </m:oMath>
      <w:r>
        <w:rPr>
          <w:lang w:eastAsia="zh-CN"/>
        </w:rPr>
        <w:t>、部门</w:t>
      </w:r>
      <m:oMath>
        <m:box>
          <m:boxPr>
            <m:ctrlPr>
              <w:rPr>
                <w:rFonts w:ascii="Cambria Math" w:hAnsi="Cambria Math"/>
              </w:rPr>
            </m:ctrlPr>
          </m:boxPr>
          <m:e>
            <m:r>
              <w:rPr>
                <w:rFonts w:ascii="Cambria Math" w:hAnsi="Cambria Math"/>
                <w:lang w:eastAsia="zh-CN"/>
              </w:rPr>
              <m:t>j</m:t>
            </m:r>
          </m:e>
        </m:box>
      </m:oMath>
      <w:r>
        <w:rPr>
          <w:lang w:eastAsia="zh-CN"/>
        </w:rPr>
        <w:t>的跨国生产效率。效率提高意味着单位生产成本下降，成本楔子定义为：</w:t>
      </w:r>
    </w:p>
    <w:p w14:paraId="665BCCD4" w14:textId="77777777" w:rsidR="002D7E2C" w:rsidRDefault="00057618">
      <w:pPr>
        <w:pStyle w:val="Equation"/>
        <w:keepNext/>
      </w:pPr>
      <w:r>
        <w:rPr>
          <w:lang w:eastAsia="zh-CN"/>
        </w:rPr>
        <w:tab/>
      </w:r>
      <m:oMath>
        <m:sSubSup>
          <m:sSubSupPr>
            <m:ctrlPr>
              <w:rPr>
                <w:rFonts w:ascii="Cambria Math" w:hAnsi="Cambria Math"/>
              </w:rPr>
            </m:ctrlPr>
          </m:sSubSupPr>
          <m:e>
            <m:r>
              <w:rPr>
                <w:rFonts w:ascii="Cambria Math" w:hAnsi="Cambria Math"/>
              </w:rPr>
              <m:t>d</m:t>
            </m:r>
          </m:e>
          <m:sub>
            <m:r>
              <w:rPr>
                <w:rFonts w:ascii="Cambria Math" w:hAnsi="Cambria Math"/>
              </w:rPr>
              <m:t>imj</m:t>
            </m:r>
          </m:sub>
          <m:sup>
            <m:r>
              <m:rPr>
                <m:sty m:val="p"/>
              </m:rPr>
              <w:rPr>
                <w:rFonts w:ascii="Cambria Math" w:hAnsi="Cambria Math"/>
              </w:rPr>
              <m:t>MP</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ξ</m:t>
                </m:r>
              </m:e>
              <m:sub>
                <m:r>
                  <w:rPr>
                    <w:rFonts w:ascii="Cambria Math" w:hAnsi="Cambria Math"/>
                  </w:rPr>
                  <m:t>imj</m:t>
                </m:r>
              </m:sub>
            </m:sSub>
          </m:den>
        </m:f>
        <m:r>
          <w:rPr>
            <w:rFonts w:ascii="Cambria Math" w:hAnsi="Cambria Math"/>
          </w:rPr>
          <m:t>.</m:t>
        </m:r>
      </m:oMath>
      <w:r>
        <w:tab/>
        <w:t>(A14)</w:t>
      </w:r>
    </w:p>
    <w:p w14:paraId="6ACDBD7A" w14:textId="77777777" w:rsidR="002D7E2C" w:rsidRDefault="00057618">
      <w:pPr>
        <w:keepNext/>
        <w:rPr>
          <w:lang w:eastAsia="zh-CN"/>
        </w:rPr>
      </w:pPr>
      <w:r>
        <w:rPr>
          <w:lang w:eastAsia="zh-CN"/>
        </w:rPr>
        <w:t>反演得到的</w:t>
      </w:r>
      <m:oMath>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r>
                      <w:rPr>
                        <w:rFonts w:ascii="Cambria Math" w:hAnsi="Cambria Math"/>
                        <w:lang w:eastAsia="zh-CN"/>
                      </w:rPr>
                      <m:t>δ</m:t>
                    </m:r>
                  </m:e>
                </m:acc>
              </m:e>
              <m:sub>
                <m:r>
                  <w:rPr>
                    <w:rFonts w:ascii="Cambria Math" w:hAnsi="Cambria Math"/>
                    <w:lang w:eastAsia="zh-CN"/>
                  </w:rPr>
                  <m:t>j</m:t>
                </m:r>
              </m:sub>
            </m:sSub>
          </m:e>
        </m:box>
      </m:oMath>
      <w:r>
        <w:rPr>
          <w:lang w:eastAsia="zh-CN"/>
        </w:rPr>
        <w:t>是本轮改革对应的外国企业在华成本对数变化，其成本和效率变化倍数分别为：</w:t>
      </w:r>
    </w:p>
    <w:p w14:paraId="71EAD0B4" w14:textId="77777777" w:rsidR="002D7E2C" w:rsidRDefault="00057618">
      <w:pPr>
        <w:pStyle w:val="Equation"/>
        <w:keepNext/>
      </w:pPr>
      <w:r>
        <w:rPr>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Cmj</m:t>
            </m:r>
          </m:sub>
          <m:sup>
            <m:r>
              <m:rPr>
                <m:sty m:val="p"/>
              </m:rPr>
              <w:rPr>
                <w:rFonts w:ascii="Cambria Math" w:hAnsi="Cambria Math"/>
              </w:rPr>
              <m:t>MP</m:t>
            </m:r>
          </m:sup>
        </m:sSubSup>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Cmj</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r>
          <w:rPr>
            <w:rFonts w:ascii="Cambria Math" w:hAnsi="Cambria Math"/>
          </w:rPr>
          <m:t>),</m:t>
        </m:r>
        <m:r>
          <w:rPr>
            <w:rFonts w:ascii="Cambria Math" w:hAnsi="Cambria Math"/>
          </w:rPr>
          <m:t>m</m:t>
        </m:r>
        <m:r>
          <w:rPr>
            <w:rFonts w:ascii="Cambria Math" w:hAnsi="Cambria Math"/>
          </w:rPr>
          <m:t>≠</m:t>
        </m:r>
        <m:r>
          <w:rPr>
            <w:rFonts w:ascii="Cambria Math" w:hAnsi="Cambria Math"/>
          </w:rPr>
          <m:t>C</m:t>
        </m:r>
        <m:r>
          <w:rPr>
            <w:rFonts w:ascii="Cambria Math" w:hAnsi="Cambria Math"/>
          </w:rPr>
          <m:t>.</m:t>
        </m:r>
      </m:oMath>
      <w:r>
        <w:tab/>
        <w:t>(A15)</w:t>
      </w:r>
    </w:p>
    <w:p w14:paraId="58556C12" w14:textId="77777777" w:rsidR="002D7E2C" w:rsidRDefault="00057618">
      <w:pPr>
        <w:rPr>
          <w:lang w:eastAsia="zh-CN"/>
        </w:rPr>
      </w:pPr>
      <w:r>
        <w:rPr>
          <w:lang w:eastAsia="zh-CN"/>
        </w:rPr>
        <w:t>式（</w:t>
      </w:r>
      <w:r>
        <w:rPr>
          <w:lang w:eastAsia="zh-CN"/>
        </w:rPr>
        <w:t>A15</w:t>
      </w:r>
      <w:r>
        <w:rPr>
          <w:lang w:eastAsia="zh-CN"/>
        </w:rPr>
        <w:t>）沿用既有模型的成本与效率关系。基准对同一部门各外国母国施加共同变化；母国分组资料足以识别各自反应时，再另行分析。企业处理身份用于</w:t>
      </w:r>
      <w:r>
        <w:rPr>
          <w:lang w:eastAsia="zh-CN"/>
        </w:rPr>
        <w:t>DID</w:t>
      </w:r>
      <w:r>
        <w:rPr>
          <w:lang w:eastAsia="zh-CN"/>
        </w:rPr>
        <w:t>识别，进入结构模型的成本变化由式（</w:t>
      </w:r>
      <w:r>
        <w:rPr>
          <w:lang w:eastAsia="zh-CN"/>
        </w:rPr>
        <w:t>A10</w:t>
      </w:r>
      <w:r>
        <w:rPr>
          <w:lang w:eastAsia="zh-CN"/>
        </w:rPr>
        <w:t>）</w:t>
      </w:r>
      <w:r>
        <w:rPr>
          <w:lang w:eastAsia="zh-CN"/>
        </w:rPr>
        <w:t>—</w:t>
      </w:r>
      <w:r>
        <w:rPr>
          <w:lang w:eastAsia="zh-CN"/>
        </w:rPr>
        <w:t>（</w:t>
      </w:r>
      <w:r>
        <w:rPr>
          <w:lang w:eastAsia="zh-CN"/>
        </w:rPr>
        <w:t>A15</w:t>
      </w:r>
      <w:r>
        <w:rPr>
          <w:lang w:eastAsia="zh-CN"/>
        </w:rPr>
        <w:t>）确定。</w:t>
      </w:r>
    </w:p>
    <w:p w14:paraId="601FD0EB" w14:textId="77777777" w:rsidR="002D7E2C" w:rsidRDefault="00057618">
      <w:pPr>
        <w:pStyle w:val="21"/>
        <w:rPr>
          <w:lang w:eastAsia="zh-CN"/>
        </w:rPr>
      </w:pPr>
      <w:r>
        <w:rPr>
          <w:lang w:eastAsia="zh-CN"/>
        </w:rPr>
        <w:t xml:space="preserve">A.5.2 </w:t>
      </w:r>
      <w:r>
        <w:rPr>
          <w:lang w:eastAsia="zh-CN"/>
        </w:rPr>
        <w:t>仅调整跨国生产成本的一般均衡反事实</w:t>
      </w:r>
    </w:p>
    <w:p w14:paraId="3F9EB42B" w14:textId="77777777" w:rsidR="002D7E2C" w:rsidRDefault="00057618">
      <w:pPr>
        <w:keepNext/>
        <w:rPr>
          <w:lang w:eastAsia="zh-CN"/>
        </w:rPr>
      </w:pPr>
      <w:r>
        <w:rPr>
          <w:lang w:eastAsia="zh-CN"/>
        </w:rPr>
        <w:t>设</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lang w:eastAsia="zh-CN"/>
                  </w:rPr>
                  <m:t>J</m:t>
                </m:r>
              </m:e>
              <m:sub>
                <m:r>
                  <w:rPr>
                    <w:rFonts w:ascii="Cambria Math" w:hAnsi="Cambria Math"/>
                    <w:lang w:eastAsia="zh-CN"/>
                  </w:rPr>
                  <m:t>R</m:t>
                </m:r>
              </m:sub>
            </m:sSub>
          </m:e>
        </m:box>
      </m:oMath>
      <w:r>
        <w:rPr>
          <w:lang w:eastAsia="zh-CN"/>
        </w:rPr>
        <w:t>为本轮改革适用范围、行业归属和生产目标均已核实，且能够获得成本估计的部门集合。在贸易成本给定的条件下，仅调整外国企业在中国生产的跨国生产成本（</w:t>
      </w:r>
      <w:r>
        <w:rPr>
          <w:lang w:eastAsia="zh-CN"/>
        </w:rPr>
        <w:t>MP-only</w:t>
      </w:r>
      <w:r>
        <w:rPr>
          <w:lang w:eastAsia="zh-CN"/>
        </w:rPr>
        <w:t>），效率冲击为：</w:t>
      </w:r>
    </w:p>
    <w:p w14:paraId="4672A592" w14:textId="77777777" w:rsidR="002D7E2C" w:rsidRDefault="00057618">
      <w:pPr>
        <w:pStyle w:val="Equation"/>
        <w:keepNext/>
        <w:rPr>
          <w:lang w:eastAsia="zh-CN"/>
        </w:rPr>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imj</m:t>
            </m:r>
          </m:sub>
        </m:sSub>
        <m:r>
          <w:rPr>
            <w:rFonts w:ascii="Cambria Math" w:hAnsi="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lang w:eastAsia="zh-CN"/>
                    </w:rPr>
                    <m:t>exp</m:t>
                  </m:r>
                  <m: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δ</m:t>
                          </m:r>
                        </m:e>
                      </m:acc>
                    </m:e>
                    <m:sub>
                      <m:r>
                        <w:rPr>
                          <w:rFonts w:ascii="Cambria Math" w:hAnsi="Cambria Math"/>
                          <w:lang w:eastAsia="zh-CN"/>
                        </w:rPr>
                        <m:t>j</m:t>
                      </m:r>
                    </m:sub>
                  </m:sSub>
                  <m:r>
                    <w:rPr>
                      <w:rFonts w:ascii="Cambria Math" w:hAnsi="Cambria Math"/>
                      <w:lang w:eastAsia="zh-CN"/>
                    </w:rPr>
                    <m:t>),</m:t>
                  </m:r>
                </m:e>
                <m:e>
                  <m:r>
                    <w:rPr>
                      <w:rFonts w:ascii="Cambria Math" w:hAnsi="Cambria Math"/>
                      <w:lang w:eastAsia="zh-CN"/>
                    </w:rPr>
                    <m:t>i</m:t>
                  </m:r>
                  <m:r>
                    <w:rPr>
                      <w:rFonts w:ascii="Cambria Math" w:hAnsi="Cambria Math"/>
                      <w:lang w:eastAsia="zh-CN"/>
                    </w:rPr>
                    <m:t>=</m:t>
                  </m:r>
                  <m:r>
                    <w:rPr>
                      <w:rFonts w:ascii="Cambria Math" w:hAnsi="Cambria Math"/>
                      <w:lang w:eastAsia="zh-CN"/>
                    </w:rPr>
                    <m:t>C</m:t>
                  </m:r>
                  <m:r>
                    <w:rPr>
                      <w:rFonts w:ascii="Cambria Math" w:hAnsi="Cambria Math"/>
                      <w:lang w:eastAsia="zh-CN"/>
                    </w:rPr>
                    <m:t>,</m:t>
                  </m:r>
                  <m:r>
                    <w:rPr>
                      <w:rFonts w:ascii="Cambria Math" w:hAnsi="Cambria Math"/>
                      <w:lang w:eastAsia="zh-CN"/>
                    </w:rPr>
                    <m:t>m</m:t>
                  </m:r>
                  <m:r>
                    <w:rPr>
                      <w:rFonts w:ascii="Cambria Math" w:hAnsi="Cambria Math"/>
                      <w:lang w:eastAsia="zh-CN"/>
                    </w:rPr>
                    <m:t>≠</m:t>
                  </m:r>
                  <m:r>
                    <w:rPr>
                      <w:rFonts w:ascii="Cambria Math" w:hAnsi="Cambria Math"/>
                      <w:lang w:eastAsia="zh-CN"/>
                    </w:rPr>
                    <m:t>C</m:t>
                  </m:r>
                  <m:r>
                    <w:rPr>
                      <w:rFonts w:ascii="Cambria Math" w:hAnsi="Cambria Math"/>
                      <w:lang w:eastAsia="zh-CN"/>
                    </w:rPr>
                    <m:t>,</m:t>
                  </m:r>
                  <m:r>
                    <w:rPr>
                      <w:rFonts w:ascii="Cambria Math" w:hAnsi="Cambria Math"/>
                      <w:lang w:eastAsia="zh-CN"/>
                    </w:rPr>
                    <m:t>j</m:t>
                  </m:r>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J</m:t>
                      </m:r>
                    </m:e>
                    <m:sub>
                      <m:r>
                        <w:rPr>
                          <w:rFonts w:ascii="Cambria Math" w:hAnsi="Cambria Math"/>
                          <w:lang w:eastAsia="zh-CN"/>
                        </w:rPr>
                        <m:t>R</m:t>
                      </m:r>
                    </m:sub>
                  </m:sSub>
                  <m:r>
                    <w:rPr>
                      <w:rFonts w:ascii="Cambria Math" w:hAnsi="Cambria Math"/>
                      <w:lang w:eastAsia="zh-CN"/>
                    </w:rPr>
                    <m:t>,</m:t>
                  </m:r>
                </m:e>
              </m:mr>
              <m:mr>
                <m:e>
                  <m:r>
                    <w:rPr>
                      <w:rFonts w:ascii="Cambria Math" w:hAnsi="Cambria Math"/>
                      <w:lang w:eastAsia="zh-CN"/>
                    </w:rPr>
                    <m:t>1,</m:t>
                  </m:r>
                </m:e>
                <m:e>
                  <m:r>
                    <m:rPr>
                      <m:nor/>
                    </m:rPr>
                    <w:rPr>
                      <w:rFonts w:ascii="Cambria Math" w:hAnsi="Cambria Math"/>
                      <w:lang w:eastAsia="zh-CN"/>
                    </w:rPr>
                    <m:t>其他关系</m:t>
                  </m:r>
                  <m:r>
                    <w:rPr>
                      <w:rFonts w:ascii="Cambria Math" w:hAnsi="Cambria Math"/>
                      <w:lang w:eastAsia="zh-CN"/>
                    </w:rPr>
                    <m:t>.</m:t>
                  </m:r>
                </m:e>
              </m:mr>
            </m:m>
          </m:e>
        </m:d>
      </m:oMath>
      <w:r>
        <w:rPr>
          <w:lang w:eastAsia="zh-CN"/>
        </w:rPr>
        <w:tab/>
        <w:t>(A16)</w:t>
      </w:r>
    </w:p>
    <w:p w14:paraId="3746A49C" w14:textId="77777777" w:rsidR="002D7E2C" w:rsidRDefault="00057618">
      <w:pPr>
        <w:rPr>
          <w:lang w:eastAsia="zh-CN"/>
        </w:rPr>
      </w:pPr>
      <w:r>
        <w:rPr>
          <w:lang w:eastAsia="zh-CN"/>
        </w:rPr>
        <w:t>一般均衡求解允许生产地选择、三边销售、投入需求、价格、工资、利润、创新及福利随之调整。未直接受到冲击的部门和中国企业境外生产，也可通过需求、投入产出联系及要素价格受到间接影响。部门内仅部分业务放宽时，反演结果表示使模型产生该部门总体生产变化所需的平均成本调整，各项业务的法律适用范围仍按</w:t>
      </w:r>
      <w:r>
        <w:rPr>
          <w:lang w:eastAsia="zh-CN"/>
        </w:rPr>
        <w:t>A.2</w:t>
      </w:r>
      <w:r>
        <w:rPr>
          <w:lang w:eastAsia="zh-CN"/>
        </w:rPr>
        <w:t>判断。</w:t>
      </w:r>
    </w:p>
    <w:p w14:paraId="2C25D4F5" w14:textId="77777777" w:rsidR="002D7E2C" w:rsidRDefault="00057618">
      <w:pPr>
        <w:pStyle w:val="1"/>
        <w:rPr>
          <w:lang w:eastAsia="zh-CN"/>
        </w:rPr>
      </w:pPr>
      <w:r>
        <w:rPr>
          <w:lang w:eastAsia="zh-CN"/>
        </w:rPr>
        <w:lastRenderedPageBreak/>
        <w:t xml:space="preserve">A.6 </w:t>
      </w:r>
      <w:r>
        <w:rPr>
          <w:lang w:eastAsia="zh-CN"/>
        </w:rPr>
        <w:t>一般均衡结果的组织与反事实设计</w:t>
      </w:r>
    </w:p>
    <w:p w14:paraId="42677E24" w14:textId="77777777" w:rsidR="002D7E2C" w:rsidRDefault="00057618">
      <w:pPr>
        <w:pStyle w:val="21"/>
        <w:rPr>
          <w:lang w:eastAsia="zh-CN"/>
        </w:rPr>
      </w:pPr>
      <w:r>
        <w:rPr>
          <w:lang w:eastAsia="zh-CN"/>
        </w:rPr>
        <w:t xml:space="preserve">A.6.1 </w:t>
      </w:r>
      <w:r>
        <w:rPr>
          <w:lang w:eastAsia="zh-CN"/>
        </w:rPr>
        <w:t>三边生产网络</w:t>
      </w:r>
    </w:p>
    <w:p w14:paraId="175EFB54" w14:textId="77777777" w:rsidR="002D7E2C" w:rsidRDefault="00057618">
      <w:pPr>
        <w:keepNext/>
        <w:rPr>
          <w:lang w:eastAsia="zh-CN"/>
        </w:rPr>
      </w:pPr>
      <w:r>
        <w:rPr>
          <w:lang w:eastAsia="zh-CN"/>
        </w:rPr>
        <w:t>针对本轮外国企业在华生产的准入改革，固定生产国</w:t>
      </w:r>
      <m:oMath>
        <m:box>
          <m:boxPr>
            <m:ctrlPr>
              <w:rPr>
                <w:rFonts w:ascii="Cambria Math" w:hAnsi="Cambria Math"/>
              </w:rPr>
            </m:ctrlPr>
          </m:boxPr>
          <m:e>
            <m:r>
              <w:rPr>
                <w:rFonts w:ascii="Cambria Math" w:hAnsi="Cambria Math"/>
                <w:lang w:eastAsia="zh-CN"/>
              </w:rPr>
              <m:t>i</m:t>
            </m:r>
            <m:r>
              <w:rPr>
                <w:rFonts w:ascii="Cambria Math" w:hAnsi="Cambria Math"/>
                <w:lang w:eastAsia="zh-CN"/>
              </w:rPr>
              <m:t>=</m:t>
            </m:r>
            <m:r>
              <w:rPr>
                <w:rFonts w:ascii="Cambria Math" w:hAnsi="Cambria Math"/>
                <w:lang w:eastAsia="zh-CN"/>
              </w:rPr>
              <m:t>C</m:t>
            </m:r>
          </m:e>
        </m:box>
      </m:oMath>
      <w:r>
        <w:rPr>
          <w:lang w:eastAsia="zh-CN"/>
        </w:rPr>
        <w:t>，保留母国</w:t>
      </w:r>
      <m:oMath>
        <m:box>
          <m:boxPr>
            <m:ctrlPr>
              <w:rPr>
                <w:rFonts w:ascii="Cambria Math" w:hAnsi="Cambria Math"/>
              </w:rPr>
            </m:ctrlPr>
          </m:boxPr>
          <m:e>
            <m:r>
              <w:rPr>
                <w:rFonts w:ascii="Cambria Math" w:hAnsi="Cambria Math"/>
                <w:lang w:eastAsia="zh-CN"/>
              </w:rPr>
              <m:t>m</m:t>
            </m:r>
          </m:e>
        </m:box>
      </m:oMath>
      <w:r>
        <w:rPr>
          <w:lang w:eastAsia="zh-CN"/>
        </w:rPr>
        <w:t>和销售目的国</w:t>
      </w:r>
      <m:oMath>
        <m:box>
          <m:boxPr>
            <m:ctrlPr>
              <w:rPr>
                <w:rFonts w:ascii="Cambria Math" w:hAnsi="Cambria Math"/>
              </w:rPr>
            </m:ctrlPr>
          </m:boxPr>
          <m:e>
            <m:r>
              <w:rPr>
                <w:rFonts w:ascii="Cambria Math" w:hAnsi="Cambria Math"/>
                <w:lang w:eastAsia="zh-CN"/>
              </w:rPr>
              <m:t>n</m:t>
            </m:r>
          </m:e>
        </m:box>
      </m:oMath>
      <w:r>
        <w:rPr>
          <w:lang w:eastAsia="zh-CN"/>
        </w:rPr>
        <w:t>，计算各部门流量变化：</w:t>
      </w:r>
    </w:p>
    <w:p w14:paraId="31DC8D99" w14:textId="77777777" w:rsidR="002D7E2C" w:rsidRDefault="00057618">
      <w:pPr>
        <w:pStyle w:val="Equation"/>
        <w:keepNext/>
      </w:pPr>
      <w:r>
        <w:rPr>
          <w:lang w:eastAsia="zh-CN"/>
        </w:rPr>
        <w:tab/>
      </w: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nCmj</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nCmj</m:t>
            </m:r>
          </m:sub>
          <m:sup>
            <m:r>
              <m:rPr>
                <m:sty m:val="p"/>
              </m:rPr>
              <w:rPr>
                <w:rFonts w:ascii="Cambria Math" w:hAnsi="Cambria Math"/>
              </w:rPr>
              <m:t>cf</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nCmj</m:t>
            </m:r>
          </m:sub>
          <m:sup>
            <m:r>
              <w:rPr>
                <w:rFonts w:ascii="Cambria Math" w:hAnsi="Cambria Math"/>
              </w:rPr>
              <m:t>0</m:t>
            </m:r>
          </m:sup>
        </m:sSubSup>
        <m:r>
          <w:rPr>
            <w:rFonts w:ascii="Cambria Math" w:hAnsi="Cambria Math"/>
          </w:rPr>
          <m:t>.</m:t>
        </m:r>
      </m:oMath>
      <w:r>
        <w:tab/>
        <w:t>(A17)</w:t>
      </w:r>
    </w:p>
    <w:p w14:paraId="7530F661" w14:textId="77777777" w:rsidR="002D7E2C" w:rsidRDefault="00057618">
      <w:pPr>
        <w:rPr>
          <w:lang w:eastAsia="zh-CN"/>
        </w:rPr>
      </w:pPr>
      <w:r>
        <w:rPr>
          <w:lang w:eastAsia="zh-CN"/>
        </w:rPr>
        <w:t>其中，上标</w:t>
      </w:r>
      <m:oMath>
        <m:box>
          <m:boxPr>
            <m:ctrlPr>
              <w:rPr>
                <w:rFonts w:ascii="Cambria Math" w:hAnsi="Cambria Math"/>
              </w:rPr>
            </m:ctrlPr>
          </m:boxPr>
          <m:e>
            <m:r>
              <w:rPr>
                <w:rFonts w:ascii="Cambria Math" w:hAnsi="Cambria Math"/>
                <w:lang w:eastAsia="zh-CN"/>
              </w:rPr>
              <m:t>0</m:t>
            </m:r>
          </m:e>
        </m:box>
      </m:oMath>
      <w:r>
        <w:rPr>
          <w:lang w:eastAsia="zh-CN"/>
        </w:rPr>
        <w:t>表示无本轮放宽的共同经济基准，上标</w:t>
      </w:r>
      <m:oMath>
        <m:box>
          <m:boxPr>
            <m:ctrlPr>
              <w:rPr>
                <w:rFonts w:ascii="Cambria Math" w:hAnsi="Cambria Math"/>
              </w:rPr>
            </m:ctrlPr>
          </m:boxPr>
          <m:e>
            <m:r>
              <m:rPr>
                <m:sty m:val="p"/>
              </m:rPr>
              <w:rPr>
                <w:rFonts w:ascii="Cambria Math" w:hAnsi="Cambria Math"/>
                <w:lang w:eastAsia="zh-CN"/>
              </w:rPr>
              <m:t>cf</m:t>
            </m:r>
          </m:e>
        </m:box>
      </m:oMath>
      <w:r>
        <w:rPr>
          <w:lang w:eastAsia="zh-CN"/>
        </w:rPr>
        <w:t>表示施加式（</w:t>
      </w:r>
      <w:r>
        <w:rPr>
          <w:lang w:eastAsia="zh-CN"/>
        </w:rPr>
        <w:t>A16</w:t>
      </w:r>
      <w:r>
        <w:rPr>
          <w:lang w:eastAsia="zh-CN"/>
        </w:rPr>
        <w:t>）冲击后的有改革情景。按母国、目的国和部门加总，分别考察在华生产面向中国及其他市场的变化，以及不同母国企业的调整。</w:t>
      </w:r>
    </w:p>
    <w:p w14:paraId="7268D23C" w14:textId="77777777" w:rsidR="002D7E2C" w:rsidRDefault="00057618">
      <w:pPr>
        <w:pStyle w:val="21"/>
        <w:rPr>
          <w:lang w:eastAsia="zh-CN"/>
        </w:rPr>
      </w:pPr>
      <w:r>
        <w:rPr>
          <w:lang w:eastAsia="zh-CN"/>
        </w:rPr>
        <w:t xml:space="preserve">A.6.2 </w:t>
      </w:r>
      <w:r>
        <w:rPr>
          <w:lang w:eastAsia="zh-CN"/>
        </w:rPr>
        <w:t>有改革与无改革的比较</w:t>
      </w:r>
    </w:p>
    <w:p w14:paraId="3A563053" w14:textId="77777777" w:rsidR="002D7E2C" w:rsidRDefault="00057618">
      <w:pPr>
        <w:rPr>
          <w:lang w:eastAsia="zh-CN"/>
        </w:rPr>
      </w:pPr>
      <w:r>
        <w:rPr>
          <w:lang w:eastAsia="zh-CN"/>
        </w:rPr>
        <w:t>基准只比较所选这一轮改革有无两种情景。无改革情景保留此前准入条件对应的成本基准，有改革情景施加能够由生产目标支持的部门成本变化。两者采用相同的其他政策、外生条件和模型口径，经济基准的构造与实证无改革预测保持一致。不能把两个历史年份观察到的全部差异解释为该轮改革效果。</w:t>
      </w:r>
    </w:p>
    <w:p w14:paraId="1788A29E" w14:textId="77777777" w:rsidR="002D7E2C" w:rsidRDefault="00057618">
      <w:pPr>
        <w:rPr>
          <w:lang w:eastAsia="zh-CN"/>
        </w:rPr>
      </w:pPr>
      <w:r>
        <w:rPr>
          <w:lang w:eastAsia="zh-CN"/>
        </w:rPr>
        <w:t>无法取得对应成本估计的部门不人为补入全国平均冲击，并说明结果覆盖范围。若实证结果无法排除</w:t>
      </w:r>
      <w:r>
        <w:rPr>
          <w:lang w:eastAsia="zh-CN"/>
        </w:rPr>
        <w:t>2016</w:t>
      </w:r>
      <w:r>
        <w:rPr>
          <w:lang w:eastAsia="zh-CN"/>
        </w:rPr>
        <w:t>年或其他政策的差异作用，不将由此计算的全部成本与福利变化归于</w:t>
      </w:r>
      <w:r>
        <w:rPr>
          <w:lang w:eastAsia="zh-CN"/>
        </w:rPr>
        <w:t>2015</w:t>
      </w:r>
      <w:r>
        <w:rPr>
          <w:lang w:eastAsia="zh-CN"/>
        </w:rPr>
        <w:t>年目录。</w:t>
      </w:r>
    </w:p>
    <w:p w14:paraId="6FD33F4B" w14:textId="77777777" w:rsidR="002D7E2C" w:rsidRDefault="00057618">
      <w:pPr>
        <w:rPr>
          <w:lang w:eastAsia="zh-CN"/>
        </w:rPr>
      </w:pPr>
      <w:r>
        <w:rPr>
          <w:lang w:eastAsia="zh-CN"/>
        </w:rPr>
        <w:t>其他年份、不同放宽方式及累计改革可在政策和样本条件具备时另作扩展或外部有效性检验。分类依据实际法律变化确定，不预设固定分类体系；累计比较须重新确定共同基准及政策路径，不能相加年度系数。这些扩展不作为完成基准研究的前提。</w:t>
      </w:r>
    </w:p>
    <w:p w14:paraId="16300D6B" w14:textId="77777777" w:rsidR="002D7E2C" w:rsidRDefault="00057618">
      <w:pPr>
        <w:pStyle w:val="21"/>
        <w:rPr>
          <w:lang w:eastAsia="zh-CN"/>
        </w:rPr>
      </w:pPr>
      <w:r>
        <w:rPr>
          <w:lang w:eastAsia="zh-CN"/>
        </w:rPr>
        <w:t xml:space="preserve">A.6.3 </w:t>
      </w:r>
      <w:r>
        <w:rPr>
          <w:lang w:eastAsia="zh-CN"/>
        </w:rPr>
        <w:t>结果变量与福利</w:t>
      </w:r>
    </w:p>
    <w:p w14:paraId="4C7F8E5F" w14:textId="77777777" w:rsidR="002D7E2C" w:rsidRDefault="00057618">
      <w:pPr>
        <w:rPr>
          <w:lang w:eastAsia="zh-CN"/>
        </w:rPr>
      </w:pPr>
      <w:r>
        <w:rPr>
          <w:lang w:eastAsia="zh-CN"/>
        </w:rPr>
        <w:t>结果包括外国企业在华生产价值及份额、部门产出与价格、三边流量、工资、利润、研发劳动、产品种类和实际收入。先报告部门及母国差异，再按具有明确经济含义的权重加总；行业成本变化的简单平均值不直接解释为全国成本变化。</w:t>
      </w:r>
    </w:p>
    <w:p w14:paraId="5485BDCF" w14:textId="77777777" w:rsidR="002D7E2C" w:rsidRDefault="00057618">
      <w:pPr>
        <w:rPr>
          <w:lang w:eastAsia="zh-CN"/>
        </w:rPr>
      </w:pPr>
      <w:r>
        <w:rPr>
          <w:lang w:eastAsia="zh-CN"/>
        </w:rPr>
        <w:t>福利计算及分解遵循既有模型，围绕同一轮改革解释生产和收入调整。结果同时受生产目标、比较期限、部门覆盖及均衡条件约束；采用额外产出假设的情景，连同假设一起报告。基准不承诺将总体福利分解为若干限制类型的独立贡献。</w:t>
      </w:r>
    </w:p>
    <w:p w14:paraId="29CF8C3C" w14:textId="77777777" w:rsidR="002D7E2C" w:rsidRDefault="00057618">
      <w:pPr>
        <w:pStyle w:val="1"/>
        <w:rPr>
          <w:lang w:eastAsia="zh-CN"/>
        </w:rPr>
      </w:pPr>
      <w:r>
        <w:rPr>
          <w:lang w:eastAsia="zh-CN"/>
        </w:rPr>
        <w:lastRenderedPageBreak/>
        <w:t xml:space="preserve">A.7 </w:t>
      </w:r>
      <w:r>
        <w:rPr>
          <w:lang w:eastAsia="zh-CN"/>
        </w:rPr>
        <w:t>识别边界与稳健性</w:t>
      </w:r>
    </w:p>
    <w:p w14:paraId="1A43B211" w14:textId="77777777" w:rsidR="002D7E2C" w:rsidRDefault="00057618">
      <w:pPr>
        <w:rPr>
          <w:lang w:eastAsia="zh-CN"/>
        </w:rPr>
      </w:pPr>
      <w:r>
        <w:rPr>
          <w:lang w:eastAsia="zh-CN"/>
        </w:rPr>
        <w:t>政策核验重点区分本轮真实放宽、此前已实施的措施、鼓励资格和条目表述变化，检查行业映射及部分覆盖业务。存量项目、区域例外和投资者资格未能确定的记录单列，不通过补零或扩大行业范围增加样本。</w:t>
      </w:r>
    </w:p>
    <w:p w14:paraId="3212E89B" w14:textId="77777777" w:rsidR="002D7E2C" w:rsidRDefault="00057618">
      <w:pPr>
        <w:rPr>
          <w:lang w:eastAsia="zh-CN"/>
        </w:rPr>
      </w:pPr>
      <w:r>
        <w:rPr>
          <w:lang w:eastAsia="zh-CN"/>
        </w:rPr>
        <w:t>实证检验围绕公告前趋势、提前调整、实施年及随后反应展开。逐年报告处理组和对照组的数量、产出覆盖及缺失，比较不同对照范围和观察窗口。业务分组始终保持改革前固定；按改革后存续或业务调整筛样本，仅作为有明确选择含义的补充。检查固定效应下的有效政策差异、处理影响是否集中于少数企业，以及竞争和供应链溢出。</w:t>
      </w:r>
    </w:p>
    <w:p w14:paraId="1A723F27" w14:textId="77777777" w:rsidR="002D7E2C" w:rsidRDefault="00057618">
      <w:pPr>
        <w:rPr>
          <w:lang w:eastAsia="zh-CN"/>
        </w:rPr>
      </w:pPr>
      <w:r>
        <w:rPr>
          <w:lang w:eastAsia="zh-CN"/>
        </w:rPr>
        <w:t>依据法律适用范围复核</w:t>
      </w:r>
      <w:r>
        <w:rPr>
          <w:lang w:eastAsia="zh-CN"/>
        </w:rPr>
        <w:t>A.3.1</w:t>
      </w:r>
      <w:r>
        <w:rPr>
          <w:lang w:eastAsia="zh-CN"/>
        </w:rPr>
        <w:t>所列同期及后续政策，并考虑其公开信息带来的提前反应。对无法区分的差异作用，缩短窗口、限定事前业务范围或收窄结果解释，不能仅依靠年份固定效应处理。</w:t>
      </w:r>
    </w:p>
    <w:p w14:paraId="2BED8187" w14:textId="77777777" w:rsidR="002D7E2C" w:rsidRDefault="00057618">
      <w:pPr>
        <w:rPr>
          <w:lang w:eastAsia="zh-CN"/>
        </w:rPr>
      </w:pPr>
      <w:r>
        <w:rPr>
          <w:lang w:eastAsia="zh-CN"/>
        </w:rPr>
        <w:t>外国和国内生产两式分别记录全零、分离及其他样本剔除，核查估计与预测范围。按实际产出检查企业资料和完整行业统计的覆盖，防止两类结果重复计入部门目标。若份额变化主要来自所有权转换，结合两组生产变化判断模型的经营成本机制能否解释。</w:t>
      </w:r>
    </w:p>
    <w:p w14:paraId="518EE106" w14:textId="77777777" w:rsidR="002D7E2C" w:rsidRDefault="00057618">
      <w:pPr>
        <w:rPr>
          <w:lang w:eastAsia="zh-CN"/>
        </w:rPr>
      </w:pPr>
      <w:r>
        <w:rPr>
          <w:lang w:eastAsia="zh-CN"/>
        </w:rPr>
        <w:t>结构反演检查目标对成本参数的区分能力及雅可比矩阵的秩，并核验目标是否可达、有无边界解或多解。短期与较长期目标分别说明其经济含义，</w:t>
      </w:r>
      <w:r>
        <w:rPr>
          <w:lang w:eastAsia="zh-CN"/>
        </w:rPr>
        <w:t>PE</w:t>
      </w:r>
      <w:r>
        <w:rPr>
          <w:lang w:eastAsia="zh-CN"/>
        </w:rPr>
        <w:t>与</w:t>
      </w:r>
      <w:r>
        <w:rPr>
          <w:lang w:eastAsia="zh-CN"/>
        </w:rPr>
        <w:t>GE</w:t>
      </w:r>
      <w:r>
        <w:rPr>
          <w:lang w:eastAsia="zh-CN"/>
        </w:rPr>
        <w:t>按各自条件比较。无法形成完整目标、期限不相容或不能唯一求解时，报告可支持的微观和行业结果。</w:t>
      </w:r>
    </w:p>
    <w:p w14:paraId="715B79DE" w14:textId="77777777" w:rsidR="002D7E2C" w:rsidRDefault="00057618">
      <w:pPr>
        <w:rPr>
          <w:lang w:eastAsia="zh-CN"/>
        </w:rPr>
      </w:pPr>
      <w:r>
        <w:rPr>
          <w:lang w:eastAsia="zh-CN"/>
        </w:rPr>
        <w:t>不确定性同时考虑实证估计、政策匹配、企业覆盖、结构参数及均衡条件。在政策赋值组和误差结构支持的条件下开展聚类推断或重抽样，重复生产估计、成本反演及均衡求解，并记录未收敛或无法反演的情况；有效组很少时，不能以重抽样代替缺少的独立信息。结构参数采用有来源的校准值或区间。</w:t>
      </w:r>
    </w:p>
    <w:p w14:paraId="5D5F3FEB" w14:textId="77777777" w:rsidR="002D7E2C" w:rsidRDefault="00057618">
      <w:pPr>
        <w:rPr>
          <w:lang w:eastAsia="zh-CN"/>
        </w:rPr>
      </w:pPr>
      <w:r>
        <w:rPr>
          <w:lang w:eastAsia="zh-CN"/>
        </w:rPr>
        <w:t>实施时先核实</w:t>
      </w:r>
      <w:r>
        <w:rPr>
          <w:lang w:eastAsia="zh-CN"/>
        </w:rPr>
        <w:t>2015</w:t>
      </w:r>
      <w:r>
        <w:rPr>
          <w:lang w:eastAsia="zh-CN"/>
        </w:rPr>
        <w:t>年候选业务及样本支持，再确定最终窗口。当前主要困难是：</w:t>
      </w:r>
      <w:r>
        <w:rPr>
          <w:lang w:eastAsia="zh-CN"/>
        </w:rPr>
        <w:t>2014</w:t>
      </w:r>
      <w:r>
        <w:rPr>
          <w:lang w:eastAsia="zh-CN"/>
        </w:rPr>
        <w:t>年已有预期，</w:t>
      </w:r>
      <w:r>
        <w:rPr>
          <w:lang w:eastAsia="zh-CN"/>
        </w:rPr>
        <w:t>2015</w:t>
      </w:r>
      <w:r>
        <w:rPr>
          <w:lang w:eastAsia="zh-CN"/>
        </w:rPr>
        <w:t>年仅部分实施，</w:t>
      </w:r>
      <w:r>
        <w:rPr>
          <w:lang w:eastAsia="zh-CN"/>
        </w:rPr>
        <w:t>2016</w:t>
      </w:r>
      <w:r>
        <w:rPr>
          <w:lang w:eastAsia="zh-CN"/>
        </w:rPr>
        <w:t>年又可能出现差异性程序改革。若年度资料无法支持多个可比的改革后年份，保留</w:t>
      </w:r>
      <w:r>
        <w:rPr>
          <w:lang w:eastAsia="zh-CN"/>
        </w:rPr>
        <w:t>2015</w:t>
      </w:r>
      <w:r>
        <w:rPr>
          <w:lang w:eastAsia="zh-CN"/>
        </w:rPr>
        <w:t>年实施年的短期结果，并评估更高频资料或较窄业务范围能否支持同轮改革的后续分析；不能为延长窗口而忽略后续政策，也不据此承诺长期结构结果。</w:t>
      </w:r>
    </w:p>
    <w:p w14:paraId="2A240765" w14:textId="77777777" w:rsidR="002D7E2C" w:rsidRDefault="00057618">
      <w:pPr>
        <w:pStyle w:val="1"/>
      </w:pPr>
      <w:r>
        <w:lastRenderedPageBreak/>
        <w:t>参考文献与政策资料</w:t>
      </w:r>
    </w:p>
    <w:p w14:paraId="433C6C2F" w14:textId="77777777" w:rsidR="002D7E2C" w:rsidRDefault="00057618">
      <w:pPr>
        <w:pStyle w:val="Reference"/>
      </w:pPr>
      <w:r>
        <w:t>Eppinger, P., and H. Ma. 2023. Optimal Ownership and Firm Performance: An Analysis of China’s FDI Liberalization. CESifo Working Paper No. 10551.</w:t>
      </w:r>
    </w:p>
    <w:p w14:paraId="000F0D49" w14:textId="77777777" w:rsidR="002D7E2C" w:rsidRDefault="00057618">
      <w:pPr>
        <w:pStyle w:val="Reference"/>
      </w:pPr>
      <w:r>
        <w:t>Santos Silva, J. M. C., and S. Tenreyro. 2006. The Log of Gravity. Review of Economics and Statistics, 88(4), 641–658.</w:t>
      </w:r>
    </w:p>
    <w:p w14:paraId="5C7D6490" w14:textId="77777777" w:rsidR="002D7E2C" w:rsidRDefault="00057618">
      <w:pPr>
        <w:pStyle w:val="Reference"/>
        <w:rPr>
          <w:lang w:eastAsia="zh-CN"/>
        </w:rPr>
      </w:pPr>
      <w:r>
        <w:t xml:space="preserve">Correia, S., P. Guimarães, and T. Zylkin. 2020. Fast Poisson Estimation with High-Dimensional Fixed Effects. </w:t>
      </w:r>
      <w:r>
        <w:rPr>
          <w:lang w:eastAsia="zh-CN"/>
        </w:rPr>
        <w:t xml:space="preserve">The Stata Journal, 20(1), 95–115. </w:t>
      </w:r>
      <w:hyperlink r:id="rId8">
        <w:r>
          <w:rPr>
            <w:u w:val="single"/>
            <w:lang w:eastAsia="zh-CN"/>
          </w:rPr>
          <w:t>作者文档</w:t>
        </w:r>
      </w:hyperlink>
      <w:r>
        <w:rPr>
          <w:lang w:eastAsia="zh-CN"/>
        </w:rPr>
        <w:t>。</w:t>
      </w:r>
    </w:p>
    <w:p w14:paraId="5187C73F" w14:textId="77777777" w:rsidR="002D7E2C" w:rsidRDefault="00057618">
      <w:pPr>
        <w:pStyle w:val="Reference"/>
        <w:rPr>
          <w:lang w:eastAsia="zh-CN"/>
        </w:rPr>
      </w:pPr>
      <w:r>
        <w:rPr>
          <w:lang w:eastAsia="zh-CN"/>
        </w:rPr>
        <w:t>国家统计局：</w:t>
      </w:r>
      <w:r>
        <w:rPr>
          <w:lang w:eastAsia="zh-CN"/>
        </w:rPr>
        <w:t>GB/T 4754—2017</w:t>
      </w:r>
      <w:r>
        <w:rPr>
          <w:lang w:eastAsia="zh-CN"/>
        </w:rPr>
        <w:t>及第</w:t>
      </w:r>
      <w:r>
        <w:rPr>
          <w:lang w:eastAsia="zh-CN"/>
        </w:rPr>
        <w:t>1</w:t>
      </w:r>
      <w:r>
        <w:rPr>
          <w:lang w:eastAsia="zh-CN"/>
        </w:rPr>
        <w:t>号修改单、《</w:t>
      </w:r>
      <w:r>
        <w:rPr>
          <w:lang w:eastAsia="zh-CN"/>
        </w:rPr>
        <w:t>2017</w:t>
      </w:r>
      <w:r>
        <w:rPr>
          <w:lang w:eastAsia="zh-CN"/>
        </w:rPr>
        <w:t>年国民经济行业分类注释》。分类及对应关系按固定版本核验。</w:t>
      </w:r>
      <w:hyperlink r:id="rId9">
        <w:r>
          <w:rPr>
            <w:u w:val="single"/>
            <w:lang w:eastAsia="zh-CN"/>
          </w:rPr>
          <w:t>行业标准</w:t>
        </w:r>
      </w:hyperlink>
      <w:r>
        <w:rPr>
          <w:lang w:eastAsia="zh-CN"/>
        </w:rPr>
        <w:t>，</w:t>
      </w:r>
      <w:hyperlink r:id="rId10">
        <w:r>
          <w:rPr>
            <w:u w:val="single"/>
            <w:lang w:eastAsia="zh-CN"/>
          </w:rPr>
          <w:t>修改单</w:t>
        </w:r>
      </w:hyperlink>
      <w:r>
        <w:rPr>
          <w:lang w:eastAsia="zh-CN"/>
        </w:rPr>
        <w:t>，</w:t>
      </w:r>
      <w:hyperlink r:id="rId11">
        <w:r>
          <w:rPr>
            <w:u w:val="single"/>
            <w:lang w:eastAsia="zh-CN"/>
          </w:rPr>
          <w:t>行业注释</w:t>
        </w:r>
      </w:hyperlink>
      <w:r>
        <w:rPr>
          <w:lang w:eastAsia="zh-CN"/>
        </w:rPr>
        <w:t>。</w:t>
      </w:r>
    </w:p>
    <w:p w14:paraId="60F3A8AE" w14:textId="77777777" w:rsidR="002D7E2C" w:rsidRDefault="00057618">
      <w:pPr>
        <w:pStyle w:val="Reference"/>
        <w:rPr>
          <w:lang w:eastAsia="zh-CN"/>
        </w:rPr>
      </w:pPr>
      <w:r>
        <w:rPr>
          <w:lang w:eastAsia="zh-CN"/>
        </w:rPr>
        <w:t>国家发展改革委、商务部：《外商投资产业指导目录》</w:t>
      </w:r>
      <w:hyperlink r:id="rId12">
        <w:r>
          <w:rPr>
            <w:u w:val="single"/>
            <w:lang w:eastAsia="zh-CN"/>
          </w:rPr>
          <w:t>2011</w:t>
        </w:r>
        <w:r>
          <w:rPr>
            <w:u w:val="single"/>
            <w:lang w:eastAsia="zh-CN"/>
          </w:rPr>
          <w:t>年原文</w:t>
        </w:r>
      </w:hyperlink>
      <w:r>
        <w:rPr>
          <w:lang w:eastAsia="zh-CN"/>
        </w:rPr>
        <w:t>、</w:t>
      </w:r>
      <w:hyperlink r:id="rId13">
        <w:r>
          <w:rPr>
            <w:u w:val="single"/>
            <w:lang w:eastAsia="zh-CN"/>
          </w:rPr>
          <w:t>2015</w:t>
        </w:r>
        <w:r>
          <w:rPr>
            <w:u w:val="single"/>
            <w:lang w:eastAsia="zh-CN"/>
          </w:rPr>
          <w:t>年原文</w:t>
        </w:r>
      </w:hyperlink>
      <w:r>
        <w:rPr>
          <w:lang w:eastAsia="zh-CN"/>
        </w:rPr>
        <w:t>及</w:t>
      </w:r>
      <w:hyperlink r:id="rId14">
        <w:r>
          <w:rPr>
            <w:u w:val="single"/>
            <w:lang w:eastAsia="zh-CN"/>
          </w:rPr>
          <w:t>2015</w:t>
        </w:r>
        <w:r>
          <w:rPr>
            <w:u w:val="single"/>
            <w:lang w:eastAsia="zh-CN"/>
          </w:rPr>
          <w:t>年发布说明</w:t>
        </w:r>
      </w:hyperlink>
      <w:r>
        <w:rPr>
          <w:lang w:eastAsia="zh-CN"/>
        </w:rPr>
        <w:t>。</w:t>
      </w:r>
    </w:p>
    <w:p w14:paraId="7E9B1185" w14:textId="77777777" w:rsidR="002D7E2C" w:rsidRDefault="00057618">
      <w:pPr>
        <w:pStyle w:val="Reference"/>
        <w:rPr>
          <w:lang w:eastAsia="zh-CN"/>
        </w:rPr>
      </w:pPr>
      <w:r>
        <w:rPr>
          <w:lang w:eastAsia="zh-CN"/>
        </w:rPr>
        <w:t>特殊区域与资格：</w:t>
      </w:r>
      <w:hyperlink r:id="rId15">
        <w:r>
          <w:rPr>
            <w:u w:val="single"/>
            <w:lang w:eastAsia="zh-CN"/>
          </w:rPr>
          <w:t>上海自贸试验区</w:t>
        </w:r>
        <w:r>
          <w:rPr>
            <w:u w:val="single"/>
            <w:lang w:eastAsia="zh-CN"/>
          </w:rPr>
          <w:t>2014</w:t>
        </w:r>
        <w:r>
          <w:rPr>
            <w:u w:val="single"/>
            <w:lang w:eastAsia="zh-CN"/>
          </w:rPr>
          <w:t>年清单说明</w:t>
        </w:r>
      </w:hyperlink>
      <w:r>
        <w:rPr>
          <w:lang w:eastAsia="zh-CN"/>
        </w:rPr>
        <w:t>；国务院办公厅国办发〔</w:t>
      </w:r>
      <w:r>
        <w:rPr>
          <w:lang w:eastAsia="zh-CN"/>
        </w:rPr>
        <w:t>2015</w:t>
      </w:r>
      <w:r>
        <w:rPr>
          <w:lang w:eastAsia="zh-CN"/>
        </w:rPr>
        <w:t>〕</w:t>
      </w:r>
      <w:r>
        <w:rPr>
          <w:lang w:eastAsia="zh-CN"/>
        </w:rPr>
        <w:t>23</w:t>
      </w:r>
      <w:r>
        <w:rPr>
          <w:lang w:eastAsia="zh-CN"/>
        </w:rPr>
        <w:t>号</w:t>
      </w:r>
      <w:hyperlink r:id="rId16">
        <w:r>
          <w:rPr>
            <w:u w:val="single"/>
            <w:lang w:eastAsia="zh-CN"/>
          </w:rPr>
          <w:t>四地自贸试验区负面清单</w:t>
        </w:r>
      </w:hyperlink>
      <w:r>
        <w:rPr>
          <w:lang w:eastAsia="zh-CN"/>
        </w:rPr>
        <w:t>；商务部公告</w:t>
      </w:r>
      <w:r>
        <w:rPr>
          <w:lang w:eastAsia="zh-CN"/>
        </w:rPr>
        <w:t>2015</w:t>
      </w:r>
      <w:r>
        <w:rPr>
          <w:lang w:eastAsia="zh-CN"/>
        </w:rPr>
        <w:t>年第</w:t>
      </w:r>
      <w:r>
        <w:rPr>
          <w:lang w:eastAsia="zh-CN"/>
        </w:rPr>
        <w:t>7</w:t>
      </w:r>
      <w:r>
        <w:rPr>
          <w:lang w:eastAsia="zh-CN"/>
        </w:rPr>
        <w:t>号</w:t>
      </w:r>
      <w:hyperlink r:id="rId17">
        <w:r>
          <w:rPr>
            <w:u w:val="single"/>
            <w:lang w:eastAsia="zh-CN"/>
          </w:rPr>
          <w:t>广东对合资格港澳服务提供者的备案办法</w:t>
        </w:r>
      </w:hyperlink>
      <w:r>
        <w:rPr>
          <w:lang w:eastAsia="zh-CN"/>
        </w:rPr>
        <w:t>。</w:t>
      </w:r>
    </w:p>
    <w:p w14:paraId="1DFC1441" w14:textId="77777777" w:rsidR="002D7E2C" w:rsidRDefault="00057618">
      <w:pPr>
        <w:pStyle w:val="Reference"/>
        <w:rPr>
          <w:lang w:eastAsia="zh-CN"/>
        </w:rPr>
      </w:pPr>
      <w:r>
        <w:rPr>
          <w:lang w:eastAsia="zh-CN"/>
        </w:rPr>
        <w:t>同期安排：商务部</w:t>
      </w:r>
      <w:hyperlink r:id="rId18">
        <w:r>
          <w:rPr>
            <w:u w:val="single"/>
            <w:lang w:eastAsia="zh-CN"/>
          </w:rPr>
          <w:t>鼓励类项目确认后续工作通知</w:t>
        </w:r>
      </w:hyperlink>
      <w:r>
        <w:rPr>
          <w:lang w:eastAsia="zh-CN"/>
        </w:rPr>
        <w:t>；国家外汇管理局宁夏分局</w:t>
      </w:r>
      <w:hyperlink r:id="rId19">
        <w:r>
          <w:rPr>
            <w:u w:val="single"/>
            <w:lang w:eastAsia="zh-CN"/>
          </w:rPr>
          <w:t>2015</w:t>
        </w:r>
        <w:r>
          <w:rPr>
            <w:u w:val="single"/>
            <w:lang w:eastAsia="zh-CN"/>
          </w:rPr>
          <w:t>年直接投资外汇及结汇政策提示</w:t>
        </w:r>
      </w:hyperlink>
      <w:r>
        <w:rPr>
          <w:lang w:eastAsia="zh-CN"/>
        </w:rPr>
        <w:t>。具体业务须进一步核查相应适用条款。</w:t>
      </w:r>
    </w:p>
    <w:p w14:paraId="6AA1BBAE" w14:textId="77777777" w:rsidR="002D7E2C" w:rsidRDefault="00057618">
      <w:pPr>
        <w:pStyle w:val="Reference"/>
        <w:rPr>
          <w:lang w:eastAsia="zh-CN"/>
        </w:rPr>
      </w:pPr>
      <w:r>
        <w:rPr>
          <w:lang w:eastAsia="zh-CN"/>
        </w:rPr>
        <w:t>后续政策：</w:t>
      </w:r>
      <w:r>
        <w:rPr>
          <w:lang w:eastAsia="zh-CN"/>
        </w:rPr>
        <w:t>2016</w:t>
      </w:r>
      <w:r>
        <w:rPr>
          <w:lang w:eastAsia="zh-CN"/>
        </w:rPr>
        <w:t>年四法修改及商务部第</w:t>
      </w:r>
      <w:r>
        <w:rPr>
          <w:lang w:eastAsia="zh-CN"/>
        </w:rPr>
        <w:t>3</w:t>
      </w:r>
      <w:r>
        <w:rPr>
          <w:lang w:eastAsia="zh-CN"/>
        </w:rPr>
        <w:t>号令，参见</w:t>
      </w:r>
      <w:hyperlink r:id="rId20">
        <w:r>
          <w:rPr>
            <w:u w:val="single"/>
            <w:lang w:eastAsia="zh-CN"/>
          </w:rPr>
          <w:t>正式备案办法</w:t>
        </w:r>
      </w:hyperlink>
      <w:r>
        <w:rPr>
          <w:lang w:eastAsia="zh-CN"/>
        </w:rPr>
        <w:t>；</w:t>
      </w:r>
      <w:r>
        <w:rPr>
          <w:lang w:eastAsia="zh-CN"/>
        </w:rPr>
        <w:t>2017</w:t>
      </w:r>
      <w:r>
        <w:rPr>
          <w:lang w:eastAsia="zh-CN"/>
        </w:rPr>
        <w:t>年</w:t>
      </w:r>
      <w:hyperlink r:id="rId21">
        <w:r>
          <w:rPr>
            <w:u w:val="single"/>
            <w:lang w:eastAsia="zh-CN"/>
          </w:rPr>
          <w:t>目录第</w:t>
        </w:r>
        <w:r>
          <w:rPr>
            <w:u w:val="single"/>
            <w:lang w:eastAsia="zh-CN"/>
          </w:rPr>
          <w:t>4</w:t>
        </w:r>
        <w:r>
          <w:rPr>
            <w:u w:val="single"/>
            <w:lang w:eastAsia="zh-CN"/>
          </w:rPr>
          <w:t>号令</w:t>
        </w:r>
      </w:hyperlink>
      <w:r>
        <w:rPr>
          <w:lang w:eastAsia="zh-CN"/>
        </w:rPr>
        <w:t>及</w:t>
      </w:r>
      <w:hyperlink r:id="rId22">
        <w:r>
          <w:rPr>
            <w:u w:val="single"/>
            <w:lang w:eastAsia="zh-CN"/>
          </w:rPr>
          <w:t>此前征求意见情况</w:t>
        </w:r>
      </w:hyperlink>
      <w:r>
        <w:rPr>
          <w:lang w:eastAsia="zh-CN"/>
        </w:rPr>
        <w:t>。与具体企业对应的适用时间另按原文核实。</w:t>
      </w:r>
    </w:p>
    <w:p w14:paraId="59A9F9A5" w14:textId="77777777" w:rsidR="002D7E2C" w:rsidRDefault="00057618">
      <w:pPr>
        <w:pStyle w:val="Reference"/>
        <w:rPr>
          <w:lang w:eastAsia="zh-CN"/>
        </w:rPr>
      </w:pPr>
      <w:r>
        <w:rPr>
          <w:lang w:eastAsia="zh-CN"/>
        </w:rPr>
        <w:t>《中国高水平制度型开放与全球产业链网络重塑》及模型完整推导附录，研究稿；《审稿人回复》，制度型开放测度及流量与成本映射部分；《报告</w:t>
      </w:r>
      <w:r>
        <w:rPr>
          <w:lang w:eastAsia="zh-CN"/>
        </w:rPr>
        <w:t>_</w:t>
      </w:r>
      <w:r>
        <w:rPr>
          <w:lang w:eastAsia="zh-CN"/>
        </w:rPr>
        <w:t>重点标红版》，成本映射及参数说明。结构定义沿用研究稿，参数数值在校准时核实。</w:t>
      </w:r>
    </w:p>
    <w:sectPr w:rsidR="002D7E2C" w:rsidSect="00034616">
      <w:footerReference w:type="default" r:id="rId23"/>
      <w:pgSz w:w="12240" w:h="15840"/>
      <w:pgMar w:top="1440" w:right="1440" w:bottom="1440"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5B95C" w14:textId="77777777" w:rsidR="00057618" w:rsidRDefault="00057618">
      <w:pPr>
        <w:spacing w:after="0" w:line="240" w:lineRule="auto"/>
      </w:pPr>
      <w:r>
        <w:separator/>
      </w:r>
    </w:p>
  </w:endnote>
  <w:endnote w:type="continuationSeparator" w:id="0">
    <w:p w14:paraId="72C2A1A9" w14:textId="77777777" w:rsidR="00057618" w:rsidRDefault="00057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13898" w14:textId="77777777" w:rsidR="002C0540" w:rsidRDefault="00FE1083">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ABD3" w14:textId="77777777" w:rsidR="00057618" w:rsidRDefault="00057618">
      <w:r>
        <w:separator/>
      </w:r>
    </w:p>
  </w:footnote>
  <w:footnote w:type="continuationSeparator" w:id="0">
    <w:p w14:paraId="795EFC39" w14:textId="77777777" w:rsidR="00057618" w:rsidRDefault="00057618">
      <w:r>
        <w:continuationSeparator/>
      </w:r>
    </w:p>
  </w:footnote>
  <w:footnote w:id="1">
    <w:p w14:paraId="1DCE89DF" w14:textId="77777777" w:rsidR="002D7E2C" w:rsidRDefault="00057618">
      <w:pPr>
        <w:pStyle w:val="14"/>
        <w:rPr>
          <w:lang w:eastAsia="zh-CN"/>
        </w:rPr>
      </w:pPr>
      <w:r>
        <w:rPr>
          <w:rStyle w:val="15"/>
        </w:rPr>
        <w:footnoteRef/>
      </w:r>
      <w:r>
        <w:rPr>
          <w:lang w:eastAsia="zh-CN"/>
        </w:rPr>
        <w:t xml:space="preserve"> </w:t>
      </w:r>
      <w:r>
        <w:rPr>
          <w:lang w:eastAsia="zh-CN"/>
        </w:rPr>
        <w:t>第</w:t>
      </w:r>
      <w:r>
        <w:rPr>
          <w:lang w:eastAsia="zh-CN"/>
        </w:rPr>
        <w:t>22</w:t>
      </w:r>
      <w:r>
        <w:rPr>
          <w:lang w:eastAsia="zh-CN"/>
        </w:rPr>
        <w:t>号令署期为</w:t>
      </w:r>
      <w:r>
        <w:rPr>
          <w:lang w:eastAsia="zh-CN"/>
        </w:rPr>
        <w:t>2015</w:t>
      </w:r>
      <w:r>
        <w:rPr>
          <w:lang w:eastAsia="zh-CN"/>
        </w:rPr>
        <w:t>年</w:t>
      </w:r>
      <w:r>
        <w:rPr>
          <w:lang w:eastAsia="zh-CN"/>
        </w:rPr>
        <w:t>3</w:t>
      </w:r>
      <w:r>
        <w:rPr>
          <w:lang w:eastAsia="zh-CN"/>
        </w:rPr>
        <w:t>月</w:t>
      </w:r>
      <w:r>
        <w:rPr>
          <w:lang w:eastAsia="zh-CN"/>
        </w:rPr>
        <w:t>10</w:t>
      </w:r>
      <w:r>
        <w:rPr>
          <w:lang w:eastAsia="zh-CN"/>
        </w:rPr>
        <w:t>日，发改委网页于</w:t>
      </w:r>
      <w:r>
        <w:rPr>
          <w:lang w:eastAsia="zh-CN"/>
        </w:rPr>
        <w:t>3</w:t>
      </w:r>
      <w:r>
        <w:rPr>
          <w:lang w:eastAsia="zh-CN"/>
        </w:rPr>
        <w:t>月</w:t>
      </w:r>
      <w:r>
        <w:rPr>
          <w:lang w:eastAsia="zh-CN"/>
        </w:rPr>
        <w:t>13</w:t>
      </w:r>
      <w:r>
        <w:rPr>
          <w:lang w:eastAsia="zh-CN"/>
        </w:rPr>
        <w:t>日发布，</w:t>
      </w:r>
      <w:r>
        <w:rPr>
          <w:lang w:eastAsia="zh-CN"/>
        </w:rPr>
        <w:t>4</w:t>
      </w:r>
      <w:r>
        <w:rPr>
          <w:lang w:eastAsia="zh-CN"/>
        </w:rPr>
        <w:t>月</w:t>
      </w:r>
      <w:r>
        <w:rPr>
          <w:lang w:eastAsia="zh-CN"/>
        </w:rPr>
        <w:t>10</w:t>
      </w:r>
      <w:r>
        <w:rPr>
          <w:lang w:eastAsia="zh-CN"/>
        </w:rPr>
        <w:t>日施行。</w:t>
      </w:r>
      <w:r>
        <w:rPr>
          <w:lang w:eastAsia="zh-CN"/>
        </w:rPr>
        <w:t>2014</w:t>
      </w:r>
      <w:r>
        <w:rPr>
          <w:lang w:eastAsia="zh-CN"/>
        </w:rPr>
        <w:t>年末征求意见的官方留存见香港特区政府驻京办</w:t>
      </w:r>
      <w:hyperlink r:id="rId1">
        <w:r>
          <w:rPr>
            <w:u w:val="single"/>
            <w:lang w:eastAsia="zh-CN"/>
          </w:rPr>
          <w:t>2014</w:t>
        </w:r>
        <w:r>
          <w:rPr>
            <w:u w:val="single"/>
            <w:lang w:eastAsia="zh-CN"/>
          </w:rPr>
          <w:t>年第</w:t>
        </w:r>
        <w:r>
          <w:rPr>
            <w:u w:val="single"/>
            <w:lang w:eastAsia="zh-CN"/>
          </w:rPr>
          <w:t>44</w:t>
        </w:r>
        <w:r>
          <w:rPr>
            <w:u w:val="single"/>
            <w:lang w:eastAsia="zh-CN"/>
          </w:rPr>
          <w:t>期通讯，第</w:t>
        </w:r>
        <w:r>
          <w:rPr>
            <w:u w:val="single"/>
            <w:lang w:eastAsia="zh-CN"/>
          </w:rPr>
          <w:t>5—6</w:t>
        </w:r>
        <w:r>
          <w:rPr>
            <w:u w:val="single"/>
            <w:lang w:eastAsia="zh-CN"/>
          </w:rPr>
          <w:t>页</w:t>
        </w:r>
      </w:hyperlink>
      <w:r>
        <w:rPr>
          <w:lang w:eastAsia="zh-CN"/>
        </w:rPr>
        <w:t>，截止日期为</w:t>
      </w:r>
      <w:r>
        <w:rPr>
          <w:lang w:eastAsia="zh-CN"/>
        </w:rPr>
        <w:t>12</w:t>
      </w:r>
      <w:r>
        <w:rPr>
          <w:lang w:eastAsia="zh-CN"/>
        </w:rPr>
        <w:t>月</w:t>
      </w:r>
      <w:r>
        <w:rPr>
          <w:lang w:eastAsia="zh-CN"/>
        </w:rPr>
        <w:t>3</w:t>
      </w:r>
      <w:r>
        <w:rPr>
          <w:lang w:eastAsia="zh-CN"/>
        </w:rPr>
        <w:t>日；商务部</w:t>
      </w:r>
      <w:hyperlink r:id="rId2">
        <w:r>
          <w:rPr>
            <w:u w:val="single"/>
            <w:lang w:eastAsia="zh-CN"/>
          </w:rPr>
          <w:t>2015</w:t>
        </w:r>
        <w:r>
          <w:rPr>
            <w:u w:val="single"/>
            <w:lang w:eastAsia="zh-CN"/>
          </w:rPr>
          <w:t>年</w:t>
        </w:r>
        <w:r>
          <w:rPr>
            <w:u w:val="single"/>
            <w:lang w:eastAsia="zh-CN"/>
          </w:rPr>
          <w:t>1</w:t>
        </w:r>
        <w:r>
          <w:rPr>
            <w:u w:val="single"/>
            <w:lang w:eastAsia="zh-CN"/>
          </w:rPr>
          <w:t>月</w:t>
        </w:r>
        <w:r>
          <w:rPr>
            <w:u w:val="single"/>
            <w:lang w:eastAsia="zh-CN"/>
          </w:rPr>
          <w:t>21</w:t>
        </w:r>
        <w:r>
          <w:rPr>
            <w:u w:val="single"/>
            <w:lang w:eastAsia="zh-CN"/>
          </w:rPr>
          <w:t>日发布会</w:t>
        </w:r>
      </w:hyperlink>
      <w:r>
        <w:rPr>
          <w:lang w:eastAsia="zh-CN"/>
        </w:rPr>
        <w:t>亦已介绍修订情况。</w:t>
      </w:r>
    </w:p>
  </w:footnote>
  <w:footnote w:id="2">
    <w:p w14:paraId="178BE4EA" w14:textId="77777777" w:rsidR="002D7E2C" w:rsidRDefault="00057618">
      <w:pPr>
        <w:pStyle w:val="14"/>
        <w:rPr>
          <w:lang w:eastAsia="zh-CN"/>
        </w:rPr>
      </w:pPr>
      <w:r>
        <w:rPr>
          <w:rStyle w:val="15"/>
        </w:rPr>
        <w:footnoteRef/>
      </w:r>
      <w:r>
        <w:rPr>
          <w:lang w:eastAsia="zh-CN"/>
        </w:rPr>
        <w:t xml:space="preserve"> </w:t>
      </w:r>
      <w:r>
        <w:rPr>
          <w:lang w:eastAsia="zh-CN"/>
        </w:rPr>
        <w:t>证监会</w:t>
      </w:r>
      <w:r>
        <w:rPr>
          <w:lang w:eastAsia="zh-CN"/>
        </w:rPr>
        <w:t>2012</w:t>
      </w:r>
      <w:r>
        <w:rPr>
          <w:lang w:eastAsia="zh-CN"/>
        </w:rPr>
        <w:t>年</w:t>
      </w:r>
      <w:r>
        <w:rPr>
          <w:lang w:eastAsia="zh-CN"/>
        </w:rPr>
        <w:t>10</w:t>
      </w:r>
      <w:r>
        <w:rPr>
          <w:lang w:eastAsia="zh-CN"/>
        </w:rPr>
        <w:t>月</w:t>
      </w:r>
      <w:r>
        <w:rPr>
          <w:lang w:eastAsia="zh-CN"/>
        </w:rPr>
        <w:t>11</w:t>
      </w:r>
      <w:r>
        <w:rPr>
          <w:lang w:eastAsia="zh-CN"/>
        </w:rPr>
        <w:t>日第</w:t>
      </w:r>
      <w:r>
        <w:rPr>
          <w:lang w:eastAsia="zh-CN"/>
        </w:rPr>
        <w:t>86</w:t>
      </w:r>
      <w:r>
        <w:rPr>
          <w:lang w:eastAsia="zh-CN"/>
        </w:rPr>
        <w:t>号令已将有关外资证券公司持股上限提高至</w:t>
      </w:r>
      <w:r>
        <w:rPr>
          <w:lang w:eastAsia="zh-CN"/>
        </w:rPr>
        <w:t>49%</w:t>
      </w:r>
      <w:r>
        <w:rPr>
          <w:lang w:eastAsia="zh-CN"/>
        </w:rPr>
        <w:t>，并自公布日起施行。参见</w:t>
      </w:r>
      <w:hyperlink r:id="rId3">
        <w:r>
          <w:rPr>
            <w:u w:val="single"/>
            <w:lang w:eastAsia="zh-CN"/>
          </w:rPr>
          <w:t>证监会</w:t>
        </w:r>
        <w:r>
          <w:rPr>
            <w:u w:val="single"/>
            <w:lang w:eastAsia="zh-CN"/>
          </w:rPr>
          <w:t>2012</w:t>
        </w:r>
        <w:r>
          <w:rPr>
            <w:u w:val="single"/>
            <w:lang w:eastAsia="zh-CN"/>
          </w:rPr>
          <w:t>年第</w:t>
        </w:r>
        <w:r>
          <w:rPr>
            <w:u w:val="single"/>
            <w:lang w:eastAsia="zh-CN"/>
          </w:rPr>
          <w:t>10</w:t>
        </w:r>
        <w:r>
          <w:rPr>
            <w:u w:val="single"/>
            <w:lang w:eastAsia="zh-CN"/>
          </w:rPr>
          <w:t>期公报</w:t>
        </w:r>
      </w:hyperlink>
      <w:r>
        <w:rPr>
          <w:lang w:eastAsia="zh-CN"/>
        </w:rPr>
        <w:t>。该例说明需核查目录之间已经实施的规定。</w:t>
      </w:r>
    </w:p>
  </w:footnote>
  <w:footnote w:id="3">
    <w:p w14:paraId="6CD9A19F" w14:textId="77777777" w:rsidR="002D7E2C" w:rsidRDefault="00057618">
      <w:pPr>
        <w:pStyle w:val="14"/>
        <w:rPr>
          <w:lang w:eastAsia="zh-CN"/>
        </w:rPr>
      </w:pPr>
      <w:r>
        <w:rPr>
          <w:rStyle w:val="15"/>
        </w:rPr>
        <w:footnoteRef/>
      </w:r>
      <w:r>
        <w:rPr>
          <w:lang w:eastAsia="zh-CN"/>
        </w:rPr>
        <w:t xml:space="preserve"> </w:t>
      </w:r>
      <w:r>
        <w:rPr>
          <w:lang w:eastAsia="zh-CN"/>
        </w:rPr>
        <w:t>参见</w:t>
      </w:r>
      <w:hyperlink r:id="rId4">
        <w:r>
          <w:rPr>
            <w:u w:val="single"/>
            <w:lang w:eastAsia="zh-CN"/>
          </w:rPr>
          <w:t>2014</w:t>
        </w:r>
        <w:r>
          <w:rPr>
            <w:u w:val="single"/>
            <w:lang w:eastAsia="zh-CN"/>
          </w:rPr>
          <w:t>年外商投资项目核准和备案管理办法</w:t>
        </w:r>
      </w:hyperlink>
      <w:r>
        <w:rPr>
          <w:lang w:eastAsia="zh-CN"/>
        </w:rPr>
        <w:t>第二、十六、十九、二十一至二十三条，以及</w:t>
      </w:r>
      <w:hyperlink r:id="rId5">
        <w:r>
          <w:rPr>
            <w:u w:val="single"/>
            <w:lang w:eastAsia="zh-CN"/>
          </w:rPr>
          <w:t>2009</w:t>
        </w:r>
        <w:r>
          <w:rPr>
            <w:u w:val="single"/>
            <w:lang w:eastAsia="zh-CN"/>
          </w:rPr>
          <w:t>年外国投资者并购境内企业的规定</w:t>
        </w:r>
      </w:hyperlink>
      <w:r>
        <w:rPr>
          <w:lang w:eastAsia="zh-CN"/>
        </w:rPr>
        <w:t>。具体存量项目是否适用新条件，仍需按项目及变更事项核实。</w:t>
      </w:r>
    </w:p>
  </w:footnote>
  <w:footnote w:id="4">
    <w:p w14:paraId="741A4EF0" w14:textId="77777777" w:rsidR="002D7E2C" w:rsidRDefault="00057618">
      <w:pPr>
        <w:pStyle w:val="14"/>
        <w:rPr>
          <w:lang w:eastAsia="zh-CN"/>
        </w:rPr>
      </w:pPr>
      <w:r>
        <w:rPr>
          <w:rStyle w:val="15"/>
        </w:rPr>
        <w:footnoteRef/>
      </w:r>
      <w:r>
        <w:rPr>
          <w:lang w:eastAsia="zh-CN"/>
        </w:rPr>
        <w:t xml:space="preserve"> 2016</w:t>
      </w:r>
      <w:r>
        <w:rPr>
          <w:lang w:eastAsia="zh-CN"/>
        </w:rPr>
        <w:t>年</w:t>
      </w:r>
      <w:hyperlink r:id="rId6">
        <w:r>
          <w:rPr>
            <w:u w:val="single"/>
            <w:lang w:eastAsia="zh-CN"/>
          </w:rPr>
          <w:t>四法修改</w:t>
        </w:r>
      </w:hyperlink>
      <w:r>
        <w:rPr>
          <w:lang w:eastAsia="zh-CN"/>
        </w:rPr>
        <w:t>自</w:t>
      </w:r>
      <w:r>
        <w:rPr>
          <w:lang w:eastAsia="zh-CN"/>
        </w:rPr>
        <w:t>10</w:t>
      </w:r>
      <w:r>
        <w:rPr>
          <w:lang w:eastAsia="zh-CN"/>
        </w:rPr>
        <w:t>月</w:t>
      </w:r>
      <w:r>
        <w:rPr>
          <w:lang w:eastAsia="zh-CN"/>
        </w:rPr>
        <w:t>1</w:t>
      </w:r>
      <w:r>
        <w:rPr>
          <w:lang w:eastAsia="zh-CN"/>
        </w:rPr>
        <w:t>日起施行，</w:t>
      </w:r>
      <w:r>
        <w:rPr>
          <w:lang w:eastAsia="zh-CN"/>
        </w:rPr>
        <w:t>10</w:t>
      </w:r>
      <w:r>
        <w:rPr>
          <w:lang w:eastAsia="zh-CN"/>
        </w:rPr>
        <w:t>月</w:t>
      </w:r>
      <w:r>
        <w:rPr>
          <w:lang w:eastAsia="zh-CN"/>
        </w:rPr>
        <w:t>8</w:t>
      </w:r>
      <w:r>
        <w:rPr>
          <w:lang w:eastAsia="zh-CN"/>
        </w:rPr>
        <w:t>日</w:t>
      </w:r>
      <w:hyperlink r:id="rId7">
        <w:r>
          <w:rPr>
            <w:u w:val="single"/>
            <w:lang w:eastAsia="zh-CN"/>
          </w:rPr>
          <w:t>第</w:t>
        </w:r>
        <w:r>
          <w:rPr>
            <w:u w:val="single"/>
            <w:lang w:eastAsia="zh-CN"/>
          </w:rPr>
          <w:t>22</w:t>
        </w:r>
        <w:r>
          <w:rPr>
            <w:u w:val="single"/>
            <w:lang w:eastAsia="zh-CN"/>
          </w:rPr>
          <w:t>号公告</w:t>
        </w:r>
      </w:hyperlink>
      <w:r>
        <w:rPr>
          <w:lang w:eastAsia="zh-CN"/>
        </w:rPr>
        <w:t>以</w:t>
      </w:r>
      <w:r>
        <w:rPr>
          <w:lang w:eastAsia="zh-CN"/>
        </w:rPr>
        <w:t>2015</w:t>
      </w:r>
      <w:r>
        <w:rPr>
          <w:lang w:eastAsia="zh-CN"/>
        </w:rPr>
        <w:t>年目录有关限制确定准入特别管理范围。</w:t>
      </w:r>
      <w:r>
        <w:rPr>
          <w:lang w:eastAsia="zh-CN"/>
        </w:rPr>
        <w:t>2017</w:t>
      </w:r>
      <w:r>
        <w:rPr>
          <w:lang w:eastAsia="zh-CN"/>
        </w:rPr>
        <w:t>年目录修订稿已于</w:t>
      </w:r>
      <w:r>
        <w:rPr>
          <w:lang w:eastAsia="zh-CN"/>
        </w:rPr>
        <w:t>2016</w:t>
      </w:r>
      <w:r>
        <w:rPr>
          <w:lang w:eastAsia="zh-CN"/>
        </w:rPr>
        <w:t>年</w:t>
      </w:r>
      <w:r>
        <w:rPr>
          <w:lang w:eastAsia="zh-CN"/>
        </w:rPr>
        <w:t>12</w:t>
      </w:r>
      <w:r>
        <w:rPr>
          <w:lang w:eastAsia="zh-CN"/>
        </w:rPr>
        <w:t>月</w:t>
      </w:r>
      <w:r>
        <w:rPr>
          <w:lang w:eastAsia="zh-CN"/>
        </w:rPr>
        <w:t>7</w:t>
      </w:r>
      <w:r>
        <w:rPr>
          <w:lang w:eastAsia="zh-CN"/>
        </w:rPr>
        <w:t>日</w:t>
      </w:r>
      <w:hyperlink r:id="rId8">
        <w:r>
          <w:rPr>
            <w:u w:val="single"/>
            <w:lang w:eastAsia="zh-CN"/>
          </w:rPr>
          <w:t>公开征求意见</w:t>
        </w:r>
      </w:hyperlink>
      <w:r>
        <w:rPr>
          <w:lang w:eastAsia="zh-CN"/>
        </w:rPr>
        <w:t>，新目录于</w:t>
      </w:r>
      <w:r>
        <w:rPr>
          <w:lang w:eastAsia="zh-CN"/>
        </w:rPr>
        <w:t>2017</w:t>
      </w:r>
      <w:r>
        <w:rPr>
          <w:lang w:eastAsia="zh-CN"/>
        </w:rPr>
        <w:t>年</w:t>
      </w:r>
      <w:r>
        <w:rPr>
          <w:lang w:eastAsia="zh-CN"/>
        </w:rPr>
        <w:t>7</w:t>
      </w:r>
      <w:r>
        <w:rPr>
          <w:lang w:eastAsia="zh-CN"/>
        </w:rPr>
        <w:t>月</w:t>
      </w:r>
      <w:r>
        <w:rPr>
          <w:lang w:eastAsia="zh-CN"/>
        </w:rPr>
        <w:t>28</w:t>
      </w:r>
      <w:r>
        <w:rPr>
          <w:lang w:eastAsia="zh-CN"/>
        </w:rPr>
        <w:t>日施行；商务部</w:t>
      </w:r>
      <w:hyperlink r:id="rId9">
        <w:r>
          <w:rPr>
            <w:u w:val="single"/>
            <w:lang w:eastAsia="zh-CN"/>
          </w:rPr>
          <w:t>第</w:t>
        </w:r>
        <w:r>
          <w:rPr>
            <w:u w:val="single"/>
            <w:lang w:eastAsia="zh-CN"/>
          </w:rPr>
          <w:t>2</w:t>
        </w:r>
        <w:r>
          <w:rPr>
            <w:u w:val="single"/>
            <w:lang w:eastAsia="zh-CN"/>
          </w:rPr>
          <w:t>号令</w:t>
        </w:r>
      </w:hyperlink>
      <w:r>
        <w:rPr>
          <w:lang w:eastAsia="zh-CN"/>
        </w:rPr>
        <w:t>7</w:t>
      </w:r>
      <w:r>
        <w:rPr>
          <w:lang w:eastAsia="zh-CN"/>
        </w:rPr>
        <w:t>月</w:t>
      </w:r>
      <w:r>
        <w:rPr>
          <w:lang w:eastAsia="zh-CN"/>
        </w:rPr>
        <w:t>30</w:t>
      </w:r>
      <w:r>
        <w:rPr>
          <w:lang w:eastAsia="zh-CN"/>
        </w:rPr>
        <w:t>日又将符合条件的并购等纳入备案，两项变化分别核查。</w:t>
      </w:r>
    </w:p>
  </w:footnote>
  <w:footnote w:id="5">
    <w:p w14:paraId="305348E5" w14:textId="77777777" w:rsidR="002D7E2C" w:rsidRDefault="00057618">
      <w:pPr>
        <w:pStyle w:val="14"/>
      </w:pPr>
      <w:r>
        <w:rPr>
          <w:rStyle w:val="15"/>
        </w:rPr>
        <w:footnoteRef/>
      </w:r>
      <w:r>
        <w:rPr>
          <w:lang w:eastAsia="zh-CN"/>
        </w:rPr>
        <w:t xml:space="preserve"> </w:t>
      </w:r>
      <w:r>
        <w:rPr>
          <w:lang w:eastAsia="zh-CN"/>
        </w:rPr>
        <w:t>外国生产全期为零与国内生产全期为零，可能导致两式剔除不同企业。</w:t>
      </w:r>
      <w:r>
        <w:rPr>
          <w:lang w:eastAsia="zh-CN"/>
        </w:rPr>
        <w:t>PPMLHDFE</w:t>
      </w:r>
      <w:r>
        <w:rPr>
          <w:lang w:eastAsia="zh-CN"/>
        </w:rPr>
        <w:t>还处理其他分离观测及单例组，参见</w:t>
      </w:r>
      <w:hyperlink r:id="rId10">
        <w:r>
          <w:rPr>
            <w:u w:val="single"/>
            <w:lang w:eastAsia="zh-CN"/>
          </w:rPr>
          <w:t>作者文档</w:t>
        </w:r>
      </w:hyperlink>
      <w:r>
        <w:rPr>
          <w:lang w:eastAsia="zh-CN"/>
        </w:rPr>
        <w:t>。</w:t>
      </w:r>
      <w:r>
        <w:t>估计样本的交集不能替代原定生产范围。</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7836803">
    <w:abstractNumId w:val="8"/>
  </w:num>
  <w:num w:numId="2" w16cid:durableId="521016866">
    <w:abstractNumId w:val="6"/>
  </w:num>
  <w:num w:numId="3" w16cid:durableId="633095668">
    <w:abstractNumId w:val="5"/>
  </w:num>
  <w:num w:numId="4" w16cid:durableId="403798814">
    <w:abstractNumId w:val="4"/>
  </w:num>
  <w:num w:numId="5" w16cid:durableId="530538523">
    <w:abstractNumId w:val="7"/>
  </w:num>
  <w:num w:numId="6" w16cid:durableId="527375847">
    <w:abstractNumId w:val="3"/>
  </w:num>
  <w:num w:numId="7" w16cid:durableId="470945582">
    <w:abstractNumId w:val="2"/>
  </w:num>
  <w:num w:numId="8" w16cid:durableId="1295403094">
    <w:abstractNumId w:val="1"/>
  </w:num>
  <w:num w:numId="9" w16cid:durableId="66671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18"/>
    <w:rsid w:val="0006063C"/>
    <w:rsid w:val="000A49C9"/>
    <w:rsid w:val="000B2488"/>
    <w:rsid w:val="0015074B"/>
    <w:rsid w:val="001D0945"/>
    <w:rsid w:val="0029639D"/>
    <w:rsid w:val="002C0540"/>
    <w:rsid w:val="002D7E2C"/>
    <w:rsid w:val="003268CE"/>
    <w:rsid w:val="00326F90"/>
    <w:rsid w:val="003A1012"/>
    <w:rsid w:val="004B1FF2"/>
    <w:rsid w:val="004F26D2"/>
    <w:rsid w:val="00553CE8"/>
    <w:rsid w:val="005C3041"/>
    <w:rsid w:val="005D0D22"/>
    <w:rsid w:val="006C781C"/>
    <w:rsid w:val="007B166D"/>
    <w:rsid w:val="008B3F46"/>
    <w:rsid w:val="00954789"/>
    <w:rsid w:val="00A4575E"/>
    <w:rsid w:val="00AA1D8D"/>
    <w:rsid w:val="00B44021"/>
    <w:rsid w:val="00B47730"/>
    <w:rsid w:val="00B729EE"/>
    <w:rsid w:val="00CB0664"/>
    <w:rsid w:val="00D56FD2"/>
    <w:rsid w:val="00E9731A"/>
    <w:rsid w:val="00F23695"/>
    <w:rsid w:val="00F94B57"/>
    <w:rsid w:val="00FC693F"/>
    <w:rsid w:val="00FE1083"/>
    <w:rsid w:val="00FF64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38F67"/>
  <w14:defaultImageDpi w14:val="300"/>
  <w15:docId w15:val="{7ACFBFEA-6D3A-409A-8A60-E45C1D40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36"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20"/>
      <w:outlineLvl w:val="0"/>
    </w:pPr>
    <w:rPr>
      <w:rFonts w:eastAsia="黑体"/>
      <w:bCs/>
      <w:sz w:val="28"/>
      <w:szCs w:val="28"/>
    </w:rPr>
  </w:style>
  <w:style w:type="paragraph" w:styleId="21">
    <w:name w:val="heading 2"/>
    <w:basedOn w:val="a1"/>
    <w:next w:val="a1"/>
    <w:link w:val="22"/>
    <w:uiPriority w:val="9"/>
    <w:unhideWhenUsed/>
    <w:qFormat/>
    <w:rsid w:val="00FC693F"/>
    <w:pPr>
      <w:keepNext/>
      <w:keepLines/>
      <w:spacing w:before="140"/>
      <w:outlineLvl w:val="1"/>
    </w:pPr>
    <w:rPr>
      <w:rFonts w:eastAsia="黑体"/>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line="240" w:lineRule="auto"/>
      <w:contextualSpacing/>
    </w:pPr>
    <w:rPr>
      <w:rFonts w:eastAsia="黑体"/>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20" w:after="80"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pPr>
    <w:rPr>
      <w:rFonts w:ascii="Times New Roman" w:eastAsia="宋体" w:hAnsi="Times New Roman"/>
      <w:color w:val="000000"/>
      <w:sz w:val="21"/>
    </w:rPr>
  </w:style>
  <w:style w:type="paragraph" w:customStyle="1" w:styleId="Equation">
    <w:name w:val="Equation"/>
    <w:pPr>
      <w:keepLines/>
      <w:tabs>
        <w:tab w:val="center" w:pos="4349"/>
        <w:tab w:val="right" w:pos="9360"/>
      </w:tabs>
      <w:spacing w:before="80" w:after="140" w:line="264" w:lineRule="auto"/>
    </w:pPr>
    <w:rPr>
      <w:rFonts w:ascii="Times New Roman" w:eastAsia="宋体" w:hAnsi="Times New Roman"/>
      <w:color w:val="000000"/>
      <w:sz w:val="23"/>
    </w:rPr>
  </w:style>
  <w:style w:type="paragraph" w:customStyle="1" w:styleId="Reference">
    <w:name w:val="Reference"/>
    <w:pPr>
      <w:spacing w:after="100" w:line="288" w:lineRule="auto"/>
    </w:pPr>
    <w:rPr>
      <w:rFonts w:ascii="Times New Roman" w:eastAsia="宋体" w:hAnsi="Times New Roman"/>
      <w:color w:val="000000"/>
      <w:sz w:val="21"/>
    </w:rPr>
  </w:style>
  <w:style w:type="paragraph" w:customStyle="1" w:styleId="DateLine">
    <w:name w:val="Date Line"/>
    <w:rPr>
      <w:rFonts w:ascii="Times New Roman" w:eastAsia="宋体" w:hAnsi="Times New Roman"/>
      <w:color w:val="000000"/>
      <w:sz w:val="21"/>
    </w:rPr>
  </w:style>
  <w:style w:type="paragraph" w:customStyle="1" w:styleId="14">
    <w:name w:val="脚注文本1"/>
    <w:pPr>
      <w:keepLines/>
      <w:spacing w:after="20" w:line="240" w:lineRule="auto"/>
    </w:pPr>
    <w:rPr>
      <w:rFonts w:ascii="Times New Roman" w:eastAsia="宋体" w:hAnsi="Times New Roman"/>
      <w:color w:val="000000"/>
      <w:sz w:val="19"/>
    </w:rPr>
  </w:style>
  <w:style w:type="character" w:customStyle="1" w:styleId="15">
    <w:name w:val="脚注引用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orreia.com/help/ppmlhdfe.html" TargetMode="External"/><Relationship Id="rId13" Type="http://schemas.openxmlformats.org/officeDocument/2006/relationships/hyperlink" Target="https://www.ndrc.gov.cn/xxgk/zcfb/fzggwl/201503/W020190905494968937613.pdf" TargetMode="External"/><Relationship Id="rId18" Type="http://schemas.openxmlformats.org/officeDocument/2006/relationships/hyperlink" Target="https://kmtb.mofcom.gov.cn/zcfg/wgtzgl/art/2015/art_5d02439ed85349f08fd69c1fde4fc22b.html" TargetMode="External"/><Relationship Id="rId3" Type="http://schemas.openxmlformats.org/officeDocument/2006/relationships/styles" Target="styles.xml"/><Relationship Id="rId21" Type="http://schemas.openxmlformats.org/officeDocument/2006/relationships/hyperlink" Target="https://www.ndrc.gov.cn/xxgk/zcfb/fzggwl/201706/t20170628_960838.html" TargetMode="External"/><Relationship Id="rId7" Type="http://schemas.openxmlformats.org/officeDocument/2006/relationships/endnotes" Target="endnotes.xml"/><Relationship Id="rId12" Type="http://schemas.openxmlformats.org/officeDocument/2006/relationships/hyperlink" Target="https://www.ndrc.gov.cn/xxgk/zcfb/fzggwl/201112/W020190905494803398094.pdf" TargetMode="External"/><Relationship Id="rId17" Type="http://schemas.openxmlformats.org/officeDocument/2006/relationships/hyperlink" Target="https://dcj.mofcom.gov.cn/article/zcfb/zcwgtz/201503/20150300908093.s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ofcom.gov.cn/zwgk/zcfb/art/2015/art_9b9e8a0867194a419b5349319ed16f6e.html" TargetMode="External"/><Relationship Id="rId20" Type="http://schemas.openxmlformats.org/officeDocument/2006/relationships/hyperlink" Target="https://www.ndrc.gov.cn/xwdt/ztzl/gbmjcbzc/swb/201801/t20180122_120916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s.gov.cn/sj/tjbz/gmjjhyfl/202302/t20230213_1902780.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hanghai.gov.cn/nw12344/20200814/0001-12344_39507.html" TargetMode="External"/><Relationship Id="rId23" Type="http://schemas.openxmlformats.org/officeDocument/2006/relationships/footer" Target="footer1.xml"/><Relationship Id="rId10" Type="http://schemas.openxmlformats.org/officeDocument/2006/relationships/hyperlink" Target="https://www.stats.gov.cn/sj/tjbz/gjtjbz/202302/t20230213_1902779.html" TargetMode="External"/><Relationship Id="rId19" Type="http://schemas.openxmlformats.org/officeDocument/2006/relationships/hyperlink" Target="https://www.safe.gov.cn/ningxia/file/file/20170728/a647e7a984dc478092b7816e8fb93ad2.pdf" TargetMode="External"/><Relationship Id="rId4" Type="http://schemas.openxmlformats.org/officeDocument/2006/relationships/settings" Target="settings.xml"/><Relationship Id="rId9" Type="http://schemas.openxmlformats.org/officeDocument/2006/relationships/hyperlink" Target="https://www.stats.gov.cn/xxgk/tjbz/gjtjbz/202008/P020200811606493723477.pdf" TargetMode="External"/><Relationship Id="rId14" Type="http://schemas.openxmlformats.org/officeDocument/2006/relationships/hyperlink" Target="https://www.ndrc.gov.cn/xwdt/xwfb/201503/t20150313_956028.html" TargetMode="External"/><Relationship Id="rId22" Type="http://schemas.openxmlformats.org/officeDocument/2006/relationships/hyperlink" Target="https://www.ndrc.gov.cn/xwdt/tzgg/201701/t20170124_959079.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ndrc.gov.cn/xwdt/tzgg/201701/t20170124_959079.html" TargetMode="External"/><Relationship Id="rId3" Type="http://schemas.openxmlformats.org/officeDocument/2006/relationships/hyperlink" Target="https://www.csrc.gov.cn/csrc/c100024/c1492226/1492226/files/5f2288e304bf41bc9238c19bcfbdd0af.pdf" TargetMode="External"/><Relationship Id="rId7" Type="http://schemas.openxmlformats.org/officeDocument/2006/relationships/hyperlink" Target="https://www.mofcom.gov.cn/zcfb/zgdwjjmywg/art/2016/art_7f2d927a9816467282ddafa65647c4f3.html" TargetMode="External"/><Relationship Id="rId2" Type="http://schemas.openxmlformats.org/officeDocument/2006/relationships/hyperlink" Target="https://zhibo.mofcom.gov.cn/zhibo/zhibo_447.html" TargetMode="External"/><Relationship Id="rId1" Type="http://schemas.openxmlformats.org/officeDocument/2006/relationships/hyperlink" Target="https://www.bjo.gov.hk/filemanager/content/pdf/bjonewsletter/20141128.pdf" TargetMode="External"/><Relationship Id="rId6" Type="http://schemas.openxmlformats.org/officeDocument/2006/relationships/hyperlink" Target="https://tfs.mofcom.gov.cn/lfzqyj/art/2016/art_2288e9d7dbcd46f89c66f8e93879eac1.html" TargetMode="External"/><Relationship Id="rId5" Type="http://schemas.openxmlformats.org/officeDocument/2006/relationships/hyperlink" Target="https://kmtb.mofcom.gov.cn/zcfg/wgtzgl/art/2009/art_58002982f74142a584b0f0ceee629dd4.html" TargetMode="External"/><Relationship Id="rId10" Type="http://schemas.openxmlformats.org/officeDocument/2006/relationships/hyperlink" Target="https://scorreia.com/help/ppmlhdfe.html" TargetMode="External"/><Relationship Id="rId4" Type="http://schemas.openxmlformats.org/officeDocument/2006/relationships/hyperlink" Target="https://zfxxgk.ndrc.gov.cn/web/iteminfo.jsp?id=18527" TargetMode="External"/><Relationship Id="rId9" Type="http://schemas.openxmlformats.org/officeDocument/2006/relationships/hyperlink" Target="https://wzs.mofcom.gov.cn/zcfb/art/2017/art_7e7841c65a1f4975bccb5404994d356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16</Pages>
  <Words>2224</Words>
  <Characters>12682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附录A 外资准入改革的企业效应、跨国生产成本识别与一般均衡反事实</dc:title>
  <dc:subject/>
  <dc:creator/>
  <cp:keywords/>
  <dc:description/>
  <cp:lastModifiedBy>镇宇 杨</cp:lastModifiedBy>
  <cp:revision>11</cp:revision>
  <dcterms:created xsi:type="dcterms:W3CDTF">2013-12-23T23:15:00Z</dcterms:created>
  <dcterms:modified xsi:type="dcterms:W3CDTF">2026-10-12T00:45:00Z</dcterms:modified>
  <cp:category/>
</cp:coreProperties>
</file>