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7846" w14:textId="77777777" w:rsidR="004E1393" w:rsidRDefault="00EB4DE5">
      <w:pPr>
        <w:pStyle w:val="aa"/>
        <w:spacing w:after="200"/>
        <w:jc w:val="center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企业所受到的清单限制强度与经营表现及部门成本分析</w:t>
      </w:r>
    </w:p>
    <w:p w14:paraId="55F4D99D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本研究拟采用</w:t>
      </w:r>
      <w:r>
        <w:rPr>
          <w:rFonts w:cs="Times New Roman"/>
          <w:color w:val="000000"/>
          <w:lang w:eastAsia="zh-CN"/>
        </w:rPr>
        <w:t>2007—2020</w:t>
      </w:r>
      <w:r>
        <w:rPr>
          <w:rFonts w:cs="Times New Roman"/>
          <w:color w:val="000000"/>
          <w:lang w:eastAsia="zh-CN"/>
        </w:rPr>
        <w:t>年税调资料，考察企业所受到的清单限制强度与生产、投资、就业及控制关系的联系。依据企业当期行业代码取得相应《国民经济行业分类》（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）版本的小类名称，由大语言模型（</w:t>
      </w:r>
      <w:r>
        <w:rPr>
          <w:rFonts w:cs="Times New Roman"/>
          <w:color w:val="000000"/>
          <w:lang w:eastAsia="zh-CN"/>
        </w:rPr>
        <w:t>LLM</w:t>
      </w:r>
      <w:r>
        <w:rPr>
          <w:rFonts w:cs="Times New Roman"/>
          <w:color w:val="000000"/>
          <w:lang w:eastAsia="zh-CN"/>
        </w:rPr>
        <w:t>）匹配有效政策活动、提取各维度要求，再机械评分形成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。在同一基准年份比较实际限制与取消限制两种情景，分别预测外国与国内控制生产，聚合为部门目标，据此反演等效跨国生产（</w:t>
      </w:r>
      <w:r>
        <w:rPr>
          <w:rFonts w:cs="Times New Roman"/>
          <w:color w:val="000000"/>
          <w:lang w:eastAsia="zh-CN"/>
        </w:rPr>
        <w:t>MP</w:t>
      </w:r>
      <w:r>
        <w:rPr>
          <w:rFonts w:cs="Times New Roman"/>
          <w:color w:val="000000"/>
          <w:lang w:eastAsia="zh-CN"/>
        </w:rPr>
        <w:t>）成本并计算一般均衡反事实。</w:t>
      </w:r>
    </w:p>
    <w:p w14:paraId="2D4D411D" w14:textId="77777777" w:rsidR="004E1393" w:rsidRDefault="00EB4DE5">
      <w:pPr>
        <w:ind w:firstLine="0"/>
        <w:jc w:val="center"/>
        <w:rPr>
          <w:lang w:eastAsia="zh-CN"/>
        </w:rPr>
      </w:pPr>
      <w:r>
        <w:rPr>
          <w:rFonts w:cs="Times New Roman"/>
          <w:b/>
          <w:color w:val="000000"/>
          <w:sz w:val="22"/>
          <w:lang w:eastAsia="zh-CN"/>
        </w:rPr>
        <w:t>图</w:t>
      </w:r>
      <w:r>
        <w:rPr>
          <w:rFonts w:cs="Times New Roman"/>
          <w:b/>
          <w:color w:val="000000"/>
          <w:sz w:val="22"/>
          <w:lang w:eastAsia="zh-CN"/>
        </w:rPr>
        <w:t xml:space="preserve">A1  </w:t>
      </w:r>
      <w:r>
        <w:rPr>
          <w:rFonts w:cs="Times New Roman"/>
          <w:b/>
          <w:color w:val="000000"/>
          <w:sz w:val="22"/>
          <w:lang w:eastAsia="zh-CN"/>
        </w:rPr>
        <w:t>研究思路与主要环节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4E1393" w14:paraId="611D4763" w14:textId="77777777">
        <w:trPr>
          <w:cantSplit/>
          <w:tblHeader/>
          <w:jc w:val="center"/>
        </w:trPr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</w:tcPr>
          <w:p w14:paraId="07C7D0A7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路径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A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：形成企业所受到的清单限制强度</w:t>
            </w:r>
          </w:p>
        </w:tc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</w:tcPr>
          <w:p w14:paraId="179C455A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路径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B</w:t>
            </w:r>
            <w:r>
              <w:rPr>
                <w:rFonts w:cs="Times New Roman"/>
                <w:b/>
                <w:color w:val="000000"/>
                <w:sz w:val="21"/>
                <w:lang w:eastAsia="zh-CN"/>
              </w:rPr>
              <w:t>：确定当期生产归属</w:t>
            </w:r>
          </w:p>
        </w:tc>
      </w:tr>
      <w:tr w:rsidR="004E1393" w14:paraId="6FABE249" w14:textId="77777777">
        <w:trPr>
          <w:cantSplit/>
          <w:jc w:val="center"/>
        </w:trPr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89BEC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企业当期行业代码及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版本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对应版本的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小类名称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LLM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识别名称与有效活动局部或全部匹配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提取限制类型及评分所需数值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固定规则赋分与年度合成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形成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lang w:eastAsia="zh-CN"/>
                    </w:rPr>
                    <m:t>Intensity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ft</m:t>
                  </m:r>
                </m:sub>
              </m:sSub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，赋予企业</w:t>
            </w:r>
          </w:p>
        </w:tc>
        <w:tc>
          <w:tcPr>
            <w:tcW w:w="4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28958" w14:textId="77777777" w:rsidR="004E1393" w:rsidRDefault="00EB4DE5">
            <w:pPr>
              <w:spacing w:before="100" w:after="10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企业当期行业代码及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版本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新旧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GB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分类对照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GB2017 → ISIC Rev.4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>↓ AMNE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部门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 xml:space="preserve"> →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模型部门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为当期生产附加部门标识</w:t>
            </w:r>
          </w:p>
        </w:tc>
      </w:tr>
      <w:tr w:rsidR="004E1393" w14:paraId="32602BEC" w14:textId="77777777">
        <w:trPr>
          <w:cantSplit/>
          <w:jc w:val="center"/>
        </w:trPr>
        <w:tc>
          <w:tcPr>
            <w:tcW w:w="92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50B53" w14:textId="77777777" w:rsidR="004E1393" w:rsidRDefault="00EB4DE5">
            <w:pPr>
              <w:spacing w:before="120" w:after="12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企业面板：比较强度与生产、投资、就业和控制关系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预测两种限制情景下的外国与国内控制生产</w:t>
            </w:r>
          </w:p>
        </w:tc>
      </w:tr>
      <w:tr w:rsidR="004E1393" w14:paraId="421AE4BA" w14:textId="77777777">
        <w:trPr>
          <w:cantSplit/>
          <w:jc w:val="center"/>
        </w:trPr>
        <w:tc>
          <w:tcPr>
            <w:tcW w:w="92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81BC20" w14:textId="77777777" w:rsidR="004E1393" w:rsidRDefault="00EB4DE5">
            <w:pPr>
              <w:spacing w:before="120" w:after="120" w:line="288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按部门加总生产与形成情景目标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 xml:space="preserve"> →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反演等效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MP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成本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  <w:t xml:space="preserve">↓ 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一般均衡反事实：生产布局、价格、实际收入与福利</w:t>
            </w:r>
          </w:p>
        </w:tc>
      </w:tr>
    </w:tbl>
    <w:p w14:paraId="1CC589E4" w14:textId="77777777" w:rsidR="004E1393" w:rsidRDefault="00EB4DE5">
      <w:pPr>
        <w:spacing w:before="80" w:line="276" w:lineRule="auto"/>
        <w:ind w:firstLine="0"/>
        <w:rPr>
          <w:lang w:eastAsia="zh-CN"/>
        </w:rPr>
      </w:pPr>
      <w:r>
        <w:rPr>
          <w:rFonts w:cs="Times New Roman"/>
          <w:color w:val="000000"/>
          <w:sz w:val="20"/>
          <w:lang w:eastAsia="zh-CN"/>
        </w:rPr>
        <w:t>注：</w:t>
      </w:r>
      <w:r>
        <w:rPr>
          <w:rFonts w:cs="Times New Roman"/>
          <w:color w:val="000000"/>
          <w:sz w:val="20"/>
          <w:lang w:eastAsia="zh-CN"/>
        </w:rPr>
        <w:t>GB2002</w:t>
      </w:r>
      <w:r>
        <w:rPr>
          <w:rFonts w:cs="Times New Roman"/>
          <w:color w:val="000000"/>
          <w:sz w:val="20"/>
          <w:lang w:eastAsia="zh-CN"/>
        </w:rPr>
        <w:t>、</w:t>
      </w:r>
      <w:r>
        <w:rPr>
          <w:rFonts w:cs="Times New Roman"/>
          <w:color w:val="000000"/>
          <w:sz w:val="20"/>
          <w:lang w:eastAsia="zh-CN"/>
        </w:rPr>
        <w:t>GB2011</w:t>
      </w:r>
      <w:r>
        <w:rPr>
          <w:rFonts w:cs="Times New Roman"/>
          <w:color w:val="000000"/>
          <w:sz w:val="20"/>
          <w:lang w:eastAsia="zh-CN"/>
        </w:rPr>
        <w:t>和</w:t>
      </w:r>
      <w:r>
        <w:rPr>
          <w:rFonts w:cs="Times New Roman"/>
          <w:color w:val="000000"/>
          <w:sz w:val="20"/>
          <w:lang w:eastAsia="zh-CN"/>
        </w:rPr>
        <w:t>GB2017</w:t>
      </w:r>
      <w:r>
        <w:rPr>
          <w:rFonts w:cs="Times New Roman"/>
          <w:color w:val="000000"/>
          <w:sz w:val="20"/>
          <w:lang w:eastAsia="zh-CN"/>
        </w:rPr>
        <w:t>指相应行业分类版本；</w:t>
      </w:r>
      <w:r>
        <w:rPr>
          <w:rFonts w:cs="Times New Roman"/>
          <w:color w:val="000000"/>
          <w:sz w:val="20"/>
          <w:lang w:eastAsia="zh-CN"/>
        </w:rPr>
        <w:t>ISIC Rev.4</w:t>
      </w:r>
      <w:r>
        <w:rPr>
          <w:rFonts w:cs="Times New Roman"/>
          <w:color w:val="000000"/>
          <w:sz w:val="20"/>
          <w:lang w:eastAsia="zh-CN"/>
        </w:rPr>
        <w:t>为国际标准产业分类第四版，</w:t>
      </w:r>
      <w:r>
        <w:rPr>
          <w:rFonts w:cs="Times New Roman"/>
          <w:color w:val="000000"/>
          <w:sz w:val="20"/>
          <w:lang w:eastAsia="zh-CN"/>
        </w:rPr>
        <w:t>AMNE</w:t>
      </w:r>
      <w:r>
        <w:rPr>
          <w:rFonts w:cs="Times New Roman"/>
          <w:color w:val="000000"/>
          <w:sz w:val="20"/>
          <w:lang w:eastAsia="zh-CN"/>
        </w:rPr>
        <w:t>为</w:t>
      </w:r>
      <w:r>
        <w:rPr>
          <w:rFonts w:cs="Times New Roman"/>
          <w:color w:val="000000"/>
          <w:sz w:val="20"/>
          <w:lang w:eastAsia="zh-CN"/>
        </w:rPr>
        <w:t>OECD</w:t>
      </w:r>
      <w:r>
        <w:rPr>
          <w:rFonts w:cs="Times New Roman"/>
          <w:color w:val="000000"/>
          <w:sz w:val="20"/>
          <w:lang w:eastAsia="zh-CN"/>
        </w:rPr>
        <w:t>分析性跨国企业活动数据库。</w:t>
      </w:r>
    </w:p>
    <w:p w14:paraId="6147ACE5" w14:textId="77777777" w:rsidR="00E86E51" w:rsidRDefault="004902CB">
      <w:pPr>
        <w:spacing w:after="0" w:line="20" w:lineRule="exact"/>
        <w:ind w:firstLine="0"/>
        <w:rPr>
          <w:lang w:eastAsia="zh-CN"/>
        </w:rPr>
      </w:pPr>
      <w:r>
        <w:rPr>
          <w:sz w:val="2"/>
          <w:lang w:eastAsia="zh-CN"/>
        </w:rPr>
        <w:br w:type="page"/>
      </w:r>
    </w:p>
    <w:p w14:paraId="15C0A875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A.1 </w:t>
      </w:r>
      <w:r>
        <w:rPr>
          <w:rFonts w:ascii="Times New Roman" w:eastAsia="宋体" w:hAnsi="Times New Roman" w:cs="Times New Roman"/>
          <w:lang w:eastAsia="zh-CN"/>
        </w:rPr>
        <w:t>研究问题与作用机制</w:t>
      </w:r>
    </w:p>
    <w:p w14:paraId="1B0B4D20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清单限制是针对外国投资者身份设置的差别化要求，包括外资股比上限、强制合资合作、中方控股和禁止外资进入等。政策文本采用</w:t>
      </w:r>
      <w:r>
        <w:rPr>
          <w:rFonts w:cs="Times New Roman"/>
          <w:color w:val="000000"/>
          <w:lang w:eastAsia="zh-CN"/>
        </w:rPr>
        <w:t>2004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2007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2011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2015</w:t>
      </w:r>
      <w:r>
        <w:rPr>
          <w:rFonts w:cs="Times New Roman"/>
          <w:color w:val="000000"/>
          <w:lang w:eastAsia="zh-CN"/>
        </w:rPr>
        <w:t>、</w:t>
      </w:r>
      <w:r>
        <w:rPr>
          <w:rFonts w:cs="Times New Roman"/>
          <w:color w:val="000000"/>
          <w:lang w:eastAsia="zh-CN"/>
        </w:rPr>
        <w:t>2017</w:t>
      </w:r>
      <w:r>
        <w:rPr>
          <w:rFonts w:cs="Times New Roman"/>
          <w:color w:val="000000"/>
          <w:lang w:eastAsia="zh-CN"/>
        </w:rPr>
        <w:t>年目录及</w:t>
      </w:r>
      <w:r>
        <w:rPr>
          <w:rFonts w:cs="Times New Roman"/>
          <w:color w:val="000000"/>
          <w:lang w:eastAsia="zh-CN"/>
        </w:rPr>
        <w:t>2018—2020</w:t>
      </w:r>
      <w:r>
        <w:rPr>
          <w:rFonts w:cs="Times New Roman"/>
          <w:color w:val="000000"/>
          <w:lang w:eastAsia="zh-CN"/>
        </w:rPr>
        <w:t>年全国外资准入负面清单，以全国一般规则为基准。</w:t>
      </w:r>
      <w:r>
        <w:rPr>
          <w:rFonts w:cs="Times New Roman"/>
          <w:color w:val="000000"/>
          <w:lang w:eastAsia="zh-CN"/>
        </w:rPr>
        <w:t xml:space="preserve">[1] </w:t>
      </w:r>
      <w:r>
        <w:rPr>
          <w:rFonts w:cs="Times New Roman"/>
          <w:color w:val="000000"/>
          <w:lang w:eastAsia="zh-CN"/>
        </w:rPr>
        <w:t>内外资共同适用的监管要求和单纯鼓励资格不计入评分。</w:t>
      </w:r>
    </w:p>
    <w:p w14:paraId="1B9A7615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限制放宽可能通过股权安排、管理权和技术投入影响企业生产，也可能改变国内企业接受外资收购、增资及面对竞争的机会。研究同时考察生产、投资、就业和控制关系，区分规模调整与所有权重组：控制权转换即使不增加总产出，也会改变外国与国内控制生产的归属。企业分析刻画这些联系，部门目标与结构模型进一步分析成本和市场反馈。</w:t>
      </w:r>
    </w:p>
    <w:p w14:paraId="0FB0B29D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A.2 </w:t>
      </w:r>
      <w:r>
        <w:rPr>
          <w:rFonts w:ascii="Times New Roman" w:eastAsia="宋体" w:hAnsi="Times New Roman" w:cs="Times New Roman"/>
          <w:lang w:eastAsia="zh-CN"/>
        </w:rPr>
        <w:t>企业资料与主要变量</w:t>
      </w:r>
    </w:p>
    <w:p w14:paraId="08C0E03E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以</w:t>
      </w:r>
      <w:r>
        <w:rPr>
          <w:rFonts w:cs="Times New Roman"/>
          <w:color w:val="000000"/>
          <w:lang w:eastAsia="zh-CN"/>
        </w:rPr>
        <w:t>2007—2020</w:t>
      </w:r>
      <w:r>
        <w:rPr>
          <w:rFonts w:cs="Times New Roman"/>
          <w:color w:val="000000"/>
          <w:lang w:eastAsia="zh-CN"/>
        </w:rPr>
        <w:t>年税调企业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年份记录为主体，以生产价值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Q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为主要结果，同时考察营业收入、投资、就业及控制关系。</w:t>
      </w:r>
      <w:r>
        <w:rPr>
          <w:rFonts w:cs="Times New Roman"/>
          <w:color w:val="000000"/>
          <w:lang w:eastAsia="zh-CN"/>
        </w:rPr>
        <w:t xml:space="preserve">[3] </w:t>
      </w:r>
      <w:r>
        <w:rPr>
          <w:rFonts w:cs="Times New Roman"/>
          <w:color w:val="000000"/>
          <w:lang w:eastAsia="zh-CN"/>
        </w:rPr>
        <w:t>生产价值与营业收入分列；商贸活动使用商贸服务产出，不把商品销售全额直接当作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生产价值。投资按固定资产增加等流量指标描述，就业按资料中的人数口径计量。</w:t>
      </w:r>
    </w:p>
    <w:p w14:paraId="6A676EA2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外国控制身份参照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超过</w:t>
      </w:r>
      <w:r>
        <w:rPr>
          <w:rFonts w:cs="Times New Roman"/>
          <w:color w:val="000000"/>
          <w:lang w:eastAsia="zh-CN"/>
        </w:rPr>
        <w:t>50%</w:t>
      </w:r>
      <w:r>
        <w:rPr>
          <w:rFonts w:cs="Times New Roman"/>
          <w:color w:val="000000"/>
          <w:lang w:eastAsia="zh-CN"/>
        </w:rPr>
        <w:t>的所有权标准，并结合控制链辨认；登记属性和直接持股代理与控制身份分列，不能辨认的保持未知。</w:t>
      </w:r>
      <w:r>
        <w:rPr>
          <w:rFonts w:cs="Times New Roman"/>
          <w:color w:val="000000"/>
          <w:lang w:eastAsia="zh-CN"/>
        </w:rPr>
        <w:t xml:space="preserve">[6] </w:t>
      </w:r>
      <w:r>
        <w:rPr>
          <w:rFonts w:cs="Times New Roman"/>
          <w:color w:val="000000"/>
          <w:lang w:eastAsia="zh-CN"/>
        </w:rPr>
        <w:t>外国与国内控制生产分别计量，按统一价值口径加总，为</w:t>
      </w:r>
      <w:r>
        <w:rPr>
          <w:rFonts w:cs="Times New Roman"/>
          <w:color w:val="000000"/>
          <w:lang w:eastAsia="zh-CN"/>
        </w:rPr>
        <w:t>A.6</w:t>
      </w:r>
      <w:r>
        <w:rPr>
          <w:rFonts w:cs="Times New Roman"/>
          <w:color w:val="000000"/>
          <w:lang w:eastAsia="zh-CN"/>
        </w:rPr>
        <w:t>的部门目标提供基础。</w:t>
      </w:r>
    </w:p>
    <w:p w14:paraId="1D0C1AF7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A.3 </w:t>
      </w:r>
      <w:r>
        <w:rPr>
          <w:rFonts w:ascii="Times New Roman" w:eastAsia="宋体" w:hAnsi="Times New Roman" w:cs="Times New Roman"/>
          <w:lang w:eastAsia="zh-CN"/>
        </w:rPr>
        <w:t>企业所受到的清单限制强度如何形成</w:t>
      </w:r>
    </w:p>
    <w:p w14:paraId="74732E99" w14:textId="4FC36B51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路径</w:t>
      </w:r>
      <w:r>
        <w:rPr>
          <w:rFonts w:cs="Times New Roman"/>
          <w:color w:val="000000"/>
          <w:lang w:eastAsia="zh-CN"/>
        </w:rPr>
        <w:t>A</w:t>
      </w:r>
      <w:r>
        <w:rPr>
          <w:rFonts w:cs="Times New Roman"/>
          <w:color w:val="000000"/>
          <w:lang w:eastAsia="zh-CN"/>
        </w:rPr>
        <w:t>从企业当期行业代码及所属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版本取得小类名称，例如</w:t>
      </w:r>
      <w:r>
        <w:rPr>
          <w:rFonts w:cs="Times New Roman"/>
          <w:color w:val="000000"/>
          <w:lang w:eastAsia="zh-CN"/>
        </w:rPr>
        <w:t>GB2002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t>H6361</w:t>
      </w:r>
      <w:r>
        <w:rPr>
          <w:rFonts w:cs="Times New Roman"/>
          <w:color w:val="000000"/>
          <w:lang w:eastAsia="zh-CN"/>
        </w:rPr>
        <w:t>对应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煤炭及制品批发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。</w:t>
      </w:r>
      <w:r>
        <w:rPr>
          <w:rFonts w:cs="Times New Roman"/>
          <w:color w:val="000000"/>
          <w:lang w:eastAsia="zh-CN"/>
        </w:rPr>
        <w:t>[4] LLM</w:t>
      </w:r>
      <w:r>
        <w:rPr>
          <w:rFonts w:cs="Times New Roman"/>
          <w:color w:val="000000"/>
          <w:lang w:eastAsia="zh-CN"/>
        </w:rPr>
        <w:t>比较该名称与有效条款所述活动，局部或全部匹配均将相应条款纳入该小类评分，再按固定格式提取限制类型及评分所需数值，由预先规定的映射表赋分。</w:t>
      </w:r>
    </w:p>
    <w:p w14:paraId="01CF9E9E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命中记录保留政策名称、版本、生效区间、条款位置及原文。同一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版本、小类名称和政策版本共用复核结果，规则不变的连续年份复用；同一小类、同一年企业取相同分数。四个维度及固定映射见表</w:t>
      </w:r>
      <w:r>
        <w:rPr>
          <w:rFonts w:cs="Times New Roman"/>
          <w:color w:val="000000"/>
          <w:lang w:eastAsia="zh-CN"/>
        </w:rPr>
        <w:t>A1</w:t>
      </w:r>
      <w:r>
        <w:rPr>
          <w:rFonts w:cs="Times New Roman"/>
          <w:color w:val="000000"/>
          <w:lang w:eastAsia="zh-CN"/>
        </w:rPr>
        <w:t>，分值和等权合成是本研究的度量约定。</w:t>
      </w:r>
      <w:r>
        <w:rPr>
          <w:rFonts w:cs="Times New Roman"/>
          <w:color w:val="000000"/>
          <w:lang w:eastAsia="zh-CN"/>
        </w:rPr>
        <w:t>[7]</w:t>
      </w:r>
    </w:p>
    <w:p w14:paraId="1504D0C5" w14:textId="77777777" w:rsidR="00E86E51" w:rsidRDefault="004902CB">
      <w:pPr>
        <w:spacing w:after="0" w:line="20" w:lineRule="exact"/>
        <w:ind w:firstLine="0"/>
      </w:pPr>
      <w:r>
        <w:rPr>
          <w:sz w:val="2"/>
        </w:rPr>
        <w:br w:type="page"/>
      </w:r>
    </w:p>
    <w:p w14:paraId="74C9BFFA" w14:textId="77777777" w:rsidR="004E1393" w:rsidRDefault="00EB4DE5">
      <w:pPr>
        <w:ind w:firstLine="0"/>
        <w:jc w:val="center"/>
        <w:rPr>
          <w:lang w:eastAsia="zh-CN"/>
        </w:rPr>
      </w:pPr>
      <w:r>
        <w:rPr>
          <w:rFonts w:cs="Times New Roman"/>
          <w:b/>
          <w:color w:val="000000"/>
          <w:sz w:val="22"/>
          <w:lang w:eastAsia="zh-CN"/>
        </w:rPr>
        <w:lastRenderedPageBreak/>
        <w:t>表</w:t>
      </w:r>
      <w:r>
        <w:rPr>
          <w:rFonts w:cs="Times New Roman"/>
          <w:b/>
          <w:color w:val="000000"/>
          <w:sz w:val="22"/>
          <w:lang w:eastAsia="zh-CN"/>
        </w:rPr>
        <w:t xml:space="preserve">A1  </w:t>
      </w:r>
      <w:r>
        <w:rPr>
          <w:rFonts w:cs="Times New Roman"/>
          <w:b/>
          <w:color w:val="000000"/>
          <w:sz w:val="22"/>
          <w:lang w:eastAsia="zh-CN"/>
        </w:rPr>
        <w:t>清单限制的基准评分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050"/>
        <w:gridCol w:w="4591"/>
      </w:tblGrid>
      <w:tr w:rsidR="004E1393" w14:paraId="2A562027" w14:textId="77777777">
        <w:trPr>
          <w:cantSplit/>
          <w:tblHeader/>
          <w:jc w:val="center"/>
        </w:trPr>
        <w:tc>
          <w:tcPr>
            <w:tcW w:w="160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AD6C351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维度及最高分</w:t>
            </w:r>
          </w:p>
        </w:tc>
        <w:tc>
          <w:tcPr>
            <w:tcW w:w="305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0FF10A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识别的法律要求</w:t>
            </w:r>
          </w:p>
        </w:tc>
        <w:tc>
          <w:tcPr>
            <w:tcW w:w="45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9ED4CA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b/>
                <w:color w:val="000000"/>
                <w:sz w:val="21"/>
              </w:rPr>
              <w:t>固定分值</w:t>
            </w:r>
          </w:p>
        </w:tc>
      </w:tr>
      <w:tr w:rsidR="004E1393" w14:paraId="24B0811B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C38AE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股权与控制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=3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7541C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外资合计持股上限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；中方控股或禁止外资控股；单一外方上限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</m:oMath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9B67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0&lt;p&lt;25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3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25≤p≤50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2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50&lt;p&lt;100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p=100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p=0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归禁入。中方控股或禁止外资控股记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2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</w:t>
            </w:r>
            <m:oMath>
              <m:r>
                <w:rPr>
                  <w:rFonts w:ascii="Cambria Math" w:hAnsi="Cambria Math" w:cs="Cambria Math"/>
                  <w:sz w:val="21"/>
                  <w:lang w:eastAsia="zh-CN"/>
                </w:rPr>
                <m:t>0&lt;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&lt;100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=100</m:t>
              </m:r>
            </m:oMath>
            <w:r>
              <w:rPr>
                <w:rFonts w:cs="Times New Roman"/>
                <w:color w:val="000000"/>
                <w:sz w:val="21"/>
                <w:lang w:eastAsia="zh-CN"/>
              </w:rPr>
              <w:t>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7ADF358F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59D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color w:val="000000"/>
                <w:sz w:val="21"/>
              </w:rPr>
              <w:t>组织形式</w:t>
            </w:r>
            <w:r>
              <w:rPr>
                <w:rFonts w:cs="Times New Roman"/>
                <w:color w:val="000000"/>
                <w:sz w:val="21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5027B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必须合资、合作或采用特定本地法人形式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F63D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，无要求记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74A9404A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6A004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治理人员</w:t>
            </w:r>
            <w:r>
              <w:rPr>
                <w:rFonts w:cs="Times New Roman"/>
                <w:color w:val="000000"/>
                <w:sz w:val="21"/>
                <w:lang w:eastAsia="zh-CN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9709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治理人员须满足国籍、居住或中方委派要求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F73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，无要求记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0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  <w:tr w:rsidR="004E1393" w14:paraId="40A29C63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45E48" w14:textId="77777777" w:rsidR="004E1393" w:rsidRDefault="00EB4DE5">
            <w:pPr>
              <w:spacing w:before="80" w:line="283" w:lineRule="auto"/>
              <w:ind w:firstLine="0"/>
            </w:pPr>
            <w:r>
              <w:rPr>
                <w:rFonts w:cs="Times New Roman"/>
                <w:color w:val="000000"/>
                <w:sz w:val="21"/>
              </w:rPr>
              <w:t>经营准入</w:t>
            </w:r>
            <w:r>
              <w:rPr>
                <w:rFonts w:cs="Times New Roman"/>
                <w:color w:val="000000"/>
                <w:sz w:val="21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</w:rPr>
                  <m:t>=1</m:t>
                </m:r>
              </m:oMath>
            </m:oMathPara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1AC53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针对外资的业务范围、数量、地域或专门许可要求</w:t>
            </w:r>
          </w:p>
        </w:tc>
        <w:tc>
          <w:tcPr>
            <w:tcW w:w="4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CC086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任一明确要求记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>
              <w:rPr>
                <w:rFonts w:cs="Times New Roman"/>
                <w:color w:val="000000"/>
                <w:sz w:val="21"/>
                <w:lang w:eastAsia="zh-CN"/>
              </w:rPr>
              <w:t>；内外资共同要求不计。</w:t>
            </w:r>
          </w:p>
        </w:tc>
      </w:tr>
      <w:tr w:rsidR="004E1393" w14:paraId="2070B4FC" w14:textId="77777777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39565549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禁入项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4012AAC2" w14:textId="77777777" w:rsidR="004E1393" w:rsidRDefault="00EB4DE5">
            <w:pPr>
              <w:spacing w:before="80" w:line="283" w:lineRule="auto"/>
              <w:ind w:firstLine="0"/>
              <w:rPr>
                <w:lang w:eastAsia="zh-CN"/>
              </w:rPr>
            </w:pPr>
            <w:r>
              <w:rPr>
                <w:rFonts w:cs="Times New Roman"/>
                <w:color w:val="000000"/>
                <w:sz w:val="21"/>
                <w:lang w:eastAsia="zh-CN"/>
              </w:rPr>
              <w:t>明确禁止外资进入匹配活动</w:t>
            </w:r>
          </w:p>
        </w:tc>
        <w:tc>
          <w:tcPr>
            <w:tcW w:w="4591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72DBB21" w14:textId="77777777" w:rsidR="004E1393" w:rsidRDefault="004902CB">
            <w:pPr>
              <w:spacing w:before="80" w:line="283" w:lineRule="auto"/>
              <w:ind w:firstLine="0"/>
              <w:rPr>
                <w:lang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lang w:eastAsia="zh-CN"/>
                    </w:rPr>
                    <m:t>gt</m:t>
                  </m:r>
                </m:sub>
              </m:sSub>
              <m:r>
                <w:rPr>
                  <w:rFonts w:ascii="Cambria Math" w:hAnsi="Cambria Math" w:cs="Cambria Math"/>
                  <w:sz w:val="21"/>
                  <w:lang w:eastAsia="zh-CN"/>
                </w:rPr>
                <m:t>=1</m:t>
              </m:r>
            </m:oMath>
            <w:r w:rsidR="00EB4DE5">
              <w:rPr>
                <w:rFonts w:cs="Times New Roman"/>
                <w:color w:val="000000"/>
                <w:sz w:val="21"/>
                <w:lang w:eastAsia="zh-CN"/>
              </w:rPr>
              <w:t>，综合强度直接置</w:t>
            </w:r>
            <w:r w:rsidR="00EB4DE5">
              <w:rPr>
                <w:rFonts w:cs="Times New Roman"/>
                <w:color w:val="000000"/>
                <w:sz w:val="21"/>
                <w:lang w:eastAsia="zh-CN"/>
              </w:rPr>
              <w:t>1</w:t>
            </w:r>
            <w:r w:rsidR="00EB4DE5">
              <w:rPr>
                <w:rFonts w:cs="Times New Roman"/>
                <w:color w:val="000000"/>
                <w:sz w:val="21"/>
                <w:lang w:eastAsia="zh-CN"/>
              </w:rPr>
              <w:t>。</w:t>
            </w:r>
          </w:p>
        </w:tc>
      </w:tr>
    </w:tbl>
    <w:p w14:paraId="1EDBF2C7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表中股比用百分数数值表示，</w:t>
      </w:r>
      <m:oMath>
        <m:r>
          <w:rPr>
            <w:rFonts w:ascii="Cambria Math" w:hAnsi="Cambria Math" w:cs="Cambria Math"/>
            <w:lang w:eastAsia="zh-CN"/>
          </w:rPr>
          <m:t>p</m:t>
        </m:r>
      </m:oMath>
      <w:r>
        <w:rPr>
          <w:rFonts w:cs="Times New Roman"/>
          <w:color w:val="000000"/>
          <w:lang w:eastAsia="zh-CN"/>
        </w:rPr>
        <w:t>为外资合计上限，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p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</m:oMath>
      <w:r>
        <w:rPr>
          <w:rFonts w:cs="Times New Roman"/>
          <w:color w:val="000000"/>
          <w:lang w:eastAsia="zh-CN"/>
        </w:rPr>
        <w:t>为单一投资者上限；单一投资者零上限不能直接解释为全部外资禁入。股比、组织形式和治理要求按明确规定分别提取，不相互推算。同一法律要求不重复计分，先确定生效、替代和例外关系，再将同一小类各维度的最严格有效要求映射为分数：</w:t>
      </w:r>
    </w:p>
    <w:p w14:paraId="76FD7DDA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s</m:t>
            </m:r>
          </m:e>
          <m:sub>
            <m:r>
              <w:rPr>
                <w:rFonts w:ascii="Cambria Math" w:hAnsi="Cambria Math" w:cs="Cambria Math"/>
                <w:sz w:val="22"/>
              </w:rPr>
              <m:t>gtd</m:t>
            </m:r>
          </m:sub>
        </m:sSub>
        <m:r>
          <w:rPr>
            <w:rFonts w:ascii="Cambria Math" w:hAnsi="Cambria Math" w:cs="Cambria Math"/>
            <w:sz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max</m:t>
            </m:r>
          </m:e>
          <m:sub>
            <m:r>
              <w:rPr>
                <w:rFonts w:ascii="Cambria Math" w:hAnsi="Cambria Math" w:cs="Cambria Math"/>
                <w:sz w:val="22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gt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a</m:t>
            </m:r>
          </m:e>
          <m:sub>
            <m:r>
              <w:rPr>
                <w:rFonts w:ascii="Cambria Math" w:hAnsi="Cambria Math" w:cs="Cambria Math"/>
                <w:sz w:val="22"/>
              </w:rPr>
              <m:t>gktd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r>
          <m:rPr>
            <m:nor/>
          </m:rPr>
          <w:rPr>
            <w:rFonts w:ascii="Cambria Math" w:hAnsi="Cambria Math" w:cs="Cambria Math"/>
            <w:sz w:val="22"/>
          </w:rPr>
          <m:t> 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1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2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3</m:t>
            </m:r>
          </m:sub>
        </m:sSub>
        <m:r>
          <w:rPr>
            <w:rFonts w:ascii="Cambria Math" w:hAnsi="Cambria Math" w:cs="Cambria Math"/>
            <w:sz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M</m:t>
            </m:r>
          </m:e>
          <m:sub>
            <m:r>
              <w:rPr>
                <w:rFonts w:ascii="Cambria Math" w:hAnsi="Cambria Math" w:cs="Cambria Math"/>
                <w:sz w:val="22"/>
              </w:rPr>
              <m:t>4</m:t>
            </m:r>
          </m:sub>
        </m:sSub>
        <m:r>
          <w:rPr>
            <w:rFonts w:ascii="Cambria Math" w:hAnsi="Cambria Math" w:cs="Cambria Math"/>
            <w:sz w:val="22"/>
          </w:rPr>
          <m:t>)=(3,1,1,1).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A1</w:t>
      </w:r>
      <w:r>
        <w:rPr>
          <w:rFonts w:cs="Times New Roman"/>
          <w:color w:val="000000"/>
          <w:lang w:eastAsia="zh-CN"/>
        </w:rPr>
        <w:t>）</w:t>
      </w:r>
    </w:p>
    <w:p w14:paraId="75D211EC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其中，</w:t>
      </w:r>
      <m:oMath>
        <m:r>
          <w:rPr>
            <w:rFonts w:ascii="Cambria Math" w:hAnsi="Cambria Math" w:cs="Cambria Math"/>
            <w:lang w:eastAsia="zh-CN"/>
          </w:rPr>
          <m:t>g</m:t>
        </m:r>
      </m:oMath>
      <w:r>
        <w:rPr>
          <w:rFonts w:cs="Times New Roman"/>
          <w:color w:val="000000"/>
          <w:lang w:eastAsia="zh-CN"/>
        </w:rPr>
        <w:t>为带</w:t>
      </w:r>
      <w:r>
        <w:rPr>
          <w:rFonts w:cs="Times New Roman"/>
          <w:color w:val="000000"/>
          <w:lang w:eastAsia="zh-CN"/>
        </w:rPr>
        <w:t>GB</w:t>
      </w:r>
      <w:r>
        <w:rPr>
          <w:rFonts w:cs="Times New Roman"/>
          <w:color w:val="000000"/>
          <w:lang w:eastAsia="zh-CN"/>
        </w:rPr>
        <w:t>版本标识的小类，</w:t>
      </w:r>
      <m:oMath>
        <m:r>
          <w:rPr>
            <w:rFonts w:ascii="Cambria Math" w:hAnsi="Cambria Math" w:cs="Cambria Math"/>
            <w:lang w:eastAsia="zh-CN"/>
          </w:rPr>
          <m:t>k</m:t>
        </m:r>
      </m:oMath>
      <w:r>
        <w:rPr>
          <w:rFonts w:cs="Times New Roman"/>
          <w:color w:val="000000"/>
          <w:lang w:eastAsia="zh-CN"/>
        </w:rPr>
        <w:t>为命中的有效要求，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a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gktd</m:t>
            </m:r>
          </m:sub>
        </m:sSub>
      </m:oMath>
      <w:r>
        <w:rPr>
          <w:rFonts w:cs="Times New Roman"/>
          <w:color w:val="000000"/>
          <w:lang w:eastAsia="zh-CN"/>
        </w:rPr>
        <w:t>是第</w:t>
      </w:r>
      <m:oMath>
        <m:r>
          <w:rPr>
            <w:rFonts w:ascii="Cambria Math" w:hAnsi="Cambria Math" w:cs="Cambria Math"/>
            <w:lang w:eastAsia="zh-CN"/>
          </w:rPr>
          <m:t>d</m:t>
        </m:r>
      </m:oMath>
      <w:r>
        <w:rPr>
          <w:rFonts w:cs="Times New Roman"/>
          <w:color w:val="000000"/>
          <w:lang w:eastAsia="zh-CN"/>
        </w:rPr>
        <w:t>维的机械映射分数，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M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d</m:t>
            </m:r>
          </m:sub>
        </m:sSub>
      </m:oMath>
      <w:r>
        <w:rPr>
          <w:rFonts w:cs="Times New Roman"/>
          <w:color w:val="000000"/>
          <w:lang w:eastAsia="zh-CN"/>
        </w:rPr>
        <w:t>为固定最高分。确认该维度没有要求时记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，不能确认时保留未知。令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B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gt</m:t>
            </m:r>
          </m:sub>
        </m:sSub>
      </m:oMath>
      <w:r>
        <w:rPr>
          <w:rFonts w:cs="Times New Roman"/>
          <w:color w:val="000000"/>
          <w:lang w:eastAsia="zh-CN"/>
        </w:rPr>
        <w:t>表示命中活动是否明确禁止外资进入，综合强度为</w:t>
      </w:r>
    </w:p>
    <w:p w14:paraId="17068326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2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sz w:val="22"/>
                <w:lang w:eastAsia="zh-CN"/>
              </w:rPr>
              <m:t>ft</m:t>
            </m:r>
          </m:sub>
        </m:sSub>
        <m:r>
          <w:rPr>
            <w:rFonts w:ascii="Cambria Math" w:hAnsi="Cambria Math" w:cs="Cambria Math"/>
            <w:sz w:val="22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1,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g(f,t),t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=1,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4</m:t>
                      </m:r>
                    </m:den>
                  </m:f>
                  <m:nary>
                    <m:naryPr>
                      <m:chr m:val="∑"/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d=1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4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g(f,t),t,d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lang w:eastAsia="zh-CN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2"/>
                          <w:lang w:eastAsia="zh-CN"/>
                        </w:rPr>
                        <m:t>g(f,t),t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=0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且四维均已知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未知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 w:val="22"/>
                      <w:lang w:eastAsia="zh-CN"/>
                    </w:rPr>
                    <m:t>其他情形</m:t>
                  </m:r>
                  <m:r>
                    <w:rPr>
                      <w:rFonts w:ascii="Cambria Math" w:hAnsi="Cambria Math" w:cs="Cambria Math"/>
                      <w:sz w:val="22"/>
                      <w:lang w:eastAsia="zh-CN"/>
                    </w:rPr>
                    <m:t>.</m:t>
                  </m:r>
                </m:e>
              </m:mr>
            </m:m>
          </m:e>
        </m:d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A2</w:t>
      </w:r>
      <w:r>
        <w:rPr>
          <w:rFonts w:cs="Times New Roman"/>
          <w:color w:val="000000"/>
          <w:lang w:eastAsia="zh-CN"/>
        </w:rPr>
        <w:t>）</w:t>
      </w:r>
    </w:p>
    <w:p w14:paraId="6FE1F862" w14:textId="77777777" w:rsidR="004E1393" w:rsidRDefault="00EB4DE5">
      <w:pPr>
        <w:rPr>
          <w:lang w:eastAsia="zh-CN"/>
        </w:rPr>
      </w:pPr>
      <m:oMath>
        <m:r>
          <w:rPr>
            <w:rFonts w:ascii="Cambria Math" w:hAnsi="Cambria Math" w:cs="Cambria Math"/>
            <w:lang w:eastAsia="zh-CN"/>
          </w:rPr>
          <m:t>g(f,t)</m:t>
        </m:r>
      </m:oMath>
      <w:r>
        <w:rPr>
          <w:rFonts w:cs="Times New Roman"/>
          <w:color w:val="000000"/>
          <w:lang w:eastAsia="zh-CN"/>
        </w:rPr>
        <w:t>为企业当期所属小类。禁入已确认则取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，其余未知不补零、不缩小分母。局部命中禁入也按最严要求处理，表示命中活动存在禁入；禁入项单列，以区分同样可得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的非禁入高分组合。辅助指标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Restrict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在确认有限制时取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，全部确认无要求时取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，其余保留未知；主要分析使用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eastAsia="zh-CN"/>
              </w:rPr>
              <m:t>Intensity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。</w:t>
      </w:r>
    </w:p>
    <w:p w14:paraId="4B02AE8D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例如，假设无禁入，外资合计股比上限为</w:t>
      </w:r>
      <w:r>
        <w:rPr>
          <w:rFonts w:cs="Times New Roman"/>
          <w:color w:val="000000"/>
          <w:lang w:eastAsia="zh-CN"/>
        </w:rPr>
        <w:t>49%</w:t>
      </w:r>
      <w:r>
        <w:rPr>
          <w:rFonts w:cs="Times New Roman"/>
          <w:color w:val="000000"/>
          <w:lang w:eastAsia="zh-CN"/>
        </w:rPr>
        <w:t>、必须合资，其余两维没有要求，则得分为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lang w:eastAsia="zh-CN"/>
              </w:rPr>
              <m:t>2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1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0</m:t>
            </m:r>
          </m:e>
          <m:e>
            <m:r>
              <w:rPr>
                <w:rFonts w:ascii="Cambria Math" w:hAnsi="Cambria Math" w:cs="Cambria Math"/>
                <w:lang w:eastAsia="zh-CN"/>
              </w:rPr>
              <m:t>0</m:t>
            </m:r>
          </m:e>
        </m:d>
      </m:oMath>
      <w:r>
        <w:rPr>
          <w:rFonts w:cs="Times New Roman"/>
          <w:color w:val="000000"/>
          <w:lang w:eastAsia="zh-CN"/>
        </w:rPr>
        <w:t>，强度为</w:t>
      </w:r>
      <m:oMath>
        <m:r>
          <w:rPr>
            <w:rFonts w:ascii="Cambria Math" w:hAnsi="Cambria Math" w:cs="Cambria Math"/>
            <w:lang w:eastAsia="zh-CN"/>
          </w:rPr>
          <m:t>(2/3+1)/4=5/12</m:t>
        </m:r>
      </m:oMath>
      <w:r>
        <w:rPr>
          <w:rFonts w:cs="Times New Roman"/>
          <w:color w:val="000000"/>
          <w:lang w:eastAsia="zh-CN"/>
        </w:rPr>
        <w:t>；上限提高至</w:t>
      </w:r>
      <w:r>
        <w:rPr>
          <w:rFonts w:cs="Times New Roman"/>
          <w:color w:val="000000"/>
          <w:lang w:eastAsia="zh-CN"/>
        </w:rPr>
        <w:t>70%</w:t>
      </w:r>
      <w:r>
        <w:rPr>
          <w:rFonts w:cs="Times New Roman"/>
          <w:color w:val="000000"/>
          <w:lang w:eastAsia="zh-CN"/>
        </w:rPr>
        <w:t>后，强度降为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 w:cs="Cambria Math"/>
                <w:lang w:eastAsia="zh-CN"/>
              </w:rPr>
              <m:t>3</m:t>
            </m:r>
          </m:den>
        </m:f>
      </m:oMath>
      <w:r>
        <w:rPr>
          <w:rFonts w:cs="Times New Roman"/>
          <w:color w:val="000000"/>
          <w:lang w:eastAsia="zh-CN"/>
        </w:rPr>
        <w:t>。实际股比继续保存，以反映分档未能捕捉的同档内变化。</w:t>
      </w:r>
    </w:p>
    <w:p w14:paraId="40EF473E" w14:textId="10A66E98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年度基准采用每年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月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日已生效的全国规则；草案不作已生效规则赋值。各年沿用同一制度定义、评分表和固定最高分。</w:t>
      </w:r>
      <w:r>
        <w:rPr>
          <w:rFonts w:cs="Times New Roman"/>
          <w:color w:val="000000"/>
          <w:lang w:eastAsia="zh-CN"/>
        </w:rPr>
        <w:t>2017</w:t>
      </w:r>
      <w:r>
        <w:rPr>
          <w:rFonts w:cs="Times New Roman"/>
          <w:color w:val="000000"/>
          <w:lang w:eastAsia="zh-CN"/>
        </w:rPr>
        <w:t>目录删除的部分措施属于内外资共同限制，条目消失本身不构成强度下降。</w:t>
      </w:r>
      <w:r>
        <w:rPr>
          <w:rFonts w:cs="Times New Roman"/>
          <w:color w:val="000000"/>
          <w:lang w:eastAsia="zh-CN"/>
        </w:rPr>
        <w:t xml:space="preserve">[2] </w:t>
      </w:r>
      <w:r>
        <w:rPr>
          <w:rFonts w:cs="Times New Roman"/>
          <w:color w:val="000000"/>
          <w:lang w:eastAsia="zh-CN"/>
        </w:rPr>
        <w:t>鼓励待遇、自贸试验区等特殊规则作为补充制度信息。</w:t>
      </w:r>
    </w:p>
    <w:p w14:paraId="368CDE34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A.4 </w:t>
      </w:r>
      <w:r>
        <w:rPr>
          <w:rFonts w:ascii="Times New Roman" w:eastAsia="宋体" w:hAnsi="Times New Roman" w:cs="Times New Roman"/>
          <w:lang w:eastAsia="zh-CN"/>
        </w:rPr>
        <w:t>从行业代码到</w:t>
      </w:r>
      <w:r>
        <w:rPr>
          <w:rFonts w:ascii="Times New Roman" w:eastAsia="宋体" w:hAnsi="Times New Roman" w:cs="Times New Roman"/>
          <w:lang w:eastAsia="zh-CN"/>
        </w:rPr>
        <w:t>AMNE</w:t>
      </w:r>
      <w:r>
        <w:rPr>
          <w:rFonts w:ascii="Times New Roman" w:eastAsia="宋体" w:hAnsi="Times New Roman" w:cs="Times New Roman"/>
          <w:lang w:eastAsia="zh-CN"/>
        </w:rPr>
        <w:t>部门及模型部门</w:t>
      </w:r>
    </w:p>
    <w:p w14:paraId="55355212" w14:textId="733BD588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路径</w:t>
      </w:r>
      <w:r>
        <w:rPr>
          <w:rFonts w:cs="Times New Roman"/>
          <w:color w:val="000000"/>
          <w:lang w:eastAsia="zh-CN"/>
        </w:rPr>
        <w:t>B</w:t>
      </w:r>
      <w:r>
        <w:rPr>
          <w:rFonts w:cs="Times New Roman"/>
          <w:color w:val="000000"/>
          <w:lang w:eastAsia="zh-CN"/>
        </w:rPr>
        <w:t>从企业当期行业代码确定生产归属：</w:t>
      </w:r>
      <w:r>
        <w:rPr>
          <w:rFonts w:cs="Times New Roman"/>
          <w:color w:val="000000"/>
          <w:lang w:eastAsia="zh-CN"/>
        </w:rPr>
        <w:t>GB2002</w:t>
      </w:r>
      <w:r>
        <w:rPr>
          <w:rFonts w:cs="Times New Roman"/>
          <w:color w:val="000000"/>
          <w:lang w:eastAsia="zh-CN"/>
        </w:rPr>
        <w:t>经</w:t>
      </w:r>
      <w:r>
        <w:rPr>
          <w:rFonts w:cs="Times New Roman"/>
          <w:color w:val="000000"/>
          <w:lang w:eastAsia="zh-CN"/>
        </w:rPr>
        <w:t>GB2002—GB2011</w:t>
      </w:r>
      <w:r>
        <w:rPr>
          <w:rFonts w:cs="Times New Roman"/>
          <w:color w:val="000000"/>
          <w:lang w:eastAsia="zh-CN"/>
        </w:rPr>
        <w:t>对照表转到</w:t>
      </w:r>
      <w:r>
        <w:rPr>
          <w:rFonts w:cs="Times New Roman"/>
          <w:color w:val="000000"/>
          <w:lang w:eastAsia="zh-CN"/>
        </w:rPr>
        <w:t>GB2011</w:t>
      </w:r>
      <w:r>
        <w:rPr>
          <w:rFonts w:cs="Times New Roman"/>
          <w:color w:val="000000"/>
          <w:lang w:eastAsia="zh-CN"/>
        </w:rPr>
        <w:t>，再经</w:t>
      </w:r>
      <w:r>
        <w:rPr>
          <w:rFonts w:cs="Times New Roman"/>
          <w:color w:val="000000"/>
          <w:lang w:eastAsia="zh-CN"/>
        </w:rPr>
        <w:t>GB2017</w:t>
      </w:r>
      <w:r>
        <w:rPr>
          <w:rFonts w:cs="Times New Roman"/>
          <w:color w:val="000000"/>
          <w:lang w:eastAsia="zh-CN"/>
        </w:rPr>
        <w:t>附录</w:t>
      </w:r>
      <w:r>
        <w:rPr>
          <w:rFonts w:cs="Times New Roman"/>
          <w:color w:val="000000"/>
          <w:lang w:eastAsia="zh-CN"/>
        </w:rPr>
        <w:t>B</w:t>
      </w:r>
      <w:r>
        <w:rPr>
          <w:rFonts w:cs="Times New Roman"/>
          <w:color w:val="000000"/>
          <w:lang w:eastAsia="zh-CN"/>
        </w:rPr>
        <w:t>衔接到</w:t>
      </w:r>
      <w:r>
        <w:rPr>
          <w:rFonts w:cs="Times New Roman"/>
          <w:color w:val="000000"/>
          <w:lang w:eastAsia="zh-CN"/>
        </w:rPr>
        <w:t>GB2017</w:t>
      </w:r>
      <w:r>
        <w:rPr>
          <w:rFonts w:cs="Times New Roman"/>
          <w:color w:val="000000"/>
          <w:lang w:eastAsia="zh-CN"/>
        </w:rPr>
        <w:t>；随后经附录</w:t>
      </w:r>
      <w:r>
        <w:rPr>
          <w:rFonts w:cs="Times New Roman"/>
          <w:color w:val="000000"/>
          <w:lang w:eastAsia="zh-CN"/>
        </w:rPr>
        <w:t>C</w:t>
      </w:r>
      <w:r>
        <w:rPr>
          <w:rFonts w:cs="Times New Roman"/>
          <w:color w:val="000000"/>
          <w:lang w:eastAsia="zh-CN"/>
        </w:rPr>
        <w:t>对应</w:t>
      </w:r>
      <w:r>
        <w:rPr>
          <w:rFonts w:cs="Times New Roman"/>
          <w:color w:val="000000"/>
          <w:lang w:eastAsia="zh-CN"/>
        </w:rPr>
        <w:t>ISIC Rev.4</w:t>
      </w:r>
      <w:r>
        <w:rPr>
          <w:rFonts w:cs="Times New Roman"/>
          <w:color w:val="000000"/>
          <w:lang w:eastAsia="zh-CN"/>
        </w:rPr>
        <w:t>，按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发布版的</w:t>
      </w:r>
      <w:r>
        <w:rPr>
          <w:rFonts w:cs="Times New Roman"/>
          <w:color w:val="000000"/>
          <w:lang w:eastAsia="zh-CN"/>
        </w:rPr>
        <w:t>ISIC</w:t>
      </w:r>
      <w:r>
        <w:rPr>
          <w:rFonts w:cs="Times New Roman"/>
          <w:color w:val="000000"/>
          <w:lang w:eastAsia="zh-CN"/>
        </w:rPr>
        <w:t>范围归类并聚合到模型部门。</w:t>
      </w:r>
      <w:r>
        <w:rPr>
          <w:rFonts w:cs="Times New Roman"/>
          <w:color w:val="000000"/>
          <w:lang w:eastAsia="zh-CN"/>
        </w:rPr>
        <w:t xml:space="preserve">[4,5,6] </w:t>
      </w:r>
      <w:r>
        <w:rPr>
          <w:rFonts w:cs="Times New Roman"/>
          <w:color w:val="000000"/>
          <w:lang w:eastAsia="zh-CN"/>
        </w:rPr>
        <w:t>一对多转换保留合理候选及部分转入关系；候选在某一部门层级汇合时确定该层级归属，跨部门且无法区分时保持未知。该部门标识与路径</w:t>
      </w:r>
      <w:r>
        <w:rPr>
          <w:rFonts w:cs="Times New Roman"/>
          <w:color w:val="000000"/>
          <w:lang w:eastAsia="zh-CN"/>
        </w:rPr>
        <w:t>A</w:t>
      </w:r>
      <w:r>
        <w:rPr>
          <w:rFonts w:cs="Times New Roman"/>
          <w:color w:val="000000"/>
          <w:lang w:eastAsia="zh-CN"/>
        </w:rPr>
        <w:t>的强度在企业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年份记录中连接。</w:t>
      </w:r>
    </w:p>
    <w:p w14:paraId="799A6CEE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A.5 </w:t>
      </w:r>
      <w:r>
        <w:rPr>
          <w:rFonts w:ascii="Times New Roman" w:eastAsia="宋体" w:hAnsi="Times New Roman" w:cs="Times New Roman"/>
          <w:lang w:eastAsia="zh-CN"/>
        </w:rPr>
        <w:t>清单限制强度与企业经营表现</w:t>
      </w:r>
    </w:p>
    <w:p w14:paraId="3451D1FC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生产价值采用</w:t>
      </w:r>
      <w:r>
        <w:rPr>
          <w:rFonts w:cs="Times New Roman"/>
          <w:color w:val="000000"/>
          <w:lang w:eastAsia="zh-CN"/>
        </w:rPr>
        <w:t>PPML</w:t>
      </w:r>
      <w:r>
        <w:rPr>
          <w:rFonts w:cs="Times New Roman"/>
          <w:color w:val="000000"/>
          <w:lang w:eastAsia="zh-CN"/>
        </w:rPr>
        <w:t>条件均值模型，</w:t>
      </w:r>
      <m:oMath>
        <m:r>
          <w:rPr>
            <w:rFonts w:ascii="Cambria Math" w:hAnsi="Cambria Math" w:cs="Cambria Math"/>
            <w:lang w:eastAsia="zh-CN"/>
          </w:rPr>
          <m:t>f</m:t>
        </m:r>
      </m:oMath>
      <w:r>
        <w:rPr>
          <w:rFonts w:cs="Times New Roman"/>
          <w:color w:val="000000"/>
          <w:lang w:eastAsia="zh-CN"/>
        </w:rPr>
        <w:t>表示企业，</w:t>
      </w:r>
      <m:oMath>
        <m:r>
          <w:rPr>
            <w:rFonts w:ascii="Cambria Math" w:hAnsi="Cambria Math" w:cs="Cambria Math"/>
            <w:lang w:eastAsia="zh-CN"/>
          </w:rPr>
          <m:t>t</m:t>
        </m:r>
      </m:oMath>
      <w:r>
        <w:rPr>
          <w:rFonts w:cs="Times New Roman"/>
          <w:color w:val="000000"/>
          <w:lang w:eastAsia="zh-CN"/>
        </w:rPr>
        <w:t>表示年份，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X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ft</m:t>
            </m:r>
          </m:sub>
        </m:sSub>
      </m:oMath>
      <w:r>
        <w:rPr>
          <w:rFonts w:cs="Times New Roman"/>
          <w:color w:val="000000"/>
          <w:lang w:eastAsia="zh-CN"/>
        </w:rPr>
        <w:t>为控制变量：</w:t>
      </w:r>
      <w:r>
        <w:rPr>
          <w:rFonts w:cs="Times New Roman"/>
          <w:color w:val="000000"/>
          <w:lang w:eastAsia="zh-CN"/>
        </w:rPr>
        <w:t>[8]</w:t>
      </w:r>
    </w:p>
    <w:p w14:paraId="41F17D33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r>
          <w:rPr>
            <w:rFonts w:ascii="Cambria Math" w:hAnsi="Cambria Math" w:cs="Cambria Math"/>
            <w:sz w:val="22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Q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Z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]=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α</m:t>
            </m:r>
          </m:e>
          <m:sub>
            <m:r>
              <w:rPr>
                <w:rFonts w:ascii="Cambria Math" w:hAnsi="Cambria Math" w:cs="Cambria Math"/>
                <w:sz w:val="22"/>
              </w:rPr>
              <m:t>f</m:t>
            </m:r>
          </m:sub>
        </m:sSub>
        <m:r>
          <w:rPr>
            <w:rFonts w:ascii="Cambria Math" w:hAnsi="Cambria Math" w:cs="Cambria Math"/>
            <w:sz w:val="22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λ</m:t>
            </m:r>
          </m:e>
          <m:sub>
            <m:r>
              <w:rPr>
                <w:rFonts w:ascii="Cambria Math" w:hAnsi="Cambria Math" w:cs="Cambria Math"/>
                <w:sz w:val="22"/>
              </w:rPr>
              <m:t>t</m:t>
            </m:r>
          </m:sub>
        </m:sSub>
        <m:r>
          <w:rPr>
            <w:rFonts w:ascii="Cambria Math" w:hAnsi="Cambria Math" w:cs="Cambria Math"/>
            <w:sz w:val="22"/>
          </w:rPr>
          <m:t>+β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Intensity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</m:sSub>
        <m:r>
          <w:rPr>
            <w:rFonts w:ascii="Cambria Math" w:hAnsi="Cambria Math" w:cs="Cambria Math"/>
            <w:sz w:val="22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2"/>
              </w:rPr>
              <m:t>X</m:t>
            </m:r>
          </m:e>
          <m:sub>
            <m:r>
              <w:rPr>
                <w:rFonts w:ascii="Cambria Math" w:hAnsi="Cambria Math" w:cs="Cambria Math"/>
                <w:sz w:val="22"/>
              </w:rPr>
              <m:t>ft</m:t>
            </m:r>
          </m:sub>
          <m:sup>
            <m:r>
              <w:rPr>
                <w:rFonts w:ascii="Cambria Math" w:hAnsi="Cambria Math" w:cs="Cambria Math"/>
                <w:sz w:val="22"/>
              </w:rPr>
              <m:t>'</m:t>
            </m:r>
          </m:sup>
        </m:sSubSup>
        <m:r>
          <w:rPr>
            <w:rFonts w:ascii="Cambria Math" w:hAnsi="Cambria Math" w:cs="Cambria Math"/>
            <w:sz w:val="22"/>
          </w:rPr>
          <m:t>γ).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A3</w:t>
      </w:r>
      <w:r>
        <w:rPr>
          <w:rFonts w:cs="Times New Roman"/>
          <w:color w:val="000000"/>
          <w:lang w:eastAsia="zh-CN"/>
        </w:rPr>
        <w:t>）</w:t>
      </w:r>
    </w:p>
    <w:p w14:paraId="685CE065" w14:textId="3C8D7B40" w:rsidR="004E1393" w:rsidRDefault="004902CB">
      <w:p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α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f</m:t>
            </m:r>
          </m:sub>
        </m:sSub>
      </m:oMath>
      <w:r w:rsidR="00EB4DE5">
        <w:rPr>
          <w:rFonts w:cs="Times New Roman"/>
          <w:color w:val="000000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λ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t</m:t>
            </m:r>
          </m:sub>
        </m:sSub>
      </m:oMath>
      <w:r w:rsidR="00EB4DE5">
        <w:rPr>
          <w:rFonts w:cs="Times New Roman"/>
          <w:color w:val="000000"/>
          <w:lang w:eastAsia="zh-CN"/>
        </w:rPr>
        <w:t>分别为企业与年份固定效应，比较来自控制稳定企业特征和共同年度环境后的强度差异。强度增加</w:t>
      </w:r>
      <w:r w:rsidR="00EB4DE5">
        <w:rPr>
          <w:rFonts w:cs="Times New Roman"/>
          <w:color w:val="000000"/>
          <w:lang w:eastAsia="zh-CN"/>
        </w:rPr>
        <w:t>0.1</w:t>
      </w:r>
      <w:r w:rsidR="00EB4DE5">
        <w:rPr>
          <w:rFonts w:cs="Times New Roman"/>
          <w:color w:val="000000"/>
          <w:lang w:eastAsia="zh-CN"/>
        </w:rPr>
        <w:t>个指数单位，条件生产均值的比例变化为</w:t>
      </w:r>
      <m:oMath>
        <m:sSup>
          <m:sSupPr>
            <m:ctrlPr>
              <w:rPr>
                <w:rFonts w:ascii="Cambria Math" w:hAnsi="Cambria Math" w:cs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 w:cs="Cambria Math"/>
                <w:lang w:eastAsia="zh-CN"/>
              </w:rPr>
              <m:t>e</m:t>
            </m:r>
          </m:e>
          <m:sup>
            <m:r>
              <w:rPr>
                <w:rFonts w:ascii="Cambria Math" w:hAnsi="Cambria Math" w:cs="Cambria Math"/>
                <w:lang w:eastAsia="zh-CN"/>
              </w:rPr>
              <m:t>0.1β</m:t>
            </m:r>
          </m:sup>
        </m:sSup>
        <m:r>
          <w:rPr>
            <w:rFonts w:ascii="Cambria Math" w:hAnsi="Cambria Math" w:cs="Cambria Math"/>
            <w:lang w:eastAsia="zh-CN"/>
          </w:rPr>
          <m:t>-1</m:t>
        </m:r>
      </m:oMath>
      <w:r w:rsidR="00EB4DE5">
        <w:rPr>
          <w:rFonts w:cs="Times New Roman"/>
          <w:color w:val="000000"/>
          <w:lang w:eastAsia="zh-CN"/>
        </w:rPr>
        <w:t>。完整的当期</w:t>
      </w:r>
      <w:r w:rsidR="00EB4DE5">
        <w:rPr>
          <w:rFonts w:cs="Times New Roman"/>
          <w:color w:val="000000"/>
          <w:lang w:eastAsia="zh-CN"/>
        </w:rPr>
        <w:t>GB</w:t>
      </w:r>
      <w:r w:rsidR="00EB4DE5">
        <w:rPr>
          <w:rFonts w:cs="Times New Roman"/>
          <w:color w:val="000000"/>
          <w:lang w:eastAsia="zh-CN"/>
        </w:rPr>
        <w:t>小类</w:t>
      </w:r>
      <w:r w:rsidR="00EB4DE5">
        <w:rPr>
          <w:rFonts w:cs="Times New Roman"/>
          <w:color w:val="000000"/>
          <w:lang w:eastAsia="zh-CN"/>
        </w:rPr>
        <w:t>×</w:t>
      </w:r>
      <w:r w:rsidR="00EB4DE5">
        <w:rPr>
          <w:rFonts w:cs="Times New Roman"/>
          <w:color w:val="000000"/>
          <w:lang w:eastAsia="zh-CN"/>
        </w:rPr>
        <w:t>年份固定效应会吸收该变量，扩展规格采用较宽行业组与地区年度控制，并考察滞后联系及观察起点控制类型的异质性。投资、就业和控制关系按各自变量性质分别估计。</w:t>
      </w:r>
    </w:p>
    <w:p w14:paraId="432423D9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A.6 </w:t>
      </w:r>
      <w:r>
        <w:rPr>
          <w:rFonts w:ascii="Times New Roman" w:eastAsia="宋体" w:hAnsi="Times New Roman" w:cs="Times New Roman"/>
          <w:lang w:eastAsia="zh-CN"/>
        </w:rPr>
        <w:t>两种限制情景与部门生产目标</w:t>
      </w:r>
    </w:p>
    <w:p w14:paraId="5C800D94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在同一基准年份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lang w:eastAsia="zh-CN"/>
              </w:rPr>
              <m:t>t</m:t>
            </m:r>
          </m:e>
          <m:sup>
            <m:r>
              <w:rPr>
                <w:rFonts w:ascii="Cambria Math" w:hAnsi="Cambria Math" w:cs="Cambria Math"/>
                <w:lang w:eastAsia="zh-CN"/>
              </w:rPr>
              <m:t>*</m:t>
            </m:r>
          </m:sup>
        </m:sSup>
      </m:oMath>
      <w:r>
        <w:rPr>
          <w:rFonts w:cs="Times New Roman"/>
          <w:color w:val="000000"/>
          <w:lang w:eastAsia="zh-CN"/>
        </w:rPr>
        <w:t>，情景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保留实际清单限制，情景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取消纳入比较的限制，将强度已知且可以预测的记录设为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。分别以外国与国内控制生产为结果，沿用</w:t>
      </w:r>
      <w:r>
        <w:rPr>
          <w:rFonts w:cs="Times New Roman"/>
          <w:color w:val="000000"/>
          <w:lang w:eastAsia="zh-CN"/>
        </w:rPr>
        <w:t>A.5</w:t>
      </w:r>
      <w:r>
        <w:rPr>
          <w:rFonts w:cs="Times New Roman"/>
          <w:color w:val="000000"/>
          <w:lang w:eastAsia="zh-CN"/>
        </w:rPr>
        <w:t>的模型估计；预测时保留各式的系数、固定效应、控制变量、企业集合和行业归属，只替换强度。</w:t>
      </w:r>
    </w:p>
    <w:p w14:paraId="3795C720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两类预测沿路径</w:t>
      </w:r>
      <w:r>
        <w:rPr>
          <w:rFonts w:cs="Times New Roman"/>
          <w:color w:val="000000"/>
          <w:lang w:eastAsia="zh-CN"/>
        </w:rPr>
        <w:t>B</w:t>
      </w:r>
      <w:r>
        <w:rPr>
          <w:rFonts w:cs="Times New Roman"/>
          <w:color w:val="000000"/>
          <w:lang w:eastAsia="zh-CN"/>
        </w:rPr>
        <w:t>归入模型部门，以调查扩展权重分别加总预测生产价值，形成两种情景下的外国生产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lang w:eastAsia="zh-CN"/>
              </w:rPr>
              <m:t>F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j,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eastAsia="zh-CN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lang w:eastAsia="zh-CN"/>
                  </w:rPr>
                  <m:t>*</m:t>
                </m:r>
              </m:sup>
            </m:sSup>
          </m:sub>
          <m:sup>
            <m:r>
              <w:rPr>
                <w:rFonts w:ascii="Cambria Math" w:hAnsi="Cambria Math" w:cs="Cambria Math"/>
                <w:lang w:eastAsia="zh-CN"/>
              </w:rPr>
              <m:t>a</m:t>
            </m:r>
          </m:sup>
        </m:sSubSup>
      </m:oMath>
      <w:r>
        <w:rPr>
          <w:rFonts w:cs="Times New Roman"/>
          <w:color w:val="000000"/>
          <w:lang w:eastAsia="zh-CN"/>
        </w:rPr>
        <w:t>与国内生产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lang w:eastAsia="zh-CN"/>
              </w:rPr>
              <m:t>D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j,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eastAsia="zh-CN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lang w:eastAsia="zh-CN"/>
                  </w:rPr>
                  <m:t>*</m:t>
                </m:r>
              </m:sup>
            </m:sSup>
          </m:sub>
          <m:sup>
            <m:r>
              <w:rPr>
                <w:rFonts w:ascii="Cambria Math" w:hAnsi="Cambria Math" w:cs="Cambria Math"/>
                <w:lang w:eastAsia="zh-CN"/>
              </w:rPr>
              <m:t>a</m:t>
            </m:r>
          </m:sup>
        </m:sSubSup>
      </m:oMath>
      <w:r>
        <w:rPr>
          <w:rFonts w:cs="Times New Roman"/>
          <w:color w:val="000000"/>
          <w:lang w:eastAsia="zh-CN"/>
        </w:rPr>
        <w:t>，</w:t>
      </w:r>
      <m:oMath>
        <m:r>
          <w:rPr>
            <w:rFonts w:ascii="Cambria Math" w:hAnsi="Cambria Math" w:cs="Cambria Math"/>
            <w:lang w:eastAsia="zh-CN"/>
          </w:rPr>
          <m:t>a=0,1</m:t>
        </m:r>
      </m:oMath>
      <w:r>
        <w:rPr>
          <w:rFonts w:cs="Times New Roman"/>
          <w:color w:val="000000"/>
          <w:lang w:eastAsia="zh-CN"/>
        </w:rPr>
        <w:t>。未使用扩展权重时，加总对应调查覆盖样本。企业、</w:t>
      </w:r>
      <w:r>
        <w:rPr>
          <w:rFonts w:cs="Times New Roman"/>
          <w:color w:val="000000"/>
          <w:lang w:eastAsia="zh-CN"/>
        </w:rPr>
        <w:t>AMNE</w:t>
      </w:r>
      <w:r>
        <w:rPr>
          <w:rFonts w:cs="Times New Roman"/>
          <w:color w:val="000000"/>
          <w:lang w:eastAsia="zh-CN"/>
        </w:rPr>
        <w:t>和模型采用一致的生产者价值与控制口径，避免将样本预测直接当作完整部门总体。</w:t>
      </w:r>
    </w:p>
    <w:p w14:paraId="0804E0BC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调查外、强度未知和其他无法预测的生产单独补充，不填零或重复加总。把未覆盖生产在两种情景中保持实际值，意味着假定其不随限制变化而反应；这一假设与样本覆盖共同决定部门目标的范围。外国与国内方程各自可预测的范围可以不同，但补充后分别对应同一部门总体。</w:t>
      </w:r>
    </w:p>
    <w:p w14:paraId="3E2E3210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模型部门目标采用两种情景的外国控制生产份额差：</w:t>
      </w:r>
    </w:p>
    <w:p w14:paraId="0D435846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μ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  <m:r>
              <w:rPr>
                <w:rFonts w:ascii="Cambria Math" w:hAnsi="Cambria Math" w:cs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1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  <m:r>
              <w:rPr>
                <w:rFonts w:ascii="Cambria Math" w:hAnsi="Cambria Math" w:cs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2"/>
                      </w:rPr>
                      <m:t>*</m:t>
                    </m:r>
                  </m:sup>
                </m:sSup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0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A4</w:t>
      </w:r>
      <w:r>
        <w:rPr>
          <w:rFonts w:cs="Times New Roman"/>
          <w:color w:val="000000"/>
          <w:lang w:eastAsia="zh-CN"/>
        </w:rPr>
        <w:t>）</w:t>
      </w:r>
    </w:p>
    <w:p w14:paraId="6B9E1B57" w14:textId="77777777" w:rsidR="004E1393" w:rsidRDefault="00EB4DE5">
      <w:pPr>
        <w:rPr>
          <w:lang w:eastAsia="zh-CN"/>
        </w:rPr>
      </w:pPr>
      <m:oMath>
        <m:r>
          <w:rPr>
            <w:rFonts w:ascii="Cambria Math" w:hAnsi="Cambria Math" w:cs="Cambria Math"/>
            <w:lang w:eastAsia="zh-CN"/>
          </w:rPr>
          <m:t>100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μ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>以百分点计量，同时保留外国、国内及总生产变化，辨认规模与控制归属调整。该情景沿用关联模型的条件解释，未自动包含企业迁移、新进入和价格反馈。滞后规格分别输入两种情景的完整强度路径；补充比较旧规则与后续规则时，情景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采用旧规则、情景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采用后续规则，在同一经济状态和行业归属下按同一评分表重新计算。</w:t>
      </w:r>
    </w:p>
    <w:p w14:paraId="2B8BD55D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A.7 MP</w:t>
      </w:r>
      <w:r>
        <w:rPr>
          <w:rFonts w:ascii="Times New Roman" w:eastAsia="宋体" w:hAnsi="Times New Roman" w:cs="Times New Roman"/>
          <w:lang w:eastAsia="zh-CN"/>
        </w:rPr>
        <w:t>成本反演与一般均衡反事实</w:t>
      </w:r>
    </w:p>
    <w:p w14:paraId="2E8514E5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结构分析沿用跨国生产、贸易和投入产出模型。</w:t>
      </w:r>
      <w:r>
        <w:rPr>
          <w:rFonts w:cs="Times New Roman"/>
          <w:color w:val="000000"/>
          <w:lang w:eastAsia="zh-CN"/>
        </w:rPr>
        <w:t xml:space="preserve">[10] </w:t>
      </w:r>
      <w:r>
        <w:rPr>
          <w:rFonts w:cs="Times New Roman"/>
          <w:color w:val="000000"/>
          <w:lang w:eastAsia="zh-CN"/>
        </w:rPr>
        <w:t>以</w:t>
      </w:r>
      <m:oMath>
        <m:r>
          <w:rPr>
            <w:rFonts w:ascii="Cambria Math" w:hAnsi="Cambria Math" w:cs="Cambria Math"/>
            <w:lang w:eastAsia="zh-CN"/>
          </w:rPr>
          <m:t>i</m:t>
        </m:r>
      </m:oMath>
      <w:r>
        <w:rPr>
          <w:rFonts w:cs="Times New Roman"/>
          <w:color w:val="000000"/>
          <w:lang w:eastAsia="zh-CN"/>
        </w:rPr>
        <w:t>表示生产国、</w:t>
      </w:r>
      <m:oMath>
        <m:r>
          <w:rPr>
            <w:rFonts w:ascii="Cambria Math" w:hAnsi="Cambria Math" w:cs="Cambria Math"/>
            <w:lang w:eastAsia="zh-CN"/>
          </w:rPr>
          <m:t>m</m:t>
        </m:r>
      </m:oMath>
      <w:r>
        <w:rPr>
          <w:rFonts w:cs="Times New Roman"/>
          <w:color w:val="000000"/>
          <w:lang w:eastAsia="zh-CN"/>
        </w:rPr>
        <w:t>表示企业母国、</w:t>
      </w:r>
      <m:oMath>
        <m:r>
          <w:rPr>
            <w:rFonts w:ascii="Cambria Math" w:hAnsi="Cambria Math" w:cs="Cambria Math"/>
            <w:lang w:eastAsia="zh-CN"/>
          </w:rPr>
          <m:t>j</m:t>
        </m:r>
      </m:oMath>
      <w:r>
        <w:rPr>
          <w:rFonts w:cs="Times New Roman"/>
          <w:color w:val="000000"/>
          <w:lang w:eastAsia="zh-CN"/>
        </w:rPr>
        <w:t>表示部门，</w:t>
      </w:r>
      <m:oMath>
        <m:r>
          <w:rPr>
            <w:rFonts w:ascii="Cambria Math" w:hAnsi="Cambria Math" w:cs="Cambria Math"/>
            <w:lang w:eastAsia="zh-CN"/>
          </w:rPr>
          <m:t>C</m:t>
        </m:r>
      </m:oMath>
      <w:r>
        <w:rPr>
          <w:rFonts w:cs="Times New Roman"/>
          <w:color w:val="000000"/>
          <w:lang w:eastAsia="zh-CN"/>
        </w:rPr>
        <w:t>表示中国，</w:t>
      </w:r>
      <w:r>
        <w:rPr>
          <w:rFonts w:cs="Times New Roman"/>
          <w:color w:val="000000"/>
          <w:lang w:eastAsia="zh-CN"/>
        </w:rPr>
        <w:t>MP</w:t>
      </w:r>
      <w:r>
        <w:rPr>
          <w:rFonts w:cs="Times New Roman"/>
          <w:color w:val="000000"/>
          <w:lang w:eastAsia="zh-CN"/>
        </w:rPr>
        <w:t>效率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lang w:eastAsia="zh-CN"/>
              </w:rPr>
              <m:t>ξ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im</m:t>
            </m:r>
          </m:sub>
          <m:sup>
            <m:r>
              <w:rPr>
                <w:rFonts w:ascii="Cambria Math" w:hAnsi="Cambria Math" w:cs="Cambria Math"/>
                <w:lang w:eastAsia="zh-CN"/>
              </w:rPr>
              <m:t>j</m:t>
            </m:r>
          </m:sup>
        </m:sSubSup>
      </m:oMath>
      <w:r>
        <w:rPr>
          <w:rFonts w:cs="Times New Roman"/>
          <w:color w:val="000000"/>
          <w:lang w:eastAsia="zh-CN"/>
        </w:rPr>
        <w:t>与单位成本乘数的关系为</w:t>
      </w:r>
    </w:p>
    <w:p w14:paraId="427F734D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2"/>
              </w:rPr>
              <m:t>d</m:t>
            </m:r>
          </m:e>
          <m:sub>
            <m:r>
              <w:rPr>
                <w:rFonts w:ascii="Cambria Math" w:hAnsi="Cambria Math" w:cs="Cambria Math"/>
                <w:sz w:val="22"/>
              </w:rPr>
              <m:t>im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MP</m:t>
            </m:r>
            <m:r>
              <w:rPr>
                <w:rFonts w:ascii="Cambria Math" w:hAnsi="Cambria Math" w:cs="Cambria Math"/>
                <w:sz w:val="22"/>
              </w:rPr>
              <m:t>,j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2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2"/>
                  </w:rPr>
                  <m:t>ξ</m:t>
                </m:r>
              </m:e>
              <m:sub>
                <m:r>
                  <w:rPr>
                    <w:rFonts w:ascii="Cambria Math" w:hAnsi="Cambria Math" w:cs="Cambria Math"/>
                    <w:sz w:val="22"/>
                  </w:rPr>
                  <m:t>im</m:t>
                </m:r>
              </m:sub>
              <m:sup>
                <m:r>
                  <w:rPr>
                    <w:rFonts w:ascii="Cambria Math" w:hAnsi="Cambria Math" w:cs="Cambria Math"/>
                    <w:sz w:val="22"/>
                  </w:rPr>
                  <m:t>j</m:t>
                </m:r>
              </m:sup>
            </m:sSubSup>
          </m:den>
        </m:f>
        <m:r>
          <w:rPr>
            <w:rFonts w:ascii="Cambria Math" w:hAnsi="Cambria Math" w:cs="Cambria Math"/>
            <w:sz w:val="22"/>
          </w:rPr>
          <m:t>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A5</w:t>
      </w:r>
      <w:r>
        <w:rPr>
          <w:rFonts w:cs="Times New Roman"/>
          <w:color w:val="000000"/>
          <w:lang w:eastAsia="zh-CN"/>
        </w:rPr>
        <w:t>）</w:t>
      </w:r>
    </w:p>
    <w:p w14:paraId="2E773035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取消限制比较以实际基准经济为情景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；历史比较中，实际对应后续规则情景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时，反向恢复旧规则情景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。调整外国企业在华各部门的</w:t>
      </w:r>
      <w:r>
        <w:rPr>
          <w:rFonts w:cs="Times New Roman"/>
          <w:color w:val="000000"/>
          <w:lang w:eastAsia="zh-CN"/>
        </w:rPr>
        <w:t>MP</w:t>
      </w:r>
      <w:r>
        <w:rPr>
          <w:rFonts w:cs="Times New Roman"/>
          <w:color w:val="000000"/>
          <w:lang w:eastAsia="zh-CN"/>
        </w:rPr>
        <w:t>成本，使模型生成的外国生产份额变化拟合式（</w:t>
      </w:r>
      <w:r>
        <w:rPr>
          <w:rFonts w:cs="Times New Roman"/>
          <w:color w:val="000000"/>
          <w:lang w:eastAsia="zh-CN"/>
        </w:rPr>
        <w:t>A4</w:t>
      </w:r>
      <w:r>
        <w:rPr>
          <w:rFonts w:cs="Times New Roman"/>
          <w:color w:val="000000"/>
          <w:lang w:eastAsia="zh-CN"/>
        </w:rPr>
        <w:t>）的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μ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>：给定候选成本变化，模型生成生产结果，按与经验目标一致的控制定义和计价口径加总，再比较份额差并调整成本。外国合计目标对应部门内各外国母国的共同成本变化。</w:t>
      </w:r>
    </w:p>
    <w:p w14:paraId="2D8135ED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δ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j</m:t>
            </m:r>
          </m:sub>
        </m:sSub>
      </m:oMath>
      <w:r>
        <w:rPr>
          <w:rFonts w:cs="Times New Roman"/>
          <w:color w:val="000000"/>
          <w:lang w:eastAsia="zh-CN"/>
        </w:rPr>
        <w:t>为情景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相对于情景</w:t>
      </w:r>
      <w:r>
        <w:rPr>
          <w:rFonts w:cs="Times New Roman"/>
          <w:color w:val="000000"/>
          <w:lang w:eastAsia="zh-CN"/>
        </w:rPr>
        <w:t>0</w:t>
      </w:r>
      <w:r>
        <w:rPr>
          <w:rFonts w:cs="Times New Roman"/>
          <w:color w:val="000000"/>
          <w:lang w:eastAsia="zh-CN"/>
        </w:rPr>
        <w:t>的部门</w:t>
      </w:r>
      <w:r>
        <w:rPr>
          <w:rFonts w:cs="Times New Roman"/>
          <w:color w:val="000000"/>
          <w:lang w:eastAsia="zh-CN"/>
        </w:rPr>
        <w:t>MP</w:t>
      </w:r>
      <w:r>
        <w:rPr>
          <w:rFonts w:cs="Times New Roman"/>
          <w:color w:val="000000"/>
          <w:lang w:eastAsia="zh-CN"/>
        </w:rPr>
        <w:t>成本对数变化，成本与效率的变化倍数分别为</w:t>
      </w:r>
    </w:p>
    <w:p w14:paraId="50FE8250" w14:textId="77777777" w:rsidR="004E1393" w:rsidRDefault="00EB4DE5">
      <w:pPr>
        <w:tabs>
          <w:tab w:val="center" w:pos="4309"/>
          <w:tab w:val="right" w:pos="9241"/>
        </w:tabs>
        <w:spacing w:before="140" w:after="140" w:line="252" w:lineRule="auto"/>
        <w:ind w:firstLine="0"/>
        <w:rPr>
          <w:lang w:eastAsia="zh-CN"/>
        </w:rPr>
      </w:pPr>
      <w:r>
        <w:rPr>
          <w:rFonts w:cs="Times New Roman"/>
          <w:color w:val="000000"/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2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Cambria Math"/>
                <w:sz w:val="22"/>
              </w:rPr>
              <m:t>Cm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  <w:sz w:val="22"/>
              </w:rPr>
              <m:t>MP</m:t>
            </m:r>
            <m:r>
              <w:rPr>
                <w:rFonts w:ascii="Cambria Math" w:hAnsi="Cambria Math" w:cs="Cambria Math"/>
                <w:sz w:val="22"/>
              </w:rPr>
              <m:t>,j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δ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),</m:t>
        </m:r>
        <m:r>
          <m:rPr>
            <m:nor/>
          </m:rPr>
          <w:rPr>
            <w:rFonts w:ascii="Cambria Math" w:hAnsi="Cambria Math" w:cs="Cambria Math"/>
            <w:sz w:val="22"/>
          </w:rPr>
          <m:t>  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2"/>
                  </w:rPr>
                  <m:t>ξ</m:t>
                </m:r>
              </m:e>
            </m:acc>
          </m:e>
          <m:sub>
            <m:r>
              <w:rPr>
                <w:rFonts w:ascii="Cambria Math" w:hAnsi="Cambria Math" w:cs="Cambria Math"/>
                <w:sz w:val="22"/>
              </w:rPr>
              <m:t>Cm</m:t>
            </m:r>
          </m:sub>
          <m:sup>
            <m:r>
              <w:rPr>
                <w:rFonts w:ascii="Cambria Math" w:hAnsi="Cambria Math" w:cs="Cambria Math"/>
                <w:sz w:val="22"/>
              </w:rPr>
              <m:t>j</m:t>
            </m:r>
          </m:sup>
        </m:sSubSup>
        <m:r>
          <w:rPr>
            <w:rFonts w:ascii="Cambria Math" w:hAnsi="Cambria Math" w:cs="Cambria Math"/>
            <w:sz w:val="22"/>
          </w:rPr>
          <m:t>=</m:t>
        </m:r>
        <m:r>
          <m:rPr>
            <m:sty m:val="p"/>
          </m:rPr>
          <w:rPr>
            <w:rFonts w:ascii="Cambria Math" w:hAnsi="Cambria Math" w:cs="Cambria Math"/>
            <w:sz w:val="22"/>
          </w:rPr>
          <m:t>exp</m:t>
        </m:r>
        <m:r>
          <w:rPr>
            <w:rFonts w:ascii="Cambria Math" w:hAnsi="Cambria Math" w:cs="Cambria Math"/>
            <w:sz w:val="22"/>
          </w:rPr>
          <m:t>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2"/>
              </w:rPr>
              <m:t>δ</m:t>
            </m:r>
          </m:e>
          <m:sub>
            <m:r>
              <w:rPr>
                <w:rFonts w:ascii="Cambria Math" w:hAnsi="Cambria Math" w:cs="Cambria Math"/>
                <w:sz w:val="22"/>
              </w:rPr>
              <m:t>j</m:t>
            </m:r>
          </m:sub>
        </m:sSub>
        <m:r>
          <w:rPr>
            <w:rFonts w:ascii="Cambria Math" w:hAnsi="Cambria Math" w:cs="Cambria Math"/>
            <w:sz w:val="22"/>
          </w:rPr>
          <m:t>).</m:t>
        </m:r>
      </m:oMath>
      <w:r>
        <w:rPr>
          <w:rFonts w:cs="Times New Roman"/>
          <w:color w:val="000000"/>
          <w:lang w:eastAsia="zh-CN"/>
        </w:rPr>
        <w:tab/>
      </w: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A6</w:t>
      </w:r>
      <w:r>
        <w:rPr>
          <w:rFonts w:cs="Times New Roman"/>
          <w:color w:val="000000"/>
          <w:lang w:eastAsia="zh-CN"/>
        </w:rPr>
        <w:t>）</w:t>
      </w:r>
    </w:p>
    <w:p w14:paraId="4EDA2043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采用局部均衡拟合时，固定选定的价格、工资和需求；转入一般均衡时，将相应效率变化施加到有对应估计的部门，允许价格、工资、生产及模型中的创新经生产地选择、贸易和中间投入共同调整，比较部门产出、外国与国内生产、生产布局及实际收入和福利。市场反馈造成的变化与原条件目标分别解释。</w:t>
      </w:r>
    </w:p>
    <w:p w14:paraId="21148515" w14:textId="77777777" w:rsidR="004E1393" w:rsidRDefault="00EB4DE5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反演结果是给定回归与结构假设的情景等效成本，不由强度分数、回归系数或残差直接换算。参考模型没有股权收购决策，所有权重新归属主导的份额变化不能直接解释为效率改善；基期外国生产为零的活动，也不能由现有帽子代数自动产生准入后的新进入。</w:t>
      </w:r>
    </w:p>
    <w:p w14:paraId="2B4228D5" w14:textId="77777777" w:rsidR="00E86E51" w:rsidRDefault="004902CB">
      <w:pPr>
        <w:spacing w:after="0" w:line="20" w:lineRule="exact"/>
        <w:ind w:firstLine="0"/>
        <w:rPr>
          <w:lang w:eastAsia="zh-CN"/>
        </w:rPr>
      </w:pPr>
      <w:r>
        <w:rPr>
          <w:sz w:val="2"/>
          <w:lang w:eastAsia="zh-CN"/>
        </w:rPr>
        <w:br w:type="page"/>
      </w:r>
    </w:p>
    <w:p w14:paraId="242541AE" w14:textId="77777777" w:rsidR="004E1393" w:rsidRDefault="00EB4DE5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参考文献与资料</w:t>
      </w:r>
    </w:p>
    <w:p w14:paraId="445582EF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[1] </w:t>
      </w:r>
      <w:r>
        <w:rPr>
          <w:rFonts w:cs="Times New Roman"/>
          <w:color w:val="000000"/>
          <w:sz w:val="21"/>
          <w:lang w:eastAsia="zh-CN"/>
        </w:rPr>
        <w:t>国家发展改革委、商务部：《外商投资产业指导目录》（</w:t>
      </w:r>
      <w:r>
        <w:rPr>
          <w:rFonts w:cs="Times New Roman"/>
          <w:color w:val="000000"/>
          <w:sz w:val="21"/>
          <w:lang w:eastAsia="zh-CN"/>
        </w:rPr>
        <w:t>2004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2007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2011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2015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年修订）；《外商投资准入特别管理措施（负面清单）》（</w:t>
      </w:r>
      <w:r>
        <w:rPr>
          <w:rFonts w:cs="Times New Roman"/>
          <w:color w:val="000000"/>
          <w:sz w:val="21"/>
          <w:lang w:eastAsia="zh-CN"/>
        </w:rPr>
        <w:t>2018—2020</w:t>
      </w:r>
      <w:r>
        <w:rPr>
          <w:rFonts w:cs="Times New Roman"/>
          <w:color w:val="000000"/>
          <w:sz w:val="21"/>
          <w:lang w:eastAsia="zh-CN"/>
        </w:rPr>
        <w:t>年版）。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8">
        <w:r>
          <w:rPr>
            <w:rFonts w:cs="Times New Roman"/>
            <w:color w:val="234A70"/>
            <w:sz w:val="21"/>
            <w:lang w:eastAsia="zh-CN"/>
          </w:rPr>
          <w:t>商务部原文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9"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0">
        <w:r>
          <w:rPr>
            <w:rFonts w:cs="Times New Roman"/>
            <w:color w:val="234A70"/>
            <w:sz w:val="21"/>
            <w:lang w:eastAsia="zh-CN"/>
          </w:rPr>
          <w:t>正式目录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1">
        <w:r>
          <w:rPr>
            <w:rFonts w:cs="Times New Roman"/>
            <w:color w:val="234A70"/>
            <w:sz w:val="21"/>
            <w:lang w:eastAsia="zh-CN"/>
          </w:rPr>
          <w:t>2004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2">
        <w:r>
          <w:rPr>
            <w:rFonts w:cs="Times New Roman"/>
            <w:color w:val="234A70"/>
            <w:sz w:val="21"/>
            <w:lang w:eastAsia="zh-CN"/>
          </w:rPr>
          <w:t>2015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3">
        <w:r>
          <w:rPr>
            <w:rFonts w:cs="Times New Roman"/>
            <w:color w:val="234A70"/>
            <w:sz w:val="21"/>
            <w:lang w:eastAsia="zh-CN"/>
          </w:rPr>
          <w:t>2017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4">
        <w:r>
          <w:rPr>
            <w:rFonts w:cs="Times New Roman"/>
            <w:color w:val="234A70"/>
            <w:sz w:val="21"/>
            <w:lang w:eastAsia="zh-CN"/>
          </w:rPr>
          <w:t>2018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5">
        <w:r>
          <w:rPr>
            <w:rFonts w:cs="Times New Roman"/>
            <w:color w:val="234A70"/>
            <w:sz w:val="21"/>
            <w:lang w:eastAsia="zh-CN"/>
          </w:rPr>
          <w:t>2019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6">
        <w:r>
          <w:rPr>
            <w:rFonts w:cs="Times New Roman"/>
            <w:color w:val="234A70"/>
            <w:sz w:val="21"/>
            <w:lang w:eastAsia="zh-CN"/>
          </w:rPr>
          <w:t>2020</w:t>
        </w:r>
        <w:r>
          <w:rPr>
            <w:rFonts w:cs="Times New Roman"/>
            <w:color w:val="234A70"/>
            <w:sz w:val="21"/>
            <w:lang w:eastAsia="zh-CN"/>
          </w:rPr>
          <w:t>令文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1F8CD2AF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[2] </w:t>
      </w:r>
      <w:r>
        <w:rPr>
          <w:rFonts w:cs="Times New Roman"/>
          <w:color w:val="000000"/>
          <w:sz w:val="21"/>
          <w:lang w:eastAsia="zh-CN"/>
        </w:rPr>
        <w:t>国家发展改革委，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：《</w:t>
      </w:r>
      <w:r>
        <w:rPr>
          <w:rFonts w:cs="Times New Roman"/>
          <w:color w:val="000000"/>
          <w:sz w:val="21"/>
          <w:lang w:eastAsia="zh-CN"/>
        </w:rPr>
        <w:t>7</w:t>
      </w:r>
      <w:r>
        <w:rPr>
          <w:rFonts w:cs="Times New Roman"/>
          <w:color w:val="000000"/>
          <w:sz w:val="21"/>
          <w:lang w:eastAsia="zh-CN"/>
        </w:rPr>
        <w:t>月</w:t>
      </w:r>
      <w:r>
        <w:rPr>
          <w:rFonts w:cs="Times New Roman"/>
          <w:color w:val="000000"/>
          <w:sz w:val="21"/>
          <w:lang w:eastAsia="zh-CN"/>
        </w:rPr>
        <w:t>28</w:t>
      </w:r>
      <w:r>
        <w:rPr>
          <w:rFonts w:cs="Times New Roman"/>
          <w:color w:val="000000"/>
          <w:sz w:val="21"/>
          <w:lang w:eastAsia="zh-CN"/>
        </w:rPr>
        <w:t>日起在全国范围内实施外商投资准入负面清单</w:t>
      </w:r>
      <w:r>
        <w:rPr>
          <w:rFonts w:cs="Times New Roman"/>
          <w:color w:val="000000"/>
          <w:sz w:val="21"/>
          <w:lang w:eastAsia="zh-CN"/>
        </w:rPr>
        <w:t>——</w:t>
      </w:r>
      <w:r>
        <w:rPr>
          <w:rFonts w:cs="Times New Roman"/>
          <w:color w:val="000000"/>
          <w:sz w:val="21"/>
          <w:lang w:eastAsia="zh-CN"/>
        </w:rPr>
        <w:t>〈外商投资产业指导目录（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年修订）〉说明》。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17">
        <w:r>
          <w:rPr>
            <w:rFonts w:cs="Times New Roman"/>
            <w:color w:val="234A70"/>
            <w:sz w:val="21"/>
            <w:lang w:eastAsia="zh-CN"/>
          </w:rPr>
          <w:t>官方说明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787B3E77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[3] </w:t>
      </w:r>
      <w:r>
        <w:rPr>
          <w:rFonts w:cs="Times New Roman"/>
          <w:color w:val="000000"/>
          <w:sz w:val="21"/>
          <w:lang w:eastAsia="zh-CN"/>
        </w:rPr>
        <w:t>本地</w:t>
      </w:r>
      <w:r>
        <w:rPr>
          <w:rFonts w:cs="Times New Roman"/>
          <w:color w:val="000000"/>
          <w:sz w:val="21"/>
          <w:lang w:eastAsia="zh-CN"/>
        </w:rPr>
        <w:t>2007—2020</w:t>
      </w:r>
      <w:r>
        <w:rPr>
          <w:rFonts w:cs="Times New Roman"/>
          <w:color w:val="000000"/>
          <w:sz w:val="21"/>
          <w:lang w:eastAsia="zh-CN"/>
        </w:rPr>
        <w:t>年度全国税收调查整理</w:t>
      </w:r>
      <w:r>
        <w:rPr>
          <w:rFonts w:cs="Times New Roman"/>
          <w:color w:val="000000"/>
          <w:sz w:val="21"/>
          <w:lang w:eastAsia="zh-CN"/>
        </w:rPr>
        <w:t>DTA</w:t>
      </w:r>
      <w:r>
        <w:rPr>
          <w:rFonts w:cs="Times New Roman"/>
          <w:color w:val="000000"/>
          <w:sz w:val="21"/>
          <w:lang w:eastAsia="zh-CN"/>
        </w:rPr>
        <w:t>、税调基本信息</w:t>
      </w:r>
      <w:r>
        <w:rPr>
          <w:rFonts w:cs="Times New Roman"/>
          <w:color w:val="000000"/>
          <w:sz w:val="21"/>
          <w:lang w:eastAsia="zh-CN"/>
        </w:rPr>
        <w:t>07_20.dta</w:t>
      </w:r>
      <w:r>
        <w:rPr>
          <w:rFonts w:cs="Times New Roman"/>
          <w:color w:val="000000"/>
          <w:sz w:val="21"/>
          <w:lang w:eastAsia="zh-CN"/>
        </w:rPr>
        <w:t>及</w:t>
      </w:r>
      <w:r>
        <w:rPr>
          <w:rFonts w:cs="Times New Roman"/>
          <w:color w:val="000000"/>
          <w:sz w:val="21"/>
          <w:lang w:eastAsia="zh-CN"/>
        </w:rPr>
        <w:t>“</w:t>
      </w:r>
      <w:r>
        <w:rPr>
          <w:rFonts w:cs="Times New Roman"/>
          <w:color w:val="000000"/>
          <w:sz w:val="21"/>
          <w:lang w:eastAsia="zh-CN"/>
        </w:rPr>
        <w:t>税调变量说明</w:t>
      </w:r>
      <w:r>
        <w:rPr>
          <w:rFonts w:cs="Times New Roman"/>
          <w:color w:val="000000"/>
          <w:sz w:val="21"/>
          <w:lang w:eastAsia="zh-CN"/>
        </w:rPr>
        <w:t>07-16”</w:t>
      </w:r>
      <w:r>
        <w:rPr>
          <w:rFonts w:cs="Times New Roman"/>
          <w:color w:val="000000"/>
          <w:sz w:val="21"/>
          <w:lang w:eastAsia="zh-CN"/>
        </w:rPr>
        <w:t>。</w:t>
      </w:r>
    </w:p>
    <w:p w14:paraId="2B185298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[4] </w:t>
      </w:r>
      <w:r>
        <w:rPr>
          <w:rFonts w:cs="Times New Roman"/>
          <w:color w:val="000000"/>
          <w:sz w:val="21"/>
          <w:lang w:eastAsia="zh-CN"/>
        </w:rPr>
        <w:t>国家统计局：《国民经济行业分类》</w:t>
      </w:r>
      <w:r>
        <w:rPr>
          <w:rFonts w:cs="Times New Roman"/>
          <w:color w:val="000000"/>
          <w:sz w:val="21"/>
          <w:lang w:eastAsia="zh-CN"/>
        </w:rPr>
        <w:t>GB/T 4754—2002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2011</w:t>
      </w:r>
      <w:r>
        <w:rPr>
          <w:rFonts w:cs="Times New Roman"/>
          <w:color w:val="000000"/>
          <w:sz w:val="21"/>
          <w:lang w:eastAsia="zh-CN"/>
        </w:rPr>
        <w:t>、</w:t>
      </w:r>
      <w:r>
        <w:rPr>
          <w:rFonts w:cs="Times New Roman"/>
          <w:color w:val="000000"/>
          <w:sz w:val="21"/>
          <w:lang w:eastAsia="zh-CN"/>
        </w:rPr>
        <w:t>2017</w:t>
      </w:r>
      <w:r>
        <w:rPr>
          <w:rFonts w:cs="Times New Roman"/>
          <w:color w:val="000000"/>
          <w:sz w:val="21"/>
          <w:lang w:eastAsia="zh-CN"/>
        </w:rPr>
        <w:t>及修改单、分类注释与</w:t>
      </w:r>
      <w:r>
        <w:rPr>
          <w:rFonts w:cs="Times New Roman"/>
          <w:color w:val="000000"/>
          <w:sz w:val="21"/>
          <w:lang w:eastAsia="zh-CN"/>
        </w:rPr>
        <w:t>GB2002—GB2011</w:t>
      </w:r>
      <w:r>
        <w:rPr>
          <w:rFonts w:cs="Times New Roman"/>
          <w:color w:val="000000"/>
          <w:sz w:val="21"/>
          <w:lang w:eastAsia="zh-CN"/>
        </w:rPr>
        <w:t>对照表。</w:t>
      </w:r>
      <w:r>
        <w:rPr>
          <w:rFonts w:cs="Times New Roman"/>
          <w:color w:val="000000"/>
          <w:sz w:val="21"/>
          <w:lang w:eastAsia="zh-CN"/>
        </w:rPr>
        <w:t xml:space="preserve"> </w:t>
      </w:r>
      <w:hyperlink r:id="rId18">
        <w:r>
          <w:rPr>
            <w:rFonts w:cs="Times New Roman"/>
            <w:color w:val="234A70"/>
            <w:sz w:val="21"/>
            <w:lang w:eastAsia="zh-CN"/>
          </w:rPr>
          <w:t>标准及修改单</w:t>
        </w:r>
      </w:hyperlink>
      <w:r>
        <w:rPr>
          <w:rFonts w:cs="Times New Roman"/>
          <w:color w:val="000000"/>
          <w:sz w:val="21"/>
          <w:lang w:eastAsia="zh-CN"/>
        </w:rPr>
        <w:t>；</w:t>
      </w:r>
      <w:hyperlink r:id="rId19">
        <w:r>
          <w:rPr>
            <w:rFonts w:cs="Times New Roman"/>
            <w:color w:val="234A70"/>
            <w:sz w:val="21"/>
            <w:lang w:eastAsia="zh-CN"/>
          </w:rPr>
          <w:t>分类注释</w:t>
        </w:r>
      </w:hyperlink>
      <w:r>
        <w:rPr>
          <w:rFonts w:cs="Times New Roman"/>
          <w:color w:val="000000"/>
          <w:sz w:val="21"/>
          <w:lang w:eastAsia="zh-CN"/>
        </w:rPr>
        <w:t>。</w:t>
      </w:r>
    </w:p>
    <w:p w14:paraId="5F255254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[5] United Nations. 2008. International Standard Industrial Classification of All Economic Activities, Revision 4. Statistical Papers, Series M, No. 4/Rev.4. </w:t>
      </w:r>
      <w:hyperlink r:id="rId20">
        <w:r>
          <w:rPr>
            <w:rFonts w:cs="Times New Roman"/>
            <w:color w:val="234A70"/>
            <w:sz w:val="21"/>
          </w:rPr>
          <w:t>联合国原典</w:t>
        </w:r>
      </w:hyperlink>
      <w:r>
        <w:rPr>
          <w:rFonts w:cs="Times New Roman"/>
          <w:color w:val="000000"/>
          <w:sz w:val="21"/>
        </w:rPr>
        <w:t>。</w:t>
      </w:r>
    </w:p>
    <w:p w14:paraId="35D45ACD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</w:rPr>
        <w:t>[6] OECD. Analytical AMNE Database</w:t>
      </w:r>
      <w:r>
        <w:rPr>
          <w:rFonts w:cs="Times New Roman"/>
          <w:color w:val="000000"/>
          <w:sz w:val="21"/>
        </w:rPr>
        <w:t>及随附分类和控制身份说明。</w:t>
      </w:r>
      <w:r>
        <w:rPr>
          <w:rFonts w:cs="Times New Roman"/>
          <w:color w:val="000000"/>
          <w:sz w:val="21"/>
        </w:rPr>
        <w:t xml:space="preserve"> </w:t>
      </w:r>
      <w:hyperlink r:id="rId21">
        <w:r>
          <w:rPr>
            <w:rFonts w:cs="Times New Roman"/>
            <w:color w:val="234A70"/>
            <w:sz w:val="21"/>
            <w:lang w:eastAsia="zh-CN"/>
          </w:rPr>
          <w:t>OECD</w:t>
        </w:r>
        <w:r>
          <w:rPr>
            <w:rFonts w:cs="Times New Roman"/>
            <w:color w:val="234A70"/>
            <w:sz w:val="21"/>
            <w:lang w:eastAsia="zh-CN"/>
          </w:rPr>
          <w:t>数据库说明</w:t>
        </w:r>
      </w:hyperlink>
      <w:r>
        <w:rPr>
          <w:rFonts w:cs="Times New Roman"/>
          <w:color w:val="000000"/>
          <w:sz w:val="21"/>
        </w:rPr>
        <w:t>。</w:t>
      </w:r>
    </w:p>
    <w:p w14:paraId="2EAC2EBC" w14:textId="77777777" w:rsidR="004E1393" w:rsidRDefault="00EB4DE5">
      <w:pPr>
        <w:spacing w:after="140" w:line="276" w:lineRule="auto"/>
        <w:ind w:left="360" w:hanging="360"/>
        <w:rPr>
          <w:lang w:eastAsia="zh-CN"/>
        </w:rPr>
      </w:pPr>
      <w:r>
        <w:rPr>
          <w:rFonts w:cs="Times New Roman"/>
          <w:color w:val="000000"/>
          <w:sz w:val="21"/>
          <w:lang w:eastAsia="zh-CN"/>
        </w:rPr>
        <w:t xml:space="preserve">[7] </w:t>
      </w:r>
      <w:r>
        <w:rPr>
          <w:rFonts w:cs="Times New Roman"/>
          <w:color w:val="000000"/>
          <w:sz w:val="21"/>
          <w:lang w:eastAsia="zh-CN"/>
        </w:rPr>
        <w:t>《限制程度量化思路借鉴》，本地方法参考资料。</w:t>
      </w:r>
    </w:p>
    <w:p w14:paraId="1E89A7FC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[8] Santos Silva, J. M. C., and S. Tenreyro. 2006. The Log of Gravity. The Review of Economics and Statistics, 88(4): 641–658. </w:t>
      </w:r>
      <w:hyperlink r:id="rId22">
        <w:r>
          <w:rPr>
            <w:rFonts w:cs="Times New Roman"/>
            <w:color w:val="234A70"/>
            <w:sz w:val="21"/>
          </w:rPr>
          <w:t>作者资料页</w:t>
        </w:r>
      </w:hyperlink>
      <w:r>
        <w:rPr>
          <w:rFonts w:cs="Times New Roman"/>
          <w:color w:val="000000"/>
          <w:sz w:val="21"/>
        </w:rPr>
        <w:t>。</w:t>
      </w:r>
    </w:p>
    <w:p w14:paraId="21FE1F2D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[9] Imai, K., and I. S. Kim. 2019. When Should We Use Unit Fixed Effects Regression Models for Causal Inference with Longitudinal Data? American Journal of Political Science, 63(2): 467–490. </w:t>
      </w:r>
      <w:hyperlink r:id="rId23">
        <w:r>
          <w:rPr>
            <w:rFonts w:cs="Times New Roman"/>
            <w:color w:val="234A70"/>
            <w:sz w:val="21"/>
          </w:rPr>
          <w:t>作者原文</w:t>
        </w:r>
      </w:hyperlink>
      <w:r>
        <w:rPr>
          <w:rFonts w:cs="Times New Roman"/>
          <w:color w:val="000000"/>
          <w:sz w:val="21"/>
        </w:rPr>
        <w:t>。</w:t>
      </w:r>
    </w:p>
    <w:p w14:paraId="2CFED6C4" w14:textId="77777777" w:rsidR="004E1393" w:rsidRDefault="00EB4DE5">
      <w:pPr>
        <w:spacing w:after="140" w:line="276" w:lineRule="auto"/>
        <w:ind w:left="360" w:hanging="360"/>
      </w:pPr>
      <w:r>
        <w:rPr>
          <w:rFonts w:cs="Times New Roman"/>
          <w:color w:val="000000"/>
          <w:sz w:val="21"/>
        </w:rPr>
        <w:t xml:space="preserve">[10] </w:t>
      </w:r>
      <w:r>
        <w:rPr>
          <w:rFonts w:cs="Times New Roman"/>
          <w:color w:val="000000"/>
          <w:sz w:val="21"/>
        </w:rPr>
        <w:t>《中国高水平制度型开放与全球产业链网络重塑》研究稿及《模型完整推导附录》，本地未刊材料。</w:t>
      </w:r>
    </w:p>
    <w:sectPr w:rsidR="004E1393" w:rsidSect="00034616">
      <w:footerReference w:type="default" r:id="rId24"/>
      <w:pgSz w:w="11906" w:h="16838"/>
      <w:pgMar w:top="1219" w:right="1332" w:bottom="1134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F1D2" w14:textId="77777777" w:rsidR="004902CB" w:rsidRDefault="004902CB">
      <w:pPr>
        <w:spacing w:after="0" w:line="240" w:lineRule="auto"/>
      </w:pPr>
      <w:r>
        <w:separator/>
      </w:r>
    </w:p>
  </w:endnote>
  <w:endnote w:type="continuationSeparator" w:id="0">
    <w:p w14:paraId="5D05B85D" w14:textId="77777777" w:rsidR="004902CB" w:rsidRDefault="00490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3E2A" w14:textId="77777777" w:rsidR="004E1393" w:rsidRDefault="00EB4DE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B947" w14:textId="77777777" w:rsidR="004902CB" w:rsidRDefault="004902CB">
      <w:pPr>
        <w:spacing w:after="0" w:line="240" w:lineRule="auto"/>
      </w:pPr>
      <w:r>
        <w:separator/>
      </w:r>
    </w:p>
  </w:footnote>
  <w:footnote w:type="continuationSeparator" w:id="0">
    <w:p w14:paraId="40E452DC" w14:textId="77777777" w:rsidR="004902CB" w:rsidRDefault="00490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589340">
    <w:abstractNumId w:val="8"/>
  </w:num>
  <w:num w:numId="2" w16cid:durableId="1708489055">
    <w:abstractNumId w:val="6"/>
  </w:num>
  <w:num w:numId="3" w16cid:durableId="294334739">
    <w:abstractNumId w:val="5"/>
  </w:num>
  <w:num w:numId="4" w16cid:durableId="1430007861">
    <w:abstractNumId w:val="4"/>
  </w:num>
  <w:num w:numId="5" w16cid:durableId="623274522">
    <w:abstractNumId w:val="7"/>
  </w:num>
  <w:num w:numId="6" w16cid:durableId="137117858">
    <w:abstractNumId w:val="3"/>
  </w:num>
  <w:num w:numId="7" w16cid:durableId="1004476920">
    <w:abstractNumId w:val="2"/>
  </w:num>
  <w:num w:numId="8" w16cid:durableId="1000504112">
    <w:abstractNumId w:val="1"/>
  </w:num>
  <w:num w:numId="9" w16cid:durableId="17072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DD"/>
    <w:rsid w:val="0006063C"/>
    <w:rsid w:val="0015074B"/>
    <w:rsid w:val="00181B55"/>
    <w:rsid w:val="0029639D"/>
    <w:rsid w:val="00326F90"/>
    <w:rsid w:val="003E01AD"/>
    <w:rsid w:val="004902CB"/>
    <w:rsid w:val="004E1393"/>
    <w:rsid w:val="00901DF0"/>
    <w:rsid w:val="00983605"/>
    <w:rsid w:val="00A1040D"/>
    <w:rsid w:val="00AA1D8D"/>
    <w:rsid w:val="00B47730"/>
    <w:rsid w:val="00B540D4"/>
    <w:rsid w:val="00B62D4D"/>
    <w:rsid w:val="00B717A3"/>
    <w:rsid w:val="00BA7B68"/>
    <w:rsid w:val="00BE73FB"/>
    <w:rsid w:val="00C879D8"/>
    <w:rsid w:val="00CB0664"/>
    <w:rsid w:val="00E86E51"/>
    <w:rsid w:val="00EB4DE5"/>
    <w:rsid w:val="00EC5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8DA687"/>
  <w14:defaultImageDpi w14:val="300"/>
  <w15:docId w15:val="{5EBACD1E-5FFD-4107-818E-3C1236E2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  <w:ind w:firstLine="48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spacing w:before="240" w:after="120" w:line="288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spacing w:before="240" w:after="120" w:line="288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88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288" w:lineRule="auto"/>
      <w:ind w:firstLine="480"/>
    </w:pPr>
    <w:rPr>
      <w:rFonts w:asciiTheme="majorHAnsi" w:eastAsiaTheme="majorEastAsia" w:hAnsiTheme="majorHAnsi" w:cstheme="majorBidi"/>
      <w:iCs/>
      <w:color w:val="000000"/>
      <w:spacing w:val="15"/>
      <w:sz w:val="21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fcom.gov.cn/zcfb/wgtzgl/art/2007/art_c2780ab6fee34931808471ffabfe98c3.html" TargetMode="External"/><Relationship Id="rId13" Type="http://schemas.openxmlformats.org/officeDocument/2006/relationships/hyperlink" Target="https://www.ndrc.gov.cn/xxgk/zcfb/fzggwl/201706/t20170628_960838.html" TargetMode="External"/><Relationship Id="rId18" Type="http://schemas.openxmlformats.org/officeDocument/2006/relationships/hyperlink" Target="https://www.stats.gov.cn/sj/tjbz/gjtjbz/202302/t20230213_1902779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oecd.org/en/data/datasets/global-value-chain-data-across-trade-multinationals-and-service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drc.gov.cn/xxgk/zcfb/fzggwl/201503/t20150313_960793.html" TargetMode="External"/><Relationship Id="rId17" Type="http://schemas.openxmlformats.org/officeDocument/2006/relationships/hyperlink" Target="https://www.ndrc.gov.cn/xxgk/jd/jd/201706/t20170628_1182814_ext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drc.gov.cn/xxgk/zcfb/fzggwl/202006/t20200624_1231938.html" TargetMode="External"/><Relationship Id="rId20" Type="http://schemas.openxmlformats.org/officeDocument/2006/relationships/hyperlink" Target="https://unstats.un.org/unsd/publication/seriesm/seriesm_4rev4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drc.gov.cn/xxgk/zcfb/fzggwl/200506/t20050628_960644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ndrc.gov.cn/xxgk/zcfb/fzggwl/201906/t20190628_960873.html" TargetMode="External"/><Relationship Id="rId23" Type="http://schemas.openxmlformats.org/officeDocument/2006/relationships/hyperlink" Target="https://imai.fas.harvard.edu/research/files/FEmatch.pdf" TargetMode="External"/><Relationship Id="rId10" Type="http://schemas.openxmlformats.org/officeDocument/2006/relationships/hyperlink" Target="https://www.ndrc.gov.cn/xxgk/zcfb/fzggwl/201112/W020190905494803398094.pdf" TargetMode="External"/><Relationship Id="rId19" Type="http://schemas.openxmlformats.org/officeDocument/2006/relationships/hyperlink" Target="https://www.stats.gov.cn/sj/tjbz/gmjjhyfl/202302/t20230213_190278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drc.gov.cn/xxgk/zcfb/fzggwl/201112/t20111229_960737.html" TargetMode="External"/><Relationship Id="rId14" Type="http://schemas.openxmlformats.org/officeDocument/2006/relationships/hyperlink" Target="https://www.ndrc.gov.cn/xxgk/zcfb/fzggwl/201806/t20180628_960861.html" TargetMode="External"/><Relationship Id="rId22" Type="http://schemas.openxmlformats.org/officeDocument/2006/relationships/hyperlink" Target="https://personal.lse.ac.uk/tenreyro/LG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企业所受到的清单限制强度与经营表现及部门成本分析</dc:title>
  <dc:subject>企业微观研究讨论方案 v4.1</dc:subject>
  <dc:creator/>
  <cp:keywords>外资准入; Restrict; 企业面板; PPML; AMNE; 跨国生产</cp:keywords>
  <dc:description>generated by python-docx</dc:description>
  <cp:lastModifiedBy>镇宇 杨</cp:lastModifiedBy>
  <cp:revision>9</cp:revision>
  <dcterms:created xsi:type="dcterms:W3CDTF">2013-12-23T23:15:00Z</dcterms:created>
  <dcterms:modified xsi:type="dcterms:W3CDTF">2026-10-19T08:53:00Z</dcterms:modified>
  <cp:category/>
</cp:coreProperties>
</file>