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lang w:val="en-US" w:eastAsia="zh-CN"/>
        </w:rPr>
        <w:t>附录A</w:t>
        <w:br/>
        <w:t>外资准入制度型开放的LLM测度与实证识别</w:t>
      </w:r>
    </w:p>
    <w:p>
      <w:pPr>
        <w:pStyle w:val="Subtitle"/>
        <w:jc w:val="left"/>
      </w:pPr>
      <w:r>
        <w:rPr>
          <w:lang w:val="en-US" w:eastAsia="zh-CN"/>
        </w:rPr>
        <w:t>基于负面清单的政策文本测量与预分析方案</w:t>
      </w:r>
    </w:p>
    <w:p>
      <w:pPr>
        <w:jc w:val="both"/>
      </w:pPr>
      <w:r>
        <w:rPr>
          <w:lang w:val="en-US" w:eastAsia="zh-CN"/>
        </w:rPr>
        <w:t>本附录提出一套将外资准入法律文本转化为可核验政策变量，并据此识别外资在华生产活动响应的经验方法。研究以正式生效的全国性外资准入规则为测量对象，通过大语言模型（large language model，LLM）辅助抽取限制条件、连接跨版本经济活动和匹配行业，再以独立人工编码与规则校验控制测量误差。实证分析优先使用外资控制企业的实际生产活动，考察准入改革后的相对产出和份额变化；在额外结构假设得到验证后，才讨论政策变化的成本等价。</w:t>
      </w:r>
    </w:p>
    <w:p>
      <w:pPr>
        <w:jc w:val="both"/>
      </w:pPr>
      <w:r>
        <w:rPr>
          <w:lang w:val="en-US" w:eastAsia="zh-CN"/>
        </w:rPr>
        <w:t>研究设计分别识别法律状态、政策行为效应与结构成本三个对象。法律文本不能自行给出跨国生产成本，成本残差也不能自动被解释为制度安排。本文将可观察的准入规则变化作为政策证据，以缩小制度型开放的经验解释范围。以下公式、回归规格和审计程序为拟实施方法；附录B单列截至2026年9月11日对现有材料的直接核查，不报告尚未运行的系数、显著性或模型结果。</w:t>
      </w:r>
    </w:p>
    <w:p>
      <w:pPr>
        <w:pStyle w:val="Heading1"/>
      </w:pPr>
      <w:r>
        <w:rPr>
          <w:lang w:val="en-US" w:eastAsia="zh-CN"/>
        </w:rPr>
        <w:t>A1　研究对象与识别层次</w:t>
      </w:r>
    </w:p>
    <w:p>
      <w:pPr>
        <w:pStyle w:val="Heading2"/>
      </w:pPr>
      <w:r>
        <w:rPr>
          <w:lang w:val="en-US" w:eastAsia="zh-CN"/>
        </w:rPr>
        <w:t>A1.1　制度型开放的操作性定义</w:t>
      </w:r>
    </w:p>
    <w:p>
      <w:pPr>
        <w:jc w:val="both"/>
      </w:pPr>
      <w:r>
        <w:rPr>
          <w:lang w:val="en-US" w:eastAsia="zh-CN"/>
        </w:rPr>
        <w:t>本文所称外资准入制度型开放，是指中国对外国投资者施加的差别性准入限制得到取消或放宽。其观测内容包括经济活动是否允许进入、外资持股上限、中方控制要求、企业组织形式要求、治理要求以及其他可核验的准入条件。研究测量的是法律规定的待遇，而非执法强度、审批效率、企业感知或一国整体制度质量。负面清单之外的领域按照内外资一致原则管理，但仍可能受到一般市场准入、行业许可和其他监管规定约束。</w:t>
      </w:r>
    </w:p>
    <w:p>
      <w:pPr>
        <w:jc w:val="both"/>
      </w:pPr>
      <w:r>
        <w:rPr>
          <w:lang w:val="en-US" w:eastAsia="zh-CN"/>
        </w:rPr>
        <w:t>该定义覆盖制度型开放中的外资准入维度，不能穷尽贸易规则、数据跨境流动、监管合作和标准互认等内容。全国性清单亦不完全等于每家企业实际适用的待遇：自贸试验区、特定投资者和协定优惠可能使企业面临更宽松的规则。基准测度因此解释为全国一般适用的法定准入限制。对实际待遇的识别，需要额外观察投资者资格和企业所在地。OECD的FDI Regulatory Restrictiveness Index同样以法定限制为对象，并将其与实施问题和其他投资环境因素区分；本文借鉴这一边界，不将其既有权重直接移植为成本参数。</w:t>
      </w:r>
    </w:p>
    <w:p>
      <w:pPr>
        <w:pStyle w:val="Heading2"/>
      </w:pPr>
      <w:r>
        <w:rPr>
          <w:lang w:val="en-US" w:eastAsia="zh-CN"/>
        </w:rPr>
        <w:t>A1.2　测量与经济识别的区分</w:t>
      </w:r>
    </w:p>
    <w:p>
      <w:pPr>
        <w:jc w:val="both"/>
      </w:pPr>
      <w:r>
        <w:rPr>
          <w:lang w:val="en-US" w:eastAsia="zh-CN"/>
        </w:rPr>
        <w:t>政策测量回答某项活动在某一日期受到何种限制；约化式识别回答改革是否以及如何改变外资活动；结构转换回答在给定模型下，需要多大的成本楔子才能对应已识别的行为变化。这三个环节分别依赖法律证据、反事实比较和模型假设。LLM仅参与第一环节及其必要的语义匹配，不生成经济聚合权重、回归系数或福利结果。</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P</m:t>
            </m:r>
          </m:e>
          <m:sub>
            <m:r>
              <m:rPr>
                <m:sty m:val="p"/>
              </m:rPr>
              <w:rPr>
                <w:rFonts w:ascii="Cambria Math" w:hAnsi="Cambria Math"/>
              </w:rPr>
              <m:t xml:space="preserve">av</m:t>
            </m:r>
          </m:sub>
        </m:sSub>
        <m:r>
          <m:rPr>
            <m:sty m:val="p"/>
          </m:rPr>
          <w:rPr>
            <w:rFonts w:ascii="Cambria Math" w:hAnsi="Cambria Math"/>
          </w:rPr>
          <m:t xml:space="preserve"> → </m:t>
        </m:r>
        <m:sSub>
          <m:e>
            <m:r>
              <m:rPr>
                <m:sty m:val="p"/>
              </m:rPr>
              <w:rPr>
                <w:rFonts w:ascii="Cambria Math" w:hAnsi="Cambria Math"/>
              </w:rPr>
              <m:t xml:space="preserve">z</m:t>
            </m:r>
          </m:e>
          <m:sub>
            <m:r>
              <m:rPr>
                <m:sty m:val="p"/>
              </m:rPr>
              <w:rPr>
                <w:rFonts w:ascii="Cambria Math" w:hAnsi="Cambria Math"/>
              </w:rPr>
              <m:t xml:space="preserve">aτ</m:t>
            </m:r>
          </m:sub>
        </m:sSub>
        <m:r>
          <m:rPr>
            <m:sty m:val="p"/>
          </m:rPr>
          <w:rPr>
            <w:rFonts w:ascii="Cambria Math" w:hAnsi="Cambria Math"/>
          </w:rPr>
          <m:t xml:space="preserve"> → </m:t>
        </m:r>
        <m:sSub>
          <m:e>
            <m:r>
              <m:rPr>
                <m:sty m:val="p"/>
              </m:rPr>
              <w:rPr>
                <w:rFonts w:ascii="Cambria Math" w:hAnsi="Cambria Math"/>
              </w:rPr>
              <m:t xml:space="preserve">Z</m:t>
            </m:r>
          </m:e>
          <m:sub>
            <m:r>
              <m:rPr>
                <m:sty m:val="p"/>
              </m:rPr>
              <w:rPr>
                <w:rFonts w:ascii="Cambria Math" w:hAnsi="Cambria Math"/>
              </w:rPr>
              <m:t xml:space="preserve">jt</m:t>
            </m:r>
          </m:sub>
        </m:sSub>
        <m:r>
          <m:rPr>
            <m:sty m:val="p"/>
          </m:rPr>
          <w:rPr>
            <w:rFonts w:ascii="Cambria Math" w:hAnsi="Cambria Math"/>
          </w:rPr>
          <m:t xml:space="preserve"> → </m:t>
        </m:r>
        <m:sSubSup>
          <m:e>
            <m:r>
              <m:rPr>
                <m:sty m:val="p"/>
              </m:rPr>
              <w:rPr>
                <w:rFonts w:ascii="Cambria Math" w:hAnsi="Cambria Math"/>
              </w:rPr>
              <m:t xml:space="preserve">ΔY</m:t>
            </m:r>
          </m:e>
          <m:sub>
            <m:r>
              <m:rPr>
                <m:sty m:val="p"/>
              </m:rPr>
              <w:rPr>
                <w:rFonts w:ascii="Cambria Math" w:hAnsi="Cambria Math"/>
              </w:rPr>
              <m:t xml:space="preserve">jt</m:t>
            </m:r>
          </m:sub>
          <m:sup>
            <m:r>
              <m:rPr>
                <m:sty m:val="p"/>
              </m:rPr>
              <w:rPr>
                <w:rFonts w:ascii="Cambria Math" w:hAnsi="Cambria Math"/>
              </w:rPr>
              <m:t xml:space="preserve">policy</m:t>
            </m:r>
          </m:sup>
        </m:sSubSup>
        <m:r>
          <m:rPr>
            <m:sty m:val="p"/>
          </m:rPr>
          <w:rPr>
            <w:rFonts w:ascii="Cambria Math" w:hAnsi="Cambria Math"/>
          </w:rPr>
          <m:t xml:space="preserve"> → </m:t>
        </m:r>
        <m:sSub>
          <m:e>
            <m:r>
              <m:rPr>
                <m:sty m:val="p"/>
              </m:rPr>
              <w:rPr>
                <w:rFonts w:ascii="Cambria Math" w:hAnsi="Cambria Math"/>
              </w:rPr>
              <m:t xml:space="preserve">Δln d</m:t>
            </m:r>
          </m:e>
          <m:sub>
            <m:r>
              <m:rPr>
                <m:sty m:val="p"/>
              </m:rPr>
              <w:rPr>
                <w:rFonts w:ascii="Cambria Math" w:hAnsi="Cambria Math"/>
              </w:rPr>
              <m:t xml:space="preserve">Cj</m:t>
            </m:r>
          </m:sub>
        </m:sSub>
      </m:oMath>
      <w:r>
        <w:rPr>
          <w:lang w:val="en-US" w:eastAsia="zh-CN"/>
        </w:rPr>
        <w:tab/>
        <w:t>（A1）</w:t>
      </w:r>
    </w:p>
    <w:p>
      <w:pPr>
        <w:jc w:val="both"/>
      </w:pPr>
      <w:r>
        <w:rPr>
          <w:lang w:val="en-US" w:eastAsia="zh-CN"/>
        </w:rPr>
        <w:t>式（A1）中，P为政策原文，z为活动层面限制，Z为行业暴露，ΔY为政策诱发的经济响应，d为结构成本楔子。最后一条映射为条件性扩展，不是完成文本测度和回归的先决条件。对只能支持条件相关的结果，本文保留关联性表述，不使用无条件因果措辞。</w:t>
      </w:r>
    </w:p>
    <w:p>
      <w:pPr>
        <w:pStyle w:val="Caption"/>
        <w:keepNext/>
        <w:jc w:val="left"/>
      </w:pPr>
      <w:r>
        <w:rPr>
          <w:lang w:val="en-US" w:eastAsia="zh-CN"/>
        </w:rPr>
        <w:t>表A1　主要符号及观察单位</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531"/>
        <w:gridCol w:w="4252"/>
        <w:gridCol w:w="3345"/>
      </w:tblGrid>
      <w:tr>
        <w:trPr>
          <w:cantSplit/>
          <w:tblHeader/>
        </w:trPr>
        <w:tc>
          <w:tcPr>
            <w:tcW w:type="dxa" w:w="1531"/>
            <w:vAlign w:val="center"/>
            <w:tcBorders>
              <w:bottom w:val="single" w:sz="5" w:color="000000"/>
            </w:tcBorders>
          </w:tcPr>
          <w:p>
            <w:pPr>
              <w:pStyle w:val="TableText"/>
              <w:keepNext/>
            </w:pPr>
            <w:r>
              <w:rPr>
                <w:b/>
              </w:rPr>
              <w:t>符号</w:t>
            </w:r>
          </w:p>
        </w:tc>
        <w:tc>
          <w:tcPr>
            <w:tcW w:type="dxa" w:w="4252"/>
            <w:vAlign w:val="center"/>
            <w:tcBorders>
              <w:bottom w:val="single" w:sz="5" w:color="000000"/>
            </w:tcBorders>
          </w:tcPr>
          <w:p>
            <w:pPr>
              <w:pStyle w:val="TableText"/>
              <w:keepNext/>
            </w:pPr>
            <w:r>
              <w:rPr>
                <w:b/>
              </w:rPr>
              <w:t>定义</w:t>
            </w:r>
          </w:p>
        </w:tc>
        <w:tc>
          <w:tcPr>
            <w:tcW w:type="dxa" w:w="3345"/>
            <w:vAlign w:val="center"/>
            <w:tcBorders>
              <w:bottom w:val="single" w:sz="5" w:color="000000"/>
            </w:tcBorders>
          </w:tcPr>
          <w:p>
            <w:pPr>
              <w:pStyle w:val="TableText"/>
              <w:keepNext/>
            </w:pPr>
            <w:r>
              <w:rPr>
                <w:b/>
              </w:rPr>
              <w:t>观察单位</w:t>
            </w:r>
          </w:p>
        </w:tc>
      </w:tr>
      <w:tr>
        <w:trPr>
          <w:cantSplit/>
        </w:trPr>
        <w:tc>
          <w:tcPr>
            <w:tcW w:type="dxa" w:w="1531"/>
            <w:vAlign w:val="center"/>
          </w:tcPr>
          <w:p>
            <w:pPr>
              <w:pStyle w:val="TableText"/>
              <w:keepNext/>
            </w:pPr>
            <w:r>
              <w:t>v，τ，t</w:t>
            </w:r>
          </w:p>
        </w:tc>
        <w:tc>
          <w:tcPr>
            <w:tcW w:type="dxa" w:w="4252"/>
            <w:vAlign w:val="center"/>
          </w:tcPr>
          <w:p>
            <w:pPr>
              <w:pStyle w:val="TableText"/>
              <w:keepNext/>
            </w:pPr>
            <w:r>
              <w:t>政策版本、日历日期、经济统计年份</w:t>
            </w:r>
          </w:p>
        </w:tc>
        <w:tc>
          <w:tcPr>
            <w:tcW w:type="dxa" w:w="3345"/>
            <w:vAlign w:val="center"/>
          </w:tcPr>
          <w:p>
            <w:pPr>
              <w:pStyle w:val="TableText"/>
              <w:keepNext/>
            </w:pPr>
            <w:r>
              <w:t>版本与生效期间分离</w:t>
            </w:r>
          </w:p>
        </w:tc>
      </w:tr>
      <w:tr>
        <w:trPr>
          <w:cantSplit/>
        </w:trPr>
        <w:tc>
          <w:tcPr>
            <w:tcW w:type="dxa" w:w="1531"/>
            <w:vAlign w:val="center"/>
          </w:tcPr>
          <w:p>
            <w:pPr>
              <w:pStyle w:val="TableText"/>
            </w:pPr>
            <w:r>
              <w:t>a，u，c，j</w:t>
            </w:r>
          </w:p>
        </w:tc>
        <w:tc>
          <w:tcPr>
            <w:tcW w:type="dxa" w:w="4252"/>
            <w:vAlign w:val="center"/>
          </w:tcPr>
          <w:p>
            <w:pPr>
              <w:pStyle w:val="TableText"/>
            </w:pPr>
            <w:r>
              <w:t>稳定活动、原文编码单元、标准行业小类、AMNE行业</w:t>
            </w:r>
          </w:p>
        </w:tc>
        <w:tc>
          <w:tcPr>
            <w:tcW w:type="dxa" w:w="3345"/>
            <w:vAlign w:val="center"/>
          </w:tcPr>
          <w:p>
            <w:pPr>
              <w:pStyle w:val="TableText"/>
            </w:pPr>
            <w:r>
              <w:t>活动不等于官方条目或行业</w:t>
            </w:r>
          </w:p>
        </w:tc>
      </w:tr>
      <w:tr>
        <w:trPr>
          <w:cantSplit/>
        </w:trPr>
        <w:tc>
          <w:tcPr>
            <w:tcW w:type="dxa" w:w="1531"/>
            <w:vAlign w:val="center"/>
          </w:tcPr>
          <w:p>
            <w:pPr>
              <w:pStyle w:val="TableText"/>
            </w:pPr>
            <w:r>
              <w:t>m，C，g</w:t>
            </w:r>
          </w:p>
        </w:tc>
        <w:tc>
          <w:tcPr>
            <w:tcW w:type="dxa" w:w="4252"/>
            <w:vAlign w:val="center"/>
          </w:tcPr>
          <w:p>
            <w:pPr>
              <w:pStyle w:val="TableText"/>
            </w:pPr>
            <w:r>
              <w:t>所有权来源经济体、中国、所有权类型</w:t>
            </w:r>
          </w:p>
        </w:tc>
        <w:tc>
          <w:tcPr>
            <w:tcW w:type="dxa" w:w="3345"/>
            <w:vAlign w:val="center"/>
          </w:tcPr>
          <w:p>
            <w:pPr>
              <w:pStyle w:val="TableText"/>
            </w:pPr>
            <w:r>
              <w:t>g取外资F或内资D</w:t>
            </w:r>
          </w:p>
        </w:tc>
      </w:tr>
      <w:tr>
        <w:trPr>
          <w:cantSplit/>
        </w:trPr>
        <w:tc>
          <w:tcPr>
            <w:tcW w:type="dxa" w:w="1531"/>
            <w:vAlign w:val="center"/>
          </w:tcPr>
          <w:p>
            <w:pPr>
              <w:pStyle w:val="TableText"/>
              <w:keepNext/>
            </w:pPr>
            <w:r>
              <w:t>zᵏ，Zᵏ，L</w:t>
            </w:r>
          </w:p>
        </w:tc>
        <w:tc>
          <w:tcPr>
            <w:tcW w:type="dxa" w:w="4252"/>
            <w:vAlign w:val="center"/>
          </w:tcPr>
          <w:p>
            <w:pPr>
              <w:pStyle w:val="TableText"/>
              <w:keepNext/>
            </w:pPr>
            <w:r>
              <w:t>第k类限制、行业暴露、相对基期开放变化</w:t>
            </w:r>
          </w:p>
        </w:tc>
        <w:tc>
          <w:tcPr>
            <w:tcW w:type="dxa" w:w="3345"/>
            <w:vAlign w:val="center"/>
          </w:tcPr>
          <w:p>
            <w:pPr>
              <w:pStyle w:val="TableText"/>
              <w:keepNext/>
            </w:pPr>
            <w:r>
              <w:t>状态、强度与变化分别保存</w:t>
            </w:r>
          </w:p>
        </w:tc>
      </w:tr>
      <w:tr>
        <w:trPr>
          <w:cantSplit/>
        </w:trPr>
        <w:tc>
          <w:tcPr>
            <w:tcW w:type="dxa" w:w="1531"/>
            <w:vAlign w:val="center"/>
          </w:tcPr>
          <w:p>
            <w:pPr>
              <w:pStyle w:val="TableText"/>
            </w:pPr>
            <w:r>
              <w:t>GO，Sᶠ，d</w:t>
            </w:r>
          </w:p>
        </w:tc>
        <w:tc>
          <w:tcPr>
            <w:tcW w:type="dxa" w:w="4252"/>
            <w:vAlign w:val="center"/>
          </w:tcPr>
          <w:p>
            <w:pPr>
              <w:pStyle w:val="TableText"/>
            </w:pPr>
            <w:r>
              <w:t>总产出、外资生产份额、结构成本楔子</w:t>
            </w:r>
          </w:p>
        </w:tc>
        <w:tc>
          <w:tcPr>
            <w:tcW w:type="dxa" w:w="3345"/>
            <w:vAlign w:val="center"/>
          </w:tcPr>
          <w:p>
            <w:pPr>
              <w:pStyle w:val="TableText"/>
            </w:pPr>
            <w:r>
              <w:t>产出不是FDI流入或存量</w:t>
            </w:r>
          </w:p>
        </w:tc>
      </w:tr>
    </w:tbl>
    <w:p>
      <w:pPr>
        <w:pStyle w:val="NoteText"/>
        <w:spacing w:after="20"/>
        <w:jc w:val="both"/>
      </w:pPr>
    </w:p>
    <w:p>
      <w:pPr>
        <w:pStyle w:val="Heading1"/>
      </w:pPr>
      <w:r>
        <w:rPr>
          <w:lang w:val="en-US" w:eastAsia="zh-CN"/>
        </w:rPr>
        <w:t>A2　政策语料与时间归属</w:t>
      </w:r>
    </w:p>
    <w:p>
      <w:pPr>
        <w:pStyle w:val="Heading2"/>
      </w:pPr>
      <w:r>
        <w:rPr>
          <w:lang w:val="en-US" w:eastAsia="zh-CN"/>
        </w:rPr>
        <w:t>A2.1　语料边界与来源登记</w:t>
      </w:r>
    </w:p>
    <w:p>
      <w:pPr>
        <w:jc w:val="both"/>
      </w:pPr>
      <w:r>
        <w:rPr>
          <w:lang w:val="en-US" w:eastAsia="zh-CN"/>
        </w:rPr>
        <w:t>政策语料以全国性外商投资准入特别管理措施及其直接前身为核心，保留正式文件、发布命令、总说明、表格、脚注和过渡安排。行业主管部门对条文生效时间、适用范围或预定开放安排作出的有效调整，作为关联文件登记。政策解读用于辅助定位，最终编码依据有效法律文本；解读与条文不一致时，不由模型自行选择。</w:t>
      </w:r>
    </w:p>
    <w:p>
      <w:pPr>
        <w:jc w:val="both"/>
      </w:pPr>
      <w:r>
        <w:rPr>
          <w:lang w:val="en-US" w:eastAsia="zh-CN"/>
        </w:rPr>
        <w:t>每份文件登记政策层级、发布机关、正式标题、文号、发布日期、实际生效日期、失效日期、权威来源地址、下载日期、文件哈希及文本提取方式。PDF文本提取与OCR输出均保留页码对应；OCR不确定的比例、否定词、日期和括号范围必须回看原页。文件名称不是政策身份的证据，2017年文件应核对其是否为《外商投资产业指导目录（2017年修订）》及其中的准入特别管理措施。不得将自贸试验区清单、一般市场准入负面清单或鼓励目录混入全国负面清单序列。</w:t>
      </w:r>
    </w:p>
    <w:p>
      <w:pPr>
        <w:pStyle w:val="Caption"/>
        <w:keepNext/>
        <w:jc w:val="left"/>
      </w:pPr>
      <w:r>
        <w:rPr>
          <w:lang w:val="en-US" w:eastAsia="zh-CN"/>
        </w:rPr>
        <w:t>表A2　政策版本与年度状态的衔接</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850"/>
        <w:gridCol w:w="4195"/>
        <w:gridCol w:w="4082"/>
      </w:tblGrid>
      <w:tr>
        <w:trPr>
          <w:cantSplit/>
          <w:tblHeader/>
        </w:trPr>
        <w:tc>
          <w:tcPr>
            <w:tcW w:type="dxa" w:w="850"/>
            <w:vAlign w:val="center"/>
            <w:tcBorders>
              <w:bottom w:val="single" w:sz="5" w:color="000000"/>
            </w:tcBorders>
          </w:tcPr>
          <w:p>
            <w:pPr>
              <w:pStyle w:val="TableText"/>
              <w:keepNext/>
            </w:pPr>
            <w:r>
              <w:rPr>
                <w:b/>
              </w:rPr>
              <w:t>版本</w:t>
            </w:r>
          </w:p>
        </w:tc>
        <w:tc>
          <w:tcPr>
            <w:tcW w:type="dxa" w:w="4195"/>
            <w:vAlign w:val="center"/>
            <w:tcBorders>
              <w:bottom w:val="single" w:sz="5" w:color="000000"/>
            </w:tcBorders>
          </w:tcPr>
          <w:p>
            <w:pPr>
              <w:pStyle w:val="TableText"/>
              <w:keepNext/>
            </w:pPr>
            <w:r>
              <w:rPr>
                <w:b/>
              </w:rPr>
              <w:t>生效或衔接依据</w:t>
            </w:r>
          </w:p>
        </w:tc>
        <w:tc>
          <w:tcPr>
            <w:tcW w:type="dxa" w:w="4082"/>
            <w:vAlign w:val="center"/>
            <w:tcBorders>
              <w:bottom w:val="single" w:sz="5" w:color="000000"/>
            </w:tcBorders>
          </w:tcPr>
          <w:p>
            <w:pPr>
              <w:pStyle w:val="TableText"/>
              <w:keepNext/>
            </w:pPr>
            <w:r>
              <w:rPr>
                <w:b/>
              </w:rPr>
              <w:t>编码处理</w:t>
            </w:r>
          </w:p>
        </w:tc>
      </w:tr>
      <w:tr>
        <w:trPr>
          <w:cantSplit/>
        </w:trPr>
        <w:tc>
          <w:tcPr>
            <w:tcW w:type="dxa" w:w="850"/>
            <w:vAlign w:val="center"/>
          </w:tcPr>
          <w:p>
            <w:pPr>
              <w:pStyle w:val="TableText"/>
              <w:keepNext/>
            </w:pPr>
            <w:r>
              <w:t>2017</w:t>
            </w:r>
          </w:p>
        </w:tc>
        <w:tc>
          <w:tcPr>
            <w:tcW w:type="dxa" w:w="4195"/>
            <w:vAlign w:val="center"/>
          </w:tcPr>
          <w:p>
            <w:pPr>
              <w:pStyle w:val="TableText"/>
              <w:keepNext/>
            </w:pPr>
            <w:r>
              <w:t>全国序列前身为2017年修订目录中的准入特别管理措施</w:t>
            </w:r>
          </w:p>
        </w:tc>
        <w:tc>
          <w:tcPr>
            <w:tcW w:type="dxa" w:w="4082"/>
            <w:vAlign w:val="center"/>
          </w:tcPr>
          <w:p>
            <w:pPr>
              <w:pStyle w:val="TableText"/>
              <w:keepNext/>
            </w:pPr>
            <w:r>
              <w:t>现有PDF须核验正式身份、范围及生效日期</w:t>
            </w:r>
          </w:p>
        </w:tc>
      </w:tr>
      <w:tr>
        <w:trPr>
          <w:cantSplit/>
        </w:trPr>
        <w:tc>
          <w:tcPr>
            <w:tcW w:type="dxa" w:w="850"/>
            <w:vAlign w:val="center"/>
          </w:tcPr>
          <w:p>
            <w:pPr>
              <w:pStyle w:val="TableText"/>
            </w:pPr>
            <w:r>
              <w:t>2018</w:t>
            </w:r>
          </w:p>
        </w:tc>
        <w:tc>
          <w:tcPr>
            <w:tcW w:type="dxa" w:w="4195"/>
            <w:vAlign w:val="center"/>
          </w:tcPr>
          <w:p>
            <w:pPr>
              <w:pStyle w:val="TableText"/>
            </w:pPr>
            <w:r>
              <w:t>2018年7月28日生效；2018年第18号令</w:t>
            </w:r>
          </w:p>
        </w:tc>
        <w:tc>
          <w:tcPr>
            <w:tcW w:type="dxa" w:w="4082"/>
            <w:vAlign w:val="center"/>
          </w:tcPr>
          <w:p>
            <w:pPr>
              <w:pStyle w:val="TableText"/>
            </w:pPr>
            <w:r>
              <w:t>保留汽车等领域预先宣布的后续放宽安排</w:t>
            </w:r>
          </w:p>
        </w:tc>
      </w:tr>
      <w:tr>
        <w:trPr>
          <w:cantSplit/>
        </w:trPr>
        <w:tc>
          <w:tcPr>
            <w:tcW w:type="dxa" w:w="850"/>
            <w:vAlign w:val="center"/>
          </w:tcPr>
          <w:p>
            <w:pPr>
              <w:pStyle w:val="TableText"/>
            </w:pPr>
            <w:r>
              <w:t>2019</w:t>
            </w:r>
          </w:p>
        </w:tc>
        <w:tc>
          <w:tcPr>
            <w:tcW w:type="dxa" w:w="4195"/>
            <w:vAlign w:val="center"/>
          </w:tcPr>
          <w:p>
            <w:pPr>
              <w:pStyle w:val="TableText"/>
            </w:pPr>
            <w:r>
              <w:t>2019年7月30日生效；2019年第25号令</w:t>
            </w:r>
          </w:p>
        </w:tc>
        <w:tc>
          <w:tcPr>
            <w:tcW w:type="dxa" w:w="4082"/>
            <w:vAlign w:val="center"/>
          </w:tcPr>
          <w:p>
            <w:pPr>
              <w:pStyle w:val="TableText"/>
            </w:pPr>
            <w:r>
              <w:t>登记取消、调整与改写，不按条号直接连接</w:t>
            </w:r>
          </w:p>
        </w:tc>
      </w:tr>
      <w:tr>
        <w:trPr>
          <w:cantSplit/>
        </w:trPr>
        <w:tc>
          <w:tcPr>
            <w:tcW w:type="dxa" w:w="850"/>
            <w:vAlign w:val="center"/>
          </w:tcPr>
          <w:p>
            <w:pPr>
              <w:pStyle w:val="TableText"/>
            </w:pPr>
            <w:r>
              <w:t>2020</w:t>
            </w:r>
          </w:p>
        </w:tc>
        <w:tc>
          <w:tcPr>
            <w:tcW w:type="dxa" w:w="4195"/>
            <w:vAlign w:val="center"/>
          </w:tcPr>
          <w:p>
            <w:pPr>
              <w:pStyle w:val="TableText"/>
            </w:pPr>
            <w:r>
              <w:t>2020年7月23日生效；2020年第32号令</w:t>
            </w:r>
          </w:p>
        </w:tc>
        <w:tc>
          <w:tcPr>
            <w:tcW w:type="dxa" w:w="4082"/>
            <w:vAlign w:val="center"/>
          </w:tcPr>
          <w:p>
            <w:pPr>
              <w:pStyle w:val="TableText"/>
            </w:pPr>
            <w:r>
              <w:t>关联主管部门调整，核查例外与一般说明</w:t>
            </w:r>
          </w:p>
        </w:tc>
      </w:tr>
      <w:tr>
        <w:trPr>
          <w:cantSplit/>
        </w:trPr>
        <w:tc>
          <w:tcPr>
            <w:tcW w:type="dxa" w:w="850"/>
            <w:vAlign w:val="center"/>
          </w:tcPr>
          <w:p>
            <w:pPr>
              <w:pStyle w:val="TableText"/>
              <w:keepNext/>
            </w:pPr>
            <w:r>
              <w:t>2021</w:t>
            </w:r>
          </w:p>
        </w:tc>
        <w:tc>
          <w:tcPr>
            <w:tcW w:type="dxa" w:w="4195"/>
            <w:vAlign w:val="center"/>
          </w:tcPr>
          <w:p>
            <w:pPr>
              <w:pStyle w:val="TableText"/>
              <w:keepNext/>
            </w:pPr>
            <w:r>
              <w:t>2022年1月1日起实施；后由2024版替代</w:t>
            </w:r>
          </w:p>
        </w:tc>
        <w:tc>
          <w:tcPr>
            <w:tcW w:type="dxa" w:w="4082"/>
            <w:vAlign w:val="center"/>
          </w:tcPr>
          <w:p>
            <w:pPr>
              <w:pStyle w:val="TableText"/>
              <w:keepNext/>
            </w:pPr>
            <w:r>
              <w:t>版本年为2021，年度实施状态从2022年开始</w:t>
            </w:r>
          </w:p>
        </w:tc>
      </w:tr>
      <w:tr>
        <w:trPr>
          <w:cantSplit/>
        </w:trPr>
        <w:tc>
          <w:tcPr>
            <w:tcW w:type="dxa" w:w="850"/>
            <w:vAlign w:val="center"/>
          </w:tcPr>
          <w:p>
            <w:pPr>
              <w:pStyle w:val="TableText"/>
            </w:pPr>
            <w:r>
              <w:t>2024</w:t>
            </w:r>
          </w:p>
        </w:tc>
        <w:tc>
          <w:tcPr>
            <w:tcW w:type="dxa" w:w="4195"/>
            <w:vAlign w:val="center"/>
          </w:tcPr>
          <w:p>
            <w:pPr>
              <w:pStyle w:val="TableText"/>
            </w:pPr>
            <w:r>
              <w:t>2024年11月1日生效；2024年第23号令</w:t>
            </w:r>
          </w:p>
        </w:tc>
        <w:tc>
          <w:tcPr>
            <w:tcW w:type="dxa" w:w="4082"/>
            <w:vAlign w:val="center"/>
          </w:tcPr>
          <w:p>
            <w:pPr>
              <w:pStyle w:val="TableText"/>
            </w:pPr>
            <w:r>
              <w:t>纳入测度和情景；现有有效产出数据无实施后窗口</w:t>
            </w:r>
          </w:p>
        </w:tc>
      </w:tr>
    </w:tbl>
    <w:p>
      <w:pPr>
        <w:pStyle w:val="NoteText"/>
        <w:spacing w:after="20"/>
        <w:jc w:val="both"/>
      </w:pPr>
    </w:p>
    <w:p>
      <w:pPr>
        <w:pStyle w:val="NoteText"/>
        <w:jc w:val="both"/>
      </w:pPr>
      <w:r>
        <w:rPr>
          <w:lang w:val="en-US" w:eastAsia="zh-CN"/>
        </w:rPr>
        <w:t>注：2018、2019、2020及2024年的日期由国家发展改革委官方发布核实；2021版与2024版的衔接同时见现有PDF总说明。表中登记的是版本，不意味着每年均发布新清单。更早年份需补充当时有效政策，不能将2017状态向前回填。</w:t>
      </w:r>
    </w:p>
    <w:p>
      <w:pPr>
        <w:pStyle w:val="Heading2"/>
      </w:pPr>
      <w:r>
        <w:rPr>
          <w:lang w:val="en-US" w:eastAsia="zh-CN"/>
        </w:rPr>
        <w:t>A2.2　年度化与预期效应</w:t>
      </w:r>
    </w:p>
    <w:p>
      <w:pPr>
        <w:jc w:val="both"/>
      </w:pPr>
      <w:r>
        <w:rPr>
          <w:lang w:val="en-US" w:eastAsia="zh-CN"/>
        </w:rPr>
        <w:t>政策状态首先按实际日期建立区间。对年度产出这一流量变量，描述性强度以年内生效天数加权：一项活动在同一年先后适用多个规则时，按各规则实际覆盖日期计算年度平均。对无法充分确认的日期保留缺失并进入审计。年末状态用于与采用年末口径的外部法定限制指标比较，不直接替代年度平均状态。</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 </m:t>
        </m:r>
        <m:f>
          <m:num>
            <m:sSub>
              <m:e>
                <m:r>
                  <m:rPr>
                    <m:sty m:val="p"/>
                  </m:rPr>
                  <w:rPr>
                    <w:rFonts w:ascii="Cambria Math" w:hAnsi="Cambria Math"/>
                  </w:rPr>
                  <m:t xml:space="preserve">∑</m:t>
                </m:r>
              </m:e>
              <m:sub>
                <m:r>
                  <m:rPr>
                    <m:sty m:val="p"/>
                  </m:rPr>
                  <w:rPr>
                    <w:rFonts w:ascii="Cambria Math" w:hAnsi="Cambria Math"/>
                  </w:rPr>
                  <m:t xml:space="preserve">τ∈t</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aτ</m:t>
                </m:r>
              </m:sub>
              <m:sup>
                <m:r>
                  <m:rPr>
                    <m:sty m:val="p"/>
                  </m:rPr>
                  <w:rPr>
                    <w:rFonts w:ascii="Cambria Math" w:hAnsi="Cambria Math"/>
                  </w:rPr>
                  <m:t xml:space="preserve">k</m:t>
                </m:r>
              </m:sup>
            </m:sSubSup>
          </m:num>
          <m:den>
            <m:sSub>
              <m:e>
                <m:r>
                  <m:rPr>
                    <m:sty m:val="p"/>
                  </m:rPr>
                  <w:rPr>
                    <w:rFonts w:ascii="Cambria Math" w:hAnsi="Cambria Math"/>
                  </w:rPr>
                  <m:t xml:space="preserve">D</m:t>
                </m:r>
              </m:e>
              <m:sub>
                <m:r>
                  <m:rPr>
                    <m:sty m:val="p"/>
                  </m:rPr>
                  <w:rPr>
                    <w:rFonts w:ascii="Cambria Math" w:hAnsi="Cambria Math"/>
                  </w:rPr>
                  <m:t xml:space="preserve">t</m:t>
                </m:r>
              </m:sub>
            </m:sSub>
          </m:den>
        </m:f>
      </m:oMath>
      <w:r>
        <w:rPr>
          <w:lang w:val="en-US" w:eastAsia="zh-CN"/>
        </w:rPr>
        <w:tab/>
        <w:t>（A2）</w:t>
      </w:r>
    </w:p>
    <w:p>
      <w:pPr>
        <w:jc w:val="both"/>
      </w:pPr>
      <w:r>
        <w:rPr>
          <w:lang w:val="en-US" w:eastAsia="zh-CN"/>
        </w:rPr>
        <w:t>Dₜ为该年日数。式（A2）仅为政策暴露的时间归属规则，不假定企业反应与生效天数成比例。事件研究另保存宣布日期、生效日期和首个完整实施年。若年中生效，基准事件窗口将过渡年单独列示或排除，并以实际生效年和首个完整实施年分别做敏感性分析。</w:t>
      </w:r>
    </w:p>
    <w:p>
      <w:pPr>
        <w:jc w:val="both"/>
      </w:pPr>
      <w:r>
        <w:rPr>
          <w:lang w:val="en-US" w:eastAsia="zh-CN"/>
        </w:rPr>
        <w:t>2018年汽车开放安排已经公布后续分期实施时间，意味着企业可能提前调整。预定实施日期具有可核验性，但不自动满足政策外生性。识别中分别检验宣布后的提前响应与实施后的变化，避免把宣布后的年份当作严格未处理期。无新清单的年份仍需检查预定条款到期、主管部门调整和特殊规定变化；只有全部相关规则不变时才沿用上一期状态。</w:t>
      </w:r>
    </w:p>
    <w:p>
      <w:pPr>
        <w:pStyle w:val="Heading1"/>
      </w:pPr>
      <w:r>
        <w:rPr>
          <w:lang w:val="en-US" w:eastAsia="zh-CN"/>
        </w:rPr>
        <w:t>A3　限制事实抽取与编码规则</w:t>
      </w:r>
    </w:p>
    <w:p>
      <w:pPr>
        <w:pStyle w:val="Heading2"/>
      </w:pPr>
      <w:r>
        <w:rPr>
          <w:lang w:val="en-US" w:eastAsia="zh-CN"/>
        </w:rPr>
        <w:t>A3.1　活动单元与条件适用</w:t>
      </w:r>
    </w:p>
    <w:p>
      <w:pPr>
        <w:jc w:val="both"/>
      </w:pPr>
      <w:r>
        <w:rPr>
          <w:lang w:val="en-US" w:eastAsia="zh-CN"/>
        </w:rPr>
        <w:t>原文编码单元u是能够独立判断限制内容与适用条件的最小条文片段，稳定活动a则用于跨版本比较。一个官方序号可以包含多个活动；同一活动可同时受到多个约束。若不同活动的法律状态相同，可保留共同限制并建立活动明细；若例外、股比或生效日期不同，必须拆分。拆分不得改变原文覆盖范围，也不得把文本列举数量解释为经济活动权重。</w:t>
      </w:r>
    </w:p>
    <w:p>
      <w:pPr>
        <w:jc w:val="both"/>
      </w:pPr>
      <w:r>
        <w:rPr>
          <w:lang w:val="en-US" w:eastAsia="zh-CN"/>
        </w:rPr>
        <w:t>对禁止性规定附带例外的情况，同时记录基础禁止和例外适用条件。只有在观察对象满足例外条件时，才将相应约束调整为适用的例外状态；无资格或地点信息时，将该活动标记为有条件适用并保留上下界。仅在数据库中保存例外文字但仍对全部活动赋予无条件禁止，不能视为完成例外处理。</w:t>
      </w:r>
    </w:p>
    <w:p>
      <w:pPr>
        <w:pStyle w:val="Heading2"/>
      </w:pPr>
      <w:r>
        <w:rPr>
          <w:lang w:val="en-US" w:eastAsia="zh-CN"/>
        </w:rPr>
        <w:t>A3.2　事实层与分析层分离</w:t>
      </w:r>
    </w:p>
    <w:p>
      <w:pPr>
        <w:pStyle w:val="Caption"/>
        <w:keepNext/>
        <w:jc w:val="left"/>
      </w:pPr>
      <w:r>
        <w:rPr>
          <w:lang w:val="en-US" w:eastAsia="zh-CN"/>
        </w:rPr>
        <w:t>表A3　限制类型与分析编码</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361"/>
        <w:gridCol w:w="4139"/>
        <w:gridCol w:w="3628"/>
      </w:tblGrid>
      <w:tr>
        <w:trPr>
          <w:cantSplit/>
          <w:tblHeader/>
        </w:trPr>
        <w:tc>
          <w:tcPr>
            <w:tcW w:type="dxa" w:w="1361"/>
            <w:vAlign w:val="center"/>
            <w:tcBorders>
              <w:bottom w:val="single" w:sz="5" w:color="000000"/>
            </w:tcBorders>
          </w:tcPr>
          <w:p>
            <w:pPr>
              <w:pStyle w:val="TableText"/>
              <w:keepNext/>
            </w:pPr>
            <w:r>
              <w:rPr>
                <w:b/>
              </w:rPr>
              <w:t>类型</w:t>
            </w:r>
          </w:p>
        </w:tc>
        <w:tc>
          <w:tcPr>
            <w:tcW w:type="dxa" w:w="4139"/>
            <w:vAlign w:val="center"/>
            <w:tcBorders>
              <w:bottom w:val="single" w:sz="5" w:color="000000"/>
            </w:tcBorders>
          </w:tcPr>
          <w:p>
            <w:pPr>
              <w:pStyle w:val="TableText"/>
              <w:keepNext/>
            </w:pPr>
            <w:r>
              <w:rPr>
                <w:b/>
              </w:rPr>
              <w:t>事实字段与分析变量</w:t>
            </w:r>
          </w:p>
        </w:tc>
        <w:tc>
          <w:tcPr>
            <w:tcW w:type="dxa" w:w="3628"/>
            <w:vAlign w:val="center"/>
            <w:tcBorders>
              <w:bottom w:val="single" w:sz="5" w:color="000000"/>
            </w:tcBorders>
          </w:tcPr>
          <w:p>
            <w:pPr>
              <w:pStyle w:val="TableText"/>
              <w:keepNext/>
            </w:pPr>
            <w:r>
              <w:rPr>
                <w:b/>
              </w:rPr>
              <w:t>不可混同的情况</w:t>
            </w:r>
          </w:p>
        </w:tc>
      </w:tr>
      <w:tr>
        <w:trPr>
          <w:cantSplit/>
        </w:trPr>
        <w:tc>
          <w:tcPr>
            <w:tcW w:type="dxa" w:w="1361"/>
            <w:vAlign w:val="center"/>
          </w:tcPr>
          <w:p>
            <w:pPr>
              <w:pStyle w:val="TableText"/>
              <w:keepNext/>
            </w:pPr>
            <w:r>
              <w:t>禁止准入 P</w:t>
            </w:r>
          </w:p>
        </w:tc>
        <w:tc>
          <w:tcPr>
            <w:tcW w:type="dxa" w:w="4139"/>
            <w:vAlign w:val="center"/>
          </w:tcPr>
          <w:p>
            <w:pPr>
              <w:pStyle w:val="TableText"/>
              <w:keepNext/>
            </w:pPr>
            <w:r>
              <w:t>access_status及prohibit；适用对象被禁止为1，否则为0</w:t>
            </w:r>
          </w:p>
        </w:tc>
        <w:tc>
          <w:tcPr>
            <w:tcW w:type="dxa" w:w="3628"/>
            <w:vAlign w:val="center"/>
          </w:tcPr>
          <w:p>
            <w:pPr>
              <w:pStyle w:val="TableText"/>
              <w:keepNext/>
            </w:pPr>
            <w:r>
              <w:t>例外对象和一般对象区分；未知不等于0</w:t>
            </w:r>
          </w:p>
        </w:tc>
      </w:tr>
      <w:tr>
        <w:trPr>
          <w:cantSplit/>
        </w:trPr>
        <w:tc>
          <w:tcPr>
            <w:tcW w:type="dxa" w:w="1361"/>
            <w:vAlign w:val="center"/>
          </w:tcPr>
          <w:p>
            <w:pPr>
              <w:pStyle w:val="TableText"/>
            </w:pPr>
            <w:r>
              <w:t>股比限制 E</w:t>
            </w:r>
          </w:p>
        </w:tc>
        <w:tc>
          <w:tcPr>
            <w:tcW w:type="dxa" w:w="4139"/>
            <w:vAlign w:val="center"/>
          </w:tcPr>
          <w:p>
            <w:pPr>
              <w:pStyle w:val="TableText"/>
            </w:pPr>
            <w:r>
              <w:t>foreign_cap保留总持股上限；可确定时E＝1−foreign_cap</w:t>
            </w:r>
          </w:p>
        </w:tc>
        <w:tc>
          <w:tcPr>
            <w:tcW w:type="dxa" w:w="3628"/>
            <w:vAlign w:val="center"/>
          </w:tcPr>
          <w:p>
            <w:pPr>
              <w:pStyle w:val="TableText"/>
            </w:pPr>
            <w:r>
              <w:t>总股比与单一投资者上限区分；中方控股不机械换为49%</w:t>
            </w:r>
          </w:p>
        </w:tc>
      </w:tr>
      <w:tr>
        <w:trPr>
          <w:cantSplit/>
        </w:trPr>
        <w:tc>
          <w:tcPr>
            <w:tcW w:type="dxa" w:w="1361"/>
            <w:vAlign w:val="center"/>
          </w:tcPr>
          <w:p>
            <w:pPr>
              <w:pStyle w:val="TableText"/>
            </w:pPr>
            <w:r>
              <w:t>中方控制 C</w:t>
            </w:r>
          </w:p>
        </w:tc>
        <w:tc>
          <w:tcPr>
            <w:tcW w:type="dxa" w:w="4139"/>
            <w:vAlign w:val="center"/>
          </w:tcPr>
          <w:p>
            <w:pPr>
              <w:pStyle w:val="TableText"/>
            </w:pPr>
            <w:r>
              <w:t>记录控股、相对控股、主导的原始子类型；存在要求为1</w:t>
            </w:r>
          </w:p>
        </w:tc>
        <w:tc>
          <w:tcPr>
            <w:tcW w:type="dxa" w:w="3628"/>
            <w:vAlign w:val="center"/>
          </w:tcPr>
          <w:p>
            <w:pPr>
              <w:pStyle w:val="TableText"/>
            </w:pPr>
            <w:r>
              <w:t>保留控制概念差异，不以一个数值替代所有权安排</w:t>
            </w:r>
          </w:p>
        </w:tc>
      </w:tr>
      <w:tr>
        <w:trPr>
          <w:cantSplit/>
        </w:trPr>
        <w:tc>
          <w:tcPr>
            <w:tcW w:type="dxa" w:w="1361"/>
            <w:vAlign w:val="center"/>
          </w:tcPr>
          <w:p>
            <w:pPr>
              <w:pStyle w:val="TableText"/>
            </w:pPr>
            <w:r>
              <w:t>组织形式 O</w:t>
            </w:r>
          </w:p>
        </w:tc>
        <w:tc>
          <w:tcPr>
            <w:tcW w:type="dxa" w:w="4139"/>
            <w:vAlign w:val="center"/>
          </w:tcPr>
          <w:p>
            <w:pPr>
              <w:pStyle w:val="TableText"/>
            </w:pPr>
            <w:r>
              <w:t>记录合资、合作等形式要求；存在差别性要求为1</w:t>
            </w:r>
          </w:p>
        </w:tc>
        <w:tc>
          <w:tcPr>
            <w:tcW w:type="dxa" w:w="3628"/>
            <w:vAlign w:val="center"/>
          </w:tcPr>
          <w:p>
            <w:pPr>
              <w:pStyle w:val="TableText"/>
            </w:pPr>
            <w:r>
              <w:t>组织形式要求不自动等于确定股比上限</w:t>
            </w:r>
          </w:p>
        </w:tc>
      </w:tr>
      <w:tr>
        <w:trPr>
          <w:cantSplit/>
        </w:trPr>
        <w:tc>
          <w:tcPr>
            <w:tcW w:type="dxa" w:w="1361"/>
            <w:vAlign w:val="center"/>
          </w:tcPr>
          <w:p>
            <w:pPr>
              <w:pStyle w:val="TableText"/>
              <w:keepNext/>
            </w:pPr>
            <w:r>
              <w:t>治理要求 G</w:t>
            </w:r>
          </w:p>
        </w:tc>
        <w:tc>
          <w:tcPr>
            <w:tcW w:type="dxa" w:w="4139"/>
            <w:vAlign w:val="center"/>
          </w:tcPr>
          <w:p>
            <w:pPr>
              <w:pStyle w:val="TableText"/>
              <w:keepNext/>
            </w:pPr>
            <w:r>
              <w:t>记录法定代表人、高管、董事会等具体要求</w:t>
            </w:r>
          </w:p>
        </w:tc>
        <w:tc>
          <w:tcPr>
            <w:tcW w:type="dxa" w:w="3628"/>
            <w:vAlign w:val="center"/>
          </w:tcPr>
          <w:p>
            <w:pPr>
              <w:pStyle w:val="TableText"/>
              <w:keepNext/>
            </w:pPr>
            <w:r>
              <w:t>高管国籍、董事构成和控制权分别保存</w:t>
            </w:r>
          </w:p>
        </w:tc>
      </w:tr>
      <w:tr>
        <w:trPr>
          <w:cantSplit/>
        </w:trPr>
        <w:tc>
          <w:tcPr>
            <w:tcW w:type="dxa" w:w="1361"/>
            <w:vAlign w:val="center"/>
          </w:tcPr>
          <w:p>
            <w:pPr>
              <w:pStyle w:val="TableText"/>
            </w:pPr>
            <w:r>
              <w:t>其他准入 R</w:t>
            </w:r>
          </w:p>
        </w:tc>
        <w:tc>
          <w:tcPr>
            <w:tcW w:type="dxa" w:w="4139"/>
            <w:vAlign w:val="center"/>
          </w:tcPr>
          <w:p>
            <w:pPr>
              <w:pStyle w:val="TableText"/>
            </w:pPr>
            <w:r>
              <w:t>记录数量、业务范围、地域及单一投资者上限等子类型</w:t>
            </w:r>
          </w:p>
        </w:tc>
        <w:tc>
          <w:tcPr>
            <w:tcW w:type="dxa" w:w="3628"/>
            <w:vAlign w:val="center"/>
          </w:tcPr>
          <w:p>
            <w:pPr>
              <w:pStyle w:val="TableText"/>
            </w:pPr>
            <w:r>
              <w:t>其他类仅为汇总标签，底层保持经济含义可分辨</w:t>
            </w:r>
          </w:p>
        </w:tc>
      </w:tr>
    </w:tbl>
    <w:p>
      <w:pPr>
        <w:pStyle w:val="NoteText"/>
        <w:spacing w:after="20"/>
        <w:jc w:val="both"/>
      </w:pPr>
    </w:p>
    <w:p>
      <w:pPr>
        <w:jc w:val="both"/>
      </w:pPr>
      <w:r>
        <w:rPr>
          <w:lang w:val="en-US" w:eastAsia="zh-CN"/>
        </w:rPr>
        <w:t>事实层另设value_status，区分observed、verified_absent、not_applicable与unknown。已核验无该项限制可以生成0；条文不足、范围不明或无法确认不能生成0。对于股比变量，只有明确总持股上限、能够由中方最低股比机械换算，或已核验不存在总股比限制时，才生成E。中方控制但无明确比例时，C有定义而E可能缺失。完全禁止活动的准入状态由P记录，基准不把其股比变量补成某个有限限制。</w:t>
      </w:r>
    </w:p>
    <w:p>
      <w:pPr>
        <w:jc w:val="both"/>
      </w:pPr>
      <w:r>
        <w:rPr>
          <w:lang w:val="en-US" w:eastAsia="zh-CN"/>
        </w:rPr>
        <w:t>六类变量是信息组织框架，而非六种已被识别的独立政策冲击。真实改革可能同时改变控制权、组织形式和治理要求；原始子类型、共同出现关系及改革事件编号均须保留。分析变量只能由确定性规则从最终事实标签生成，禁止直接让LLM赋予综合开放分值。</w:t>
      </w:r>
    </w:p>
    <w:p>
      <w:pPr>
        <w:pStyle w:val="Heading2"/>
      </w:pPr>
      <w:r>
        <w:rPr>
          <w:lang w:val="en-US" w:eastAsia="zh-CN"/>
        </w:rPr>
        <w:t>A3.3　结构化输出与规则校验</w:t>
      </w:r>
    </w:p>
    <w:p>
      <w:pPr>
        <w:jc w:val="both"/>
      </w:pPr>
      <w:r>
        <w:rPr>
          <w:lang w:val="en-US" w:eastAsia="zh-CN"/>
        </w:rPr>
        <w:t>抽取器每次接收一个完整上下文单元，输入包含条文、所属章节、总说明及关联生效安排。输出采用预先固定的JSON Schema，要求逐字段返回原文证据和来源位置。提示词不包含经济结果、预期回归符号或对政策效果的评价。模型应在证据不足时返回unknown及待核验事项，不能凭训练记忆补写日期、例外或法律阈值。完整提示词见附录C。</w:t>
      </w:r>
    </w:p>
    <w:p>
      <w:pPr>
        <w:jc w:val="both"/>
      </w:pPr>
      <w:r>
        <w:rPr>
          <w:lang w:val="en-US" w:eastAsia="zh-CN"/>
        </w:rPr>
        <w:t>程序首先检查JSON结构、字段类型、代码唯一性和证据片段是否能定位到输入文本；继而检查日期顺序、股比范围与换算关系、例外适用、重复覆盖及总说明继承。规则冲突记录返回人工裁决，不由程序静默修补。原始模型输出与人工修改后的权威标签分别保存，修改记录包含旧值、新值、依据、操作者和时间。</w:t>
      </w:r>
    </w:p>
    <w:p>
      <w:pPr>
        <w:pStyle w:val="Heading1"/>
      </w:pPr>
      <w:r>
        <w:rPr>
          <w:lang w:val="en-US" w:eastAsia="zh-CN"/>
        </w:rPr>
        <w:t>A4　LLM测量的独立验证</w:t>
      </w:r>
    </w:p>
    <w:p>
      <w:pPr>
        <w:pStyle w:val="Heading2"/>
      </w:pPr>
      <w:r>
        <w:rPr>
          <w:lang w:val="en-US" w:eastAsia="zh-CN"/>
        </w:rPr>
        <w:t>A4.1　人工基准与测试样本</w:t>
      </w:r>
    </w:p>
    <w:p>
      <w:pPr>
        <w:jc w:val="both"/>
      </w:pPr>
      <w:r>
        <w:rPr>
          <w:lang w:val="en-US" w:eastAsia="zh-CN"/>
        </w:rPr>
        <w:t>对于当前规模有限的全国性政策语料，基准方案对所有决定改革识别的条款、日期和行业归属进行人工复核。另在提示词开发前建立双人独立编码的基准样本，覆盖不同版本、限制类型、文字复杂度、部分覆盖和否定例外。两名编码者先独立阅读原文，再对分歧作证据化仲裁；以模型输出供人直接确认的流程，不作为独立金标准。</w:t>
      </w:r>
    </w:p>
    <w:p>
      <w:pPr>
        <w:jc w:val="both"/>
      </w:pPr>
      <w:r>
        <w:rPr>
          <w:lang w:val="en-US" w:eastAsia="zh-CN"/>
        </w:rPr>
        <w:t>提示词开发样本与锁定测试样本按稳定活动分组划分，避免同一活动的近重复文本同时进入两组。测试样本应包含随机抽取部分及明确记录的复杂条款加抽部分。总体准确率根据抽样设计计算；仅对低置信度或模型分歧样本复核所得的准确率，不能代表全体记录。对行业候选检索，还需纳入最终未匹配的活动或行业以检验漏配。</w:t>
      </w:r>
    </w:p>
    <w:p>
      <w:pPr>
        <w:jc w:val="both"/>
      </w:pPr>
      <w:r>
        <w:rPr>
          <w:lang w:val="en-US" w:eastAsia="zh-CN"/>
        </w:rPr>
        <w:t>Ludwig、Mullainathan和Rambachan（2025）强调，将LLM测量用于下游估计需要验证数据。本文据此同时检验标签正确性与测量选择对回归的影响。重复调用一致性和跨模型一致性用于定位不稳定记录，不能替代独立人工证据；人工标签也需通过统一手册和分歧仲裁控制误差。</w:t>
      </w:r>
    </w:p>
    <w:p>
      <w:pPr>
        <w:pStyle w:val="Heading2"/>
      </w:pPr>
      <w:r>
        <w:rPr>
          <w:lang w:val="en-US" w:eastAsia="zh-CN"/>
        </w:rPr>
        <w:t>A4.2　分层质量指标</w:t>
      </w:r>
    </w:p>
    <w:p>
      <w:pPr>
        <w:pStyle w:val="EquationText"/>
        <w:tabs>
          <w:tab w:pos="4564" w:val="center"/>
          <w:tab w:pos="9128" w:val="right"/>
        </w:tabs>
        <w:spacing w:before="100" w:after="140"/>
      </w:pPr>
      <w:r>
        <w:rPr>
          <w:lang w:val="en-US" w:eastAsia="zh-CN"/>
        </w:rPr>
        <w:tab/>
      </w:r>
      <m:oMath>
        <m:r>
          <m:rPr>
            <m:sty m:val="p"/>
          </m:rPr>
          <w:rPr>
            <w:rFonts w:ascii="Cambria Math" w:hAnsi="Cambria Math"/>
          </w:rPr>
          <m:t xml:space="preserve">Precision = </m:t>
        </m:r>
        <m:f>
          <m:num>
            <m:r>
              <m:rPr>
                <m:sty m:val="p"/>
              </m:rPr>
              <w:rPr>
                <w:rFonts w:ascii="Cambria Math" w:hAnsi="Cambria Math"/>
              </w:rPr>
              <m:t xml:space="preserve">TP</m:t>
            </m:r>
          </m:num>
          <m:den>
            <m:r>
              <m:rPr>
                <m:sty m:val="p"/>
              </m:rPr>
              <w:rPr>
                <w:rFonts w:ascii="Cambria Math" w:hAnsi="Cambria Math"/>
              </w:rPr>
              <m:t xml:space="preserve">TP + FP</m:t>
            </m:r>
          </m:den>
        </m:f>
        <m:r>
          <m:rPr>
            <m:sty m:val="p"/>
          </m:rPr>
          <w:rPr>
            <w:rFonts w:ascii="Cambria Math" w:hAnsi="Cambria Math"/>
          </w:rPr>
          <m:t xml:space="preserve">， Recall = </m:t>
        </m:r>
        <m:f>
          <m:num>
            <m:r>
              <m:rPr>
                <m:sty m:val="p"/>
              </m:rPr>
              <w:rPr>
                <w:rFonts w:ascii="Cambria Math" w:hAnsi="Cambria Math"/>
              </w:rPr>
              <m:t xml:space="preserve">TP</m:t>
            </m:r>
          </m:num>
          <m:den>
            <m:r>
              <m:rPr>
                <m:sty m:val="p"/>
              </m:rPr>
              <w:rPr>
                <w:rFonts w:ascii="Cambria Math" w:hAnsi="Cambria Math"/>
              </w:rPr>
              <m:t xml:space="preserve">TP + FN</m:t>
            </m:r>
          </m:den>
        </m:f>
        <m:r>
          <m:rPr>
            <m:sty m:val="p"/>
          </m:rPr>
          <w:rPr>
            <w:rFonts w:ascii="Cambria Math" w:hAnsi="Cambria Math"/>
          </w:rPr>
          <m:t xml:space="preserve">， F1 = </m:t>
        </m:r>
        <m:f>
          <m:num>
            <m:r>
              <m:rPr>
                <m:sty m:val="p"/>
              </m:rPr>
              <w:rPr>
                <w:rFonts w:ascii="Cambria Math" w:hAnsi="Cambria Math"/>
              </w:rPr>
              <m:t xml:space="preserve">2TP</m:t>
            </m:r>
          </m:num>
          <m:den>
            <m:r>
              <m:rPr>
                <m:sty m:val="p"/>
              </m:rPr>
              <w:rPr>
                <w:rFonts w:ascii="Cambria Math" w:hAnsi="Cambria Math"/>
              </w:rPr>
              <m:t xml:space="preserve">2TP + FP + FN</m:t>
            </m:r>
          </m:den>
        </m:f>
      </m:oMath>
      <w:r>
        <w:rPr>
          <w:lang w:val="en-US" w:eastAsia="zh-CN"/>
        </w:rPr>
        <w:tab/>
        <w:t>（A3）</w:t>
      </w:r>
    </w:p>
    <w:p>
      <w:pPr>
        <w:jc w:val="both"/>
      </w:pPr>
      <w:r>
        <w:rPr>
          <w:lang w:val="en-US" w:eastAsia="zh-CN"/>
        </w:rPr>
        <w:t>式（A3）的TP、FP和FN分别表示真阳性、假阳性和假阴性。对限制类型分别报告这些指标及其支持样本数，不以大量无约束记录带来的总体准确率替代少数限制的召回率。日期和比例报告完全匹配率；活动拆分报告遗漏、重复和错误合并；例外报告漏识别与错误适用；行业映射报告正确率、候选覆盖率及未确定比例。</w:t>
      </w:r>
    </w:p>
    <w:p>
      <w:pPr>
        <w:jc w:val="both"/>
      </w:pPr>
      <w:r>
        <w:rPr>
          <w:lang w:val="en-US" w:eastAsia="zh-CN"/>
        </w:rPr>
        <w:t>跨期验证以活动—相邻有效政策区间为单位，分别检验放宽、收紧和不变的识别准确度，以及改革宣布、生效和过渡日期。大量不变条款的正确分类可能掩盖少数改革事件误判，因此改革样本与全体样本必须分开报告。年份相同、条号相同或字符串相似均不能作为法律状态不变的充分条件。</w:t>
      </w:r>
    </w:p>
    <w:p>
      <w:pPr>
        <w:pStyle w:val="Heading2"/>
      </w:pPr>
      <w:r>
        <w:rPr>
          <w:lang w:val="en-US" w:eastAsia="zh-CN"/>
        </w:rPr>
        <w:t>A4.3　版本冻结与下游敏感性</w:t>
      </w:r>
    </w:p>
    <w:p>
      <w:pPr>
        <w:jc w:val="both"/>
      </w:pPr>
      <w:r>
        <w:rPr>
          <w:lang w:val="en-US" w:eastAsia="zh-CN"/>
        </w:rPr>
        <w:t>在观察政策回归结果之前，冻结编码手册、提示词、模型精确版本、候选检索方法、阈值、聚合规则与测试样本。记录温度等调用参数和实际返回状态；重复运行不能被解释为在所有平台上必然得到逐字一致输出。模型升级后，在同一锁定测试集上比较，不以新模型名称替代性能证据。</w:t>
      </w:r>
    </w:p>
    <w:p>
      <w:pPr>
        <w:jc w:val="both"/>
      </w:pPr>
      <w:r>
        <w:rPr>
          <w:lang w:val="en-US" w:eastAsia="zh-CN"/>
        </w:rPr>
        <w:t>主分析使用人工裁决后的政策标签。另在共同样本和相同规格下比较原始LLM标签、规则修订标签与最终人工标签所得结果，报告变量变化和系数变化，避免把样本变化误认为测量质量改善。对仍未裁决的范围不确定性，采用透明的界限或情景分析。普通bootstrap不能自动消除系统性的LLM误分类；若扩展语料无法全量复核，应依据验证抽样机制采用有理论依据的测量误差修正，并明确适用条件。</w:t>
      </w:r>
    </w:p>
    <w:p>
      <w:pPr>
        <w:pStyle w:val="Heading1"/>
      </w:pPr>
      <w:r>
        <w:rPr>
          <w:lang w:val="en-US" w:eastAsia="zh-CN"/>
        </w:rPr>
        <w:t>A5　行业匹配与政策暴露构造</w:t>
      </w:r>
    </w:p>
    <w:p>
      <w:pPr>
        <w:pStyle w:val="Heading2"/>
      </w:pPr>
      <w:r>
        <w:rPr>
          <w:lang w:val="en-US" w:eastAsia="zh-CN"/>
        </w:rPr>
        <w:t>A5.1　行业分类与跨版本连接</w:t>
      </w:r>
    </w:p>
    <w:p>
      <w:pPr>
        <w:jc w:val="both"/>
      </w:pPr>
      <w:r>
        <w:rPr>
          <w:lang w:val="en-US" w:eastAsia="zh-CN"/>
        </w:rPr>
        <w:t>行业对应采用政策活动、GB/T 4754小类及注释、ISIC Rev.4和AMNE行业的逐层连接。每一层保存分类版本、候选代码、匹配依据、覆盖类型和人工裁决。GB分类参考ISIC编制并不意味着二者等效；一对多关系不得用任意选取首个代码的方式消解。对于历史数据使用不同GB版本的情况，先建立版本桥接，再统一到分析行业。</w:t>
      </w:r>
    </w:p>
    <w:p>
      <w:pPr>
        <w:jc w:val="both"/>
      </w:pPr>
      <w:r>
        <w:rPr>
          <w:lang w:val="en-US" w:eastAsia="zh-CN"/>
        </w:rPr>
        <w:t>语义检索的任务是缩小候选集合，最终匹配必须同时符合活动含义、产品范围、例外和行业注释。Eppinger和Ma（2023）的产品层面政策匹配表明，细活动识别可以减少粗行业赋值误差，但相似度高的产品仍可能因适用范围不同而误配。本文不照搬其具体阈值，而以本项目人工基准确定候选检索与裁决标准。</w:t>
      </w:r>
    </w:p>
    <w:p>
      <w:pPr>
        <w:jc w:val="both"/>
      </w:pPr>
      <w:r>
        <w:rPr>
          <w:lang w:val="en-US" w:eastAsia="zh-CN"/>
        </w:rPr>
        <w:t>官方条文拆分得到的活动不必天然构成互斥分类。聚合前需构造不重复的分析活动单元：同一小类受到多条规则覆盖时，先在该小类内求适用范围的并集或交集，再计算暴露，不能按映射行逐条求和。只有经济活动定义相同或可以构造共同细分时，才允许跨版本连接；不确定连接保留独立记录，不强制生成改革。</w:t>
      </w:r>
    </w:p>
    <w:p>
      <w:pPr>
        <w:pStyle w:val="Heading2"/>
      </w:pPr>
      <w:r>
        <w:rPr>
          <w:lang w:val="en-US" w:eastAsia="zh-CN"/>
        </w:rPr>
        <w:t>A5.2　固定分母与经济权重</w:t>
      </w:r>
    </w:p>
    <w:p>
      <w:pPr>
        <w:jc w:val="both"/>
      </w:pPr>
      <w:r>
        <w:rPr>
          <w:lang w:val="en-US" w:eastAsia="zh-CN"/>
        </w:rPr>
        <w:t>设𝒜ⱼ为行业j中覆盖完整且互不重叠的分析活动集合，wₐⱼ,₀为改革前固定经济权重。在活动状态和权重均已确认时，第k类行业暴露为：</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 1</m:t>
        </m:r>
      </m:oMath>
      <w:r>
        <w:rPr>
          <w:lang w:val="en-US" w:eastAsia="zh-CN"/>
        </w:rPr>
        <w:tab/>
        <w:t>（A4）</w:t>
      </w:r>
    </w:p>
    <w:p>
      <w:pPr>
        <w:jc w:val="both"/>
      </w:pPr>
      <w:r>
        <w:rPr>
          <w:lang w:val="en-US" w:eastAsia="zh-CN"/>
        </w:rPr>
        <w:t>权重优先采用首次纳入分析的改革之前、覆盖内外资的产出或就业份额。选择基期与数据源须在回归前固定。固定基期避免同期权重随政策变化而机械反馈，但不保证改革前经济结构本身外生。禁止准入行业中的外资产出可能为零，因此不能以改革前外资产出权重作为唯一基准，否则可能把最受限制活动赋予零权重。</w:t>
      </w:r>
    </w:p>
    <w:p>
      <w:pPr>
        <w:jc w:val="both"/>
      </w:pPr>
      <w:r>
        <w:rPr>
          <w:lang w:val="en-US" w:eastAsia="zh-CN"/>
        </w:rPr>
        <w:t>若没有可靠细活动权重，可在完整、固定的标准行业分类集合上报告等权分类覆盖率，并明确其单位为“标准行业覆盖”，而非经济产出覆盖。不得对政策原子直接等权，也不得用粗行业AMNE产出或ICIO份额冒充行业内部细产品权重。历年退出负面清单的活动和始终无清单限制的活动均保留在分母中，不能仅对当年仍受限活动重新归一化。</w:t>
      </w:r>
    </w:p>
    <w:p>
      <w:pPr>
        <w:pStyle w:val="Heading2"/>
      </w:pPr>
      <w:r>
        <w:rPr>
          <w:lang w:val="en-US" w:eastAsia="zh-CN"/>
        </w:rPr>
        <w:t>A5.3　部分覆盖与未知状态</w:t>
      </w:r>
    </w:p>
    <w:p>
      <w:pPr>
        <w:jc w:val="both"/>
      </w:pPr>
      <w:r>
        <w:rPr>
          <w:lang w:val="en-US" w:eastAsia="zh-CN"/>
        </w:rPr>
        <w:t>当一个小类只有部分活动受限，而其经济占比无法确认时，先构造该小类限制暴露的上下界。对于取值位于0和1之间的指标，完全确认的部分固定取值，尚未确定的活动范围保留可行区间；再以固定权重聚合。</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jt</m:t>
            </m:r>
          </m:sub>
          <m:sup>
            <m:r>
              <m:rPr>
                <m:sty m:val="p"/>
              </m:rPr>
              <w:rPr>
                <w:rFonts w:ascii="Cambria Math" w:hAnsi="Cambria Math"/>
              </w:rPr>
              <m:t xml:space="preserve">k</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a∈𝒜ⱼ</m:t>
            </m:r>
          </m:sub>
        </m:sSub>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aj,0</m:t>
            </m:r>
          </m:sub>
        </m:sSub>
        <m:r>
          <m:rPr>
            <m:sty m:val="p"/>
          </m:rPr>
          <w:rPr>
            <w:rFonts w:ascii="Cambria Math" w:hAnsi="Cambria Math"/>
          </w:rPr>
          <m:t xml:space="preserve"> </m:t>
        </m:r>
        <m:sSubSup>
          <m:e>
            <m:r>
              <m:rPr>
                <m:sty m:val="p"/>
              </m:rPr>
              <w:rPr>
                <w:rFonts w:ascii="Cambria Math" w:hAnsi="Cambria Math"/>
              </w:rPr>
              <m:t xml:space="preserve">z̅</m:t>
            </m:r>
          </m:e>
          <m:sub>
            <m:r>
              <m:rPr>
                <m:sty m:val="p"/>
              </m:rPr>
              <w:rPr>
                <w:rFonts w:ascii="Cambria Math" w:hAnsi="Cambria Math"/>
              </w:rPr>
              <m:t xml:space="preserve">at</m:t>
            </m:r>
          </m:sub>
          <m:sup>
            <m:r>
              <m:rPr>
                <m:sty m:val="p"/>
              </m:rPr>
              <w:rPr>
                <w:rFonts w:ascii="Cambria Math" w:hAnsi="Cambria Math"/>
              </w:rPr>
              <m:t xml:space="preserve">k</m:t>
            </m:r>
          </m:sup>
        </m:sSubSup>
      </m:oMath>
      <w:r>
        <w:rPr>
          <w:lang w:val="en-US" w:eastAsia="zh-CN"/>
        </w:rPr>
        <w:tab/>
        <w:t>（A5）</w:t>
      </w:r>
    </w:p>
    <w:p>
      <w:pPr>
        <w:jc w:val="both"/>
      </w:pPr>
      <w:r>
        <w:rPr>
          <w:lang w:val="en-US" w:eastAsia="zh-CN"/>
        </w:rPr>
        <w:t>该界限只覆盖已明确设定的不确定范围。若权重本身未知，需对权重可行集合另外约束或报告不同合理方案，不能声称已有完整统计置信区间。改革变化的界限应联合使用同一活动跨期约束，避免将不可能同时发生的两个端点相减。将上下界分别代入回归得到的系数范围通常只是敏感性结果，并不自动构成因果参数的识别界限。</w:t>
      </w:r>
    </w:p>
    <w:p>
      <w:pPr>
        <w:pStyle w:val="Heading2"/>
      </w:pPr>
      <w:r>
        <w:rPr>
          <w:lang w:val="en-US" w:eastAsia="zh-CN"/>
        </w:rPr>
        <w:t>A5.4　主指标与限制类型指标</w:t>
      </w:r>
    </w:p>
    <w:p>
      <w:pPr>
        <w:jc w:val="both"/>
      </w:pPr>
      <w:r>
        <w:rPr>
          <w:lang w:val="en-US" w:eastAsia="zh-CN"/>
        </w:rPr>
        <w:t>基准状态指标Bₐₜ表示活动a是否存在至少一项适用的清单特别管理措施，已核验无该类措施为0，存在为1，无法确定时保留未知。按式（A4）得到行业受限覆盖Bⱼₜ，并以改革前基期t₀定义累计开放暴露及当期变化：</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j,t₀</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m:t>
            </m:r>
          </m:sub>
        </m:sSub>
        <m:r>
          <m:rPr>
            <m:sty m:val="p"/>
          </m:rPr>
          <w:rPr>
            <w:rFonts w:ascii="Cambria Math" w:hAnsi="Cambria Math"/>
          </w:rPr>
          <m:t xml:space="preserve">， </m:t>
        </m:r>
        <m:sSub>
          <m:e>
            <m:r>
              <m:rPr>
                <m:sty m:val="p"/>
              </m:rPr>
              <w:rPr>
                <w:rFonts w:ascii="Cambria Math" w:hAnsi="Cambria Math"/>
              </w:rPr>
              <m:t xml:space="preserve">ΔL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j,t−1</m:t>
            </m:r>
          </m:sub>
        </m:sSub>
        <m:r>
          <m:rPr>
            <m:sty m:val="p"/>
          </m:rPr>
          <w:rPr>
            <w:rFonts w:ascii="Cambria Math" w:hAnsi="Cambria Math"/>
          </w:rPr>
          <m:t xml:space="preserve"> − </m:t>
        </m:r>
        <m:sSub>
          <m:e>
            <m:r>
              <m:rPr>
                <m:sty m:val="p"/>
              </m:rPr>
              <w:rPr>
                <w:rFonts w:ascii="Cambria Math" w:hAnsi="Cambria Math"/>
              </w:rPr>
              <m:t xml:space="preserve">B</m:t>
            </m:r>
          </m:e>
          <m:sub>
            <m:r>
              <m:rPr>
                <m:sty m:val="p"/>
              </m:rPr>
              <w:rPr>
                <w:rFonts w:ascii="Cambria Math" w:hAnsi="Cambria Math"/>
              </w:rPr>
              <m:t xml:space="preserve">jt</m:t>
            </m:r>
          </m:sub>
        </m:sSub>
      </m:oMath>
      <w:r>
        <w:rPr>
          <w:lang w:val="en-US" w:eastAsia="zh-CN"/>
        </w:rPr>
        <w:tab/>
        <w:t>（A6）</w:t>
      </w:r>
    </w:p>
    <w:p>
      <w:pPr>
        <w:jc w:val="both"/>
      </w:pPr>
      <w:r>
        <w:rPr>
          <w:lang w:val="en-US" w:eastAsia="zh-CN"/>
        </w:rPr>
        <w:t>L增加表示受清单特别管理措施覆盖的活动减少，负值表示相对基期收紧。该指标不依赖六类限制之间的任意分值，但不能捕捉活动仍受限制时的股比放宽、控制条件调整等变化。因此，基准结果与股比、控制、组织形式等类型指标并列报告，并通过改革事件表覆盖“禁止转附条件”“附条件内放宽”和“完全退出清单”等不同变化。对仍附条件的放宽，不以B不变推断没有政策改革。</w:t>
      </w:r>
    </w:p>
    <w:p>
      <w:pPr>
        <w:jc w:val="both"/>
      </w:pPr>
      <w:r>
        <w:rPr>
          <w:lang w:val="en-US" w:eastAsia="zh-CN"/>
        </w:rPr>
        <w:t>在股比已定义的可比活动内，报告E的水平与变化；禁止、控制和组织形式等采用各自的法定状态。若不同限制同步变化，标记为共同改革事件。只有足够独立的变化支持时才估计各类限制的条件效应。本文不预设六类效应均能独立识别，也不将六个单变量回归系数相加形成总开放效应。</w:t>
      </w:r>
    </w:p>
    <w:p>
      <w:pPr>
        <w:pStyle w:val="Heading1"/>
      </w:pPr>
      <w:r>
        <w:rPr>
          <w:lang w:val="en-US" w:eastAsia="zh-CN"/>
        </w:rPr>
        <w:t>A6　经济数据与回归样本</w:t>
      </w:r>
    </w:p>
    <w:p>
      <w:pPr>
        <w:pStyle w:val="Heading2"/>
      </w:pPr>
      <w:r>
        <w:rPr>
          <w:lang w:val="en-US" w:eastAsia="zh-CN"/>
        </w:rPr>
        <w:t>A6.1　AMNE的直接读取口径</w:t>
      </w:r>
    </w:p>
    <w:p>
      <w:pPr>
        <w:jc w:val="both"/>
      </w:pPr>
      <w:r>
        <w:rPr>
          <w:lang w:val="en-US" w:eastAsia="zh-CN"/>
        </w:rPr>
        <w:t>双边产出文件按东道国cou、行业isic和年份year排列，列为所有权来源经济体。选择cou＝CHN后，CHN列为中国内资企业产出，其他来源列对应外国控制企业在华产出。三类所有权文件将行业活动区分为外资F、内资跨国企业D_MNE和其他内资企业D_OTH。本研究读取的直接来源是Analytical AMNE；其上游为官方跨国企业活动统计、国民账户、其他国家来源和OECD的估计与平衡处理（Cadestin et al.，2018）。不得将全部Analytical AMNE观测描述为未经估计的企业原始记录。</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D_MNE</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D_OTH</m:t>
            </m:r>
          </m:sup>
        </m:sSubSup>
        <m:r>
          <m:rPr>
            <m:sty m:val="p"/>
          </m:rPr>
          <w:rPr>
            <w:rFonts w:ascii="Cambria Math" w:hAnsi="Cambria Math"/>
          </w:rPr>
          <m:t xml:space="preserve">，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m≠C</m:t>
            </m:r>
          </m:sub>
        </m:sSub>
        <m:r>
          <m:rPr>
            <m:sty m:val="p"/>
          </m:rPr>
          <w:rPr>
            <w:rFonts w:ascii="Cambria Math" w:hAnsi="Cambria Math"/>
          </w:rPr>
          <m:t xml:space="preserve"> </m:t>
        </m:r>
        <m:sSub>
          <m:e>
            <m:r>
              <m:rPr>
                <m:sty m:val="p"/>
              </m:rPr>
              <w:rPr>
                <w:rFonts w:ascii="Cambria Math" w:hAnsi="Cambria Math"/>
              </w:rPr>
              <m:t xml:space="preserve">GO</m:t>
            </m:r>
          </m:e>
          <m:sub>
            <m:r>
              <m:rPr>
                <m:sty m:val="p"/>
              </m:rPr>
              <w:rPr>
                <w:rFonts w:ascii="Cambria Math" w:hAnsi="Cambria Math"/>
              </w:rPr>
              <m:t xml:space="preserve">mCjt</m:t>
            </m:r>
          </m:sub>
        </m:sSub>
      </m:oMath>
      <w:r>
        <w:rPr>
          <w:lang w:val="en-US" w:eastAsia="zh-CN"/>
        </w:rPr>
        <w:tab/>
        <w:t>（A7）</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S</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f>
          <m:num>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num>
          <m:den>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Sup>
              <m:e>
                <m:r>
                  <m:rPr>
                    <m:sty m:val="p"/>
                  </m:rPr>
                  <w:rPr>
                    <w:rFonts w:ascii="Cambria Math" w:hAnsi="Cambria Math"/>
                  </w:rPr>
                  <m:t xml:space="preserve">GO</m:t>
                </m:r>
              </m:e>
              <m:sub>
                <m:r>
                  <m:rPr>
                    <m:sty m:val="p"/>
                  </m:rPr>
                  <w:rPr>
                    <w:rFonts w:ascii="Cambria Math" w:hAnsi="Cambria Math"/>
                  </w:rPr>
                  <m:t xml:space="preserve">jt</m:t>
                </m:r>
              </m:sub>
              <m:sup>
                <m:r>
                  <m:rPr>
                    <m:sty m:val="p"/>
                  </m:rPr>
                  <w:rPr>
                    <w:rFonts w:ascii="Cambria Math" w:hAnsi="Cambria Math"/>
                  </w:rPr>
                  <m:t xml:space="preserve">D</m:t>
                </m:r>
              </m:sup>
            </m:sSubSup>
          </m:den>
        </m:f>
      </m:oMath>
      <w:r>
        <w:rPr>
          <w:lang w:val="en-US" w:eastAsia="zh-CN"/>
        </w:rPr>
        <w:tab/>
        <w:t>（A8）</w:t>
      </w:r>
    </w:p>
    <w:p>
      <w:pPr>
        <w:jc w:val="both"/>
      </w:pPr>
      <w:r>
        <w:rPr>
          <w:lang w:val="en-US" w:eastAsia="zh-CN"/>
        </w:rPr>
        <w:t>两种外资产出构造仅在同一版本、单位和共同年份内核对。数值差异需结合发布精度与平衡方法解释，不强行覆盖其中一个来源。产出以现价百万美元计量；行业×年份固定效应可吸收内外资共同的价格与汇率变动，但不能消除两类企业不同的产品组合或价格响应。主要结果同时报告外资份额、外资产出和内资产出，避免把分母下降误解为外资扩张。</w:t>
      </w:r>
    </w:p>
    <w:p>
      <w:pPr>
        <w:jc w:val="both"/>
      </w:pPr>
      <w:r>
        <w:rPr>
          <w:lang w:val="en-US" w:eastAsia="zh-CN"/>
        </w:rPr>
        <w:t>外资控制企业活动与国际收支FDI流量、FDI存量并非同一概念。法定股比放宽可能使企业跨过统计所有权分类阈值，从内资组转入外资组，产出分类因此改变而实体生产未必同步扩张。若无法观察企业所有权转换，估计对象应表述为外资控制生产活动或相对产出，不能直接解释为新建项目或新增资本。</w:t>
      </w:r>
    </w:p>
    <w:p>
      <w:pPr>
        <w:pStyle w:val="Heading2"/>
      </w:pPr>
      <w:r>
        <w:rPr>
          <w:lang w:val="en-US" w:eastAsia="zh-CN"/>
        </w:rPr>
        <w:t>A6.2　有效年份与异常零值</w:t>
      </w:r>
    </w:p>
    <w:p>
      <w:pPr>
        <w:jc w:val="both"/>
      </w:pPr>
      <w:r>
        <w:rPr>
          <w:lang w:val="en-US" w:eastAsia="zh-CN"/>
        </w:rPr>
        <w:t>本地2026版双边产出文件在2024年含3,321条东道国—行业记录，所有所有权来源列均为0；这不构成全球生产同时消失的经济证据。该年份在来源进一步确认之前排除于有效样本，并保留原文件不变。三类所有权文件实际截至2023年。2023年的数据在说明中具有预测基础，基准候选样本因此同时报告截至2023年与截至2022年的结果。具体核查见附录B。</w:t>
      </w:r>
    </w:p>
    <w:p>
      <w:pPr>
        <w:jc w:val="both"/>
      </w:pPr>
      <w:r>
        <w:rPr>
          <w:lang w:val="en-US" w:eastAsia="zh-CN"/>
        </w:rPr>
        <w:t>有效经济数据的起点不等于可用政策识别窗口的起点。只有2017年之后政策文本时，不得将2017法定状态回填至2008年。若识别2018年改革，需要补充足以确认改革前状态及趋势的有效政策文件；若无法补齐，则缩窄事件窗口或降低因果解释强度。2024年改革用于法定测度展示与后续情景，不以现有材料估计实施后的产出效应。</w:t>
      </w:r>
    </w:p>
    <w:p>
      <w:pPr>
        <w:pStyle w:val="Heading2"/>
      </w:pPr>
      <w:r>
        <w:rPr>
          <w:lang w:val="en-US" w:eastAsia="zh-CN"/>
        </w:rPr>
        <w:t>A6.3　来源标记与样本一致性</w:t>
      </w:r>
    </w:p>
    <w:p>
      <w:pPr>
        <w:jc w:val="both"/>
      </w:pPr>
      <w:r>
        <w:rPr>
          <w:lang w:val="en-US" w:eastAsia="zh-CN"/>
        </w:rPr>
        <w:t>保存GO、GVA及贸易变量各自的来源标记，不能用一个变量的标记替代另一变量的质量信息。本地说明将a解释为基于其他官方或镜像统计调整，将e解释为估计；组合标记保留原值。空白标记的具体含义仍需核实，不能自动归为原始观测。双边文件没有逐单元质量标记时，只能提供来源透明度较低的补充证据。</w:t>
      </w:r>
    </w:p>
    <w:p>
      <w:pPr>
        <w:jc w:val="both"/>
      </w:pPr>
      <w:r>
        <w:rPr>
          <w:lang w:val="en-US" w:eastAsia="zh-CN"/>
        </w:rPr>
        <w:t>经济数据先验证预期主键唯一，再以行业—年份键将政策暴露左连接到经济观察；预期为多对一连接，合并前后经济行数应相等。未匹配政策和未知状态保留并登记，完整样本由预先规定的覆盖条件决定。双边来源维度、所有权类别和年份变化不能导致政策记录重复计数。零、缺失、未披露和异常填充分别标记，不统一加小常数或静默删行。</w:t>
      </w:r>
    </w:p>
    <w:p>
      <w:pPr>
        <w:pStyle w:val="Heading1"/>
      </w:pPr>
      <w:r>
        <w:rPr>
          <w:lang w:val="en-US" w:eastAsia="zh-CN"/>
        </w:rPr>
        <w:t>A7　估计对象与基准回归</w:t>
      </w:r>
    </w:p>
    <w:p>
      <w:pPr>
        <w:pStyle w:val="Heading2"/>
      </w:pPr>
      <w:r>
        <w:rPr>
          <w:lang w:val="en-US" w:eastAsia="zh-CN"/>
        </w:rPr>
        <w:t>A7.1　相对外资活动的政策响应</w:t>
      </w:r>
    </w:p>
    <w:p>
      <w:pPr>
        <w:jc w:val="both"/>
      </w:pPr>
      <w:r>
        <w:rPr>
          <w:lang w:val="en-US" w:eastAsia="zh-CN"/>
        </w:rPr>
        <w:t>主要估计对象是中国行业内外资与内资产出之比在准入改革后的相对变化，以及这一变化相对于可比较未改革行业的差异。设μⱼgₜ(ℓ)为政策路径ℓ下所有权类型g的条件平均产出，ℓ⁰为比较政策路径，定义相对效应：</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δ</m:t>
            </m:r>
          </m:e>
          <m:sub>
            <m:r>
              <m:rPr>
                <m:sty m:val="p"/>
              </m:rPr>
              <w:rPr>
                <w:rFonts w:ascii="Cambria Math" w:hAnsi="Cambria Math"/>
              </w:rPr>
              <m:t xml:space="preserve">jt</m:t>
            </m:r>
          </m:sub>
        </m:sSub>
        <m:r>
          <m:rPr>
            <m:sty m:val="p"/>
          </m:rPr>
          <w:rPr>
            <w:rFonts w:ascii="Cambria Math" w:hAnsi="Cambria Math"/>
          </w:rPr>
          <m:t xml:space="preserve"> = ln</m:t>
        </m:r>
        <m:f>
          <m:num>
            <m:sSubSup>
              <m:e>
                <m:r>
                  <m:rPr>
                    <m:sty m:val="p"/>
                  </m:rPr>
                  <w:rPr>
                    <w:rFonts w:ascii="Cambria Math" w:hAnsi="Cambria Math"/>
                  </w:rPr>
                  <m:t xml:space="preserve">μ</m:t>
                </m:r>
              </m:e>
              <m:sub>
                <m:r>
                  <m:rPr>
                    <m:sty m:val="p"/>
                  </m:rPr>
                  <w:rPr>
                    <w:rFonts w:ascii="Cambria Math" w:hAnsi="Cambria Math"/>
                  </w:rPr>
                  <m:t xml:space="preserve">jFt</m:t>
                </m:r>
              </m:sub>
              <m:sup>
                <m:r>
                  <m:rPr>
                    <m:sty m:val="p"/>
                  </m:rPr>
                  <w:rPr>
                    <w:rFonts w:ascii="Cambria Math" w:hAnsi="Cambria Math"/>
                  </w:rPr>
                  <m:t xml:space="preserve">ℓ</m:t>
                </m:r>
              </m:sup>
            </m:sSubSup>
          </m:num>
          <m:den>
            <m:sSubSup>
              <m:e>
                <m:r>
                  <m:rPr>
                    <m:sty m:val="p"/>
                  </m:rPr>
                  <w:rPr>
                    <w:rFonts w:ascii="Cambria Math" w:hAnsi="Cambria Math"/>
                  </w:rPr>
                  <m:t xml:space="preserve">μ</m:t>
                </m:r>
              </m:e>
              <m:sub>
                <m:r>
                  <m:rPr>
                    <m:sty m:val="p"/>
                  </m:rPr>
                  <w:rPr>
                    <w:rFonts w:ascii="Cambria Math" w:hAnsi="Cambria Math"/>
                  </w:rPr>
                  <m:t xml:space="preserve">jDt</m:t>
                </m:r>
              </m:sub>
              <m:sup>
                <m:r>
                  <m:rPr>
                    <m:sty m:val="p"/>
                  </m:rPr>
                  <w:rPr>
                    <w:rFonts w:ascii="Cambria Math" w:hAnsi="Cambria Math"/>
                  </w:rPr>
                  <m:t xml:space="preserve">ℓ</m:t>
                </m:r>
              </m:sup>
            </m:sSubSup>
          </m:den>
        </m:f>
        <m:r>
          <m:rPr>
            <m:sty m:val="p"/>
          </m:rPr>
          <w:rPr>
            <w:rFonts w:ascii="Cambria Math" w:hAnsi="Cambria Math"/>
          </w:rPr>
          <m:t xml:space="preserve"> − ln</m:t>
        </m:r>
        <m:f>
          <m:num>
            <m:sSubSup>
              <m:e>
                <m:r>
                  <m:rPr>
                    <m:sty m:val="p"/>
                  </m:rPr>
                  <w:rPr>
                    <w:rFonts w:ascii="Cambria Math" w:hAnsi="Cambria Math"/>
                  </w:rPr>
                  <m:t xml:space="preserve">μ</m:t>
                </m:r>
              </m:e>
              <m:sub>
                <m:r>
                  <m:rPr>
                    <m:sty m:val="p"/>
                  </m:rPr>
                  <w:rPr>
                    <w:rFonts w:ascii="Cambria Math" w:hAnsi="Cambria Math"/>
                  </w:rPr>
                  <m:t xml:space="preserve">jFt</m:t>
                </m:r>
              </m:sub>
              <m:sup>
                <m:r>
                  <m:rPr>
                    <m:sty m:val="p"/>
                  </m:rPr>
                  <w:rPr>
                    <w:rFonts w:ascii="Cambria Math" w:hAnsi="Cambria Math"/>
                  </w:rPr>
                  <m:t xml:space="preserve">ℓ⁰</m:t>
                </m:r>
              </m:sup>
            </m:sSubSup>
          </m:num>
          <m:den>
            <m:sSubSup>
              <m:e>
                <m:r>
                  <m:rPr>
                    <m:sty m:val="p"/>
                  </m:rPr>
                  <w:rPr>
                    <w:rFonts w:ascii="Cambria Math" w:hAnsi="Cambria Math"/>
                  </w:rPr>
                  <m:t xml:space="preserve">μ</m:t>
                </m:r>
              </m:e>
              <m:sub>
                <m:r>
                  <m:rPr>
                    <m:sty m:val="p"/>
                  </m:rPr>
                  <w:rPr>
                    <w:rFonts w:ascii="Cambria Math" w:hAnsi="Cambria Math"/>
                  </w:rPr>
                  <m:t xml:space="preserve">jDt</m:t>
                </m:r>
              </m:sub>
              <m:sup>
                <m:r>
                  <m:rPr>
                    <m:sty m:val="p"/>
                  </m:rPr>
                  <w:rPr>
                    <w:rFonts w:ascii="Cambria Math" w:hAnsi="Cambria Math"/>
                  </w:rPr>
                  <m:t xml:space="preserve">ℓ⁰</m:t>
                </m:r>
              </m:sup>
            </m:sSubSup>
          </m:den>
        </m:f>
      </m:oMath>
      <w:r>
        <w:rPr>
          <w:lang w:val="en-US" w:eastAsia="zh-CN"/>
        </w:rPr>
        <w:tab/>
        <w:t>（A9）</w:t>
      </w:r>
    </w:p>
    <w:p>
      <w:pPr>
        <w:jc w:val="both"/>
      </w:pPr>
      <w:r>
        <w:rPr>
          <w:lang w:val="en-US" w:eastAsia="zh-CN"/>
        </w:rPr>
        <w:t>式（A9）允许内资企业受到政策影响，因此其对象是外资相对于内资的均衡响应，而非假定内资不受影响时的外资绝对处理效应。外资份额和实际产出用于补充经济含义。对同一行业共享的需求和价格冲击，可借助内外资比较部分控制；若某个同期冲击专门作用于外资，该比较仍可能受到混淆。</w:t>
      </w:r>
    </w:p>
    <w:p>
      <w:pPr>
        <w:pStyle w:val="Heading2"/>
      </w:pPr>
      <w:r>
        <w:rPr>
          <w:lang w:val="en-US" w:eastAsia="zh-CN"/>
        </w:rPr>
        <w:t>A7.2　透明的基准规格</w:t>
      </w:r>
    </w:p>
    <w:p>
      <w:pPr>
        <w:jc w:val="both"/>
      </w:pPr>
      <w:r>
        <w:rPr>
          <w:lang w:val="en-US" w:eastAsia="zh-CN"/>
        </w:rPr>
        <w:t>首先在中国行业—年份面板中估计政策暴露与外资生产份额的关系，作为描述性基准：</w:t>
      </w:r>
    </w:p>
    <w:p>
      <w:pPr>
        <w:pStyle w:val="EquationText"/>
        <w:tabs>
          <w:tab w:pos="4564" w:val="center"/>
          <w:tab w:pos="9128" w:val="right"/>
        </w:tabs>
        <w:spacing w:before="100" w:after="140"/>
      </w:pPr>
      <w:r>
        <w:rPr>
          <w:lang w:val="en-US" w:eastAsia="zh-CN"/>
        </w:rPr>
        <w:tab/>
      </w:r>
      <m:oMath>
        <m:sSubSup>
          <m:e>
            <m:r>
              <m:rPr>
                <m:sty m:val="p"/>
              </m:rPr>
              <w:rPr>
                <w:rFonts w:ascii="Cambria Math" w:hAnsi="Cambria Math"/>
              </w:rPr>
              <m:t xml:space="preserve">S</m:t>
            </m:r>
          </m:e>
          <m:sub>
            <m:r>
              <m:rPr>
                <m:sty m:val="p"/>
              </m:rPr>
              <w:rPr>
                <w:rFonts w:ascii="Cambria Math" w:hAnsi="Cambria Math"/>
              </w:rPr>
              <m:t xml:space="preserve">jt</m:t>
            </m:r>
          </m:sub>
          <m:sup>
            <m:r>
              <m:rPr>
                <m:sty m:val="p"/>
              </m:rPr>
              <w:rPr>
                <w:rFonts w:ascii="Cambria Math" w:hAnsi="Cambria Math"/>
              </w:rPr>
              <m:t xml:space="preserve">F</m:t>
            </m:r>
          </m:sup>
        </m:sSubSup>
        <m:r>
          <m:rPr>
            <m:sty m:val="p"/>
          </m:rPr>
          <w:rPr>
            <w:rFonts w:ascii="Cambria Math" w:hAnsi="Cambria Math"/>
          </w:rPr>
          <m:t xml:space="preserve"> = </m:t>
        </m:r>
        <m:sSub>
          <m:e>
            <m:r>
              <m:rPr>
                <m:sty m:val="p"/>
              </m:rPr>
              <w:rPr>
                <w:rFonts w:ascii="Cambria Math" w:hAnsi="Cambria Math"/>
              </w:rPr>
              <m:t xml:space="preserve">α</m:t>
            </m:r>
          </m:e>
          <m:sub>
            <m:r>
              <m:rPr>
                <m:sty m:val="p"/>
              </m:rPr>
              <w:rPr>
                <w:rFonts w:ascii="Cambria Math" w:hAnsi="Cambria Math"/>
              </w:rPr>
              <m:t xml:space="preserve">j</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t</m:t>
            </m:r>
          </m:sub>
        </m:sSub>
        <m:r>
          <m:rPr>
            <m:sty m:val="p"/>
          </m:rPr>
          <w:rPr>
            <w:rFonts w:ascii="Cambria Math" w:hAnsi="Cambria Math"/>
          </w:rPr>
          <m:t xml:space="preserve"> + β</m:t>
        </m:r>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X</m:t>
            </m:r>
          </m:e>
          <m:sub>
            <m:r>
              <m:rPr>
                <m:sty m:val="p"/>
              </m:rPr>
              <w:rPr>
                <w:rFonts w:ascii="Cambria Math" w:hAnsi="Cambria Math"/>
              </w:rPr>
              <m:t xml:space="preserve">j,t−1</m:t>
            </m:r>
          </m:sub>
        </m:sSub>
        <m:r>
          <m:rPr>
            <m:sty m:val="p"/>
          </m:rPr>
          <w:rPr>
            <w:rFonts w:ascii="Cambria Math" w:hAnsi="Cambria Math"/>
          </w:rPr>
          <m:t xml:space="preserve">′θ + </m:t>
        </m:r>
        <m:sSub>
          <m:e>
            <m:r>
              <m:rPr>
                <m:sty m:val="p"/>
              </m:rPr>
              <w:rPr>
                <w:rFonts w:ascii="Cambria Math" w:hAnsi="Cambria Math"/>
              </w:rPr>
              <m:t xml:space="preserve">ε</m:t>
            </m:r>
          </m:e>
          <m:sub>
            <m:r>
              <m:rPr>
                <m:sty m:val="p"/>
              </m:rPr>
              <w:rPr>
                <w:rFonts w:ascii="Cambria Math" w:hAnsi="Cambria Math"/>
              </w:rPr>
              <m:t xml:space="preserve">jt</m:t>
            </m:r>
          </m:sub>
        </m:sSub>
      </m:oMath>
      <w:r>
        <w:rPr>
          <w:lang w:val="en-US" w:eastAsia="zh-CN"/>
        </w:rPr>
        <w:tab/>
        <w:t>（A10）</w:t>
      </w:r>
    </w:p>
    <w:p>
      <w:pPr>
        <w:jc w:val="both"/>
      </w:pPr>
      <w:r>
        <w:rPr>
          <w:lang w:val="en-US" w:eastAsia="zh-CN"/>
        </w:rPr>
        <w:t>式（A10）使用行业与年份固定效应。X仅包含在时间归属和因果角色上有明确依据的预定变量；不能为追求显著性加入由当期政策引起的中介变量。该方程本身不能排除行业选择性开放，默认解释为条件相关。若份额位于0或1，保留其经济含义，并检验线性拟合的取值范围；不得通过删去边界观测制造内部解。</w:t>
      </w:r>
    </w:p>
    <w:p>
      <w:pPr>
        <w:jc w:val="both"/>
      </w:pPr>
      <w:r>
        <w:rPr>
          <w:lang w:val="en-US" w:eastAsia="zh-CN"/>
        </w:rPr>
        <w:t>主要的所有权比较使用行业—所有权类型—年份面板，g∈{F,D}，Fᵍ表示外资组。候选条件均值为：</w:t>
      </w:r>
    </w:p>
    <w:p>
      <w:pPr>
        <w:pStyle w:val="EquationText"/>
        <w:tabs>
          <w:tab w:pos="4564" w:val="center"/>
          <w:tab w:pos="9128" w:val="right"/>
        </w:tabs>
        <w:spacing w:before="100" w:after="140"/>
      </w:pPr>
      <w:r>
        <w:rPr>
          <w:lang w:val="en-US" w:eastAsia="zh-CN"/>
        </w:rPr>
        <w:tab/>
      </w:r>
      <m:oMath>
        <m:r>
          <m:rPr>
            <m:sty m:val="p"/>
          </m:rPr>
          <w:rPr>
            <w:rFonts w:ascii="Cambria Math" w:hAnsi="Cambria Math"/>
          </w:rPr>
          <m:t xml:space="preserve">E[</m:t>
        </m:r>
        <m:sSub>
          <m:e>
            <m:r>
              <m:rPr>
                <m:sty m:val="p"/>
              </m:rPr>
              <w:rPr>
                <w:rFonts w:ascii="Cambria Math" w:hAnsi="Cambria Math"/>
              </w:rPr>
              <m:t xml:space="preserve">GO</m:t>
            </m:r>
          </m:e>
          <m:sub>
            <m:r>
              <m:rPr>
                <m:sty m:val="p"/>
              </m:rPr>
              <w:rPr>
                <w:rFonts w:ascii="Cambria Math" w:hAnsi="Cambria Math"/>
              </w:rPr>
              <m:t xml:space="preserve">jgt</m:t>
            </m:r>
          </m:sub>
        </m:sSub>
        <m:r>
          <m:rPr>
            <m:sty m:val="p"/>
          </m:rPr>
          <w:rPr>
            <w:rFonts w:ascii="Cambria Math" w:hAnsi="Cambria Math"/>
          </w:rPr>
          <m:t xml:space="preserve"> | 𝒲] = exp{</m:t>
        </m:r>
        <m:sSub>
          <m:e>
            <m:r>
              <m:rPr>
                <m:sty m:val="p"/>
              </m:rPr>
              <w:rPr>
                <w:rFonts w:ascii="Cambria Math" w:hAnsi="Cambria Math"/>
              </w:rPr>
              <m:t xml:space="preserve">α</m:t>
            </m:r>
          </m:e>
          <m:sub>
            <m:r>
              <m:rPr>
                <m:sty m:val="p"/>
              </m:rPr>
              <w:rPr>
                <w:rFonts w:ascii="Cambria Math" w:hAnsi="Cambria Math"/>
              </w:rPr>
              <m:t xml:space="preserve">jg</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jt</m:t>
            </m:r>
          </m:sub>
        </m:sSub>
        <m:r>
          <m:rPr>
            <m:sty m:val="p"/>
          </m:rPr>
          <w:rPr>
            <w:rFonts w:ascii="Cambria Math" w:hAnsi="Cambria Math"/>
          </w:rPr>
          <m:t xml:space="preserve"> + </m:t>
        </m:r>
        <m:sSub>
          <m:e>
            <m:r>
              <m:rPr>
                <m:sty m:val="p"/>
              </m:rPr>
              <w:rPr>
                <w:rFonts w:ascii="Cambria Math" w:hAnsi="Cambria Math"/>
              </w:rPr>
              <m:t xml:space="preserve">η</m:t>
            </m:r>
          </m:e>
          <m:sub>
            <m:r>
              <m:rPr>
                <m:sty m:val="p"/>
              </m:rPr>
              <w:rPr>
                <w:rFonts w:ascii="Cambria Math" w:hAnsi="Cambria Math"/>
              </w:rPr>
              <m:t xml:space="preserve">gt</m:t>
            </m:r>
          </m:sub>
        </m:sSub>
        <m:r>
          <m:rPr>
            <m:sty m:val="p"/>
          </m:rPr>
          <w:rPr>
            <w:rFonts w:ascii="Cambria Math" w:hAnsi="Cambria Math"/>
          </w:rPr>
          <m:t xml:space="preserve"> + β</m:t>
        </m:r>
        <m:sSub>
          <m:e>
            <m:r>
              <m:rPr>
                <m:sty m:val="p"/>
              </m:rPr>
              <w:rPr>
                <w:rFonts w:ascii="Cambria Math" w:hAnsi="Cambria Math"/>
              </w:rPr>
              <m:t xml:space="preserve">F</m:t>
            </m:r>
          </m:e>
          <m:sub>
            <m:r>
              <m:rPr>
                <m:sty m:val="p"/>
              </m:rPr>
              <w:rPr>
                <w:rFonts w:ascii="Cambria Math" w:hAnsi="Cambria Math"/>
              </w:rPr>
              <m:t xml:space="preserve">g</m:t>
            </m:r>
          </m:sub>
        </m:sSub>
        <m:r>
          <m:rPr>
            <m:sty m:val="p"/>
          </m:rPr>
          <w:rPr>
            <w:rFonts w:ascii="Cambria Math" w:hAnsi="Cambria Math"/>
          </w:rPr>
          <m:t xml:space="preserve"> </m:t>
        </m:r>
        <m:sSub>
          <m:e>
            <m:r>
              <m:rPr>
                <m:sty m:val="p"/>
              </m:rPr>
              <w:rPr>
                <w:rFonts w:ascii="Cambria Math" w:hAnsi="Cambria Math"/>
              </w:rPr>
              <m:t xml:space="preserve">L</m:t>
            </m:r>
          </m:e>
          <m:sub>
            <m:r>
              <m:rPr>
                <m:sty m:val="p"/>
              </m:rPr>
              <w:rPr>
                <w:rFonts w:ascii="Cambria Math" w:hAnsi="Cambria Math"/>
              </w:rPr>
              <m:t xml:space="preserve">jt</m:t>
            </m:r>
          </m:sub>
        </m:sSub>
        <m:r>
          <m:rPr>
            <m:sty m:val="p"/>
          </m:rPr>
          <w:rPr>
            <w:rFonts w:ascii="Cambria Math" w:hAnsi="Cambria Math"/>
          </w:rPr>
          <m:t xml:space="preserve">}</m:t>
        </m:r>
      </m:oMath>
      <w:r>
        <w:rPr>
          <w:lang w:val="en-US" w:eastAsia="zh-CN"/>
        </w:rPr>
        <w:tab/>
        <w:t>（A11）</w:t>
      </w:r>
    </w:p>
    <w:p>
      <w:pPr>
        <w:jc w:val="both"/>
      </w:pPr>
      <w:r>
        <w:rPr>
          <w:lang w:val="en-US" w:eastAsia="zh-CN"/>
        </w:rPr>
        <w:t>αⱼg吸收每个行业长期的所有权构成，λⱼₜ吸收当期行业共同冲击，ηgₜ吸收全国内外资差异的年度变化。Lⱼₜ本身被行业×年份固定效应吸收，Fᵍ×Lⱼₜ仍具有所有权类型间差异。只有在政策暴露随行业和时间变化、且交互项残差仍有变异时，β才可估计；全国所有行业同步且同幅度的改革会被相应固定效应吸收。</w:t>
      </w:r>
    </w:p>
    <w:p>
      <w:pPr>
        <w:jc w:val="both"/>
      </w:pPr>
      <w:r>
        <w:rPr>
          <w:lang w:val="en-US" w:eastAsia="zh-CN"/>
        </w:rPr>
        <w:t>在恒定半弹性和条件均值设定成立时，βΔL对应条件平均外资产出与内资产出之比的对数变化，比例变化为exp(βΔL)−1。这里的变化对象是相对产出之比，并非外资产出单独增加相同比例。PPML按非负连续产出估计该条件均值，不要求产出是计数或服从Poisson分布；使用聚类稳健推断，检查分离、收敛及被排除的固定效应组（Santos Silva and Tenreyro，2006）。</w:t>
      </w:r>
    </w:p>
    <w:p>
      <w:pPr>
        <w:jc w:val="both"/>
      </w:pPr>
      <w:r>
        <w:rPr>
          <w:lang w:val="en-US" w:eastAsia="zh-CN"/>
        </w:rPr>
        <w:t>式（A11）作为经济含义透明的基准，不因包含较多固定效应而自动成为因果估计。其识别仍要求：若无改革，处理行业相对内外资产出的变化可由对照行业及固定效应合理刻画；没有与改革系统相关的外资特有行业冲击；政策测量与样本选择不随潜在结果差异而偏误。动态与异质处理下，普通固定效应系数还可能混合不同改革效应，需使用A8中的更有约束力的比较。</w:t>
      </w:r>
    </w:p>
    <w:p>
      <w:pPr>
        <w:pStyle w:val="Heading2"/>
      </w:pPr>
      <w:r>
        <w:rPr>
          <w:lang w:val="en-US" w:eastAsia="zh-CN"/>
        </w:rPr>
        <w:t>A7.3　来源国维度与微观扩展</w:t>
      </w:r>
    </w:p>
    <w:p>
      <w:pPr>
        <w:jc w:val="both"/>
      </w:pPr>
      <w:r>
        <w:rPr>
          <w:lang w:val="en-US" w:eastAsia="zh-CN"/>
        </w:rPr>
        <w:t>双边补充回归可使用母国m—中国—行业j—年份t的产出，控制母国×行业和母国×年份固定效应，以检验来源结构变化。仅含中国东道国时，行业×年份固定效应将完全吸收对所有母国相同的政策暴露，因此不能同时加入并声称仍识别全国行业政策效应。母国观测提高活动测量的信息量，但不创造独立的政策改革。香港等可能受优惠安排影响的来源单独做敏感性分析；缺少投资者资格信息时，剔除某来源也不能确保剩余样本完全适用同一待遇。</w:t>
      </w:r>
    </w:p>
    <w:p>
      <w:pPr>
        <w:jc w:val="both"/>
      </w:pPr>
      <w:r>
        <w:rPr>
          <w:lang w:val="en-US" w:eastAsia="zh-CN"/>
        </w:rPr>
        <w:t>若后续获得可覆盖改革期的企业产品、所在地和所有权数据，再将政策活动匹配至企业，验证股比、控制权和进入行为。匹配优先使用改革前业务信息，减少政策引起主营活动调整后的内生赋值。企业回归与行业回归分别定义估计对象，不能将固定基期销售权重下的所有权构成变化直接命名为实际总体外资生产份额。现有材料尚不足以预设企业样本、代表性或微观识别结果。</w:t>
      </w:r>
    </w:p>
    <w:p>
      <w:pPr>
        <w:pStyle w:val="Heading1"/>
      </w:pPr>
      <w:r>
        <w:rPr>
          <w:lang w:val="en-US" w:eastAsia="zh-CN"/>
        </w:rPr>
        <w:t>A8　改革事件与动态识别</w:t>
      </w:r>
    </w:p>
    <w:p>
      <w:pPr>
        <w:pStyle w:val="Heading2"/>
      </w:pPr>
      <w:r>
        <w:rPr>
          <w:lang w:val="en-US" w:eastAsia="zh-CN"/>
        </w:rPr>
        <w:t>A8.1　识别支持表与对照选择</w:t>
      </w:r>
    </w:p>
    <w:p>
      <w:pPr>
        <w:jc w:val="both"/>
      </w:pPr>
      <w:r>
        <w:rPr>
          <w:lang w:val="en-US" w:eastAsia="zh-CN"/>
        </w:rPr>
        <w:t>在估计前，为每项改革列出稳定活动、受影响行业、限制类型、宣布日期、生效日期、前后状态、同期改革、有效数据窗口、可用对照及来源质量。先统计有效改革活动数、行业数和事件数，再选择规格。活动虽然不同，但若落在同一AMNE行业并于同日改革，不能视为在经济数据中可分开的冲击。</w:t>
      </w:r>
    </w:p>
    <w:p>
      <w:pPr>
        <w:jc w:val="both"/>
      </w:pPr>
      <w:r>
        <w:rPr>
          <w:lang w:val="en-US" w:eastAsia="zh-CN"/>
        </w:rPr>
        <w:t>事件研究优先选取有明确法定变化、可以构造稳定对照、且窗口内不存在无法区分的再次改革的事件。对照行业在对应窗口内应保持相关政策状态稳定，并具有可比较的基期限制及改革前相对趋势。已提前宣布放宽的行业不是严格未处理对照；改革历史不同的已处理行业，也不能不加条件地作为对照。删除或截断不合格窗口的规则在看到估计结果前固定。</w:t>
      </w:r>
    </w:p>
    <w:p>
      <w:pPr>
        <w:pStyle w:val="Heading2"/>
      </w:pPr>
      <w:r>
        <w:rPr>
          <w:lang w:val="en-US" w:eastAsia="zh-CN"/>
        </w:rPr>
        <w:t>A8.2　清晰事件的动态比较</w:t>
      </w:r>
    </w:p>
    <w:p>
      <w:pPr>
        <w:jc w:val="both"/>
      </w:pPr>
      <w:r>
        <w:rPr>
          <w:lang w:val="en-US" w:eastAsia="zh-CN"/>
        </w:rPr>
        <w:t>对于前后内外资产出均为正、窗口内只发生一个可区分改革的子样本，定义Rⱼₜ＝ln(GOⱼₜᶠ／GOⱼₜᴰ)，构建事件r对应的处理与对照面板。一个透明的事件研究表示为：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R</m:t>
            </m:r>
          </m:e>
          <m:sub>
            <m:r>
              <m:rPr>
                <m:sty m:val="p"/>
              </m:rPr>
              <w:rPr>
                <w:rFonts w:ascii="Cambria Math" w:hAnsi="Cambria Math"/>
              </w:rPr>
              <m:t xml:space="preserve">jtr</m:t>
            </m:r>
          </m:sub>
        </m:sSub>
        <m:r>
          <m:rPr>
            <m:sty m:val="p"/>
          </m:rPr>
          <w:rPr>
            <w:rFonts w:ascii="Cambria Math" w:hAnsi="Cambria Math"/>
          </w:rPr>
          <m:t xml:space="preserve"> = </m:t>
        </m:r>
        <m:sSub>
          <m:e>
            <m:r>
              <m:rPr>
                <m:sty m:val="p"/>
              </m:rPr>
              <w:rPr>
                <w:rFonts w:ascii="Cambria Math" w:hAnsi="Cambria Math"/>
              </w:rPr>
              <m:t xml:space="preserve">α</m:t>
            </m:r>
          </m:e>
          <m:sub>
            <m:r>
              <m:rPr>
                <m:sty m:val="p"/>
              </m:rPr>
              <w:rPr>
                <w:rFonts w:ascii="Cambria Math" w:hAnsi="Cambria Math"/>
              </w:rPr>
              <m:t xml:space="preserve">jr</m:t>
            </m:r>
          </m:sub>
        </m:sSub>
        <m:r>
          <m:rPr>
            <m:sty m:val="p"/>
          </m:rPr>
          <w:rPr>
            <w:rFonts w:ascii="Cambria Math" w:hAnsi="Cambria Math"/>
          </w:rPr>
          <m:t xml:space="preserve"> + </m:t>
        </m:r>
        <m:sSub>
          <m:e>
            <m:r>
              <m:rPr>
                <m:sty m:val="p"/>
              </m:rPr>
              <w:rPr>
                <w:rFonts w:ascii="Cambria Math" w:hAnsi="Cambria Math"/>
              </w:rPr>
              <m:t xml:space="preserve">λ</m:t>
            </m:r>
          </m:e>
          <m:sub>
            <m:r>
              <m:rPr>
                <m:sty m:val="p"/>
              </m:rPr>
              <w:rPr>
                <w:rFonts w:ascii="Cambria Math" w:hAnsi="Cambria Math"/>
              </w:rPr>
              <m:t xml:space="preserve">tr</m:t>
            </m:r>
          </m:sub>
        </m:sSub>
        <m:r>
          <m:rPr>
            <m:sty m:val="p"/>
          </m:rPr>
          <w:rPr>
            <w:rFonts w:ascii="Cambria Math" w:hAnsi="Cambria Math"/>
          </w:rPr>
          <m:t xml:space="preserve"> + </m:t>
        </m:r>
        <m:sSub>
          <m:e>
            <m:r>
              <m:rPr>
                <m:sty m:val="p"/>
              </m:rPr>
              <w:rPr>
                <w:rFonts w:ascii="Cambria Math" w:hAnsi="Cambria Math"/>
              </w:rPr>
              <m:t xml:space="preserve">∑</m:t>
            </m:r>
          </m:e>
          <m:sub>
            <m:r>
              <m:rPr>
                <m:sty m:val="p"/>
              </m:rPr>
              <w:rPr>
                <w:rFonts w:ascii="Cambria Math" w:hAnsi="Cambria Math"/>
              </w:rPr>
              <m:t xml:space="preserve">h≠−1</m:t>
            </m:r>
          </m:sub>
        </m:sSub>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hr</m:t>
            </m:r>
          </m:sub>
        </m:sSub>
        <m:r>
          <m:rPr>
            <m:sty m:val="p"/>
          </m:rPr>
          <w:rPr>
            <w:rFonts w:ascii="Cambria Math" w:hAnsi="Cambria Math"/>
          </w:rPr>
          <m:t xml:space="preserve"> </m:t>
        </m:r>
        <m:sSub>
          <m:e>
            <m:r>
              <m:rPr>
                <m:sty m:val="p"/>
              </m:rPr>
              <w:rPr>
                <w:rFonts w:ascii="Cambria Math" w:hAnsi="Cambria Math"/>
              </w:rPr>
              <m:t xml:space="preserve">T</m:t>
            </m:r>
          </m:e>
          <m:sub>
            <m:r>
              <m:rPr>
                <m:sty m:val="p"/>
              </m:rPr>
              <w:rPr>
                <w:rFonts w:ascii="Cambria Math" w:hAnsi="Cambria Math"/>
              </w:rPr>
              <m:t xml:space="preserve">jr</m:t>
            </m:r>
          </m:sub>
        </m:sSub>
        <m:r>
          <m:rPr>
            <m:sty m:val="p"/>
          </m:rPr>
          <w:rPr>
            <w:rFonts w:ascii="Cambria Math" w:hAnsi="Cambria Math"/>
          </w:rPr>
          <m:t xml:space="preserve"> 1{t−</m:t>
        </m:r>
        <m:sSub>
          <m:e>
            <m:r>
              <m:rPr>
                <m:sty m:val="p"/>
              </m:rPr>
              <w:rPr>
                <w:rFonts w:ascii="Cambria Math" w:hAnsi="Cambria Math"/>
              </w:rPr>
              <m:t xml:space="preserve">G</m:t>
            </m:r>
          </m:e>
          <m:sub>
            <m:r>
              <m:rPr>
                <m:sty m:val="p"/>
              </m:rPr>
              <w:rPr>
                <w:rFonts w:ascii="Cambria Math" w:hAnsi="Cambria Math"/>
              </w:rPr>
              <m:t xml:space="preserve">r</m:t>
            </m:r>
          </m:sub>
        </m:sSub>
        <m:r>
          <m:rPr>
            <m:sty m:val="p"/>
          </m:rPr>
          <w:rPr>
            <w:rFonts w:ascii="Cambria Math" w:hAnsi="Cambria Math"/>
          </w:rPr>
          <m:t xml:space="preserve">=h} + </m:t>
        </m:r>
        <m:sSub>
          <m:e>
            <m:r>
              <m:rPr>
                <m:sty m:val="p"/>
              </m:rPr>
              <w:rPr>
                <w:rFonts w:ascii="Cambria Math" w:hAnsi="Cambria Math"/>
              </w:rPr>
              <m:t xml:space="preserve">u</m:t>
            </m:r>
          </m:e>
          <m:sub>
            <m:r>
              <m:rPr>
                <m:sty m:val="p"/>
              </m:rPr>
              <w:rPr>
                <w:rFonts w:ascii="Cambria Math" w:hAnsi="Cambria Math"/>
              </w:rPr>
              <m:t xml:space="preserve">jtr</m:t>
            </m:r>
          </m:sub>
        </m:sSub>
      </m:oMath>
      <w:r>
        <w:rPr>
          <w:lang w:val="en-US" w:eastAsia="zh-CN"/>
        </w:rPr>
        <w:tab/>
        <w:t>（A12）</w:t>
      </w:r>
    </w:p>
    <w:p>
      <w:pPr>
        <w:jc w:val="both"/>
      </w:pPr>
      <w:r>
        <w:rPr>
          <w:lang w:val="en-US" w:eastAsia="zh-CN"/>
        </w:rPr>
        <w:t>Tⱼr为事件r的处理行业指示，Gᵣ为预先定义的事件年，h为相对时期，h＝−1为比较基期。事件窗按真实宣布和生效时点调整；若采用首个完整实施年，中间过渡年单列或剔除。式（A12）以对数相对产出为对象，仅用于正值共同样本，不通过加1处理零值。完整非负样本另以PPML交互规格报告动态响应；两者的样本和估计对象不同，不能称为完全等价。</w:t>
      </w:r>
    </w:p>
    <w:p>
      <w:pPr>
        <w:jc w:val="both"/>
      </w:pPr>
      <w:r>
        <w:rPr>
          <w:lang w:val="en-US" w:eastAsia="zh-CN"/>
        </w:rPr>
        <w:t>多事件分析优先报告事件特定结果，再按预先固定的事件权重汇总。若采用堆叠面板，同一行业可能出现在多个对照窗，必须记录重复使用并按原始行业聚类；不能让对照出现次数无意决定目标参数。均等事件权重与改革前经济规模权重分别定义不同的总体对象，应在回归前选择主口径并报告敏感性。</w:t>
      </w:r>
    </w:p>
    <w:p>
      <w:pPr>
        <w:pStyle w:val="Heading2"/>
      </w:pPr>
      <w:r>
        <w:rPr>
          <w:lang w:val="en-US" w:eastAsia="zh-CN"/>
        </w:rPr>
        <w:t>A8.3　连续强度与重复改革</w:t>
      </w:r>
    </w:p>
    <w:p>
      <w:pPr>
        <w:jc w:val="both"/>
      </w:pPr>
      <w:r>
        <w:rPr>
          <w:lang w:val="en-US" w:eastAsia="zh-CN"/>
        </w:rPr>
        <w:t>负面清单经常分期调整，同一行业可能多次放宽，且行业暴露是连续强度。对于这类样本，不把首次改革后的全部年份压成一个永久处理虚拟变量。按照de Chaisemartin和D’Haultfœuille关于跨期处理效应的框架，在可比较基期处理状态与处理历史下，将改变限制的行业与同期未改变的行业比较，分别报告改革后的动态响应和具有明确剂量含义的标准化效应。</w:t>
      </w:r>
    </w:p>
    <w:p>
      <w:pPr>
        <w:jc w:val="both"/>
      </w:pPr>
      <w:r>
        <w:rPr>
          <w:lang w:val="en-US" w:eastAsia="zh-CN"/>
        </w:rPr>
        <w:t>该方法仍需要平行趋势、处理路径可比较和充分支持，不能在缺少合格对照时创造识别。对多类限制同变，估计改革组合的效应；如需分解单类限制，应依靠独立变化或限定事件，而不是仅凭多变量固定效应回归。多处理固定效应估计在异质效应下可能受其他处理影响（de Chaisemartin and D’Haultfœuille，2020b）。</w:t>
      </w:r>
    </w:p>
    <w:p>
      <w:pPr>
        <w:pStyle w:val="Heading2"/>
      </w:pPr>
      <w:r>
        <w:rPr>
          <w:lang w:val="en-US" w:eastAsia="zh-CN"/>
        </w:rPr>
        <w:t>A8.4　趋势检验与计量推断</w:t>
      </w:r>
    </w:p>
    <w:p>
      <w:pPr>
        <w:jc w:val="both"/>
      </w:pPr>
      <w:r>
        <w:rPr>
          <w:lang w:val="en-US" w:eastAsia="zh-CN"/>
        </w:rPr>
        <w:t>报告改革前各期估计值、置信区间和联合检验，并检查量级和统计功效。不拒绝预趋势为零并不证明平行趋势成立；尤其在有效改革行业少、经济序列含估计值或提前宣布政策时，应明确识别限制。可在有足够改革前信息时对平行趋势偏离做敏感性分析，报告结果可承受的偏离范围，不以一张不显著的趋势图作为充分因果证据。</w:t>
      </w:r>
    </w:p>
    <w:p>
      <w:pPr>
        <w:jc w:val="both"/>
      </w:pPr>
      <w:r>
        <w:rPr>
          <w:lang w:val="en-US" w:eastAsia="zh-CN"/>
        </w:rPr>
        <w:t>基准至少按经济数据中政策变化发生的行业层级聚类，必要时考虑多个行业受同一政策活动共同影响的相关性。事件堆叠仍使用原始行业标识。簇数和处理簇数均报告；少簇情形补充适用的wild cluster bootstrap，并披露其局限。随机化推断仅在具有可信政策分配机制时使用，不能任意置换行业后将其解释为设计式推断。</w:t>
      </w:r>
    </w:p>
    <w:p>
      <w:pPr>
        <w:pStyle w:val="Heading1"/>
      </w:pPr>
      <w:r>
        <w:rPr>
          <w:lang w:val="en-US" w:eastAsia="zh-CN"/>
        </w:rPr>
        <w:t>A9　稳健性与解释边界</w:t>
      </w:r>
    </w:p>
    <w:p>
      <w:pPr>
        <w:pStyle w:val="Caption"/>
        <w:keepNext/>
        <w:jc w:val="left"/>
      </w:pPr>
      <w:r>
        <w:rPr>
          <w:lang w:val="en-US" w:eastAsia="zh-CN"/>
        </w:rPr>
        <w:t>表A4　预先规定的验证维度</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531"/>
        <w:gridCol w:w="3855"/>
        <w:gridCol w:w="3742"/>
      </w:tblGrid>
      <w:tr>
        <w:trPr>
          <w:cantSplit/>
          <w:tblHeader/>
        </w:trPr>
        <w:tc>
          <w:tcPr>
            <w:tcW w:type="dxa" w:w="1531"/>
            <w:vAlign w:val="center"/>
            <w:tcBorders>
              <w:bottom w:val="single" w:sz="5" w:color="000000"/>
            </w:tcBorders>
          </w:tcPr>
          <w:p>
            <w:pPr>
              <w:pStyle w:val="TableText"/>
              <w:keepNext/>
            </w:pPr>
            <w:r>
              <w:rPr>
                <w:b/>
              </w:rPr>
              <w:t>风险来源</w:t>
            </w:r>
          </w:p>
        </w:tc>
        <w:tc>
          <w:tcPr>
            <w:tcW w:type="dxa" w:w="3855"/>
            <w:vAlign w:val="center"/>
            <w:tcBorders>
              <w:bottom w:val="single" w:sz="5" w:color="000000"/>
            </w:tcBorders>
          </w:tcPr>
          <w:p>
            <w:pPr>
              <w:pStyle w:val="TableText"/>
              <w:keepNext/>
            </w:pPr>
            <w:r>
              <w:rPr>
                <w:b/>
              </w:rPr>
              <w:t>主要检验</w:t>
            </w:r>
          </w:p>
        </w:tc>
        <w:tc>
          <w:tcPr>
            <w:tcW w:type="dxa" w:w="3742"/>
            <w:vAlign w:val="center"/>
            <w:tcBorders>
              <w:bottom w:val="single" w:sz="5" w:color="000000"/>
            </w:tcBorders>
          </w:tcPr>
          <w:p>
            <w:pPr>
              <w:pStyle w:val="TableText"/>
              <w:keepNext/>
            </w:pPr>
            <w:r>
              <w:rPr>
                <w:b/>
              </w:rPr>
              <w:t>解释限制</w:t>
            </w:r>
          </w:p>
        </w:tc>
      </w:tr>
      <w:tr>
        <w:trPr>
          <w:cantSplit/>
        </w:trPr>
        <w:tc>
          <w:tcPr>
            <w:tcW w:type="dxa" w:w="1531"/>
            <w:vAlign w:val="center"/>
          </w:tcPr>
          <w:p>
            <w:pPr>
              <w:pStyle w:val="TableText"/>
              <w:keepNext/>
            </w:pPr>
            <w:r>
              <w:t>文本误测</w:t>
            </w:r>
          </w:p>
        </w:tc>
        <w:tc>
          <w:tcPr>
            <w:tcW w:type="dxa" w:w="3855"/>
            <w:vAlign w:val="center"/>
          </w:tcPr>
          <w:p>
            <w:pPr>
              <w:pStyle w:val="TableText"/>
              <w:keepNext/>
            </w:pPr>
            <w:r>
              <w:t>原始LLM与人工标签共同样本比较；改革事件单独审计</w:t>
            </w:r>
          </w:p>
        </w:tc>
        <w:tc>
          <w:tcPr>
            <w:tcW w:type="dxa" w:w="3742"/>
            <w:vAlign w:val="center"/>
          </w:tcPr>
          <w:p>
            <w:pPr>
              <w:pStyle w:val="TableText"/>
              <w:keepNext/>
            </w:pPr>
            <w:r>
              <w:t>重复一致不等于准确；不按显著性选择提示词</w:t>
            </w:r>
          </w:p>
        </w:tc>
      </w:tr>
      <w:tr>
        <w:trPr>
          <w:cantSplit/>
        </w:trPr>
        <w:tc>
          <w:tcPr>
            <w:tcW w:type="dxa" w:w="1531"/>
            <w:vAlign w:val="center"/>
          </w:tcPr>
          <w:p>
            <w:pPr>
              <w:pStyle w:val="TableText"/>
            </w:pPr>
            <w:r>
              <w:t>匹配与权重</w:t>
            </w:r>
          </w:p>
        </w:tc>
        <w:tc>
          <w:tcPr>
            <w:tcW w:type="dxa" w:w="3855"/>
            <w:vAlign w:val="center"/>
          </w:tcPr>
          <w:p>
            <w:pPr>
              <w:pStyle w:val="TableText"/>
            </w:pPr>
            <w:r>
              <w:t>完整覆盖样本；部分覆盖情景；固定权重替换</w:t>
            </w:r>
          </w:p>
        </w:tc>
        <w:tc>
          <w:tcPr>
            <w:tcW w:type="dxa" w:w="3742"/>
            <w:vAlign w:val="center"/>
          </w:tcPr>
          <w:p>
            <w:pPr>
              <w:pStyle w:val="TableText"/>
            </w:pPr>
            <w:r>
              <w:t>样本变化单独报告；情景范围不是自动置信区间</w:t>
            </w:r>
          </w:p>
        </w:tc>
      </w:tr>
      <w:tr>
        <w:trPr>
          <w:cantSplit/>
        </w:trPr>
        <w:tc>
          <w:tcPr>
            <w:tcW w:type="dxa" w:w="1531"/>
            <w:vAlign w:val="center"/>
          </w:tcPr>
          <w:p>
            <w:pPr>
              <w:pStyle w:val="TableText"/>
            </w:pPr>
            <w:r>
              <w:t>政策内生性</w:t>
            </w:r>
          </w:p>
        </w:tc>
        <w:tc>
          <w:tcPr>
            <w:tcW w:type="dxa" w:w="3855"/>
            <w:vAlign w:val="center"/>
          </w:tcPr>
          <w:p>
            <w:pPr>
              <w:pStyle w:val="TableText"/>
            </w:pPr>
            <w:r>
              <w:t>动态趋势；预定改革；同期政策登记；合格对照限定</w:t>
            </w:r>
          </w:p>
        </w:tc>
        <w:tc>
          <w:tcPr>
            <w:tcW w:type="dxa" w:w="3742"/>
            <w:vAlign w:val="center"/>
          </w:tcPr>
          <w:p>
            <w:pPr>
              <w:pStyle w:val="TableText"/>
            </w:pPr>
            <w:r>
              <w:t>预定不等于外生，固定效应不消除所有差别冲击</w:t>
            </w:r>
          </w:p>
        </w:tc>
      </w:tr>
      <w:tr>
        <w:trPr>
          <w:cantSplit/>
        </w:trPr>
        <w:tc>
          <w:tcPr>
            <w:tcW w:type="dxa" w:w="1531"/>
            <w:vAlign w:val="center"/>
          </w:tcPr>
          <w:p>
            <w:pPr>
              <w:pStyle w:val="TableText"/>
            </w:pPr>
            <w:r>
              <w:t>所有权重分类</w:t>
            </w:r>
          </w:p>
        </w:tc>
        <w:tc>
          <w:tcPr>
            <w:tcW w:type="dxa" w:w="3855"/>
            <w:vAlign w:val="center"/>
          </w:tcPr>
          <w:p>
            <w:pPr>
              <w:pStyle w:val="TableText"/>
            </w:pPr>
            <w:r>
              <w:t>份额、外资产出和内资产出并列；微观证据补充</w:t>
            </w:r>
          </w:p>
        </w:tc>
        <w:tc>
          <w:tcPr>
            <w:tcW w:type="dxa" w:w="3742"/>
            <w:vAlign w:val="center"/>
          </w:tcPr>
          <w:p>
            <w:pPr>
              <w:pStyle w:val="TableText"/>
            </w:pPr>
            <w:r>
              <w:t>外资统计活动增加不等于同量新资本或新项目</w:t>
            </w:r>
          </w:p>
        </w:tc>
      </w:tr>
      <w:tr>
        <w:trPr>
          <w:cantSplit/>
        </w:trPr>
        <w:tc>
          <w:tcPr>
            <w:tcW w:type="dxa" w:w="1531"/>
            <w:vAlign w:val="center"/>
          </w:tcPr>
          <w:p>
            <w:pPr>
              <w:pStyle w:val="TableText"/>
            </w:pPr>
            <w:r>
              <w:t>AMNE估计与版本</w:t>
            </w:r>
          </w:p>
        </w:tc>
        <w:tc>
          <w:tcPr>
            <w:tcW w:type="dxa" w:w="3855"/>
            <w:vAlign w:val="center"/>
          </w:tcPr>
          <w:p>
            <w:pPr>
              <w:pStyle w:val="TableText"/>
            </w:pPr>
            <w:r>
              <w:t>按来源标记分组；共同年份版本比较；排除2023年</w:t>
            </w:r>
          </w:p>
        </w:tc>
        <w:tc>
          <w:tcPr>
            <w:tcW w:type="dxa" w:w="3742"/>
            <w:vAlign w:val="center"/>
          </w:tcPr>
          <w:p>
            <w:pPr>
              <w:pStyle w:val="TableText"/>
            </w:pPr>
            <w:r>
              <w:t>空白标记含义待核实；剔除估计值可能改变代表性</w:t>
            </w:r>
          </w:p>
        </w:tc>
      </w:tr>
      <w:tr>
        <w:trPr>
          <w:cantSplit/>
        </w:trPr>
        <w:tc>
          <w:tcPr>
            <w:tcW w:type="dxa" w:w="1531"/>
            <w:vAlign w:val="center"/>
          </w:tcPr>
          <w:p>
            <w:pPr>
              <w:pStyle w:val="TableText"/>
              <w:keepNext/>
            </w:pPr>
            <w:r>
              <w:t>零值与样本选择</w:t>
            </w:r>
          </w:p>
        </w:tc>
        <w:tc>
          <w:tcPr>
            <w:tcW w:type="dxa" w:w="3855"/>
            <w:vAlign w:val="center"/>
          </w:tcPr>
          <w:p>
            <w:pPr>
              <w:pStyle w:val="TableText"/>
              <w:keepNext/>
            </w:pPr>
            <w:r>
              <w:t>异常年份排除；有效零保留；PPML分离和退出样本表</w:t>
            </w:r>
          </w:p>
        </w:tc>
        <w:tc>
          <w:tcPr>
            <w:tcW w:type="dxa" w:w="3742"/>
            <w:vAlign w:val="center"/>
          </w:tcPr>
          <w:p>
            <w:pPr>
              <w:pStyle w:val="TableText"/>
              <w:keepNext/>
            </w:pPr>
            <w:r>
              <w:t>零不能一概认定为禁止，正值样本结果仅适用于该样本</w:t>
            </w:r>
          </w:p>
        </w:tc>
      </w:tr>
      <w:tr>
        <w:trPr>
          <w:cantSplit/>
        </w:trPr>
        <w:tc>
          <w:tcPr>
            <w:tcW w:type="dxa" w:w="1531"/>
            <w:vAlign w:val="center"/>
          </w:tcPr>
          <w:p>
            <w:pPr>
              <w:pStyle w:val="TableText"/>
            </w:pPr>
            <w:r>
              <w:t>共同改革与少簇</w:t>
            </w:r>
          </w:p>
        </w:tc>
        <w:tc>
          <w:tcPr>
            <w:tcW w:type="dxa" w:w="3855"/>
            <w:vAlign w:val="center"/>
          </w:tcPr>
          <w:p>
            <w:pPr>
              <w:pStyle w:val="TableText"/>
            </w:pPr>
            <w:r>
              <w:t>事件组合估计；独立变化检验；逐行业剔除</w:t>
            </w:r>
          </w:p>
        </w:tc>
        <w:tc>
          <w:tcPr>
            <w:tcW w:type="dxa" w:w="3742"/>
            <w:vAlign w:val="center"/>
          </w:tcPr>
          <w:p>
            <w:pPr>
              <w:pStyle w:val="TableText"/>
            </w:pPr>
            <w:r>
              <w:t>企业或母国观测数不能替代独立政策变化数</w:t>
            </w:r>
          </w:p>
        </w:tc>
      </w:tr>
    </w:tbl>
    <w:p>
      <w:pPr>
        <w:pStyle w:val="NoteText"/>
        <w:spacing w:after="20"/>
        <w:jc w:val="both"/>
      </w:pPr>
    </w:p>
    <w:p>
      <w:pPr>
        <w:jc w:val="both"/>
      </w:pPr>
      <w:r>
        <w:rPr>
          <w:lang w:val="en-US" w:eastAsia="zh-CN"/>
        </w:rPr>
        <w:t>外部效度检验将本文指标聚合到与OECD法定限制指标可比的行业、年份和政策范围，再比较方向与差异；不能直接拼接OECD新旧方法序列。由于双方可能使用相同法律来源，这种一致性主要检验编码和范围可比性，不是政策效应的独立因果证据。差异须从行业权重、覆盖类别、年末状态和优惠待遇口径解释，不以追求更高相关性为目标调整本文标签。</w:t>
      </w:r>
    </w:p>
    <w:p>
      <w:pPr>
        <w:jc w:val="both"/>
      </w:pPr>
      <w:r>
        <w:rPr>
          <w:lang w:val="en-US" w:eastAsia="zh-CN"/>
        </w:rPr>
        <w:t>Analytical AMNE包含推估和平衡。正式估计前需进一步核查其推估过程是否使用与研究政策高度相关的变量，以及哪些变动可能来自数据修订。若结果主要依赖估计单元或版本变更，应降低因果措辞，并优先寻求独立官方行业活动或企业证据。不能因为生成数据具有完整矩阵就认为其经济信息量等同于原始观测。</w:t>
      </w:r>
    </w:p>
    <w:p>
      <w:pPr>
        <w:jc w:val="both"/>
      </w:pPr>
      <w:r>
        <w:rPr>
          <w:lang w:val="en-US" w:eastAsia="zh-CN"/>
        </w:rPr>
        <w:t>政策可能通过投入产出关联影响未改革行业，并通过竞争影响内资对照。ICIO可用于在独立扩展中描述改革前网络暴露或识别潜在溢出，但不应在基准中加入改革后内生网络作为控制。若处理与对照均受到溢出，估计应解释为相对响应；总体效应需要另行建模或更适当对照。预先规定少量主要结果和事件，其他类型、窗口及异质性分析标为补充，并对同一检验族考虑多重比较。</w:t>
      </w:r>
    </w:p>
    <w:p>
      <w:pPr>
        <w:pStyle w:val="Heading1"/>
      </w:pPr>
      <w:r>
        <w:rPr>
          <w:lang w:val="en-US" w:eastAsia="zh-CN"/>
        </w:rPr>
        <w:t>A10　与跨国生产成本的条件性衔接</w:t>
      </w:r>
    </w:p>
    <w:p>
      <w:pPr>
        <w:jc w:val="both"/>
      </w:pPr>
      <w:r>
        <w:rPr>
          <w:lang w:val="en-US" w:eastAsia="zh-CN"/>
        </w:rPr>
        <w:t>本文不以“扣除距离后的全部剩余成本”定义准入制度效应。原文献《中国高水平制度型开放与全球产业链网络重塑》第17—18页的成本剥离可作为待验证的经验参照，但剩余部分也可能含有未测量摩擦。只有在观测单位、方向和行业口径一致时，才检验可观察政策变化与成本指标的对应关系。原文包含双向跨国活动的成本构造不能未经额外限制直接命名为单向中国inward成本。</w:t>
      </w:r>
    </w:p>
    <w:p>
      <w:pPr>
        <w:jc w:val="both"/>
      </w:pPr>
      <w:r>
        <w:rPr>
          <w:lang w:val="en-US" w:eastAsia="zh-CN"/>
        </w:rPr>
        <w:t>若后续具备可比较的政策响应目标矩及完整结构模型，可将政策引起的生产份额或流量变化与模型预测匹配，反演成本楔子。候选形式为：</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 = </m:t>
        </m:r>
        <m:sSub>
          <m:e>
            <m:r>
              <m:rPr>
                <m:sty m:val="p"/>
              </m:rPr>
              <w:rPr>
                <w:rFonts w:ascii="Cambria Math" w:hAnsi="Cambria Math"/>
              </w:rPr>
              <m:t xml:space="preserve">argmin</m:t>
            </m:r>
          </m:e>
          <m:sub>
            <m:r>
              <m:rPr>
                <m:sty m:val="p"/>
              </m:rPr>
              <w:rPr>
                <w:rFonts w:ascii="Cambria Math" w:hAnsi="Cambria Math"/>
              </w:rPr>
              <m:t xml:space="preserve">δ∈𝒟ⱼ</m:t>
            </m:r>
          </m:sub>
        </m:sSub>
        <m:r>
          <m:rPr>
            <m:sty m:val="p"/>
          </m:rPr>
          <w:rPr>
            <w:rFonts w:ascii="Cambria Math" w:hAnsi="Cambria Math"/>
          </w:rPr>
          <m:t xml:space="preserve">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model</m:t>
            </m:r>
          </m:sup>
        </m:sSubSup>
        <m:r>
          <m:rPr>
            <m:sty m:val="p"/>
          </m:rPr>
          <w:rPr>
            <w:rFonts w:ascii="Cambria Math" w:hAnsi="Cambria Math"/>
          </w:rPr>
          <m:t xml:space="preserve">(δ) −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policy</m:t>
            </m:r>
          </m:sup>
        </m:sSubSup>
        <m:r>
          <m:rPr>
            <m:sty m:val="p"/>
          </m:rPr>
          <w:rPr>
            <w:rFonts w:ascii="Cambria Math" w:hAnsi="Cambria Math"/>
          </w:rPr>
          <m:t xml:space="preserve">]′ </m:t>
        </m:r>
        <m:sSub>
          <m:e>
            <m:r>
              <m:rPr>
                <m:sty m:val="p"/>
              </m:rPr>
              <w:rPr>
                <w:rFonts w:ascii="Cambria Math" w:hAnsi="Cambria Math"/>
              </w:rPr>
              <m:t xml:space="preserve">W</m:t>
            </m:r>
          </m:e>
          <m:sub>
            <m:r>
              <m:rPr>
                <m:sty m:val="p"/>
              </m:rPr>
              <w:rPr>
                <w:rFonts w:ascii="Cambria Math" w:hAnsi="Cambria Math"/>
              </w:rPr>
              <m:t xml:space="preserve">j</m:t>
            </m:r>
          </m:sub>
        </m:sSub>
        <m:r>
          <m:rPr>
            <m:sty m:val="p"/>
          </m:rPr>
          <w:rPr>
            <w:rFonts w:ascii="Cambria Math" w:hAnsi="Cambria Math"/>
          </w:rPr>
          <m:t xml:space="preserve">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model</m:t>
            </m:r>
          </m:sup>
        </m:sSubSup>
        <m:r>
          <m:rPr>
            <m:sty m:val="p"/>
          </m:rPr>
          <w:rPr>
            <w:rFonts w:ascii="Cambria Math" w:hAnsi="Cambria Math"/>
          </w:rPr>
          <m:t xml:space="preserve">(δ) − </m:t>
        </m:r>
        <m:sSubSup>
          <m:e>
            <m:r>
              <m:rPr>
                <m:sty m:val="p"/>
              </m:rPr>
              <w:rPr>
                <w:rFonts w:ascii="Cambria Math" w:hAnsi="Cambria Math"/>
              </w:rPr>
              <m:t xml:space="preserve">M̂</m:t>
            </m:r>
          </m:e>
          <m:sub>
            <m:r>
              <m:rPr>
                <m:sty m:val="p"/>
              </m:rPr>
              <w:rPr>
                <w:rFonts w:ascii="Cambria Math" w:hAnsi="Cambria Math"/>
              </w:rPr>
              <m:t xml:space="preserve">j</m:t>
            </m:r>
          </m:sub>
          <m:sup>
            <m:r>
              <m:rPr>
                <m:sty m:val="p"/>
              </m:rPr>
              <w:rPr>
                <w:rFonts w:ascii="Cambria Math" w:hAnsi="Cambria Math"/>
              </w:rPr>
              <m:t xml:space="preserve">policy</m:t>
            </m:r>
          </m:sup>
        </m:sSubSup>
        <m:r>
          <m:rPr>
            <m:sty m:val="p"/>
          </m:rPr>
          <w:rPr>
            <w:rFonts w:ascii="Cambria Math" w:hAnsi="Cambria Math"/>
          </w:rPr>
          <m:t xml:space="preserve">]</m:t>
        </m:r>
      </m:oMath>
      <w:r>
        <w:rPr>
          <w:lang w:val="en-US" w:eastAsia="zh-CN"/>
        </w:rPr>
        <w:tab/>
        <w:t>（A13）</w:t>
      </w:r>
    </w:p>
    <w:p>
      <w:pPr>
        <w:jc w:val="both"/>
      </w:pPr>
      <w:r>
        <w:rPr>
          <w:lang w:val="en-US" w:eastAsia="zh-CN"/>
        </w:rPr>
        <w:t>δⱼ表示结构成本的对数变化，M为预先指定的可比目标矩，W为匹配权重。若约化式目标是外资相对内资的均衡响应，结构目标也需使用相同分子、分母、行业及均衡范围；不能把包含工资、价格和需求调整的经验效应直接匹配到冻结这些变量的局部响应。固定企业销售权重下的所有权构成亦不能替代实际产出份额。一个总体目标矩不能同时自由识别多个行业成本和额外转换弹性。</w:t>
      </w:r>
    </w:p>
    <w:p>
      <w:pPr>
        <w:jc w:val="both"/>
      </w:pPr>
      <w:r>
        <w:rPr>
          <w:lang w:val="en-US" w:eastAsia="zh-CN"/>
        </w:rPr>
        <w:t>结构成本楔子降低与效率参数提高方向相反。若模型将效率写为ξ＝1／d，则同一变化满足：</w:t>
      </w:r>
    </w:p>
    <w:p>
      <w:pPr>
        <w:pStyle w:val="EquationText"/>
        <w:tabs>
          <w:tab w:pos="4564" w:val="center"/>
          <w:tab w:pos="9128" w:val="right"/>
        </w:tabs>
        <w:spacing w:before="100" w:after="140"/>
      </w:pPr>
      <w:r>
        <w:rPr>
          <w:lang w:val="en-US" w:eastAsia="zh-CN"/>
        </w:rPr>
        <w:tab/>
      </w:r>
      <m:oMath>
        <m:sSub>
          <m:e>
            <m:r>
              <m:rPr>
                <m:sty m:val="p"/>
              </m:rPr>
              <w:rPr>
                <w:rFonts w:ascii="Cambria Math" w:hAnsi="Cambria Math"/>
              </w:rPr>
              <m:t xml:space="preserve">d̂</m:t>
            </m:r>
          </m:e>
          <m:sub>
            <m:r>
              <m:rPr>
                <m:sty m:val="p"/>
              </m:rPr>
              <w:rPr>
                <w:rFonts w:ascii="Cambria Math" w:hAnsi="Cambria Math"/>
              </w:rPr>
              <m:t xml:space="preserve">Cj</m:t>
            </m:r>
          </m:sub>
        </m:sSub>
        <m:r>
          <m:rPr>
            <m:sty m:val="p"/>
          </m:rPr>
          <w:rPr>
            <w:rFonts w:ascii="Cambria Math" w:hAnsi="Cambria Math"/>
          </w:rPr>
          <m:t xml:space="preserve"> = exp(</m:t>
        </m:r>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 </m:t>
        </m:r>
        <m:sSub>
          <m:e>
            <m:r>
              <m:rPr>
                <m:sty m:val="p"/>
              </m:rPr>
              <w:rPr>
                <w:rFonts w:ascii="Cambria Math" w:hAnsi="Cambria Math"/>
              </w:rPr>
              <m:t xml:space="preserve">ξ̂</m:t>
            </m:r>
          </m:e>
          <m:sub>
            <m:r>
              <m:rPr>
                <m:sty m:val="p"/>
              </m:rPr>
              <w:rPr>
                <w:rFonts w:ascii="Cambria Math" w:hAnsi="Cambria Math"/>
              </w:rPr>
              <m:t xml:space="preserve">Cj</m:t>
            </m:r>
          </m:sub>
        </m:sSub>
        <m:r>
          <m:rPr>
            <m:sty m:val="p"/>
          </m:rPr>
          <w:rPr>
            <w:rFonts w:ascii="Cambria Math" w:hAnsi="Cambria Math"/>
          </w:rPr>
          <m:t xml:space="preserve"> = exp(−</m:t>
        </m:r>
        <m:sSub>
          <m:e>
            <m:r>
              <m:rPr>
                <m:sty m:val="p"/>
              </m:rPr>
              <w:rPr>
                <w:rFonts w:ascii="Cambria Math" w:hAnsi="Cambria Math"/>
              </w:rPr>
              <m:t xml:space="preserve">δ̂</m:t>
            </m:r>
          </m:e>
          <m:sub>
            <m:r>
              <m:rPr>
                <m:sty m:val="p"/>
              </m:rPr>
              <w:rPr>
                <w:rFonts w:ascii="Cambria Math" w:hAnsi="Cambria Math"/>
              </w:rPr>
              <m:t xml:space="preserve">j</m:t>
            </m:r>
          </m:sub>
        </m:sSub>
        <m:r>
          <m:rPr>
            <m:sty m:val="p"/>
          </m:rPr>
          <w:rPr>
            <w:rFonts w:ascii="Cambria Math" w:hAnsi="Cambria Math"/>
          </w:rPr>
          <m:t xml:space="preserve">)</m:t>
        </m:r>
      </m:oMath>
      <w:r>
        <w:rPr>
          <w:lang w:val="en-US" w:eastAsia="zh-CN"/>
        </w:rPr>
        <w:tab/>
        <w:t>（A14）</w:t>
      </w:r>
    </w:p>
    <w:p>
      <w:pPr>
        <w:jc w:val="both"/>
      </w:pPr>
      <w:r>
        <w:rPr>
          <w:lang w:val="en-US" w:eastAsia="zh-CN"/>
        </w:rPr>
        <w:t>完全禁止涉及可行进入集合或广延边际，不应无说明地用有限连续成本近似。成本映射的不确定性还包含政策测量、约化式估计和结构参数；若最终开展一般均衡模拟，需在各层重新估计或作联合敏感性分析。当前方案的交付重点止于可信的政策测量和约化式证据，不能以模型能收敛替代这两个环节的验证。</w:t>
      </w:r>
    </w:p>
    <w:p>
      <w:r>
        <w:rPr>
          <w:lang w:val="en-US" w:eastAsia="zh-CN"/>
        </w:rPr>
        <w:br w:type="page"/>
      </w:r>
    </w:p>
    <w:p>
      <w:pPr>
        <w:pStyle w:val="Heading1"/>
      </w:pPr>
      <w:r>
        <w:rPr>
          <w:lang w:val="en-US" w:eastAsia="zh-CN"/>
        </w:rPr>
        <w:t>A11　研究流程与可复现实施</w:t>
      </w:r>
    </w:p>
    <w:p>
      <w:pPr>
        <w:keepNext/>
        <w:spacing w:line="9100" w:lineRule="exact" w:before="0" w:after="0"/>
        <w:ind w:firstLine="0"/>
      </w:pPr>
      <w:r>
        <w:rPr>
          <w:lang w:val="en-US" w:eastAsia="zh-CN"/>
        </w:rPr>
        <w:pict>
          <v:group id="PolicyMeasurementWorkflow" style="position:absolute;margin-left:0;margin-top:0;width:450pt;height:455pt;mso-position-horizontal-relative:text;mso-position-vertical-relative:paragraph" coordorigin="0,0" coordsize="900,910">
            <v:rect id="flow_a" style="position:absolute;left:15;top:12;width:385;height:78" fillcolor="white" strokecolor="black" strokeweight="0.6pt">
              <v:textbox inset="5pt,3pt,5pt,2pt">
                <w:txbxContent>
                  <w:p>
                    <w:pPr>
                      <w:jc w:val="center"/>
                      <w:spacing w:after="20" w:line="230" w:lineRule="auto"/>
                    </w:pPr>
                    <w:r>
                      <w:rPr>
                        <w:rFonts w:eastAsia="宋体" w:ascii="Times New Roman"/>
                        <w:sz w:val="20"/>
                        <w:b/>
                      </w:rPr>
                      <w:t>政策原文与生效安排</w:t>
                    </w:r>
                  </w:p>
                  <w:p>
                    <w:pPr>
                      <w:jc w:val="center"/>
                      <w:spacing w:after="20" w:line="230" w:lineRule="auto"/>
                    </w:pPr>
                    <w:r>
                      <w:rPr>
                        <w:rFonts w:eastAsia="宋体" w:ascii="Times New Roman"/>
                        <w:sz w:val="17"/>
                      </w:rPr>
                      <w:t>条文　总说明　例外　过渡期</w:t>
                    </w:r>
                  </w:p>
                </w:txbxContent>
              </v:textbox>
            </v:rect>
            <v:rect id="flow_b" style="position:absolute;left:15;top:132;width:385;height:82" fillcolor="white" strokecolor="black" strokeweight="0.6pt">
              <v:textbox inset="5pt,3pt,5pt,2pt">
                <w:txbxContent>
                  <w:p>
                    <w:pPr>
                      <w:jc w:val="center"/>
                      <w:spacing w:after="20" w:line="230" w:lineRule="auto"/>
                    </w:pPr>
                    <w:r>
                      <w:rPr>
                        <w:rFonts w:eastAsia="宋体" w:ascii="Times New Roman"/>
                        <w:sz w:val="20"/>
                        <w:b/>
                      </w:rPr>
                      <w:t>LLM结构化抽取</w:t>
                    </w:r>
                  </w:p>
                  <w:p>
                    <w:pPr>
                      <w:jc w:val="center"/>
                      <w:spacing w:after="20" w:line="230" w:lineRule="auto"/>
                    </w:pPr>
                    <w:r>
                      <w:rPr>
                        <w:rFonts w:eastAsia="宋体" w:ascii="Times New Roman"/>
                        <w:sz w:val="17"/>
                      </w:rPr>
                      <w:t>原文证据与字段化限制</w:t>
                    </w:r>
                  </w:p>
                </w:txbxContent>
              </v:textbox>
            </v:rect>
            <v:rect id="flow_c" style="position:absolute;left:15;top:259;width:385;height:82" fillcolor="white" strokecolor="black" strokeweight="0.6pt">
              <v:textbox inset="5pt,3pt,5pt,2pt">
                <w:txbxContent>
                  <w:p>
                    <w:pPr>
                      <w:jc w:val="center"/>
                      <w:spacing w:after="20" w:line="230" w:lineRule="auto"/>
                    </w:pPr>
                    <w:r>
                      <w:rPr>
                        <w:rFonts w:eastAsia="宋体" w:ascii="Times New Roman"/>
                        <w:sz w:val="20"/>
                        <w:b/>
                      </w:rPr>
                      <w:t>独立人工核验与规则校验</w:t>
                    </w:r>
                  </w:p>
                  <w:p>
                    <w:pPr>
                      <w:jc w:val="center"/>
                      <w:spacing w:after="20" w:line="230" w:lineRule="auto"/>
                    </w:pPr>
                    <w:r>
                      <w:rPr>
                        <w:rFonts w:eastAsia="宋体" w:ascii="Times New Roman"/>
                        <w:sz w:val="17"/>
                      </w:rPr>
                      <w:t>抽取准确度及遗漏检查</w:t>
                    </w:r>
                  </w:p>
                </w:txbxContent>
              </v:textbox>
            </v:rect>
            <v:rect id="flow_d" style="position:absolute;left:15;top:386;width:385;height:82" fillcolor="white" strokecolor="black" strokeweight="0.6pt">
              <v:textbox inset="5pt,3pt,5pt,2pt">
                <w:txbxContent>
                  <w:p>
                    <w:pPr>
                      <w:jc w:val="center"/>
                      <w:spacing w:after="20" w:line="230" w:lineRule="auto"/>
                    </w:pPr>
                    <w:r>
                      <w:rPr>
                        <w:rFonts w:eastAsia="宋体" w:ascii="Times New Roman"/>
                        <w:sz w:val="20"/>
                        <w:b/>
                      </w:rPr>
                      <w:t>稳定活动与改革事件</w:t>
                    </w:r>
                  </w:p>
                  <w:p>
                    <w:pPr>
                      <w:jc w:val="center"/>
                      <w:spacing w:after="20" w:line="230" w:lineRule="auto"/>
                    </w:pPr>
                    <w:r>
                      <w:rPr>
                        <w:rFonts w:eastAsia="宋体" w:ascii="Times New Roman"/>
                        <w:sz w:val="17"/>
                      </w:rPr>
                      <w:t>连接版本　区分改写与实质变化</w:t>
                    </w:r>
                  </w:p>
                </w:txbxContent>
              </v:textbox>
            </v:rect>
            <v:rect id="flow_e" style="position:absolute;left:15;top:513;width:385;height:82" fillcolor="white" strokecolor="black" strokeweight="0.6pt">
              <v:textbox inset="5pt,3pt,5pt,2pt">
                <w:txbxContent>
                  <w:p>
                    <w:pPr>
                      <w:jc w:val="center"/>
                      <w:spacing w:after="20" w:line="230" w:lineRule="auto"/>
                    </w:pPr>
                    <w:r>
                      <w:rPr>
                        <w:rFonts w:eastAsia="宋体" w:ascii="Times New Roman"/>
                        <w:sz w:val="20"/>
                        <w:b/>
                      </w:rPr>
                      <w:t>行业映射与固定权重</w:t>
                    </w:r>
                  </w:p>
                  <w:p>
                    <w:pPr>
                      <w:jc w:val="center"/>
                      <w:spacing w:after="20" w:line="230" w:lineRule="auto"/>
                    </w:pPr>
                    <w:r>
                      <w:rPr>
                        <w:rFonts w:eastAsia="宋体" w:ascii="Times New Roman"/>
                        <w:sz w:val="17"/>
                      </w:rPr>
                      <w:t>覆盖核验　不确定范围</w:t>
                    </w:r>
                  </w:p>
                </w:txbxContent>
              </v:textbox>
            </v:rect>
            <v:rect id="flow_f" style="position:absolute;left:15;top:640;width:385;height:82" fillcolor="white" strokecolor="black" strokeweight="0.6pt">
              <v:textbox inset="5pt,3pt,5pt,2pt">
                <w:txbxContent>
                  <w:p>
                    <w:pPr>
                      <w:jc w:val="center"/>
                      <w:spacing w:after="20" w:line="230" w:lineRule="auto"/>
                    </w:pPr>
                    <w:r>
                      <w:rPr>
                        <w:rFonts w:eastAsia="宋体" w:ascii="Times New Roman"/>
                        <w:sz w:val="20"/>
                        <w:b/>
                      </w:rPr>
                      <w:t>年度政策状态与改革暴露</w:t>
                    </w:r>
                  </w:p>
                  <w:p>
                    <w:pPr>
                      <w:jc w:val="center"/>
                      <w:spacing w:after="20" w:line="230" w:lineRule="auto"/>
                    </w:pPr>
                    <w:r>
                      <w:rPr>
                        <w:rFonts w:eastAsia="宋体" w:ascii="Times New Roman"/>
                        <w:sz w:val="17"/>
                      </w:rPr>
                      <w:t>状态指标　改革时点　强度</w:t>
                    </w:r>
                  </w:p>
                </w:txbxContent>
              </v:textbox>
            </v:rect>
            <v:rect id="flow_g" style="position:absolute;left:500;top:12;width:385;height:78" fillcolor="white" strokecolor="black" strokeweight="0.6pt">
              <v:textbox inset="5pt,3pt,5pt,2pt">
                <w:txbxContent>
                  <w:p>
                    <w:pPr>
                      <w:jc w:val="center"/>
                      <w:spacing w:after="20" w:line="230" w:lineRule="auto"/>
                    </w:pPr>
                    <w:r>
                      <w:rPr>
                        <w:rFonts w:eastAsia="宋体" w:ascii="Times New Roman"/>
                        <w:sz w:val="20"/>
                        <w:b/>
                      </w:rPr>
                      <w:t>AMNE与行业分类资料</w:t>
                    </w:r>
                  </w:p>
                  <w:p>
                    <w:pPr>
                      <w:jc w:val="center"/>
                      <w:spacing w:after="20" w:line="230" w:lineRule="auto"/>
                    </w:pPr>
                    <w:r>
                      <w:rPr>
                        <w:rFonts w:eastAsia="宋体" w:ascii="Times New Roman"/>
                        <w:sz w:val="17"/>
                      </w:rPr>
                      <w:t>所有权口径　行业定义　来源标记</w:t>
                    </w:r>
                  </w:p>
                </w:txbxContent>
              </v:textbox>
            </v:rect>
            <v:rect id="flow_h" style="position:absolute;left:500;top:132;width:385;height:82" fillcolor="white" strokecolor="black" strokeweight="0.6pt">
              <v:textbox inset="5pt,3pt,5pt,2pt">
                <w:txbxContent>
                  <w:p>
                    <w:pPr>
                      <w:jc w:val="center"/>
                      <w:spacing w:after="20" w:line="230" w:lineRule="auto"/>
                    </w:pPr>
                    <w:r>
                      <w:rPr>
                        <w:rFonts w:eastAsia="宋体" w:ascii="Times New Roman"/>
                        <w:sz w:val="20"/>
                        <w:b/>
                      </w:rPr>
                      <w:t>经济数据核验</w:t>
                    </w:r>
                  </w:p>
                  <w:p>
                    <w:pPr>
                      <w:jc w:val="center"/>
                      <w:spacing w:after="20" w:line="230" w:lineRule="auto"/>
                    </w:pPr>
                    <w:r>
                      <w:rPr>
                        <w:rFonts w:eastAsia="宋体" w:ascii="Times New Roman"/>
                        <w:sz w:val="17"/>
                      </w:rPr>
                      <w:t>年份　零值　主键　加总一致性</w:t>
                    </w:r>
                  </w:p>
                </w:txbxContent>
              </v:textbox>
            </v:rect>
            <v:rect id="flow_i" style="position:absolute;left:500;top:259;width:385;height:82" fillcolor="white" strokecolor="black" strokeweight="0.6pt">
              <v:textbox inset="5pt,3pt,5pt,2pt">
                <w:txbxContent>
                  <w:p>
                    <w:pPr>
                      <w:jc w:val="center"/>
                      <w:spacing w:after="20" w:line="230" w:lineRule="auto"/>
                    </w:pPr>
                    <w:r>
                      <w:rPr>
                        <w:rFonts w:eastAsia="宋体" w:ascii="Times New Roman"/>
                        <w:sz w:val="20"/>
                        <w:b/>
                      </w:rPr>
                      <w:t>回归面板与识别支持</w:t>
                    </w:r>
                  </w:p>
                  <w:p>
                    <w:pPr>
                      <w:jc w:val="center"/>
                      <w:spacing w:after="20" w:line="230" w:lineRule="auto"/>
                    </w:pPr>
                    <w:r>
                      <w:rPr>
                        <w:rFonts w:eastAsia="宋体" w:ascii="Times New Roman"/>
                        <w:sz w:val="17"/>
                      </w:rPr>
                      <w:t>共同样本　处理组　对照组</w:t>
                    </w:r>
                  </w:p>
                </w:txbxContent>
              </v:textbox>
            </v:rect>
            <v:rect id="flow_j" style="position:absolute;left:500;top:386;width:385;height:82" fillcolor="white" strokecolor="black" strokeweight="0.6pt">
              <v:textbox inset="5pt,3pt,5pt,2pt">
                <w:txbxContent>
                  <w:p>
                    <w:pPr>
                      <w:jc w:val="center"/>
                      <w:spacing w:after="20" w:line="230" w:lineRule="auto"/>
                    </w:pPr>
                    <w:r>
                      <w:rPr>
                        <w:rFonts w:eastAsia="宋体" w:ascii="Times New Roman"/>
                        <w:sz w:val="20"/>
                        <w:b/>
                      </w:rPr>
                      <w:t>实际外资活动与动态估计</w:t>
                    </w:r>
                  </w:p>
                  <w:p>
                    <w:pPr>
                      <w:jc w:val="center"/>
                      <w:spacing w:after="20" w:line="230" w:lineRule="auto"/>
                    </w:pPr>
                    <w:r>
                      <w:rPr>
                        <w:rFonts w:eastAsia="宋体" w:ascii="Times New Roman"/>
                        <w:sz w:val="17"/>
                      </w:rPr>
                      <w:t>相对产出　份额　改革响应</w:t>
                    </w:r>
                  </w:p>
                </w:txbxContent>
              </v:textbox>
            </v:rect>
            <v:rect id="flow_k" style="position:absolute;left:500;top:513;width:385;height:82" fillcolor="white" strokecolor="black" strokeweight="0.6pt">
              <v:textbox inset="5pt,3pt,5pt,2pt">
                <w:txbxContent>
                  <w:p>
                    <w:pPr>
                      <w:jc w:val="center"/>
                      <w:spacing w:after="20" w:line="230" w:lineRule="auto"/>
                    </w:pPr>
                    <w:r>
                      <w:rPr>
                        <w:rFonts w:eastAsia="宋体" w:ascii="Times New Roman"/>
                        <w:sz w:val="20"/>
                        <w:b/>
                      </w:rPr>
                      <w:t>测量与识别稳健性</w:t>
                    </w:r>
                  </w:p>
                  <w:p>
                    <w:pPr>
                      <w:jc w:val="center"/>
                      <w:spacing w:after="20" w:line="230" w:lineRule="auto"/>
                    </w:pPr>
                    <w:r>
                      <w:rPr>
                        <w:rFonts w:eastAsia="宋体" w:ascii="Times New Roman"/>
                        <w:sz w:val="17"/>
                      </w:rPr>
                      <w:t>人工标签　政策重叠　趋势　版本</w:t>
                    </w:r>
                  </w:p>
                </w:txbxContent>
              </v:textbox>
            </v:rect>
            <v:rect id="flow_l" style="position:absolute;left:500;top:640;width:385;height:82" fillcolor="white" strokecolor="black" strokeweight="0.6pt">
              <v:textbox inset="5pt,3pt,5pt,2pt">
                <w:txbxContent>
                  <w:p>
                    <w:pPr>
                      <w:jc w:val="center"/>
                      <w:spacing w:after="20" w:line="230" w:lineRule="auto"/>
                    </w:pPr>
                    <w:r>
                      <w:rPr>
                        <w:rFonts w:eastAsia="宋体" w:ascii="Times New Roman"/>
                        <w:sz w:val="20"/>
                        <w:b/>
                      </w:rPr>
                      <w:t>证据边界与成本对应</w:t>
                    </w:r>
                  </w:p>
                  <w:p>
                    <w:pPr>
                      <w:jc w:val="center"/>
                      <w:spacing w:after="20" w:line="230" w:lineRule="auto"/>
                    </w:pPr>
                    <w:r>
                      <w:rPr>
                        <w:rFonts w:eastAsia="宋体" w:ascii="Times New Roman"/>
                        <w:sz w:val="17"/>
                      </w:rPr>
                      <w:t>报告可识别响应　另验结构映射</w:t>
                    </w:r>
                  </w:p>
                </w:txbxContent>
              </v:textbox>
            </v:rect>
            <v:line id="v207_90" style="position:absolute" from="207,90" to="207,132" strokecolor="black" strokeweight="0.7pt">
              <v:stroke endarrow="block"/>
            </v:line>
            <v:line id="v207_214" style="position:absolute" from="207,214" to="207,259" strokecolor="black" strokeweight="0.7pt">
              <v:stroke endarrow="block"/>
            </v:line>
            <v:line id="v207_341" style="position:absolute" from="207,341" to="207,386" strokecolor="black" strokeweight="0.7pt">
              <v:stroke endarrow="block"/>
            </v:line>
            <v:line id="v207_468" style="position:absolute" from="207,468" to="207,513" strokecolor="black" strokeweight="0.7pt">
              <v:stroke endarrow="block"/>
            </v:line>
            <v:line id="v207_595" style="position:absolute" from="207,595" to="207,640" strokecolor="black" strokeweight="0.7pt">
              <v:stroke endarrow="block"/>
            </v:line>
            <v:line id="v692_90" style="position:absolute" from="692,90" to="692,132" strokecolor="black" strokeweight="0.7pt">
              <v:stroke endarrow="block"/>
            </v:line>
            <v:line id="v692_214" style="position:absolute" from="692,214" to="692,259" strokecolor="black" strokeweight="0.7pt">
              <v:stroke endarrow="block"/>
            </v:line>
            <v:line id="v692_341" style="position:absolute" from="692,341" to="692,386" strokecolor="black" strokeweight="0.7pt">
              <v:stroke endarrow="block"/>
            </v:line>
            <v:line id="v692_468" style="position:absolute" from="692,468" to="692,513" strokecolor="black" strokeweight="0.7pt">
              <v:stroke endarrow="block"/>
            </v:line>
            <v:line id="v692_595" style="position:absolute" from="692,595" to="692,640" strokecolor="black" strokeweight="0.7pt">
              <v:stroke endarrow="block"/>
            </v:line>
            <v:line id="merge1" style="position:absolute" from="400,681" to="448,681" strokecolor="black" strokeweight="0.7pt">
              <v:stroke endarrow="block"/>
            </v:line>
            <v:line id="merge2" style="position:absolute" from="448,681" to="448,300" strokecolor="black" strokeweight="0.7pt">
              <v:stroke endarrow="block"/>
            </v:line>
            <v:line id="merge3" style="position:absolute" from="448,300" to="500,300" strokecolor="black" strokeweight="0.7pt">
              <v:stroke endarrow="block"/>
            </v:line>
            <v:line id="review1" style="position:absolute" from="15,300" to="0,300" strokecolor="black" strokeweight="0.7pt">
              <v:stroke endarrow="block" dashstyle="dash"/>
            </v:line>
            <v:line id="review2" style="position:absolute" from="0,300" to="0,173" strokecolor="black" strokeweight="0.7pt">
              <v:stroke endarrow="block" dashstyle="dash"/>
            </v:line>
            <v:line id="review3" style="position:absolute" from="0,173" to="15,173" strokecolor="black" strokeweight="0.7pt">
              <v:stroke endarrow="block" dashstyle="dash"/>
            </v:line>
            <v:rect style="position:absolute;left:0;top:780;width:900;height:44" stroked="f" filled="f">
              <v:textbox inset="0,0,0,0">
                <w:txbxContent>
                  <w:p>
                    <w:pPr>
                      <w:jc w:val="center"/>
                    </w:pPr>
                    <w:r>
                      <w:rPr>
                        <w:rFonts w:eastAsia="宋体"/>
                        <w:sz w:val="18"/>
                      </w:rPr>
                      <w:t>实线表示数据处理顺序　虚线表示核验失败后的返修</w:t>
                    </w:r>
                  </w:p>
                </w:txbxContent>
              </v:textbox>
            </v:rect>
            <v:rect style="position:absolute;left:0;top:822;width:900;height:44" stroked="f" filled="f">
              <v:textbox inset="0,0,0,0">
                <w:txbxContent>
                  <w:p>
                    <w:pPr>
                      <w:jc w:val="center"/>
                    </w:pPr>
                    <w:r>
                      <w:rPr>
                        <w:rFonts w:eastAsia="宋体"/>
                        <w:sz w:val="18"/>
                      </w:rPr>
                      <w:t>LLM输出不直接构成成本参数　经济识别不以模型一致性替代</w:t>
                    </w:r>
                  </w:p>
                </w:txbxContent>
              </v:textbox>
            </v:rect>
          </v:group>
        </w:pict>
      </w:r>
    </w:p>
    <w:p>
      <w:pPr>
        <w:pStyle w:val="Caption"/>
        <w:jc w:val="center"/>
      </w:pPr>
      <w:r>
        <w:rPr>
          <w:lang w:val="en-US" w:eastAsia="zh-CN"/>
        </w:rPr>
        <w:t>图A1　政策文本测度与经济识别流程</w:t>
      </w:r>
    </w:p>
    <w:p>
      <w:pPr>
        <w:pStyle w:val="NoteText"/>
        <w:jc w:val="both"/>
      </w:pPr>
      <w:r>
        <w:rPr>
          <w:lang w:val="en-US" w:eastAsia="zh-CN"/>
        </w:rPr>
        <w:t>注：左列形成可追溯的政策变量，右列使用独立经济数据检验行为响应。行业分类同时用于政策映射和经济数据对齐；图中将其合并列示。跨版本连接与行业映射中的疑难记录同样返回人工裁决。</w:t>
      </w:r>
    </w:p>
    <w:p>
      <w:r>
        <w:rPr>
          <w:lang w:val="en-US" w:eastAsia="zh-CN"/>
        </w:rPr>
        <w:br w:type="page"/>
      </w:r>
    </w:p>
    <w:p>
      <w:pPr>
        <w:pStyle w:val="Heading2"/>
      </w:pPr>
      <w:r>
        <w:rPr>
          <w:lang w:val="en-US" w:eastAsia="zh-CN"/>
        </w:rPr>
        <w:t>A11.1　数据层级与唯一键</w:t>
      </w:r>
    </w:p>
    <w:p>
      <w:pPr>
        <w:pStyle w:val="Caption"/>
        <w:keepNext/>
        <w:jc w:val="left"/>
      </w:pPr>
      <w:r>
        <w:rPr>
          <w:lang w:val="en-US" w:eastAsia="zh-CN"/>
        </w:rPr>
        <w:t>表A5　拟构建的数据对象</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2268"/>
        <w:gridCol w:w="2835"/>
        <w:gridCol w:w="4025"/>
      </w:tblGrid>
      <w:tr>
        <w:trPr>
          <w:cantSplit/>
          <w:tblHeader/>
        </w:trPr>
        <w:tc>
          <w:tcPr>
            <w:tcW w:type="dxa" w:w="2268"/>
            <w:vAlign w:val="center"/>
            <w:tcBorders>
              <w:bottom w:val="single" w:sz="5" w:color="000000"/>
            </w:tcBorders>
          </w:tcPr>
          <w:p>
            <w:pPr>
              <w:pStyle w:val="TableText"/>
              <w:keepNext/>
            </w:pPr>
            <w:r>
              <w:rPr>
                <w:b/>
              </w:rPr>
              <w:t>对象</w:t>
            </w:r>
          </w:p>
        </w:tc>
        <w:tc>
          <w:tcPr>
            <w:tcW w:type="dxa" w:w="2835"/>
            <w:vAlign w:val="center"/>
            <w:tcBorders>
              <w:bottom w:val="single" w:sz="5" w:color="000000"/>
            </w:tcBorders>
          </w:tcPr>
          <w:p>
            <w:pPr>
              <w:pStyle w:val="TableText"/>
              <w:keepNext/>
            </w:pPr>
            <w:r>
              <w:rPr>
                <w:b/>
              </w:rPr>
              <w:t>唯一键或关系</w:t>
            </w:r>
          </w:p>
        </w:tc>
        <w:tc>
          <w:tcPr>
            <w:tcW w:type="dxa" w:w="4025"/>
            <w:vAlign w:val="center"/>
            <w:tcBorders>
              <w:bottom w:val="single" w:sz="5" w:color="000000"/>
            </w:tcBorders>
          </w:tcPr>
          <w:p>
            <w:pPr>
              <w:pStyle w:val="TableText"/>
              <w:keepNext/>
            </w:pPr>
            <w:r>
              <w:rPr>
                <w:b/>
              </w:rPr>
              <w:t>核心内容</w:t>
            </w:r>
          </w:p>
        </w:tc>
      </w:tr>
      <w:tr>
        <w:trPr>
          <w:cantSplit/>
        </w:trPr>
        <w:tc>
          <w:tcPr>
            <w:tcW w:type="dxa" w:w="2268"/>
            <w:vAlign w:val="center"/>
          </w:tcPr>
          <w:p>
            <w:pPr>
              <w:pStyle w:val="TableText"/>
              <w:keepNext/>
            </w:pPr>
            <w:r>
              <w:t>政策版本登记</w:t>
            </w:r>
          </w:p>
        </w:tc>
        <w:tc>
          <w:tcPr>
            <w:tcW w:type="dxa" w:w="2835"/>
            <w:vAlign w:val="center"/>
          </w:tcPr>
          <w:p>
            <w:pPr>
              <w:pStyle w:val="TableText"/>
              <w:keepNext/>
            </w:pPr>
            <w:r>
              <w:t>policy_version_id</w:t>
            </w:r>
          </w:p>
        </w:tc>
        <w:tc>
          <w:tcPr>
            <w:tcW w:type="dxa" w:w="4025"/>
            <w:vAlign w:val="center"/>
          </w:tcPr>
          <w:p>
            <w:pPr>
              <w:pStyle w:val="TableText"/>
              <w:keepNext/>
            </w:pPr>
            <w:r>
              <w:t>原文、文号、生效区间、来源与哈希</w:t>
            </w:r>
          </w:p>
        </w:tc>
      </w:tr>
      <w:tr>
        <w:trPr>
          <w:cantSplit/>
        </w:trPr>
        <w:tc>
          <w:tcPr>
            <w:tcW w:type="dxa" w:w="2268"/>
            <w:vAlign w:val="center"/>
          </w:tcPr>
          <w:p>
            <w:pPr>
              <w:pStyle w:val="TableText"/>
            </w:pPr>
            <w:r>
              <w:t>原文编码单元</w:t>
            </w:r>
          </w:p>
        </w:tc>
        <w:tc>
          <w:tcPr>
            <w:tcW w:type="dxa" w:w="2835"/>
            <w:vAlign w:val="center"/>
          </w:tcPr>
          <w:p>
            <w:pPr>
              <w:pStyle w:val="TableText"/>
            </w:pPr>
            <w:r>
              <w:t>policy_version_id × policy_unit_id</w:t>
            </w:r>
          </w:p>
        </w:tc>
        <w:tc>
          <w:tcPr>
            <w:tcW w:type="dxa" w:w="4025"/>
            <w:vAlign w:val="center"/>
          </w:tcPr>
          <w:p>
            <w:pPr>
              <w:pStyle w:val="TableText"/>
            </w:pPr>
            <w:r>
              <w:t>原文片段、活动、限制、例外及来源定位</w:t>
            </w:r>
          </w:p>
        </w:tc>
      </w:tr>
      <w:tr>
        <w:trPr>
          <w:cantSplit/>
        </w:trPr>
        <w:tc>
          <w:tcPr>
            <w:tcW w:type="dxa" w:w="2268"/>
            <w:vAlign w:val="center"/>
          </w:tcPr>
          <w:p>
            <w:pPr>
              <w:pStyle w:val="TableText"/>
            </w:pPr>
            <w:r>
              <w:t>跨期活动连接</w:t>
            </w:r>
          </w:p>
        </w:tc>
        <w:tc>
          <w:tcPr>
            <w:tcW w:type="dxa" w:w="2835"/>
            <w:vAlign w:val="center"/>
          </w:tcPr>
          <w:p>
            <w:pPr>
              <w:pStyle w:val="TableText"/>
            </w:pPr>
            <w:r>
              <w:t>活动 × 版本 × 单元关系</w:t>
            </w:r>
          </w:p>
        </w:tc>
        <w:tc>
          <w:tcPr>
            <w:tcW w:type="dxa" w:w="4025"/>
            <w:vAlign w:val="center"/>
          </w:tcPr>
          <w:p>
            <w:pPr>
              <w:pStyle w:val="TableText"/>
            </w:pPr>
            <w:r>
              <w:t>稳定活动、拆分合并、继承与连接依据</w:t>
            </w:r>
          </w:p>
        </w:tc>
      </w:tr>
      <w:tr>
        <w:trPr>
          <w:cantSplit/>
        </w:trPr>
        <w:tc>
          <w:tcPr>
            <w:tcW w:type="dxa" w:w="2268"/>
            <w:vAlign w:val="center"/>
          </w:tcPr>
          <w:p>
            <w:pPr>
              <w:pStyle w:val="TableText"/>
            </w:pPr>
            <w:r>
              <w:t>法律状态区间</w:t>
            </w:r>
          </w:p>
        </w:tc>
        <w:tc>
          <w:tcPr>
            <w:tcW w:type="dxa" w:w="2835"/>
            <w:vAlign w:val="center"/>
          </w:tcPr>
          <w:p>
            <w:pPr>
              <w:pStyle w:val="TableText"/>
            </w:pPr>
            <w:r>
              <w:t>activity_id × regime_id × interval_id</w:t>
            </w:r>
          </w:p>
        </w:tc>
        <w:tc>
          <w:tcPr>
            <w:tcW w:type="dxa" w:w="4025"/>
            <w:vAlign w:val="center"/>
          </w:tcPr>
          <w:p>
            <w:pPr>
              <w:pStyle w:val="TableText"/>
            </w:pPr>
            <w:r>
              <w:t>适用资格、日期、限制事实与value_status</w:t>
            </w:r>
          </w:p>
        </w:tc>
      </w:tr>
      <w:tr>
        <w:trPr>
          <w:cantSplit/>
        </w:trPr>
        <w:tc>
          <w:tcPr>
            <w:tcW w:type="dxa" w:w="2268"/>
            <w:vAlign w:val="center"/>
          </w:tcPr>
          <w:p>
            <w:pPr>
              <w:pStyle w:val="TableText"/>
            </w:pPr>
            <w:r>
              <w:t>行业对应</w:t>
            </w:r>
          </w:p>
        </w:tc>
        <w:tc>
          <w:tcPr>
            <w:tcW w:type="dxa" w:w="2835"/>
            <w:vAlign w:val="center"/>
          </w:tcPr>
          <w:p>
            <w:pPr>
              <w:pStyle w:val="TableText"/>
            </w:pPr>
            <w:r>
              <w:t>活动 × 分类版本 × 标准代码</w:t>
            </w:r>
          </w:p>
        </w:tc>
        <w:tc>
          <w:tcPr>
            <w:tcW w:type="dxa" w:w="4025"/>
            <w:vAlign w:val="center"/>
          </w:tcPr>
          <w:p>
            <w:pPr>
              <w:pStyle w:val="TableText"/>
            </w:pPr>
            <w:r>
              <w:t>匹配类型、覆盖范围、候选及裁决</w:t>
            </w:r>
          </w:p>
        </w:tc>
      </w:tr>
      <w:tr>
        <w:trPr>
          <w:cantSplit/>
        </w:trPr>
        <w:tc>
          <w:tcPr>
            <w:tcW w:type="dxa" w:w="2268"/>
            <w:vAlign w:val="center"/>
          </w:tcPr>
          <w:p>
            <w:pPr>
              <w:pStyle w:val="TableText"/>
            </w:pPr>
            <w:r>
              <w:t>权重与年度暴露</w:t>
            </w:r>
          </w:p>
        </w:tc>
        <w:tc>
          <w:tcPr>
            <w:tcW w:type="dxa" w:w="2835"/>
            <w:vAlign w:val="center"/>
          </w:tcPr>
          <w:p>
            <w:pPr>
              <w:pStyle w:val="TableText"/>
            </w:pPr>
            <w:r>
              <w:t>分析活动 × 基期；行业 × 年份</w:t>
            </w:r>
          </w:p>
        </w:tc>
        <w:tc>
          <w:tcPr>
            <w:tcW w:type="dxa" w:w="4025"/>
            <w:vAlign w:val="center"/>
          </w:tcPr>
          <w:p>
            <w:pPr>
              <w:pStyle w:val="TableText"/>
            </w:pPr>
            <w:r>
              <w:t>不重复分母、固定权重、六类状态及开放变化</w:t>
            </w:r>
          </w:p>
        </w:tc>
      </w:tr>
      <w:tr>
        <w:trPr>
          <w:cantSplit/>
        </w:trPr>
        <w:tc>
          <w:tcPr>
            <w:tcW w:type="dxa" w:w="2268"/>
            <w:vAlign w:val="center"/>
          </w:tcPr>
          <w:p>
            <w:pPr>
              <w:pStyle w:val="TableText"/>
              <w:keepNext/>
            </w:pPr>
            <w:r>
              <w:t>经济数据与回归面板</w:t>
            </w:r>
          </w:p>
        </w:tc>
        <w:tc>
          <w:tcPr>
            <w:tcW w:type="dxa" w:w="2835"/>
            <w:vAlign w:val="center"/>
          </w:tcPr>
          <w:p>
            <w:pPr>
              <w:pStyle w:val="TableText"/>
              <w:keepNext/>
            </w:pPr>
            <w:r>
              <w:t>行业 × 所有权 × 年；或母国 × 行业 × 年</w:t>
            </w:r>
          </w:p>
        </w:tc>
        <w:tc>
          <w:tcPr>
            <w:tcW w:type="dxa" w:w="4025"/>
            <w:vAlign w:val="center"/>
          </w:tcPr>
          <w:p>
            <w:pPr>
              <w:pStyle w:val="TableText"/>
              <w:keepNext/>
            </w:pPr>
            <w:r>
              <w:t>产出、来源标记、共同样本与匹配状态</w:t>
            </w:r>
          </w:p>
        </w:tc>
      </w:tr>
      <w:tr>
        <w:trPr>
          <w:cantSplit/>
        </w:trPr>
        <w:tc>
          <w:tcPr>
            <w:tcW w:type="dxa" w:w="2268"/>
            <w:vAlign w:val="center"/>
          </w:tcPr>
          <w:p>
            <w:pPr>
              <w:pStyle w:val="TableText"/>
            </w:pPr>
            <w:r>
              <w:t>改革事件与估计登记</w:t>
            </w:r>
          </w:p>
        </w:tc>
        <w:tc>
          <w:tcPr>
            <w:tcW w:type="dxa" w:w="2835"/>
            <w:vAlign w:val="center"/>
          </w:tcPr>
          <w:p>
            <w:pPr>
              <w:pStyle w:val="TableText"/>
            </w:pPr>
            <w:r>
              <w:t>event_id；specification_id</w:t>
            </w:r>
          </w:p>
        </w:tc>
        <w:tc>
          <w:tcPr>
            <w:tcW w:type="dxa" w:w="4025"/>
            <w:vAlign w:val="center"/>
          </w:tcPr>
          <w:p>
            <w:pPr>
              <w:pStyle w:val="TableText"/>
            </w:pPr>
            <w:r>
              <w:t>处理、对照、窗口、参数对象、推断及失败状态</w:t>
            </w:r>
          </w:p>
        </w:tc>
      </w:tr>
    </w:tbl>
    <w:p>
      <w:pPr>
        <w:pStyle w:val="NoteText"/>
        <w:spacing w:after="20"/>
        <w:jc w:val="both"/>
      </w:pPr>
    </w:p>
    <w:p>
      <w:pPr>
        <w:jc w:val="both"/>
      </w:pPr>
      <w:r>
        <w:rPr>
          <w:lang w:val="en-US" w:eastAsia="zh-CN"/>
        </w:rPr>
        <w:t>原始PDF、下载数据和历史人工标签只读保存；清洗、连接与聚合写入独立派生层。主标签采用UTF-8 JSONL，中文分析CSV按目标软件采用明确编码，分类代码和日期在Schema中显式定义。人工修改先写回权威标签再重建派生表，禁止同时手工修改多个导出版本。提示词、原始响应、验证样本、行业桥接和权重均单独版本化。</w:t>
      </w:r>
    </w:p>
    <w:p>
      <w:pPr>
        <w:jc w:val="both"/>
      </w:pPr>
      <w:r>
        <w:rPr>
          <w:lang w:val="en-US" w:eastAsia="zh-CN"/>
        </w:rPr>
        <w:t>每次构建输出manifest，至少记录输入文件及SHA256、软件和模型版本、调用参数、随机种子、数据行列数、主键、覆盖比例、排除原因与输出哈希。回归日志记录实际样本、处理行业、独立事件数、固定效应、聚类数、收敛和分离。相同输入与冻结配置应重建相同政策分析表；LLM远端调用的非确定性以原始返回归档和重复审计处理，不作逐字重现的无条件承诺。</w:t>
      </w:r>
    </w:p>
    <w:p>
      <w:pPr>
        <w:pStyle w:val="Heading2"/>
      </w:pPr>
      <w:r>
        <w:rPr>
          <w:lang w:val="en-US" w:eastAsia="zh-CN"/>
        </w:rPr>
        <w:t>A11.2　实施顺序与验收条件</w:t>
      </w:r>
    </w:p>
    <w:p>
      <w:pPr>
        <w:jc w:val="both"/>
      </w:pPr>
      <w:r>
        <w:rPr>
          <w:lang w:val="en-US" w:eastAsia="zh-CN"/>
        </w:rPr>
        <w:t>第一步核验政策文件身份与AMNE有效年份，形成版本登记和样本候选范围；第二步选取禁止、明确股比、中方控制、复杂例外和预告实施等案例，锁定编码手册；第三步完成跨期抽取、独立验证和人工裁决，形成活动状态与改革事件；第四步核验行业对应、分母及权重，输出行业状态和覆盖区间；第五步建立识别支持表，确定主规格和动态比较；第六步完成回归与稳健性，再整理审稿回复及方法附录。</w:t>
      </w:r>
    </w:p>
    <w:p>
      <w:pPr>
        <w:jc w:val="both"/>
      </w:pPr>
      <w:r>
        <w:rPr>
          <w:lang w:val="en-US" w:eastAsia="zh-CN"/>
        </w:rPr>
        <w:t>验收以证据可追溯和估计对象一致为标准，而非以统计显著为标准。每项进入回归的改革须有可定位原文、明确生效日期和可靠行业暴露；每个系数须有清楚的处理与对照、有效变化、样本和推断记录。若细活动权重或有效改革次数不足，则缩窄结论至分类覆盖或描述性关联，不通过主观补权、重复观测或扩大因果措辞填补缺口。</w:t>
      </w:r>
    </w:p>
    <w:p>
      <w:pPr>
        <w:pStyle w:val="Heading1"/>
      </w:pPr>
      <w:r>
        <w:rPr>
          <w:lang w:val="en-US" w:eastAsia="zh-CN"/>
        </w:rPr>
        <w:t>附录B　现有材料核查与数据约束</w:t>
      </w:r>
    </w:p>
    <w:p>
      <w:pPr>
        <w:jc w:val="both"/>
      </w:pPr>
      <w:r>
        <w:rPr>
          <w:lang w:val="en-US" w:eastAsia="zh-CN"/>
        </w:rPr>
        <w:t>本附录记录2026年9月11日对本地材料进行的只读核查，作为数据来源与拟实施方法之间的边界说明。数值来自当前文件读取和可复现计算，不代表政策编码已经完成独立人工验证，也不代表已经获得政策效应估计。完整输入哈希及机器可读核查结果保存在本方案复现材料中。</w:t>
      </w:r>
    </w:p>
    <w:p>
      <w:pPr>
        <w:pStyle w:val="Caption"/>
        <w:keepNext/>
        <w:jc w:val="left"/>
      </w:pPr>
      <w:r>
        <w:rPr>
          <w:lang w:val="en-US" w:eastAsia="zh-CN"/>
        </w:rPr>
        <w:t>表A6　现有文件的直接核查结果</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814"/>
        <w:gridCol w:w="4139"/>
        <w:gridCol w:w="3175"/>
      </w:tblGrid>
      <w:tr>
        <w:trPr>
          <w:cantSplit/>
          <w:tblHeader/>
        </w:trPr>
        <w:tc>
          <w:tcPr>
            <w:tcW w:type="dxa" w:w="1814"/>
            <w:vAlign w:val="center"/>
            <w:tcBorders>
              <w:bottom w:val="single" w:sz="5" w:color="000000"/>
            </w:tcBorders>
          </w:tcPr>
          <w:p>
            <w:pPr>
              <w:pStyle w:val="TableText"/>
              <w:keepNext/>
            </w:pPr>
            <w:r>
              <w:rPr>
                <w:b/>
              </w:rPr>
              <w:t>材料</w:t>
            </w:r>
          </w:p>
        </w:tc>
        <w:tc>
          <w:tcPr>
            <w:tcW w:type="dxa" w:w="4139"/>
            <w:vAlign w:val="center"/>
            <w:tcBorders>
              <w:bottom w:val="single" w:sz="5" w:color="000000"/>
            </w:tcBorders>
          </w:tcPr>
          <w:p>
            <w:pPr>
              <w:pStyle w:val="TableText"/>
              <w:keepNext/>
            </w:pPr>
            <w:r>
              <w:rPr>
                <w:b/>
              </w:rPr>
              <w:t>核查结果</w:t>
            </w:r>
          </w:p>
        </w:tc>
        <w:tc>
          <w:tcPr>
            <w:tcW w:type="dxa" w:w="3175"/>
            <w:vAlign w:val="center"/>
            <w:tcBorders>
              <w:bottom w:val="single" w:sz="5" w:color="000000"/>
            </w:tcBorders>
          </w:tcPr>
          <w:p>
            <w:pPr>
              <w:pStyle w:val="TableText"/>
              <w:keepNext/>
            </w:pPr>
            <w:r>
              <w:rPr>
                <w:b/>
              </w:rPr>
              <w:t>研究处理</w:t>
            </w:r>
          </w:p>
        </w:tc>
      </w:tr>
      <w:tr>
        <w:trPr>
          <w:cantSplit/>
        </w:trPr>
        <w:tc>
          <w:tcPr>
            <w:tcW w:type="dxa" w:w="1814"/>
            <w:vAlign w:val="center"/>
          </w:tcPr>
          <w:p>
            <w:pPr>
              <w:pStyle w:val="TableText"/>
              <w:keepNext/>
            </w:pPr>
            <w:r>
              <w:t>2024政策JSONL</w:t>
            </w:r>
          </w:p>
        </w:tc>
        <w:tc>
          <w:tcPr>
            <w:tcW w:type="dxa" w:w="4139"/>
            <w:vAlign w:val="center"/>
          </w:tcPr>
          <w:p>
            <w:pPr>
              <w:pStyle w:val="TableText"/>
              <w:keepNext/>
            </w:pPr>
            <w:r>
              <w:t>95条记录，29个官方序号；标识唯一；79条禁止、16条附条件；2条数值股比上限</w:t>
            </w:r>
          </w:p>
        </w:tc>
        <w:tc>
          <w:tcPr>
            <w:tcW w:type="dxa" w:w="3175"/>
            <w:vAlign w:val="center"/>
          </w:tcPr>
          <w:p>
            <w:pPr>
              <w:pStyle w:val="TableText"/>
              <w:keepNext/>
            </w:pPr>
            <w:r>
              <w:t>作为待验证初始编码；不能据此构造全行业分母</w:t>
            </w:r>
          </w:p>
        </w:tc>
      </w:tr>
      <w:tr>
        <w:trPr>
          <w:cantSplit/>
        </w:trPr>
        <w:tc>
          <w:tcPr>
            <w:tcW w:type="dxa" w:w="1814"/>
            <w:vAlign w:val="center"/>
          </w:tcPr>
          <w:p>
            <w:pPr>
              <w:pStyle w:val="TableText"/>
            </w:pPr>
            <w:r>
              <w:t>2026版双边产出</w:t>
            </w:r>
          </w:p>
        </w:tc>
        <w:tc>
          <w:tcPr>
            <w:tcW w:type="dxa" w:w="4139"/>
            <w:vAlign w:val="center"/>
          </w:tcPr>
          <w:p>
            <w:pPr>
              <w:pStyle w:val="TableText"/>
            </w:pPr>
            <w:r>
              <w:t>83,025行、84列；81个经济体类别、41个行业；2000—2024；主键无重复</w:t>
            </w:r>
          </w:p>
        </w:tc>
        <w:tc>
          <w:tcPr>
            <w:tcW w:type="dxa" w:w="3175"/>
            <w:vAlign w:val="center"/>
          </w:tcPr>
          <w:p>
            <w:pPr>
              <w:pStyle w:val="TableText"/>
            </w:pPr>
            <w:r>
              <w:t>cou为东道国；所有权来源为列；读取方向固定</w:t>
            </w:r>
          </w:p>
        </w:tc>
      </w:tr>
      <w:tr>
        <w:trPr>
          <w:cantSplit/>
        </w:trPr>
        <w:tc>
          <w:tcPr>
            <w:tcW w:type="dxa" w:w="1814"/>
            <w:vAlign w:val="center"/>
          </w:tcPr>
          <w:p>
            <w:pPr>
              <w:pStyle w:val="TableText"/>
            </w:pPr>
            <w:r>
              <w:t>其中2024年</w:t>
            </w:r>
          </w:p>
        </w:tc>
        <w:tc>
          <w:tcPr>
            <w:tcW w:type="dxa" w:w="4139"/>
            <w:vAlign w:val="center"/>
          </w:tcPr>
          <w:p>
            <w:pPr>
              <w:pStyle w:val="TableText"/>
            </w:pPr>
            <w:r>
              <w:t>3,321行；所有81个来源列均为0；无缺失值</w:t>
            </w:r>
          </w:p>
        </w:tc>
        <w:tc>
          <w:tcPr>
            <w:tcW w:type="dxa" w:w="3175"/>
            <w:vAlign w:val="center"/>
          </w:tcPr>
          <w:p>
            <w:pPr>
              <w:pStyle w:val="TableText"/>
            </w:pPr>
            <w:r>
              <w:t>来源未确认前排除该年份；保留原始文件</w:t>
            </w:r>
          </w:p>
        </w:tc>
      </w:tr>
      <w:tr>
        <w:trPr>
          <w:cantSplit/>
        </w:trPr>
        <w:tc>
          <w:tcPr>
            <w:tcW w:type="dxa" w:w="1814"/>
            <w:vAlign w:val="center"/>
          </w:tcPr>
          <w:p>
            <w:pPr>
              <w:pStyle w:val="TableText"/>
            </w:pPr>
            <w:r>
              <w:t>2026版三类所有权产出</w:t>
            </w:r>
          </w:p>
        </w:tc>
        <w:tc>
          <w:tcPr>
            <w:tcW w:type="dxa" w:w="4139"/>
            <w:vAlign w:val="center"/>
          </w:tcPr>
          <w:p>
            <w:pPr>
              <w:pStyle w:val="TableText"/>
            </w:pPr>
            <w:r>
              <w:t>159,408行；2008—2023年；行业×所有权×国家×年份主键无重复</w:t>
            </w:r>
          </w:p>
        </w:tc>
        <w:tc>
          <w:tcPr>
            <w:tcW w:type="dxa" w:w="3175"/>
            <w:vAlign w:val="center"/>
          </w:tcPr>
          <w:p>
            <w:pPr>
              <w:pStyle w:val="TableText"/>
            </w:pPr>
            <w:r>
              <w:t>F为外资，D_MNE与D_OTH加总构造内资</w:t>
            </w:r>
          </w:p>
        </w:tc>
      </w:tr>
      <w:tr>
        <w:trPr>
          <w:cantSplit/>
        </w:trPr>
        <w:tc>
          <w:tcPr>
            <w:tcW w:type="dxa" w:w="1814"/>
            <w:vAlign w:val="center"/>
          </w:tcPr>
          <w:p>
            <w:pPr>
              <w:pStyle w:val="TableText"/>
            </w:pPr>
            <w:r>
              <w:t>中国F组GO来源标记</w:t>
            </w:r>
          </w:p>
        </w:tc>
        <w:tc>
          <w:tcPr>
            <w:tcW w:type="dxa" w:w="4139"/>
            <w:vAlign w:val="center"/>
          </w:tcPr>
          <w:p>
            <w:pPr>
              <w:pStyle w:val="TableText"/>
            </w:pPr>
            <w:r>
              <w:t>656行：e,a为347，a为113，e为28，空白168</w:t>
            </w:r>
          </w:p>
        </w:tc>
        <w:tc>
          <w:tcPr>
            <w:tcW w:type="dxa" w:w="3175"/>
            <w:vAlign w:val="center"/>
          </w:tcPr>
          <w:p>
            <w:pPr>
              <w:pStyle w:val="TableText"/>
            </w:pPr>
            <w:r>
              <w:t>组合值保留；空白含义不作推断</w:t>
            </w:r>
          </w:p>
        </w:tc>
      </w:tr>
      <w:tr>
        <w:trPr>
          <w:cantSplit/>
        </w:trPr>
        <w:tc>
          <w:tcPr>
            <w:tcW w:type="dxa" w:w="1814"/>
            <w:vAlign w:val="center"/>
          </w:tcPr>
          <w:p>
            <w:pPr>
              <w:pStyle w:val="TableText"/>
              <w:keepNext/>
            </w:pPr>
            <w:r>
              <w:t>中国外资产出加总核对</w:t>
            </w:r>
          </w:p>
        </w:tc>
        <w:tc>
          <w:tcPr>
            <w:tcW w:type="dxa" w:w="4139"/>
            <w:vAlign w:val="center"/>
          </w:tcPr>
          <w:p>
            <w:pPr>
              <w:pStyle w:val="TableText"/>
              <w:keepNext/>
            </w:pPr>
            <w:r>
              <w:t>共同样本656行；最大绝对差0.03521百万美元；正值口径最大相对差0.04577%</w:t>
            </w:r>
          </w:p>
        </w:tc>
        <w:tc>
          <w:tcPr>
            <w:tcW w:type="dxa" w:w="3175"/>
            <w:vAlign w:val="center"/>
          </w:tcPr>
          <w:p>
            <w:pPr>
              <w:pStyle w:val="TableText"/>
              <w:keepNext/>
            </w:pPr>
            <w:r>
              <w:t>两来源近似一致而非逐值相同；不强制覆盖</w:t>
            </w:r>
          </w:p>
        </w:tc>
      </w:tr>
      <w:tr>
        <w:trPr>
          <w:cantSplit/>
        </w:trPr>
        <w:tc>
          <w:tcPr>
            <w:tcW w:type="dxa" w:w="1814"/>
            <w:vAlign w:val="center"/>
          </w:tcPr>
          <w:p>
            <w:pPr>
              <w:pStyle w:val="TableText"/>
            </w:pPr>
            <w:r>
              <w:t>2026版说明与数据</w:t>
            </w:r>
          </w:p>
        </w:tc>
        <w:tc>
          <w:tcPr>
            <w:tcW w:type="dxa" w:w="4139"/>
            <w:vAlign w:val="center"/>
          </w:tcPr>
          <w:p>
            <w:pPr>
              <w:pStyle w:val="TableText"/>
            </w:pPr>
            <w:r>
              <w:t>说明截至2023年；指出2023年ICIO含预测基础</w:t>
            </w:r>
          </w:p>
        </w:tc>
        <w:tc>
          <w:tcPr>
            <w:tcW w:type="dxa" w:w="3175"/>
            <w:vAlign w:val="center"/>
          </w:tcPr>
          <w:p>
            <w:pPr>
              <w:pStyle w:val="TableText"/>
            </w:pPr>
            <w:r>
              <w:t>解释CSV异常2024行；另报告截至2022年结果</w:t>
            </w:r>
          </w:p>
        </w:tc>
      </w:tr>
    </w:tbl>
    <w:p>
      <w:pPr>
        <w:pStyle w:val="NoteText"/>
        <w:spacing w:after="20"/>
        <w:jc w:val="both"/>
      </w:pPr>
    </w:p>
    <w:p>
      <w:pPr>
        <w:pStyle w:val="NoteText"/>
        <w:jc w:val="both"/>
      </w:pPr>
      <w:r>
        <w:rPr>
          <w:lang w:val="en-US" w:eastAsia="zh-CN"/>
        </w:rPr>
        <w:t>注：双边文件的84列包括year、cou、isic三个标识列及81个来源列；81包括其列示的世界其他地区类别。加总核对为双边中国行外国来源合计与三类所有权文件F组GO之差，未据此推断差异的生成原因。</w:t>
      </w:r>
    </w:p>
    <w:p>
      <w:pPr>
        <w:jc w:val="both"/>
      </w:pPr>
      <w:r>
        <w:rPr>
          <w:lang w:val="en-US" w:eastAsia="zh-CN"/>
        </w:rPr>
        <w:t>现有政策目录包含六份按2017、2018、2019、2020、2021、2024命名的PDF；当前仅看到2024年的JSONL与CSV编码。跨版本稳定活动连接、全行业无约束分母、可靠细活动经济权重及独立人工测试结果尚未形成可确认的完整产物。GB分类资料同时含原2017版、修改单和注释，分析时需选择并登记适用版本。ISIC分类文本可以提供标准代码与定义，但不能替代政策活动向GB或GB向ISIC的一对多裁决。</w:t>
      </w:r>
    </w:p>
    <w:p>
      <w:pPr>
        <w:jc w:val="both"/>
      </w:pPr>
      <w:r>
        <w:rPr>
          <w:lang w:val="en-US" w:eastAsia="zh-CN"/>
        </w:rPr>
        <w:t>本地2023版AMNE经济数据截至2019年，2024版截至2020年。因此，跨版本稳健性应在共同年份和相同经济体、行业口径内比较，不能把版本扩展的年份变化混同为数据修订效应。现有ICIO目录主要提供说明和分类附件；即使后续补齐投入产出矩阵，其用途也主要是行业衔接与网络结构，不能直接解决粗行业内细活动权重。</w:t>
      </w:r>
    </w:p>
    <w:p>
      <w:pPr>
        <w:pStyle w:val="Caption"/>
        <w:keepNext/>
        <w:jc w:val="left"/>
      </w:pPr>
      <w:r>
        <w:rPr>
          <w:lang w:val="en-US" w:eastAsia="zh-CN"/>
        </w:rPr>
        <w:t>表A7　正式估计前需解决的事项</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1928"/>
        <w:gridCol w:w="3742"/>
        <w:gridCol w:w="3458"/>
      </w:tblGrid>
      <w:tr>
        <w:trPr>
          <w:cantSplit/>
          <w:tblHeader/>
        </w:trPr>
        <w:tc>
          <w:tcPr>
            <w:tcW w:type="dxa" w:w="1928"/>
            <w:vAlign w:val="center"/>
            <w:tcBorders>
              <w:bottom w:val="single" w:sz="5" w:color="000000"/>
            </w:tcBorders>
          </w:tcPr>
          <w:p>
            <w:pPr>
              <w:pStyle w:val="TableText"/>
              <w:keepNext/>
            </w:pPr>
            <w:r>
              <w:rPr>
                <w:b/>
              </w:rPr>
              <w:t>事项</w:t>
            </w:r>
          </w:p>
        </w:tc>
        <w:tc>
          <w:tcPr>
            <w:tcW w:type="dxa" w:w="3742"/>
            <w:vAlign w:val="center"/>
            <w:tcBorders>
              <w:bottom w:val="single" w:sz="5" w:color="000000"/>
            </w:tcBorders>
          </w:tcPr>
          <w:p>
            <w:pPr>
              <w:pStyle w:val="TableText"/>
              <w:keepNext/>
            </w:pPr>
            <w:r>
              <w:rPr>
                <w:b/>
              </w:rPr>
              <w:t>所需证据</w:t>
            </w:r>
          </w:p>
        </w:tc>
        <w:tc>
          <w:tcPr>
            <w:tcW w:type="dxa" w:w="3458"/>
            <w:vAlign w:val="center"/>
            <w:tcBorders>
              <w:bottom w:val="single" w:sz="5" w:color="000000"/>
            </w:tcBorders>
          </w:tcPr>
          <w:p>
            <w:pPr>
              <w:pStyle w:val="TableText"/>
              <w:keepNext/>
            </w:pPr>
            <w:r>
              <w:rPr>
                <w:b/>
              </w:rPr>
              <w:t>不能采用的替代</w:t>
            </w:r>
          </w:p>
        </w:tc>
      </w:tr>
      <w:tr>
        <w:trPr>
          <w:cantSplit/>
        </w:trPr>
        <w:tc>
          <w:tcPr>
            <w:tcW w:type="dxa" w:w="1928"/>
            <w:vAlign w:val="center"/>
          </w:tcPr>
          <w:p>
            <w:pPr>
              <w:pStyle w:val="TableText"/>
              <w:keepNext/>
            </w:pPr>
            <w:r>
              <w:t>改革前政策覆盖</w:t>
            </w:r>
          </w:p>
        </w:tc>
        <w:tc>
          <w:tcPr>
            <w:tcW w:type="dxa" w:w="3742"/>
            <w:vAlign w:val="center"/>
          </w:tcPr>
          <w:p>
            <w:pPr>
              <w:pStyle w:val="TableText"/>
              <w:keepNext/>
            </w:pPr>
            <w:r>
              <w:t>2017前适用目录与修改文件；完整身份和生效依据</w:t>
            </w:r>
          </w:p>
        </w:tc>
        <w:tc>
          <w:tcPr>
            <w:tcW w:type="dxa" w:w="3458"/>
            <w:vAlign w:val="center"/>
          </w:tcPr>
          <w:p>
            <w:pPr>
              <w:pStyle w:val="TableText"/>
              <w:keepNext/>
            </w:pPr>
            <w:r>
              <w:t>将2017状态倒推至更早年份</w:t>
            </w:r>
          </w:p>
        </w:tc>
      </w:tr>
      <w:tr>
        <w:trPr>
          <w:cantSplit/>
        </w:trPr>
        <w:tc>
          <w:tcPr>
            <w:tcW w:type="dxa" w:w="1928"/>
            <w:vAlign w:val="center"/>
          </w:tcPr>
          <w:p>
            <w:pPr>
              <w:pStyle w:val="TableText"/>
            </w:pPr>
            <w:r>
              <w:t>活动连接与无约束状态</w:t>
            </w:r>
          </w:p>
        </w:tc>
        <w:tc>
          <w:tcPr>
            <w:tcW w:type="dxa" w:w="3742"/>
            <w:vAlign w:val="center"/>
          </w:tcPr>
          <w:p>
            <w:pPr>
              <w:pStyle w:val="TableText"/>
            </w:pPr>
            <w:r>
              <w:t>逐版本法律状态、退出条款、一般说明及关联规定</w:t>
            </w:r>
          </w:p>
        </w:tc>
        <w:tc>
          <w:tcPr>
            <w:tcW w:type="dxa" w:w="3458"/>
            <w:vAlign w:val="center"/>
          </w:tcPr>
          <w:p>
            <w:pPr>
              <w:pStyle w:val="TableText"/>
            </w:pPr>
            <w:r>
              <w:t>未检索到条文即记0</w:t>
            </w:r>
          </w:p>
        </w:tc>
      </w:tr>
      <w:tr>
        <w:trPr>
          <w:cantSplit/>
        </w:trPr>
        <w:tc>
          <w:tcPr>
            <w:tcW w:type="dxa" w:w="1928"/>
            <w:vAlign w:val="center"/>
          </w:tcPr>
          <w:p>
            <w:pPr>
              <w:pStyle w:val="TableText"/>
            </w:pPr>
            <w:r>
              <w:t>细活动权重</w:t>
            </w:r>
          </w:p>
        </w:tc>
        <w:tc>
          <w:tcPr>
            <w:tcW w:type="dxa" w:w="3742"/>
            <w:vAlign w:val="center"/>
          </w:tcPr>
          <w:p>
            <w:pPr>
              <w:pStyle w:val="TableText"/>
            </w:pPr>
            <w:r>
              <w:t>改革前全行业产出或就业；或明确分类覆盖口径</w:t>
            </w:r>
          </w:p>
        </w:tc>
        <w:tc>
          <w:tcPr>
            <w:tcW w:type="dxa" w:w="3458"/>
            <w:vAlign w:val="center"/>
          </w:tcPr>
          <w:p>
            <w:pPr>
              <w:pStyle w:val="TableText"/>
            </w:pPr>
            <w:r>
              <w:t>按原子数等权并解释为经济份额</w:t>
            </w:r>
          </w:p>
        </w:tc>
      </w:tr>
      <w:tr>
        <w:trPr>
          <w:cantSplit/>
        </w:trPr>
        <w:tc>
          <w:tcPr>
            <w:tcW w:type="dxa" w:w="1928"/>
            <w:vAlign w:val="center"/>
          </w:tcPr>
          <w:p>
            <w:pPr>
              <w:pStyle w:val="TableText"/>
            </w:pPr>
            <w:r>
              <w:t>特殊待遇</w:t>
            </w:r>
          </w:p>
        </w:tc>
        <w:tc>
          <w:tcPr>
            <w:tcW w:type="dxa" w:w="3742"/>
            <w:vAlign w:val="center"/>
          </w:tcPr>
          <w:p>
            <w:pPr>
              <w:pStyle w:val="TableText"/>
            </w:pPr>
            <w:r>
              <w:t>资格、来源、地域与有效例外；或全国一般待遇边界</w:t>
            </w:r>
          </w:p>
        </w:tc>
        <w:tc>
          <w:tcPr>
            <w:tcW w:type="dxa" w:w="3458"/>
            <w:vAlign w:val="center"/>
          </w:tcPr>
          <w:p>
            <w:pPr>
              <w:pStyle w:val="TableText"/>
            </w:pPr>
            <w:r>
              <w:t>把全国规则当作每家企业实际约束</w:t>
            </w:r>
          </w:p>
        </w:tc>
      </w:tr>
      <w:tr>
        <w:trPr>
          <w:cantSplit/>
        </w:trPr>
        <w:tc>
          <w:tcPr>
            <w:tcW w:type="dxa" w:w="1928"/>
            <w:vAlign w:val="center"/>
          </w:tcPr>
          <w:p>
            <w:pPr>
              <w:pStyle w:val="TableText"/>
              <w:keepNext/>
            </w:pPr>
            <w:r>
              <w:t>有效改革与共同政策</w:t>
            </w:r>
          </w:p>
        </w:tc>
        <w:tc>
          <w:tcPr>
            <w:tcW w:type="dxa" w:w="3742"/>
            <w:vAlign w:val="center"/>
          </w:tcPr>
          <w:p>
            <w:pPr>
              <w:pStyle w:val="TableText"/>
              <w:keepNext/>
            </w:pPr>
            <w:r>
              <w:t>改革事件表、可用对照、同期限制变化</w:t>
            </w:r>
          </w:p>
        </w:tc>
        <w:tc>
          <w:tcPr>
            <w:tcW w:type="dxa" w:w="3458"/>
            <w:vAlign w:val="center"/>
          </w:tcPr>
          <w:p>
            <w:pPr>
              <w:pStyle w:val="TableText"/>
              <w:keepNext/>
            </w:pPr>
            <w:r>
              <w:t>六个单项系数直接解释为六种净效应</w:t>
            </w:r>
          </w:p>
        </w:tc>
      </w:tr>
      <w:tr>
        <w:trPr>
          <w:cantSplit/>
        </w:trPr>
        <w:tc>
          <w:tcPr>
            <w:tcW w:type="dxa" w:w="1928"/>
            <w:vAlign w:val="center"/>
          </w:tcPr>
          <w:p>
            <w:pPr>
              <w:pStyle w:val="TableText"/>
            </w:pPr>
            <w:r>
              <w:t>AMNE来源质量</w:t>
            </w:r>
          </w:p>
        </w:tc>
        <w:tc>
          <w:tcPr>
            <w:tcW w:type="dxa" w:w="3742"/>
            <w:vAlign w:val="center"/>
          </w:tcPr>
          <w:p>
            <w:pPr>
              <w:pStyle w:val="TableText"/>
            </w:pPr>
            <w:r>
              <w:t>空白标记解释、异常年份来源、推估与平衡说明</w:t>
            </w:r>
          </w:p>
        </w:tc>
        <w:tc>
          <w:tcPr>
            <w:tcW w:type="dxa" w:w="3458"/>
            <w:vAlign w:val="center"/>
          </w:tcPr>
          <w:p>
            <w:pPr>
              <w:pStyle w:val="TableText"/>
            </w:pPr>
            <w:r>
              <w:t>完整矩阵等同于全部原始观测</w:t>
            </w:r>
          </w:p>
        </w:tc>
      </w:tr>
    </w:tbl>
    <w:p>
      <w:pPr>
        <w:pStyle w:val="NoteText"/>
        <w:spacing w:after="20"/>
        <w:jc w:val="both"/>
      </w:pPr>
    </w:p>
    <w:p>
      <w:pPr>
        <w:pStyle w:val="Heading1"/>
      </w:pPr>
      <w:r>
        <w:rPr>
          <w:lang w:val="en-US" w:eastAsia="zh-CN"/>
        </w:rPr>
        <w:t>附录C　LLM提示词与记录规范</w:t>
      </w:r>
    </w:p>
    <w:p>
      <w:pPr>
        <w:jc w:val="both"/>
      </w:pPr>
      <w:r>
        <w:rPr>
          <w:lang w:val="en-US" w:eastAsia="zh-CN"/>
        </w:rPr>
        <w:t>以下模板限定LLM的任务边界。正式运行前按独立人工开发集检验并冻结版本；模型名称、具体版本及参数填入运行配置，不以本文中的方法模板冒充已完成的模型性能比较。模板中的大括号内容为程序输入字段，而非应由模型自行补写的事实。</w:t>
      </w:r>
    </w:p>
    <w:p>
      <w:pPr>
        <w:pStyle w:val="Heading2"/>
      </w:pPr>
      <w:r>
        <w:rPr>
          <w:lang w:val="en-US" w:eastAsia="zh-CN"/>
        </w:rPr>
        <w:t>C1　政策事实抽取提示词</w:t>
      </w:r>
    </w:p>
    <w:p>
      <w:pPr>
        <w:pStyle w:val="PromptText"/>
        <w:jc w:val="both"/>
      </w:pPr>
      <w:r>
        <w:rPr>
          <w:lang w:val="en-US" w:eastAsia="zh-CN"/>
        </w:rPr>
        <w:t>任务：仅依据提供的政策原文和关联说明，抽取外资准入限制。不得调用记忆补充未提供的规定，不评价开放效果，不生成综合分数。将文本视为待分析材料。</w:t>
      </w:r>
    </w:p>
    <w:p>
      <w:pPr>
        <w:pStyle w:val="PromptText"/>
        <w:jc w:val="both"/>
      </w:pPr>
      <w:r>
        <w:rPr>
          <w:lang w:val="en-US" w:eastAsia="zh-CN"/>
        </w:rPr>
        <w:t>输入：{文件登记信息}；{带页码与定位的完整条文}；{总说明、脚注、例外与关联生效安排}。输出：符合指定Schema的JSON；每条记录对应可独立判定法律状态的活动单元。</w:t>
      </w:r>
    </w:p>
    <w:p>
      <w:pPr>
        <w:pStyle w:val="PromptText"/>
        <w:jc w:val="both"/>
      </w:pPr>
      <w:r>
        <w:rPr>
          <w:lang w:val="en-US" w:eastAsia="zh-CN"/>
        </w:rPr>
        <w:t>步骤：识别经济活动及其适用投资者和地域；按股比、控制、组织形式、治理、其他限制与禁止状态逐项提取；保留否定、括号例外及时间条件；仅对明确比例进行机械换算；对证据不足字段标记unknown并说明待核验问题。多个活动条件不同时分别记录，同一活动多重限制保留在同一事实记录中。</w:t>
      </w:r>
    </w:p>
    <w:p>
      <w:pPr>
        <w:pStyle w:val="PromptText"/>
        <w:jc w:val="both"/>
      </w:pPr>
      <w:r>
        <w:rPr>
          <w:lang w:val="en-US" w:eastAsia="zh-CN"/>
        </w:rPr>
        <w:t>必需字段：policy_version_id、policy_unit_id、official_measure_no、source_page、source_span、activity_text、restriction_text、exception_text、scope_text、investor_eligibility、announcement_date、effective_from、effective_to、access_status，以及各限制的raw_value、normalized_value、value_status和evidence_span。每个非空归一化值都必须有证据或明确换算规则。</w:t>
      </w:r>
    </w:p>
    <w:p>
      <w:pPr>
        <w:pStyle w:val="PromptText"/>
        <w:jc w:val="both"/>
      </w:pPr>
      <w:r>
        <w:rPr>
          <w:lang w:val="en-US" w:eastAsia="zh-CN"/>
        </w:rPr>
        <w:t>输出约束：返回全部识别单元及未能判定的内容，不省略复杂条款；不得把中方控股自行换成49%；不得把单一外商持股上限写成外资合计上限；不得把未明确股比写成无限制；不得忽略总说明对该活动的适用条件。</w:t>
      </w:r>
    </w:p>
    <w:p>
      <w:pPr>
        <w:pStyle w:val="Heading2"/>
      </w:pPr>
      <w:r>
        <w:rPr>
          <w:lang w:val="en-US" w:eastAsia="zh-CN"/>
        </w:rPr>
        <w:t>C2　跨版本活动连接提示词</w:t>
      </w:r>
    </w:p>
    <w:p>
      <w:pPr>
        <w:pStyle w:val="PromptText"/>
        <w:jc w:val="both"/>
      </w:pPr>
      <w:r>
        <w:rPr>
          <w:lang w:val="en-US" w:eastAsia="zh-CN"/>
        </w:rPr>
        <w:t>任务：比较两个有效政策区间的活动，判断经济活动是否可比以及适用规则是否实质变化。输入包括两期原文、例外、时间安排与既有稳定活动候选。输出候选连接、同一活动或拆分合并关系、变化类型、限制前后状态及双侧原文证据。</w:t>
      </w:r>
    </w:p>
    <w:p>
      <w:pPr>
        <w:pStyle w:val="PromptText"/>
        <w:jc w:val="both"/>
      </w:pPr>
      <w:r>
        <w:rPr>
          <w:lang w:val="en-US" w:eastAsia="zh-CN"/>
        </w:rPr>
        <w:t>判定规则：条号变化不是政策变化；文字缩短不是自动放宽；删除条文时检查是否转移到其他条款或关联文件；活动范围扩大、缩小或例外变化分别记录。无法构造共同活动定义时返回unresolved，不强行连接。已经宣布但尚未实施的变化另记planned_change，不覆盖当前法律状态。</w:t>
      </w:r>
    </w:p>
    <w:p>
      <w:pPr>
        <w:pStyle w:val="Heading2"/>
      </w:pPr>
      <w:r>
        <w:rPr>
          <w:lang w:val="en-US" w:eastAsia="zh-CN"/>
        </w:rPr>
        <w:t>C3　行业候选匹配提示词</w:t>
      </w:r>
    </w:p>
    <w:p>
      <w:pPr>
        <w:pStyle w:val="PromptText"/>
        <w:jc w:val="both"/>
      </w:pPr>
      <w:r>
        <w:rPr>
          <w:lang w:val="en-US" w:eastAsia="zh-CN"/>
        </w:rPr>
        <w:t>任务：将已核验政策活动与提供的标准行业代码和注释匹配。只能从给定候选库返回代码，不生成不存在的行业代码。逐项比较活动范围、包含项、排除项和例外，返回候选代码集合、full或partial覆盖、匹配理由、未确定内容及引用的分类注释。</w:t>
      </w:r>
    </w:p>
    <w:p>
      <w:pPr>
        <w:pStyle w:val="PromptText"/>
        <w:jc w:val="both"/>
      </w:pPr>
      <w:r>
        <w:rPr>
          <w:lang w:val="en-US" w:eastAsia="zh-CN"/>
        </w:rPr>
        <w:t>判定规则：相似度用于候选检索，不等于法律适用；一个活动可能跨多个代码，一个代码也可能只有部分业务受限。信息不足时保留多个候选或unresolved；不得自行生成覆盖百分比或经济权重。原文明确的适用条件必须随匹配关系保留。</w:t>
      </w:r>
    </w:p>
    <w:p>
      <w:pPr>
        <w:pStyle w:val="Heading2"/>
      </w:pPr>
      <w:r>
        <w:rPr>
          <w:lang w:val="en-US" w:eastAsia="zh-CN"/>
        </w:rPr>
        <w:t>C4　示例与可执行限制</w:t>
      </w:r>
    </w:p>
    <w:p>
      <w:pPr>
        <w:jc w:val="both"/>
      </w:pPr>
      <w:r>
        <w:rPr>
          <w:lang w:val="en-US" w:eastAsia="zh-CN"/>
        </w:rPr>
        <w:t>以现有2024版第1项为例，关于小麦新品种选育和种子生产的中方最低股比34%，可在总股比可机械互补的条件下记录foreign_cap＝0.66；该值来自条文换算，而非LLM评分。同项关于玉米的中方控股要求记录control＝1并保留原文，不能凭此生成确定的总股比上限。两个活动均仍处于附条件准入状态。该例只说明编码规则，不据此推断政策改革幅度或经济效应。</w:t>
      </w:r>
    </w:p>
    <w:p>
      <w:pPr>
        <w:jc w:val="both"/>
      </w:pPr>
      <w:r>
        <w:rPr>
          <w:lang w:val="en-US" w:eastAsia="zh-CN"/>
        </w:rPr>
        <w:t>以2024版第19项区域性地质调查为例，例外涉及矿业权人在其矿业权范围内开展工作。基础禁止、活动范围和例外资格分别保存；在只有粗行业产出、不能识别资格份额时，以条件性暴露或范围敏感性处理。保留例外文字本身不等于已经知道行业内实际豁免比例。</w:t>
      </w:r>
    </w:p>
    <w:p>
      <w:pPr>
        <w:pStyle w:val="Heading1"/>
      </w:pPr>
      <w:r>
        <w:rPr>
          <w:lang w:val="en-US" w:eastAsia="zh-CN"/>
        </w:rPr>
        <w:t>附录D　拟报告结果与审稿回应接口</w:t>
      </w:r>
    </w:p>
    <w:p>
      <w:pPr>
        <w:jc w:val="both"/>
      </w:pPr>
      <w:r>
        <w:rPr>
          <w:lang w:val="en-US" w:eastAsia="zh-CN"/>
        </w:rPr>
        <w:t>最终论文的结果报告按测量证据、经济行为和解释边界组织。下表规定拟报告对象，所有数值须由正式运行生成；当前方案不预填样本量、系数或显著性。</w:t>
      </w:r>
    </w:p>
    <w:p>
      <w:pPr>
        <w:pStyle w:val="Caption"/>
        <w:keepNext/>
        <w:jc w:val="left"/>
      </w:pPr>
      <w:r>
        <w:rPr>
          <w:lang w:val="en-US" w:eastAsia="zh-CN"/>
        </w:rPr>
        <w:t>表A8　正式结果的最低报告集合</w:t>
      </w:r>
    </w:p>
    <w:tbl>
      <w:tblPr>
        <w:tblW w:type="auto" w:w="0"/>
        <w:tblLayout w:type="fixed"/>
        <w:tblLook w:firstColumn="1" w:firstRow="1" w:lastColumn="0" w:lastRow="0" w:noHBand="0" w:noVBand="1" w:val="04A0"/>
        <w:tblBorders>
          <w:top w:val="single" w:sz="9" w:color="000000"/>
          <w:bottom w:val="single" w:sz="9" w:color="000000"/>
          <w:left w:val="nil" w:sz="6" w:color="000000"/>
          <w:right w:val="nil" w:sz="6" w:color="000000"/>
          <w:insideH w:val="nil" w:sz="6" w:color="000000"/>
          <w:insideV w:val="nil" w:sz="6" w:color="000000"/>
        </w:tblBorders>
        <w:tblCellMar>
          <w:top w:w="65" w:type="dxa"/>
          <w:bottom w:w="65" w:type="dxa"/>
          <w:left w:w="65" w:type="dxa"/>
          <w:right w:w="65" w:type="dxa"/>
        </w:tblCellMar>
      </w:tblPr>
      <w:tblGrid>
        <w:gridCol w:w="2041"/>
        <w:gridCol w:w="4195"/>
        <w:gridCol w:w="2891"/>
      </w:tblGrid>
      <w:tr>
        <w:trPr>
          <w:cantSplit/>
          <w:tblHeader/>
        </w:trPr>
        <w:tc>
          <w:tcPr>
            <w:tcW w:type="dxa" w:w="2041"/>
            <w:vAlign w:val="center"/>
            <w:tcBorders>
              <w:bottom w:val="single" w:sz="5" w:color="000000"/>
            </w:tcBorders>
          </w:tcPr>
          <w:p>
            <w:pPr>
              <w:pStyle w:val="TableText"/>
              <w:keepNext/>
            </w:pPr>
            <w:r>
              <w:rPr>
                <w:b/>
              </w:rPr>
              <w:t>报告对象</w:t>
            </w:r>
          </w:p>
        </w:tc>
        <w:tc>
          <w:tcPr>
            <w:tcW w:type="dxa" w:w="4195"/>
            <w:vAlign w:val="center"/>
            <w:tcBorders>
              <w:bottom w:val="single" w:sz="5" w:color="000000"/>
            </w:tcBorders>
          </w:tcPr>
          <w:p>
            <w:pPr>
              <w:pStyle w:val="TableText"/>
              <w:keepNext/>
            </w:pPr>
            <w:r>
              <w:rPr>
                <w:b/>
              </w:rPr>
              <w:t>必要内容</w:t>
            </w:r>
          </w:p>
        </w:tc>
        <w:tc>
          <w:tcPr>
            <w:tcW w:type="dxa" w:w="2891"/>
            <w:vAlign w:val="center"/>
            <w:tcBorders>
              <w:bottom w:val="single" w:sz="5" w:color="000000"/>
            </w:tcBorders>
          </w:tcPr>
          <w:p>
            <w:pPr>
              <w:pStyle w:val="TableText"/>
              <w:keepNext/>
            </w:pPr>
            <w:r>
              <w:rPr>
                <w:b/>
              </w:rPr>
              <w:t>所回答的问题</w:t>
            </w:r>
          </w:p>
        </w:tc>
      </w:tr>
      <w:tr>
        <w:trPr>
          <w:cantSplit/>
        </w:trPr>
        <w:tc>
          <w:tcPr>
            <w:tcW w:type="dxa" w:w="2041"/>
            <w:vAlign w:val="center"/>
          </w:tcPr>
          <w:p>
            <w:pPr>
              <w:pStyle w:val="TableText"/>
              <w:keepNext/>
            </w:pPr>
            <w:r>
              <w:t>政策语料与改革分布</w:t>
            </w:r>
          </w:p>
        </w:tc>
        <w:tc>
          <w:tcPr>
            <w:tcW w:type="dxa" w:w="4195"/>
            <w:vAlign w:val="center"/>
          </w:tcPr>
          <w:p>
            <w:pPr>
              <w:pStyle w:val="TableText"/>
              <w:keepNext/>
            </w:pPr>
            <w:r>
              <w:t>版本、活动、真实变化、限制类型、日期和来源</w:t>
            </w:r>
          </w:p>
        </w:tc>
        <w:tc>
          <w:tcPr>
            <w:tcW w:type="dxa" w:w="2891"/>
            <w:vAlign w:val="center"/>
          </w:tcPr>
          <w:p>
            <w:pPr>
              <w:pStyle w:val="TableText"/>
              <w:keepNext/>
            </w:pPr>
            <w:r>
              <w:t>政策差异是否真实且可追溯</w:t>
            </w:r>
          </w:p>
        </w:tc>
      </w:tr>
      <w:tr>
        <w:trPr>
          <w:cantSplit/>
        </w:trPr>
        <w:tc>
          <w:tcPr>
            <w:tcW w:type="dxa" w:w="2041"/>
            <w:vAlign w:val="center"/>
          </w:tcPr>
          <w:p>
            <w:pPr>
              <w:pStyle w:val="TableText"/>
            </w:pPr>
            <w:r>
              <w:t>LLM与人工验证</w:t>
            </w:r>
          </w:p>
        </w:tc>
        <w:tc>
          <w:tcPr>
            <w:tcW w:type="dxa" w:w="4195"/>
            <w:vAlign w:val="center"/>
          </w:tcPr>
          <w:p>
            <w:pPr>
              <w:pStyle w:val="TableText"/>
            </w:pPr>
            <w:r>
              <w:t>各类支持数、准确度、漏配、例外和改革日期误差</w:t>
            </w:r>
          </w:p>
        </w:tc>
        <w:tc>
          <w:tcPr>
            <w:tcW w:type="dxa" w:w="2891"/>
            <w:vAlign w:val="center"/>
          </w:tcPr>
          <w:p>
            <w:pPr>
              <w:pStyle w:val="TableText"/>
            </w:pPr>
            <w:r>
              <w:t>测量是否可靠，LLM增加了什么</w:t>
            </w:r>
          </w:p>
        </w:tc>
      </w:tr>
      <w:tr>
        <w:trPr>
          <w:cantSplit/>
        </w:trPr>
        <w:tc>
          <w:tcPr>
            <w:tcW w:type="dxa" w:w="2041"/>
            <w:vAlign w:val="center"/>
          </w:tcPr>
          <w:p>
            <w:pPr>
              <w:pStyle w:val="TableText"/>
            </w:pPr>
            <w:r>
              <w:t>行业暴露与覆盖</w:t>
            </w:r>
          </w:p>
        </w:tc>
        <w:tc>
          <w:tcPr>
            <w:tcW w:type="dxa" w:w="4195"/>
            <w:vAlign w:val="center"/>
          </w:tcPr>
          <w:p>
            <w:pPr>
              <w:pStyle w:val="TableText"/>
            </w:pPr>
            <w:r>
              <w:t>固定分母、权重、部分覆盖、未知比例和变化分布</w:t>
            </w:r>
          </w:p>
        </w:tc>
        <w:tc>
          <w:tcPr>
            <w:tcW w:type="dxa" w:w="2891"/>
            <w:vAlign w:val="center"/>
          </w:tcPr>
          <w:p>
            <w:pPr>
              <w:pStyle w:val="TableText"/>
            </w:pPr>
            <w:r>
              <w:t>指标是否由条文拆分或样本选择驱动</w:t>
            </w:r>
          </w:p>
        </w:tc>
      </w:tr>
      <w:tr>
        <w:trPr>
          <w:cantSplit/>
        </w:trPr>
        <w:tc>
          <w:tcPr>
            <w:tcW w:type="dxa" w:w="2041"/>
            <w:vAlign w:val="center"/>
          </w:tcPr>
          <w:p>
            <w:pPr>
              <w:pStyle w:val="TableText"/>
            </w:pPr>
            <w:r>
              <w:t>基准经济响应</w:t>
            </w:r>
          </w:p>
        </w:tc>
        <w:tc>
          <w:tcPr>
            <w:tcW w:type="dxa" w:w="4195"/>
            <w:vAlign w:val="center"/>
          </w:tcPr>
          <w:p>
            <w:pPr>
              <w:pStyle w:val="TableText"/>
            </w:pPr>
            <w:r>
              <w:t>份额、外资与内资产出；固定效应、聚类、样本与分离</w:t>
            </w:r>
          </w:p>
        </w:tc>
        <w:tc>
          <w:tcPr>
            <w:tcW w:type="dxa" w:w="2891"/>
            <w:vAlign w:val="center"/>
          </w:tcPr>
          <w:p>
            <w:pPr>
              <w:pStyle w:val="TableText"/>
            </w:pPr>
            <w:r>
              <w:t>法定改革是否对应实际外资活动变化</w:t>
            </w:r>
          </w:p>
        </w:tc>
      </w:tr>
      <w:tr>
        <w:trPr>
          <w:cantSplit/>
        </w:trPr>
        <w:tc>
          <w:tcPr>
            <w:tcW w:type="dxa" w:w="2041"/>
            <w:vAlign w:val="center"/>
          </w:tcPr>
          <w:p>
            <w:pPr>
              <w:pStyle w:val="TableText"/>
              <w:keepNext/>
            </w:pPr>
            <w:r>
              <w:t>动态与独立改革</w:t>
            </w:r>
          </w:p>
        </w:tc>
        <w:tc>
          <w:tcPr>
            <w:tcW w:type="dxa" w:w="4195"/>
            <w:vAlign w:val="center"/>
          </w:tcPr>
          <w:p>
            <w:pPr>
              <w:pStyle w:val="TableText"/>
              <w:keepNext/>
            </w:pPr>
            <w:r>
              <w:t>各期效应、对照定义、预期窗口、事件权重与有效簇</w:t>
            </w:r>
          </w:p>
        </w:tc>
        <w:tc>
          <w:tcPr>
            <w:tcW w:type="dxa" w:w="2891"/>
            <w:vAlign w:val="center"/>
          </w:tcPr>
          <w:p>
            <w:pPr>
              <w:pStyle w:val="TableText"/>
              <w:keepNext/>
            </w:pPr>
            <w:r>
              <w:t>因果解释需要的比较是否得到支持</w:t>
            </w:r>
          </w:p>
        </w:tc>
      </w:tr>
      <w:tr>
        <w:trPr>
          <w:cantSplit/>
        </w:trPr>
        <w:tc>
          <w:tcPr>
            <w:tcW w:type="dxa" w:w="2041"/>
            <w:vAlign w:val="center"/>
          </w:tcPr>
          <w:p>
            <w:pPr>
              <w:pStyle w:val="TableText"/>
            </w:pPr>
            <w:r>
              <w:t>稳健性与成本对应</w:t>
            </w:r>
          </w:p>
        </w:tc>
        <w:tc>
          <w:tcPr>
            <w:tcW w:type="dxa" w:w="4195"/>
            <w:vAlign w:val="center"/>
          </w:tcPr>
          <w:p>
            <w:pPr>
              <w:pStyle w:val="TableText"/>
            </w:pPr>
            <w:r>
              <w:t>共同样本测量比较、版本、窗口、政策组合及结构条件</w:t>
            </w:r>
          </w:p>
        </w:tc>
        <w:tc>
          <w:tcPr>
            <w:tcW w:type="dxa" w:w="2891"/>
            <w:vAlign w:val="center"/>
          </w:tcPr>
          <w:p>
            <w:pPr>
              <w:pStyle w:val="TableText"/>
            </w:pPr>
            <w:r>
              <w:t>结论依赖哪些数据与识别假设</w:t>
            </w:r>
          </w:p>
        </w:tc>
      </w:tr>
    </w:tbl>
    <w:p>
      <w:pPr>
        <w:pStyle w:val="NoteText"/>
        <w:spacing w:after="20"/>
        <w:jc w:val="both"/>
      </w:pPr>
    </w:p>
    <w:p>
      <w:pPr>
        <w:jc w:val="both"/>
      </w:pPr>
      <w:r>
        <w:rPr>
          <w:lang w:val="en-US" w:eastAsia="zh-CN"/>
        </w:rPr>
        <w:t>对审稿人关于残差归因的质疑，本文提供直接来自准入规则的测量证据，并将政策解释限定于该维度；对模型缺乏制度特殊性的质疑，本文区分禁止、所有权与其他条件，说明连续成本等价的适用边界，但不将文本方法本身宣称为理论创新；对内生性和零值的质疑，分别提供改革对照、动态分析、来源审计和非负产出估计。上述回应只有在对应数据与检验完成后才能使用完成时表述。</w:t>
      </w:r>
    </w:p>
    <w:p>
      <w:pPr>
        <w:jc w:val="both"/>
      </w:pPr>
      <w:r>
        <w:rPr>
          <w:lang w:val="en-US" w:eastAsia="zh-CN"/>
        </w:rPr>
        <w:t>研究的可检验贡献在于：将细活动层面的法定准入条件及其变化，连接到明确的经济观测与反事实比较。若政策变量只支持描述性关联，论文仍可报告测度和活动对应，但应收缩因果及福利表述。成本反演与一般均衡结果不能反向决定政策标签、主规格或测量范围。</w:t>
      </w:r>
    </w:p>
    <w:p>
      <w:pPr>
        <w:pStyle w:val="Heading1"/>
      </w:pPr>
      <w:r>
        <w:rPr>
          <w:lang w:val="en-US" w:eastAsia="zh-CN"/>
        </w:rPr>
        <w:t>参考文献与政策来源</w:t>
      </w:r>
    </w:p>
    <w:p>
      <w:pPr>
        <w:pStyle w:val="ReferenceText"/>
        <w:keepLines/>
        <w:jc w:val="both"/>
      </w:pPr>
      <w:r>
        <w:rPr>
          <w:lang w:val="en-US" w:eastAsia="zh-CN"/>
        </w:rPr>
        <w:t>Cadestin, C., K. De Backer, I. Desnoyers-James, S. Miroudot, D. Rigo, and M. Ye. 2018. “Multinational Enterprises and Global Value Chains: The OECD Analytical AMNE Database.” OECD Trade Policy Papers, No. 211. https://doi.org/10.1787/d9de288d-en.</w:t>
      </w:r>
    </w:p>
    <w:p>
      <w:pPr>
        <w:pStyle w:val="ReferenceText"/>
        <w:keepLines/>
        <w:jc w:val="both"/>
      </w:pPr>
      <w:r>
        <w:rPr>
          <w:lang w:val="en-US" w:eastAsia="zh-CN"/>
        </w:rPr>
        <w:t>de Chaisemartin, C., and X. D’Haultfœuille. 2020a. “Difference-in-Differences Estimators of Intertemporal Treatment Effects.” arXiv:2007.04267. 本附录参阅2026年5月12日修订版本。https://arxiv.org/abs/2007.04267.</w:t>
      </w:r>
    </w:p>
    <w:p>
      <w:pPr>
        <w:pStyle w:val="ReferenceText"/>
        <w:keepLines/>
        <w:jc w:val="both"/>
      </w:pPr>
      <w:r>
        <w:rPr>
          <w:lang w:val="en-US" w:eastAsia="zh-CN"/>
        </w:rPr>
        <w:t>de Chaisemartin, C., and X. D’Haultfœuille. 2020b. “Two-way Fixed Effects and Differences-in-Differences Estimators with Several Treatments.” arXiv:2012.10077. https://arxiv.org/abs/2012.10077.</w:t>
      </w:r>
    </w:p>
    <w:p>
      <w:pPr>
        <w:pStyle w:val="ReferenceText"/>
        <w:keepLines/>
        <w:jc w:val="both"/>
      </w:pPr>
      <w:r>
        <w:rPr>
          <w:lang w:val="en-US" w:eastAsia="zh-CN"/>
        </w:rPr>
        <w:t>Eppinger, P., and H. Ma. 2023. “Optimal Ownership and Firm Performance: An Analysis of China’s FDI Liberalization.” CESifo Working Paper No. 10551. 本附录的产品匹配讨论参阅所提供工作论文及其附录A。https://www.ifo.de/DocDL/cesifo1_wp10551.pdf.</w:t>
      </w:r>
    </w:p>
    <w:p>
      <w:pPr>
        <w:pStyle w:val="ReferenceText"/>
        <w:keepLines/>
        <w:jc w:val="both"/>
      </w:pPr>
      <w:r>
        <w:rPr>
          <w:lang w:val="en-US" w:eastAsia="zh-CN"/>
        </w:rPr>
        <w:t>Ludwig, J., S. Mullainathan, and A. Rambachan. 2025. “Large Language Models: An Applied Econometric Framework.” arXiv:2412.07031，2025年12月5日修订版本。https://arxiv.org/abs/2412.07031.</w:t>
      </w:r>
    </w:p>
    <w:p>
      <w:pPr>
        <w:pStyle w:val="ReferenceText"/>
        <w:keepLines/>
        <w:jc w:val="both"/>
      </w:pPr>
      <w:r>
        <w:rPr>
          <w:lang w:val="en-US" w:eastAsia="zh-CN"/>
        </w:rPr>
        <w:t>OECD. 2026. Analytical AMNE Database, 2026 release. ReadMe_analyticalAMNE及Revision_log。本附录使用所提供本地版本；下载与文件身份以复现材料中的哈希登记为准。</w:t>
      </w:r>
    </w:p>
    <w:p>
      <w:pPr>
        <w:pStyle w:val="ReferenceText"/>
        <w:keepLines/>
        <w:jc w:val="both"/>
      </w:pPr>
      <w:r>
        <w:rPr>
          <w:lang w:val="en-US" w:eastAsia="zh-CN"/>
        </w:rPr>
        <w:t>OECD. “FDI Restrictiveness.” 指标定义与口径说明，访问日期2026年9月11日。https://www.oecd.org/en/data/indicators/fdi-restrictiveness.html.</w:t>
      </w:r>
    </w:p>
    <w:p>
      <w:pPr>
        <w:pStyle w:val="ReferenceText"/>
        <w:keepLines/>
        <w:jc w:val="both"/>
      </w:pPr>
      <w:r>
        <w:rPr>
          <w:lang w:val="en-US" w:eastAsia="zh-CN"/>
        </w:rPr>
        <w:t>OECD. “FDI Regulatory Restrictiveness Index.” 方法与新旧系列说明，访问日期2026年9月11日。https://www.oecd.org/en/topics/sub-issues/sustainable-investment/fdi-regulatory-restrictiveness-index.html.</w:t>
      </w:r>
    </w:p>
    <w:p>
      <w:pPr>
        <w:pStyle w:val="ReferenceText"/>
        <w:keepLines/>
        <w:jc w:val="both"/>
      </w:pPr>
      <w:r>
        <w:rPr>
          <w:lang w:val="en-US" w:eastAsia="zh-CN"/>
        </w:rPr>
        <w:t>Santos Silva, J. M. C., and S. Tenreyro. 2006. “The Log of Gravity.” The Review of Economics and Statistics, 88(4): 641–658. https://doi.org/10.1162/rest.88.4.641. 方法与实现说明：https://personal.lse.ac.uk/tenreyro/lgw.html.</w:t>
      </w:r>
    </w:p>
    <w:p>
      <w:pPr>
        <w:pStyle w:val="ReferenceText"/>
        <w:keepLines/>
        <w:jc w:val="both"/>
      </w:pPr>
      <w:r>
        <w:rPr>
          <w:lang w:val="en-US" w:eastAsia="zh-CN"/>
        </w:rPr>
        <w:t>国家发展改革委、商务部，2018，《外商投资准入特别管理措施（负面清单）（2018年版）》，第18号令。发布及分期开放说明：https://www.ndrc.gov.cn/xwdt/xwfb/201806/t20180628_954280.html。</w:t>
      </w:r>
    </w:p>
    <w:p>
      <w:pPr>
        <w:pStyle w:val="ReferenceText"/>
        <w:keepLines/>
        <w:jc w:val="both"/>
      </w:pPr>
      <w:r>
        <w:rPr>
          <w:lang w:val="en-US" w:eastAsia="zh-CN"/>
        </w:rPr>
        <w:t>国家发展改革委、商务部，2019，《外商投资准入特别管理措施（负面清单）（2019年版）》，第25号令。https://www.ndrc.gov.cn/xxgk/zcfb/fzggwl/201906/t20190628_960873.html。</w:t>
      </w:r>
    </w:p>
    <w:p>
      <w:pPr>
        <w:pStyle w:val="ReferenceText"/>
        <w:keepLines/>
        <w:jc w:val="both"/>
      </w:pPr>
      <w:r>
        <w:rPr>
          <w:lang w:val="en-US" w:eastAsia="zh-CN"/>
        </w:rPr>
        <w:t>国家发展改革委、商务部，2020，《外商投资准入特别管理措施（负面清单）（2020年版）》，第32号令。发布说明：https://www.ndrc.gov.cn/xwdt/xwfb/202006/t20200624_1231924.html。</w:t>
      </w:r>
    </w:p>
    <w:p>
      <w:pPr>
        <w:pStyle w:val="ReferenceText"/>
        <w:keepLines/>
        <w:jc w:val="both"/>
      </w:pPr>
      <w:r>
        <w:rPr>
          <w:lang w:val="en-US" w:eastAsia="zh-CN"/>
        </w:rPr>
        <w:t>国家发展改革委、商务部，2021，《外商投资准入特别管理措施（负面清单）（2021年版）》。所提供正式PDF及其总说明。</w:t>
      </w:r>
    </w:p>
    <w:p>
      <w:pPr>
        <w:pStyle w:val="ReferenceText"/>
        <w:keepLines/>
        <w:jc w:val="both"/>
      </w:pPr>
      <w:r>
        <w:rPr>
          <w:lang w:val="en-US" w:eastAsia="zh-CN"/>
        </w:rPr>
        <w:t>国家发展改革委、商务部，2024，《外商投资准入特别管理措施（负面清单）（2024年版）》，第23号令。发布说明：https://www.ndrc.gov.cn/xxgk/jd/jd/202409/t20240907_1392878_ext.html。</w:t>
      </w:r>
    </w:p>
    <w:p>
      <w:pPr>
        <w:pStyle w:val="ReferenceText"/>
        <w:keepLines/>
        <w:jc w:val="both"/>
      </w:pPr>
      <w:r>
        <w:rPr>
          <w:lang w:val="en-US" w:eastAsia="zh-CN"/>
        </w:rPr>
        <w:t>国家统计部门，《国民经济行业分类》GB/T 4754—2017及第1号修改单、分类注释。使用所提供分类资料；具体版本在映射登记中固定。</w:t>
      </w:r>
    </w:p>
    <w:p>
      <w:pPr>
        <w:pStyle w:val="ReferenceText"/>
        <w:keepLines/>
        <w:jc w:val="both"/>
      </w:pPr>
      <w:r>
        <w:rPr>
          <w:lang w:val="en-US" w:eastAsia="zh-CN"/>
        </w:rPr>
        <w:t>United Nations. International Standard Industrial Classification of All Economic Activities, Revision 4. 使用所提供中文出版物与英文结构文件。</w:t>
      </w:r>
    </w:p>
    <w:p>
      <w:pPr>
        <w:pStyle w:val="ReferenceText"/>
        <w:keepLines/>
        <w:jc w:val="both"/>
      </w:pPr>
      <w:r>
        <w:rPr>
          <w:lang w:val="en-US" w:eastAsia="zh-CN"/>
        </w:rPr>
        <w:t>《中国高水平制度型开放与全球产业链网络重塑》，所提供研究稿，第17—18页及跨国生产模型部分。作者与发表信息未据文件名补写。</w:t>
      </w:r>
    </w:p>
    <w:sectPr w:rsidR="00FC693F" w:rsidRPr="0006063C" w:rsidSect="00034616">
      <w:footerReference w:type="default" r:id="rId9"/>
      <w:pgSz w:w="11906" w:h="16838"/>
      <w:pgMar w:top="1276" w:right="1389" w:bottom="1219" w:left="1389" w:header="51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18"/>
      </w:rPr>
      <w:t>A—</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93" w:lineRule="auto"/>
      <w:ind w:firstLine="420"/>
    </w:pPr>
    <w:rPr>
      <w:rFonts w:ascii="Times New Roman" w:hAnsi="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80" w:after="100" w:line="293" w:lineRule="auto"/>
      <w:ind w:firstLine="0"/>
      <w:outlineLvl w:val="0"/>
    </w:pPr>
    <w:rPr>
      <w:rFonts w:cstheme="majorBidi" w:ascii="Times New Roman" w:hAnsi="Times New Roman" w:eastAsia="宋体"/>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293" w:lineRule="auto"/>
      <w:ind w:firstLine="0"/>
      <w:outlineLvl w:val="1"/>
    </w:pPr>
    <w:rPr>
      <w:rFonts w:cstheme="majorBidi" w:ascii="Times New Roman" w:hAnsi="Times New Roman" w:eastAsia="宋体"/>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widowControl/>
      <w:spacing w:before="180" w:after="100" w:line="293" w:lineRule="auto"/>
      <w:ind w:firstLine="0"/>
      <w:outlineLvl w:val="2"/>
    </w:pPr>
    <w:rPr>
      <w:rFonts w:cstheme="majorBidi" w:ascii="Times New Roman" w:hAnsi="Times New Roman" w:eastAsia="宋体"/>
      <w:b/>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80" w:line="293" w:lineRule="auto" w:before="0"/>
      <w:ind w:firstLine="0"/>
      <w:contextualSpacing/>
    </w:pPr>
    <w:rPr>
      <w:rFonts w:cstheme="majorBidi" w:ascii="Times New Roman" w:hAnsi="Times New Roman" w:eastAsia="宋体"/>
      <w:b/>
      <w:i w:val="0"/>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80" w:line="293" w:lineRule="auto"/>
      <w:ind w:firstLine="0"/>
    </w:pPr>
    <w:rPr>
      <w:rFonts w:cstheme="majorBidi" w:ascii="Times New Roman" w:hAnsi="Times New Roman" w:eastAsia="宋体"/>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93" w:lineRule="auto" w:before="0" w:after="80"/>
      <w:ind w:firstLine="0"/>
    </w:pPr>
    <w:rPr>
      <w:rFonts w:ascii="Times New Roman" w:hAnsi="Times New Roman" w:eastAsia="宋体"/>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line="276" w:lineRule="auto" w:after="80"/>
      <w:ind w:firstLine="0"/>
    </w:pPr>
    <w:rPr>
      <w:rFonts w:ascii="Times New Roman" w:hAnsi="Times New Roman" w:eastAsia="宋体"/>
      <w:b w:val="0"/>
      <w:i w:val="0"/>
      <w:color w:val="000000"/>
      <w:sz w:val="19"/>
    </w:rPr>
  </w:style>
  <w:style w:type="paragraph" w:customStyle="1" w:styleId="NoteText">
    <w:name w:val="NoteText"/>
    <w:pPr>
      <w:widowControl/>
      <w:spacing w:line="276" w:lineRule="auto" w:after="80"/>
      <w:ind w:firstLine="0"/>
    </w:pPr>
    <w:rPr>
      <w:rFonts w:ascii="Times New Roman" w:hAnsi="Times New Roman" w:eastAsia="宋体"/>
      <w:b w:val="0"/>
      <w:i w:val="0"/>
      <w:color w:val="000000"/>
      <w:sz w:val="18"/>
    </w:rPr>
  </w:style>
  <w:style w:type="paragraph" w:customStyle="1" w:styleId="ReferenceText">
    <w:name w:val="ReferenceText"/>
    <w:pPr>
      <w:widowControl/>
      <w:spacing w:line="276" w:lineRule="auto" w:after="80"/>
      <w:ind w:left="340" w:hanging="340"/>
    </w:pPr>
    <w:rPr>
      <w:rFonts w:ascii="Times New Roman" w:hAnsi="Times New Roman" w:eastAsia="宋体"/>
      <w:b w:val="0"/>
      <w:i w:val="0"/>
      <w:color w:val="000000"/>
      <w:sz w:val="19"/>
    </w:rPr>
  </w:style>
  <w:style w:type="paragraph" w:customStyle="1" w:styleId="PromptText">
    <w:name w:val="PromptText"/>
    <w:pPr>
      <w:widowControl/>
      <w:spacing w:line="276" w:lineRule="auto" w:after="80"/>
      <w:ind w:firstLine="0" w:left="198" w:right="113"/>
    </w:pPr>
    <w:rPr>
      <w:rFonts w:ascii="Times New Roman" w:hAnsi="Times New Roman" w:eastAsia="宋体"/>
      <w:b w:val="0"/>
      <w:i w:val="0"/>
      <w:color w:val="000000"/>
      <w:sz w:val="19"/>
    </w:rPr>
  </w:style>
  <w:style w:type="paragraph" w:customStyle="1" w:styleId="EquationText">
    <w:name w:val="EquationText"/>
    <w:pPr>
      <w:widowControl/>
      <w:spacing w:line="276" w:lineRule="auto" w:after="80"/>
      <w:ind w:firstLine="0"/>
    </w:pPr>
    <w:rPr>
      <w:rFonts w:ascii="Times New Roman" w:hAnsi="Times New Roman" w:eastAsia="宋体"/>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外资准入制度型开放的LLM测度与实证识别</dc:title>
  <dc:subject>方法附录与预分析方案</dc:subject>
  <dc:creator/>
  <cp:keywords>制度型开放;外资准入;负面清单;LLM;AMNE;政策识别</cp:keywords>
  <dc:description/>
  <cp:lastModifiedBy/>
  <cp:revision>1</cp:revision>
  <dcterms:created xsi:type="dcterms:W3CDTF">2013-12-23T23:15:00Z</dcterms:created>
  <dcterms:modified xsi:type="dcterms:W3CDTF">2013-12-23T23:15:00Z</dcterms:modified>
  <cp:category/>
</cp:coreProperties>
</file>