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BAF49" w14:textId="77777777" w:rsidR="002D0A3C" w:rsidRDefault="003B6787">
      <w:pPr>
        <w:pStyle w:val="1"/>
        <w:rPr>
          <w:lang w:eastAsia="zh-CN"/>
        </w:rPr>
      </w:pPr>
      <w:bookmarkStart w:id="0" w:name="附录a-外资准入负面清单的政策测度跨国投资成本识别与一般均衡反事实"/>
      <w:r>
        <w:rPr>
          <w:rFonts w:ascii="Times New Roman" w:eastAsia="宋体" w:hAnsi="Times New Roman"/>
          <w:sz w:val="24"/>
          <w:lang w:eastAsia="zh-CN"/>
        </w:rPr>
        <w:t>附录</w:t>
      </w:r>
      <w:r>
        <w:rPr>
          <w:rFonts w:ascii="Times New Roman" w:eastAsia="宋体" w:hAnsi="Times New Roman"/>
          <w:sz w:val="24"/>
          <w:lang w:eastAsia="zh-CN"/>
        </w:rPr>
        <w:t>A</w:t>
      </w:r>
      <w:r>
        <w:rPr>
          <w:rFonts w:ascii="Times New Roman" w:eastAsia="宋体" w:hAnsi="Times New Roman"/>
          <w:sz w:val="24"/>
          <w:lang w:eastAsia="zh-CN"/>
        </w:rPr>
        <w:t xml:space="preserve">　外资准入负面清单的政策测度、跨国投资成本识别与一般均衡反事实</w:t>
      </w:r>
    </w:p>
    <w:p w14:paraId="1520648E" w14:textId="77777777" w:rsidR="002D0A3C" w:rsidRDefault="003B6787" w:rsidP="005F5C72">
      <w:pPr>
        <w:pStyle w:val="FirstParagraph"/>
        <w:rPr>
          <w:lang w:eastAsia="zh-CN"/>
        </w:rPr>
      </w:pPr>
      <w:r>
        <w:rPr>
          <w:lang w:eastAsia="zh-CN"/>
        </w:rPr>
        <w:t>本附录给出从中国外资准入规则到跨国生产一般均衡冲击的完整测度与识别程序。研究对象限定为外国投资者进入中国的直接投资活动，即东道国固定为中国。方法上，</w:t>
      </w:r>
      <w:r>
        <w:rPr>
          <w:lang w:eastAsia="zh-CN"/>
        </w:rPr>
        <w:t>Eppinger and Ma</w:t>
      </w:r>
      <w:r>
        <w:rPr>
          <w:lang w:eastAsia="zh-CN"/>
        </w:rPr>
        <w:t>（</w:t>
      </w:r>
      <w:r>
        <w:rPr>
          <w:lang w:eastAsia="zh-CN"/>
        </w:rPr>
        <w:t>2023</w:t>
      </w:r>
      <w:r>
        <w:rPr>
          <w:lang w:eastAsia="zh-CN"/>
        </w:rPr>
        <w:t>）的产品层面政策匹配用于确定</w:t>
      </w:r>
      <w:r>
        <w:rPr>
          <w:lang w:eastAsia="zh-CN"/>
        </w:rPr>
        <w:t>“</w:t>
      </w:r>
      <w:r>
        <w:rPr>
          <w:lang w:eastAsia="zh-CN"/>
        </w:rPr>
        <w:t>政策限制作用于何种经济活动</w:t>
      </w:r>
      <w:r>
        <w:rPr>
          <w:lang w:eastAsia="zh-CN"/>
        </w:rPr>
        <w:t>”</w:t>
      </w:r>
      <w:r>
        <w:rPr>
          <w:lang w:eastAsia="zh-CN"/>
        </w:rPr>
        <w:t>，《中国高水平制度型开放与全球产业链网络重塑》的跨国生产框架用于刻画</w:t>
      </w:r>
      <w:r>
        <w:rPr>
          <w:lang w:eastAsia="zh-CN"/>
        </w:rPr>
        <w:t>“</w:t>
      </w:r>
      <w:r>
        <w:rPr>
          <w:lang w:eastAsia="zh-CN"/>
        </w:rPr>
        <w:t>投资摩擦变化如何改变企业生产地选择并传导至一般均衡</w:t>
      </w:r>
      <w:r>
        <w:rPr>
          <w:lang w:eastAsia="zh-CN"/>
        </w:rPr>
        <w:t>”</w:t>
      </w:r>
      <w:r>
        <w:rPr>
          <w:lang w:eastAsia="zh-CN"/>
        </w:rPr>
        <w:t>。两者之间需要额外建立一个可估计的政策</w:t>
      </w:r>
      <w:r>
        <w:rPr>
          <w:lang w:eastAsia="zh-CN"/>
        </w:rPr>
        <w:t>—</w:t>
      </w:r>
      <w:r>
        <w:rPr>
          <w:lang w:eastAsia="zh-CN"/>
        </w:rPr>
        <w:t>成本映射：负面清单本身只提供法律约束，不能直接被解释为跨国投资成本。</w:t>
      </w:r>
    </w:p>
    <w:p w14:paraId="16BE57AE" w14:textId="04112DDE" w:rsidR="002D0A3C" w:rsidRDefault="003B6787" w:rsidP="005F5C72">
      <w:pPr>
        <w:pStyle w:val="a0"/>
        <w:spacing w:before="80" w:after="80" w:line="240" w:lineRule="auto"/>
      </w:pPr>
      <w:r>
        <w:rPr>
          <w:lang w:eastAsia="zh-CN"/>
        </w:rPr>
        <w:t>设</w:t>
      </w:r>
      <w:r>
        <w:rPr>
          <w:lang w:eastAsia="zh-CN"/>
        </w:rPr>
        <w:t xml:space="preserve"> </w:t>
      </w:r>
      <m:oMath>
        <m:r>
          <w:rPr>
            <w:rFonts w:ascii="Cambria Math" w:hAnsi="Cambria Math"/>
            <w:lang w:eastAsia="zh-CN"/>
          </w:rPr>
          <m:t>m</m:t>
        </m:r>
      </m:oMath>
      <w:r>
        <w:rPr>
          <w:lang w:eastAsia="zh-CN"/>
        </w:rPr>
        <w:t xml:space="preserve"> </w:t>
      </w:r>
      <w:r>
        <w:rPr>
          <w:lang w:eastAsia="zh-CN"/>
        </w:rPr>
        <w:t>表示跨国公司母国（亦为创新来源国），</w:t>
      </w:r>
      <m:oMath>
        <m:r>
          <w:rPr>
            <w:rFonts w:ascii="Cambria Math" w:hAnsi="Cambria Math"/>
            <w:lang w:eastAsia="zh-CN"/>
          </w:rPr>
          <m:t>i</m:t>
        </m:r>
      </m:oMath>
      <w:r>
        <w:rPr>
          <w:lang w:eastAsia="zh-CN"/>
        </w:rPr>
        <w:t xml:space="preserve"> </w:t>
      </w:r>
      <w:r>
        <w:rPr>
          <w:lang w:eastAsia="zh-CN"/>
        </w:rPr>
        <w:t>表示候选生产国，</w:t>
      </w:r>
      <m:oMath>
        <m:r>
          <w:rPr>
            <w:rFonts w:ascii="Cambria Math" w:hAnsi="Cambria Math"/>
            <w:lang w:eastAsia="zh-CN"/>
          </w:rPr>
          <m:t>n</m:t>
        </m:r>
      </m:oMath>
      <w:r>
        <w:rPr>
          <w:lang w:eastAsia="zh-CN"/>
        </w:rPr>
        <w:t xml:space="preserve"> </w:t>
      </w:r>
      <w:r>
        <w:rPr>
          <w:lang w:eastAsia="zh-CN"/>
        </w:rPr>
        <w:t>表示最终消费国，</w:t>
      </w:r>
      <m:oMath>
        <m:r>
          <w:rPr>
            <w:rFonts w:ascii="Cambria Math" w:hAnsi="Cambria Math"/>
            <w:lang w:eastAsia="zh-CN"/>
          </w:rPr>
          <m:t>j</m:t>
        </m:r>
      </m:oMath>
      <w:r>
        <w:rPr>
          <w:lang w:eastAsia="zh-CN"/>
        </w:rPr>
        <w:t xml:space="preserve"> </w:t>
      </w:r>
      <w:r>
        <w:rPr>
          <w:lang w:eastAsia="zh-CN"/>
        </w:rPr>
        <w:t>表示结构模型部门，</w:t>
      </w:r>
      <m:oMath>
        <m:r>
          <w:rPr>
            <w:rFonts w:ascii="Cambria Math" w:hAnsi="Cambria Math"/>
            <w:lang w:eastAsia="zh-CN"/>
          </w:rPr>
          <m:t>g</m:t>
        </m:r>
      </m:oMath>
      <w:r>
        <w:rPr>
          <w:lang w:eastAsia="zh-CN"/>
        </w:rPr>
        <w:t xml:space="preserve"> </w:t>
      </w:r>
      <w:r>
        <w:rPr>
          <w:lang w:eastAsia="zh-CN"/>
        </w:rPr>
        <w:t>表示负面清单中的细分经济活动，</w:t>
      </w:r>
      <m:oMath>
        <m:r>
          <w:rPr>
            <w:rFonts w:ascii="Cambria Math" w:hAnsi="Cambria Math"/>
            <w:lang w:eastAsia="zh-CN"/>
          </w:rPr>
          <m:t>t</m:t>
        </m:r>
      </m:oMath>
      <w:r>
        <w:rPr>
          <w:lang w:eastAsia="zh-CN"/>
        </w:rPr>
        <w:t xml:space="preserve"> </w:t>
      </w:r>
      <w:r>
        <w:rPr>
          <w:lang w:eastAsia="zh-CN"/>
        </w:rPr>
        <w:t>表示政策年份。</w:t>
      </w:r>
      <w:r>
        <w:t>以下以</w:t>
      </w:r>
      <w:r>
        <w:t xml:space="preserve"> </w:t>
      </w:r>
      <m:oMath>
        <m:r>
          <w:rPr>
            <w:rFonts w:ascii="Cambria Math" w:hAnsi="Cambria Math"/>
          </w:rPr>
          <m:t>C</m:t>
        </m:r>
      </m:oMath>
      <w:r>
        <w:t xml:space="preserve"> </w:t>
      </w:r>
      <w:r>
        <w:t>表示中国。整个识别链条可以写为</w:t>
      </w:r>
      <w:r w:rsidR="005F5C72">
        <w:rPr>
          <w:rFonts w:hint="eastAsia"/>
          <w:lang w:eastAsia="zh-CN"/>
        </w:rPr>
        <w:t>：</w:t>
      </w:r>
    </w:p>
    <w:p w14:paraId="1F367B9D" w14:textId="77777777" w:rsidR="002D0A3C" w:rsidRDefault="00791C5A">
      <w:pPr>
        <w:pStyle w:val="a0"/>
        <w:spacing w:before="80" w:after="80" w:line="240" w:lineRule="auto"/>
        <w:ind w:firstLine="0"/>
        <w:jc w:val="center"/>
      </w:pPr>
      <m:oMathPara>
        <m:oMathParaPr>
          <m:jc m:val="center"/>
        </m:oMathPara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gt</m:t>
              </m:r>
            </m:sub>
          </m:sSub>
          <m:r>
            <m:rPr>
              <m:sty m:val="p"/>
            </m:rPr>
            <w:rPr>
              <w:rFonts w:ascii="Cambria Math" w:hAnsi="Cambria Math"/>
            </w:rPr>
            <m:t xml:space="preserve"> → LLM → </m:t>
          </m:r>
          <m:sSub>
            <m:sSubPr>
              <m:ctrlPr>
                <w:rPr>
                  <w:rFonts w:ascii="Cambria Math" w:hAnsi="Cambria Math"/>
                </w:rPr>
              </m:ctrlPr>
            </m:sSubPr>
            <m:e>
              <m:r>
                <m:rPr>
                  <m:sty m:val="p"/>
                </m:rPr>
                <w:rPr>
                  <w:rFonts w:ascii="Cambria Math" w:hAnsi="Cambria Math"/>
                </w:rPr>
                <m:t>z</m:t>
              </m:r>
            </m:e>
            <m:sub>
              <m:r>
                <m:rPr>
                  <m:sty m:val="p"/>
                </m:rPr>
                <w:rPr>
                  <w:rFonts w:ascii="Cambria Math" w:hAnsi="Cambria Math"/>
                </w:rPr>
                <m:t>gt</m:t>
              </m:r>
            </m:sub>
          </m:sSub>
          <m:r>
            <m:rPr>
              <m:scr m:val="script"/>
              <m:sty m:val="p"/>
            </m:rPr>
            <w:rPr>
              <w:rFonts w:ascii="Cambria Math" w:hAnsi="Cambria Math"/>
            </w:rPr>
            <m:t xml:space="preserve"> → M → </m:t>
          </m:r>
          <m:sSub>
            <m:sSubPr>
              <m:ctrlPr>
                <w:rPr>
                  <w:rFonts w:ascii="Cambria Math" w:hAnsi="Cambria Math"/>
                </w:rPr>
              </m:ctrlPr>
            </m:sSubPr>
            <m:e>
              <m:r>
                <m:rPr>
                  <m:sty m:val="p"/>
                </m:rPr>
                <w:rPr>
                  <w:rFonts w:ascii="Cambria Math" w:hAnsi="Cambria Math"/>
                </w:rPr>
                <m:t>Z</m:t>
              </m:r>
            </m:e>
            <m:sub>
              <m:r>
                <m:rPr>
                  <m:sty m:val="p"/>
                </m:rPr>
                <w:rPr>
                  <w:rFonts w:ascii="Cambria Math" w:hAnsi="Cambria Math"/>
                </w:rPr>
                <m:t>jt</m:t>
              </m:r>
            </m:sub>
          </m:sSub>
          <m:r>
            <m:rPr>
              <m:sty m:val="p"/>
            </m:rPr>
            <w:rPr>
              <w:rFonts w:ascii="Cambria Math" w:hAnsi="Cambria Math"/>
            </w:rPr>
            <m:t xml:space="preserve"> → </m:t>
          </m:r>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mCjt</m:t>
              </m:r>
            </m:sub>
            <m:sup>
              <m:r>
                <m:rPr>
                  <m:sty m:val="p"/>
                </m:rPr>
                <w:rPr>
                  <w:rFonts w:ascii="Cambria Math" w:hAnsi="Cambria Math"/>
                </w:rPr>
                <m:t>inst</m:t>
              </m:r>
            </m:sup>
          </m:sSubSup>
          <m:r>
            <m:rPr>
              <m:sty m:val="p"/>
            </m:rPr>
            <w:rPr>
              <w:rFonts w:ascii="Cambria Math" w:hAnsi="Cambria Math"/>
            </w:rPr>
            <m:t xml:space="preserve"> → </m:t>
          </m:r>
          <m:sSubSup>
            <m:sSubSupPr>
              <m:ctrlPr>
                <w:rPr>
                  <w:rFonts w:ascii="Cambria Math" w:hAnsi="Cambria Math"/>
                </w:rPr>
              </m:ctrlPr>
            </m:sSubSupPr>
            <m:e>
              <m:r>
                <m:rPr>
                  <m:sty m:val="p"/>
                </m:rPr>
                <w:rPr>
                  <w:rFonts w:ascii="Cambria Math" w:hAnsi="Cambria Math"/>
                </w:rPr>
                <m:t>ξ</m:t>
              </m:r>
            </m:e>
            <m:sub>
              <m:r>
                <m:rPr>
                  <m:sty m:val="p"/>
                </m:rPr>
                <w:rPr>
                  <w:rFonts w:ascii="Cambria Math" w:hAnsi="Cambria Math"/>
                </w:rPr>
                <m:t>Cm</m:t>
              </m:r>
            </m:sub>
            <m:sup>
              <m:r>
                <m:rPr>
                  <m:sty m:val="p"/>
                </m:rPr>
                <w:rPr>
                  <w:rFonts w:ascii="Cambria Math" w:hAnsi="Cambria Math"/>
                </w:rPr>
                <m:t>j</m:t>
              </m:r>
            </m:sup>
          </m:sSubSup>
          <m:r>
            <m:rPr>
              <m:sty m:val="p"/>
            </m:rPr>
            <w:rPr>
              <w:rFonts w:ascii="Cambria Math" w:hAnsi="Cambria Math"/>
            </w:rPr>
            <m:t xml:space="preserve"> → {</m:t>
          </m:r>
          <m:sSubSup>
            <m:sSubSupPr>
              <m:ctrlPr>
                <w:rPr>
                  <w:rFonts w:ascii="Cambria Math" w:hAnsi="Cambria Math"/>
                </w:rPr>
              </m:ctrlPr>
            </m:sSubSupPr>
            <m:e>
              <m:r>
                <m:rPr>
                  <m:sty m:val="p"/>
                </m:rPr>
                <w:rPr>
                  <w:rFonts w:ascii="Cambria Math" w:hAnsi="Cambria Math"/>
                </w:rPr>
                <m:t>ψ</m:t>
              </m:r>
            </m:e>
            <m:sub>
              <m:r>
                <m:rPr>
                  <m:sty m:val="p"/>
                </m:rPr>
                <w:rPr>
                  <w:rFonts w:ascii="Cambria Math" w:hAnsi="Cambria Math"/>
                </w:rPr>
                <m:t>nCm</m:t>
              </m:r>
            </m:sub>
            <m:sup>
              <m:r>
                <m:rPr>
                  <m:sty m:val="p"/>
                </m:rPr>
                <w:rPr>
                  <w:rFonts w:ascii="Cambria Math" w:hAnsi="Cambria Math"/>
                </w:rPr>
                <m:t>j</m:t>
              </m:r>
            </m:sup>
          </m:sSubSup>
          <m:r>
            <m:rPr>
              <m:sty m:val="p"/>
            </m:rPr>
            <w:rPr>
              <w:rFonts w:ascii="Cambria Math" w:hAnsi="Cambria Math"/>
            </w:rPr>
            <m:t xml:space="preserve">, </m:t>
          </m:r>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nCm</m:t>
              </m:r>
            </m:sub>
            <m:sup>
              <m:r>
                <m:rPr>
                  <m:sty m:val="p"/>
                </m:rPr>
                <w:rPr>
                  <w:rFonts w:ascii="Cambria Math" w:hAnsi="Cambria Math"/>
                </w:rPr>
                <m:t>j</m:t>
              </m:r>
            </m:sup>
          </m:sSubSup>
          <m:r>
            <m:rPr>
              <m:sty m:val="p"/>
            </m:rPr>
            <w:rPr>
              <w:rFonts w:ascii="Cambria Math" w:hAnsi="Cambria Math"/>
            </w:rPr>
            <m:t>, P, w, N, W}.    (A1)</m:t>
          </m:r>
        </m:oMath>
      </m:oMathPara>
    </w:p>
    <w:p w14:paraId="083101DE" w14:textId="77777777" w:rsidR="002D0A3C" w:rsidRDefault="003B6787" w:rsidP="0069358A">
      <w:pPr>
        <w:pStyle w:val="FirstParagraph"/>
        <w:spacing w:before="80" w:after="80" w:line="240" w:lineRule="auto"/>
        <w:ind w:firstLine="720"/>
        <w:rPr>
          <w:lang w:eastAsia="zh-CN"/>
        </w:rPr>
      </w:pPr>
      <w:r>
        <w:rPr>
          <w:lang w:eastAsia="zh-CN"/>
        </w:rPr>
        <w:t>其中，</w:t>
      </w:r>
      <w:r>
        <w:rPr>
          <w:lang w:eastAsia="zh-CN"/>
        </w:rPr>
        <w:t>P</w:t>
      </w:r>
      <w:r>
        <w:rPr>
          <w:lang w:eastAsia="zh-CN"/>
        </w:rPr>
        <w:t>为原始政策文本，</w:t>
      </w:r>
      <w:r>
        <w:rPr>
          <w:lang w:eastAsia="zh-CN"/>
        </w:rPr>
        <w:t>z</w:t>
      </w:r>
      <w:r>
        <w:rPr>
          <w:lang w:eastAsia="zh-CN"/>
        </w:rPr>
        <w:t>为细活动层面的结构化准入限制，</w:t>
      </w:r>
      <w:r>
        <w:rPr>
          <w:lang w:eastAsia="zh-CN"/>
        </w:rPr>
        <w:t>M</w:t>
      </w:r>
      <w:r>
        <w:rPr>
          <w:lang w:eastAsia="zh-CN"/>
        </w:rPr>
        <w:t>表示</w:t>
      </w:r>
      <w:r>
        <w:rPr>
          <w:lang w:eastAsia="zh-CN"/>
        </w:rPr>
        <w:t>A.2</w:t>
      </w:r>
      <w:r>
        <w:rPr>
          <w:lang w:eastAsia="zh-CN"/>
        </w:rPr>
        <w:t>节定义的</w:t>
      </w:r>
      <w:r>
        <w:rPr>
          <w:lang w:eastAsia="zh-CN"/>
        </w:rPr>
        <w:t>“GB/T 4754</w:t>
      </w:r>
      <w:r>
        <w:rPr>
          <w:lang w:eastAsia="zh-CN"/>
        </w:rPr>
        <w:t>四位小类</w:t>
      </w:r>
      <w:r>
        <w:rPr>
          <w:lang w:eastAsia="zh-CN"/>
        </w:rPr>
        <w:t>—ISIC Rev.4</w:t>
      </w:r>
      <w:r>
        <w:rPr>
          <w:lang w:eastAsia="zh-CN"/>
        </w:rPr>
        <w:t>四位组</w:t>
      </w:r>
      <w:r>
        <w:rPr>
          <w:lang w:eastAsia="zh-CN"/>
        </w:rPr>
        <w:t>—ISIC Rev.4</w:t>
      </w:r>
      <w:r>
        <w:rPr>
          <w:lang w:eastAsia="zh-CN"/>
        </w:rPr>
        <w:t>两位类</w:t>
      </w:r>
      <w:r>
        <w:rPr>
          <w:lang w:eastAsia="zh-CN"/>
        </w:rPr>
        <w:t>—OECD-AMNE</w:t>
      </w:r>
      <w:r>
        <w:rPr>
          <w:lang w:eastAsia="zh-CN"/>
        </w:rPr>
        <w:t>行业</w:t>
      </w:r>
      <w:r>
        <w:rPr>
          <w:lang w:eastAsia="zh-CN"/>
        </w:rPr>
        <w:t>”</w:t>
      </w:r>
      <w:r>
        <w:rPr>
          <w:lang w:eastAsia="zh-CN"/>
        </w:rPr>
        <w:t>分层映射与固定权重聚合程序，</w:t>
      </w:r>
      <w:r>
        <w:rPr>
          <w:lang w:eastAsia="zh-CN"/>
        </w:rPr>
        <w:t>Z</w:t>
      </w:r>
      <w:r>
        <w:rPr>
          <w:lang w:eastAsia="zh-CN"/>
        </w:rPr>
        <w:t>为最终聚合到</w:t>
      </w:r>
      <w:r>
        <w:rPr>
          <w:lang w:eastAsia="zh-CN"/>
        </w:rPr>
        <w:t>OECD-AMNE</w:t>
      </w:r>
      <w:r>
        <w:rPr>
          <w:lang w:eastAsia="zh-CN"/>
        </w:rPr>
        <w:t>模型部门后的政策暴露；后续经验成本与结构模型中的跨国生产效率项分别见</w:t>
      </w:r>
      <w:r>
        <w:rPr>
          <w:lang w:eastAsia="zh-CN"/>
        </w:rPr>
        <w:t>A.3</w:t>
      </w:r>
      <w:r>
        <w:rPr>
          <w:lang w:eastAsia="zh-CN"/>
        </w:rPr>
        <w:t>和</w:t>
      </w:r>
      <w:r>
        <w:rPr>
          <w:lang w:eastAsia="zh-CN"/>
        </w:rPr>
        <w:t>A.5</w:t>
      </w:r>
      <w:r>
        <w:rPr>
          <w:lang w:eastAsia="zh-CN"/>
        </w:rPr>
        <w:t>。式（</w:t>
      </w:r>
      <w:r>
        <w:rPr>
          <w:lang w:eastAsia="zh-CN"/>
        </w:rPr>
        <w:t>A1</w:t>
      </w:r>
      <w:r>
        <w:rPr>
          <w:lang w:eastAsia="zh-CN"/>
        </w:rPr>
        <w:t>）的关键在于把</w:t>
      </w:r>
      <w:r>
        <w:rPr>
          <w:lang w:eastAsia="zh-CN"/>
        </w:rPr>
        <w:t>“</w:t>
      </w:r>
      <w:r>
        <w:rPr>
          <w:lang w:eastAsia="zh-CN"/>
        </w:rPr>
        <w:t>法律事实</w:t>
      </w:r>
      <w:r>
        <w:rPr>
          <w:lang w:eastAsia="zh-CN"/>
        </w:rPr>
        <w:t>”“</w:t>
      </w:r>
      <w:r>
        <w:rPr>
          <w:lang w:eastAsia="zh-CN"/>
        </w:rPr>
        <w:t>行业映射与聚合</w:t>
      </w:r>
      <w:r>
        <w:rPr>
          <w:lang w:eastAsia="zh-CN"/>
        </w:rPr>
        <w:t>”“</w:t>
      </w:r>
      <w:r>
        <w:rPr>
          <w:lang w:eastAsia="zh-CN"/>
        </w:rPr>
        <w:t>经验成本</w:t>
      </w:r>
      <w:r>
        <w:rPr>
          <w:lang w:eastAsia="zh-CN"/>
        </w:rPr>
        <w:t>”</w:t>
      </w:r>
      <w:r>
        <w:rPr>
          <w:lang w:eastAsia="zh-CN"/>
        </w:rPr>
        <w:t>和</w:t>
      </w:r>
      <w:r>
        <w:rPr>
          <w:lang w:eastAsia="zh-CN"/>
        </w:rPr>
        <w:t>“</w:t>
      </w:r>
      <w:r>
        <w:rPr>
          <w:lang w:eastAsia="zh-CN"/>
        </w:rPr>
        <w:t>结构参数</w:t>
      </w:r>
      <w:r>
        <w:rPr>
          <w:lang w:eastAsia="zh-CN"/>
        </w:rPr>
        <w:t>”</w:t>
      </w:r>
      <w:r>
        <w:rPr>
          <w:lang w:eastAsia="zh-CN"/>
        </w:rPr>
        <w:t>分开处理。</w:t>
      </w:r>
      <w:r>
        <w:rPr>
          <w:lang w:eastAsia="zh-CN"/>
        </w:rPr>
        <w:t>LLM</w:t>
      </w:r>
      <w:r>
        <w:rPr>
          <w:lang w:eastAsia="zh-CN"/>
        </w:rPr>
        <w:t>只参与政策文本抽取以及必须依赖语义判断的行业匹配，不直接生成聚合权重或成本参数。</w:t>
      </w:r>
    </w:p>
    <w:p w14:paraId="5B214E3B" w14:textId="77777777" w:rsidR="002D0A3C" w:rsidRDefault="003B6787">
      <w:pPr>
        <w:pStyle w:val="2"/>
        <w:rPr>
          <w:lang w:eastAsia="zh-CN"/>
        </w:rPr>
      </w:pPr>
      <w:r>
        <w:rPr>
          <w:rFonts w:ascii="Times New Roman" w:eastAsia="宋体" w:hAnsi="Times New Roman"/>
          <w:lang w:eastAsia="zh-CN"/>
        </w:rPr>
        <w:t>A.1</w:t>
      </w:r>
      <w:r>
        <w:rPr>
          <w:rFonts w:ascii="Times New Roman" w:eastAsia="宋体" w:hAnsi="Times New Roman"/>
          <w:lang w:eastAsia="zh-CN"/>
        </w:rPr>
        <w:t xml:space="preserve">　政策文本的测量对象</w:t>
      </w:r>
    </w:p>
    <w:p w14:paraId="27C30A32" w14:textId="77777777" w:rsidR="002D0A3C" w:rsidRDefault="003B6787">
      <w:pPr>
        <w:pStyle w:val="3"/>
        <w:rPr>
          <w:lang w:eastAsia="zh-CN"/>
        </w:rPr>
      </w:pPr>
      <w:bookmarkStart w:id="1" w:name="a.1.1-政策版本与最小政策单元"/>
      <w:r>
        <w:rPr>
          <w:rFonts w:ascii="Times New Roman" w:eastAsia="宋体" w:hAnsi="Times New Roman"/>
          <w:lang w:eastAsia="zh-CN"/>
        </w:rPr>
        <w:t>A.1.1</w:t>
      </w:r>
      <w:r>
        <w:rPr>
          <w:rFonts w:ascii="Times New Roman" w:eastAsia="宋体" w:hAnsi="Times New Roman"/>
          <w:lang w:eastAsia="zh-CN"/>
        </w:rPr>
        <w:t xml:space="preserve">　政策版本与最小政策单元</w:t>
      </w:r>
    </w:p>
    <w:p w14:paraId="006AF510" w14:textId="77777777" w:rsidR="002D0A3C" w:rsidRDefault="003B6787">
      <w:pPr>
        <w:pStyle w:val="FirstParagraph"/>
        <w:jc w:val="both"/>
        <w:rPr>
          <w:lang w:eastAsia="zh-CN"/>
        </w:rPr>
      </w:pPr>
      <w:r>
        <w:rPr>
          <w:lang w:eastAsia="zh-CN"/>
        </w:rPr>
        <w:t>政策数据库以正式生效的全国外资准入规则为版本单位。负面清单制度实施以前，可使用《外商投资产业指导目录》等具有连续政策含义的官方文件向前衔接。制度文件名称、官方下载地址等可作为文件级元数据单独保存，不纳入政策原子记录的最小字段。原子层面只保留识别政策年份、官方条目、细活动、限制内容、例外、适用范围与生效日期所必需的信息。</w:t>
      </w:r>
    </w:p>
    <w:p w14:paraId="22481293" w14:textId="77777777" w:rsidR="002D0A3C" w:rsidRDefault="003B6787">
      <w:pPr>
        <w:pStyle w:val="a0"/>
        <w:jc w:val="both"/>
        <w:rPr>
          <w:lang w:eastAsia="zh-CN"/>
        </w:rPr>
      </w:pPr>
      <w:r>
        <w:rPr>
          <w:lang w:eastAsia="zh-CN"/>
        </w:rPr>
        <w:t>实际编码单位不是官方</w:t>
      </w:r>
      <w:r>
        <w:rPr>
          <w:lang w:eastAsia="zh-CN"/>
        </w:rPr>
        <w:t>“</w:t>
      </w:r>
      <w:r>
        <w:rPr>
          <w:lang w:eastAsia="zh-CN"/>
        </w:rPr>
        <w:t>序号</w:t>
      </w:r>
      <w:r>
        <w:rPr>
          <w:lang w:eastAsia="zh-CN"/>
        </w:rPr>
        <w:t>”</w:t>
      </w:r>
      <w:r>
        <w:rPr>
          <w:lang w:eastAsia="zh-CN"/>
        </w:rPr>
        <w:t>本身，而是最小可执行政策单元。若同一序号同时包含若干经济活动、不同股比要求或不同治理条件，应在不改变原文含义的前提下拆成多个原子记录，并以</w:t>
      </w:r>
      <w:r>
        <w:rPr>
          <w:lang w:eastAsia="zh-CN"/>
        </w:rPr>
        <w:t xml:space="preserve"> measure_no </w:t>
      </w:r>
      <w:r>
        <w:rPr>
          <w:lang w:eastAsia="zh-CN"/>
        </w:rPr>
        <w:t>保留其与原序号的对应关系。这样做不是为了机械增加样本量，而是为了使每一行数据对应唯一的经济活动及其约束集合，便于跨版本比较、行业映射和人工回溯。</w:t>
      </w:r>
    </w:p>
    <w:p w14:paraId="41FD47E0" w14:textId="77777777" w:rsidR="002D0A3C" w:rsidRDefault="003B6787">
      <w:pPr>
        <w:pStyle w:val="a0"/>
        <w:keepNext/>
        <w:spacing w:before="100" w:after="60"/>
        <w:ind w:firstLine="0"/>
        <w:jc w:val="center"/>
        <w:rPr>
          <w:lang w:eastAsia="zh-CN"/>
        </w:rPr>
      </w:pPr>
      <w:r>
        <w:rPr>
          <w:b/>
          <w:bCs/>
          <w:sz w:val="22"/>
          <w:lang w:eastAsia="zh-CN"/>
        </w:rPr>
        <w:t>表</w:t>
      </w:r>
      <w:r>
        <w:rPr>
          <w:b/>
          <w:bCs/>
          <w:sz w:val="22"/>
          <w:lang w:eastAsia="zh-CN"/>
        </w:rPr>
        <w:t>A1</w:t>
      </w:r>
      <w:r>
        <w:rPr>
          <w:b/>
          <w:bCs/>
          <w:sz w:val="22"/>
          <w:lang w:eastAsia="zh-CN"/>
        </w:rPr>
        <w:t xml:space="preserve">　政策原子记录的最小字段</w:t>
      </w:r>
    </w:p>
    <w:tbl>
      <w:tblPr>
        <w:tblStyle w:val="Table"/>
        <w:tblW w:w="5000" w:type="pct"/>
        <w:jc w:val="center"/>
        <w:tblLook w:val="0020" w:firstRow="1" w:lastRow="0" w:firstColumn="0" w:lastColumn="0" w:noHBand="0" w:noVBand="0"/>
      </w:tblPr>
      <w:tblGrid>
        <w:gridCol w:w="3058"/>
        <w:gridCol w:w="3058"/>
        <w:gridCol w:w="3058"/>
      </w:tblGrid>
      <w:tr w:rsidR="002D0A3C" w14:paraId="17B09A55" w14:textId="77777777" w:rsidTr="002D0A3C">
        <w:trPr>
          <w:cnfStyle w:val="100000000000" w:firstRow="1" w:lastRow="0" w:firstColumn="0" w:lastColumn="0" w:oddVBand="0" w:evenVBand="0" w:oddHBand="0" w:evenHBand="0" w:firstRowFirstColumn="0" w:firstRowLastColumn="0" w:lastRowFirstColumn="0" w:lastRowLastColumn="0"/>
          <w:cantSplit/>
          <w:tblHeader/>
          <w:jc w:val="center"/>
        </w:trPr>
        <w:tc>
          <w:tcPr>
            <w:tcW w:w="2640" w:type="dxa"/>
            <w:vAlign w:val="center"/>
          </w:tcPr>
          <w:p w14:paraId="2CBB43BD" w14:textId="77777777" w:rsidR="002D0A3C" w:rsidRDefault="003B6787">
            <w:pPr>
              <w:jc w:val="center"/>
            </w:pPr>
            <w:r>
              <w:rPr>
                <w:b/>
                <w:sz w:val="20"/>
              </w:rPr>
              <w:t>字段</w:t>
            </w:r>
          </w:p>
        </w:tc>
        <w:tc>
          <w:tcPr>
            <w:tcW w:w="2640" w:type="dxa"/>
            <w:vAlign w:val="center"/>
          </w:tcPr>
          <w:p w14:paraId="27228646" w14:textId="77777777" w:rsidR="002D0A3C" w:rsidRDefault="003B6787">
            <w:pPr>
              <w:jc w:val="center"/>
            </w:pPr>
            <w:r>
              <w:rPr>
                <w:b/>
                <w:sz w:val="20"/>
              </w:rPr>
              <w:t>定义</w:t>
            </w:r>
          </w:p>
        </w:tc>
        <w:tc>
          <w:tcPr>
            <w:tcW w:w="2640" w:type="dxa"/>
            <w:vAlign w:val="center"/>
          </w:tcPr>
          <w:p w14:paraId="7285F262" w14:textId="77777777" w:rsidR="002D0A3C" w:rsidRDefault="003B6787">
            <w:pPr>
              <w:jc w:val="center"/>
            </w:pPr>
            <w:r>
              <w:rPr>
                <w:b/>
                <w:sz w:val="20"/>
              </w:rPr>
              <w:t>编码原则</w:t>
            </w:r>
          </w:p>
        </w:tc>
      </w:tr>
      <w:tr w:rsidR="002D0A3C" w14:paraId="2B28059C" w14:textId="77777777" w:rsidTr="002D0A3C">
        <w:trPr>
          <w:cantSplit/>
          <w:jc w:val="center"/>
        </w:trPr>
        <w:tc>
          <w:tcPr>
            <w:tcW w:w="2640" w:type="dxa"/>
            <w:vAlign w:val="center"/>
          </w:tcPr>
          <w:p w14:paraId="6D1D64C0" w14:textId="77777777" w:rsidR="002D0A3C" w:rsidRDefault="003B6787">
            <w:r>
              <w:rPr>
                <w:sz w:val="20"/>
              </w:rPr>
              <w:t>policy_year</w:t>
            </w:r>
          </w:p>
        </w:tc>
        <w:tc>
          <w:tcPr>
            <w:tcW w:w="2640" w:type="dxa"/>
            <w:vAlign w:val="center"/>
          </w:tcPr>
          <w:p w14:paraId="1BAF0A98" w14:textId="77777777" w:rsidR="002D0A3C" w:rsidRDefault="003B6787">
            <w:r>
              <w:rPr>
                <w:sz w:val="20"/>
              </w:rPr>
              <w:t>政策版本年份</w:t>
            </w:r>
          </w:p>
        </w:tc>
        <w:tc>
          <w:tcPr>
            <w:tcW w:w="2640" w:type="dxa"/>
            <w:vAlign w:val="center"/>
          </w:tcPr>
          <w:p w14:paraId="253631FA" w14:textId="77777777" w:rsidR="002D0A3C" w:rsidRDefault="003B6787">
            <w:pPr>
              <w:rPr>
                <w:lang w:eastAsia="zh-CN"/>
              </w:rPr>
            </w:pPr>
            <w:r>
              <w:rPr>
                <w:sz w:val="20"/>
                <w:lang w:eastAsia="zh-CN"/>
              </w:rPr>
              <w:t>按正式版本年份记录，如</w:t>
            </w:r>
            <w:r>
              <w:rPr>
                <w:sz w:val="20"/>
                <w:lang w:eastAsia="zh-CN"/>
              </w:rPr>
              <w:t>2024</w:t>
            </w:r>
          </w:p>
        </w:tc>
      </w:tr>
      <w:tr w:rsidR="002D0A3C" w14:paraId="11F5774D" w14:textId="77777777" w:rsidTr="002D0A3C">
        <w:trPr>
          <w:cantSplit/>
          <w:jc w:val="center"/>
        </w:trPr>
        <w:tc>
          <w:tcPr>
            <w:tcW w:w="2640" w:type="dxa"/>
            <w:vAlign w:val="center"/>
          </w:tcPr>
          <w:p w14:paraId="396BF795" w14:textId="77777777" w:rsidR="002D0A3C" w:rsidRDefault="003B6787">
            <w:r>
              <w:rPr>
                <w:sz w:val="20"/>
              </w:rPr>
              <w:lastRenderedPageBreak/>
              <w:t>measure_no</w:t>
            </w:r>
          </w:p>
        </w:tc>
        <w:tc>
          <w:tcPr>
            <w:tcW w:w="2640" w:type="dxa"/>
            <w:vAlign w:val="center"/>
          </w:tcPr>
          <w:p w14:paraId="7E05D4A9" w14:textId="77777777" w:rsidR="002D0A3C" w:rsidRDefault="003B6787">
            <w:r>
              <w:rPr>
                <w:sz w:val="20"/>
              </w:rPr>
              <w:t>官方负面清单序号</w:t>
            </w:r>
          </w:p>
        </w:tc>
        <w:tc>
          <w:tcPr>
            <w:tcW w:w="2640" w:type="dxa"/>
            <w:vAlign w:val="center"/>
          </w:tcPr>
          <w:p w14:paraId="40BC46D0" w14:textId="77777777" w:rsidR="002D0A3C" w:rsidRDefault="003B6787">
            <w:pPr>
              <w:rPr>
                <w:lang w:eastAsia="zh-CN"/>
              </w:rPr>
            </w:pPr>
            <w:r>
              <w:rPr>
                <w:sz w:val="20"/>
                <w:lang w:eastAsia="zh-CN"/>
              </w:rPr>
              <w:t>保留与原文件序号的对应关系</w:t>
            </w:r>
          </w:p>
        </w:tc>
      </w:tr>
      <w:tr w:rsidR="002D0A3C" w14:paraId="2C31B5FA" w14:textId="77777777" w:rsidTr="002D0A3C">
        <w:trPr>
          <w:cantSplit/>
          <w:jc w:val="center"/>
        </w:trPr>
        <w:tc>
          <w:tcPr>
            <w:tcW w:w="2640" w:type="dxa"/>
            <w:vAlign w:val="center"/>
          </w:tcPr>
          <w:p w14:paraId="10EE815E" w14:textId="77777777" w:rsidR="002D0A3C" w:rsidRDefault="003B6787">
            <w:r>
              <w:rPr>
                <w:sz w:val="20"/>
              </w:rPr>
              <w:t>atom_id</w:t>
            </w:r>
          </w:p>
        </w:tc>
        <w:tc>
          <w:tcPr>
            <w:tcW w:w="2640" w:type="dxa"/>
            <w:vAlign w:val="center"/>
          </w:tcPr>
          <w:p w14:paraId="28E5B610" w14:textId="77777777" w:rsidR="002D0A3C" w:rsidRDefault="003B6787">
            <w:r>
              <w:rPr>
                <w:sz w:val="20"/>
              </w:rPr>
              <w:t>政策原子唯一编号</w:t>
            </w:r>
          </w:p>
        </w:tc>
        <w:tc>
          <w:tcPr>
            <w:tcW w:w="2640" w:type="dxa"/>
            <w:vAlign w:val="center"/>
          </w:tcPr>
          <w:p w14:paraId="0F863F29" w14:textId="77777777" w:rsidR="002D0A3C" w:rsidRDefault="003B6787">
            <w:pPr>
              <w:rPr>
                <w:lang w:eastAsia="zh-CN"/>
              </w:rPr>
            </w:pPr>
            <w:r>
              <w:rPr>
                <w:sz w:val="20"/>
                <w:lang w:eastAsia="zh-CN"/>
              </w:rPr>
              <w:t>同一序号拆分后以</w:t>
            </w:r>
            <w:r>
              <w:rPr>
                <w:sz w:val="20"/>
                <w:lang w:eastAsia="zh-CN"/>
              </w:rPr>
              <w:t>A</w:t>
            </w:r>
            <w:r>
              <w:rPr>
                <w:sz w:val="20"/>
                <w:lang w:eastAsia="zh-CN"/>
              </w:rPr>
              <w:t>、</w:t>
            </w:r>
            <w:r>
              <w:rPr>
                <w:sz w:val="20"/>
                <w:lang w:eastAsia="zh-CN"/>
              </w:rPr>
              <w:t>B</w:t>
            </w:r>
            <w:r>
              <w:rPr>
                <w:sz w:val="20"/>
                <w:lang w:eastAsia="zh-CN"/>
              </w:rPr>
              <w:t>、</w:t>
            </w:r>
            <w:r>
              <w:rPr>
                <w:sz w:val="20"/>
                <w:lang w:eastAsia="zh-CN"/>
              </w:rPr>
              <w:t>C</w:t>
            </w:r>
            <w:r>
              <w:rPr>
                <w:sz w:val="20"/>
                <w:lang w:eastAsia="zh-CN"/>
              </w:rPr>
              <w:t>等区分</w:t>
            </w:r>
          </w:p>
        </w:tc>
      </w:tr>
      <w:tr w:rsidR="002D0A3C" w14:paraId="5D74EDB0" w14:textId="77777777" w:rsidTr="002D0A3C">
        <w:trPr>
          <w:cantSplit/>
          <w:jc w:val="center"/>
        </w:trPr>
        <w:tc>
          <w:tcPr>
            <w:tcW w:w="2640" w:type="dxa"/>
            <w:vAlign w:val="center"/>
          </w:tcPr>
          <w:p w14:paraId="0A1F0680" w14:textId="77777777" w:rsidR="002D0A3C" w:rsidRDefault="003B6787">
            <w:r>
              <w:rPr>
                <w:sz w:val="20"/>
              </w:rPr>
              <w:t>sector_heading</w:t>
            </w:r>
          </w:p>
        </w:tc>
        <w:tc>
          <w:tcPr>
            <w:tcW w:w="2640" w:type="dxa"/>
            <w:vAlign w:val="center"/>
          </w:tcPr>
          <w:p w14:paraId="63490556" w14:textId="77777777" w:rsidR="002D0A3C" w:rsidRDefault="003B6787">
            <w:r>
              <w:rPr>
                <w:sz w:val="20"/>
              </w:rPr>
              <w:t>负面清单行业大类</w:t>
            </w:r>
          </w:p>
        </w:tc>
        <w:tc>
          <w:tcPr>
            <w:tcW w:w="2640" w:type="dxa"/>
            <w:vAlign w:val="center"/>
          </w:tcPr>
          <w:p w14:paraId="035E8DDC" w14:textId="77777777" w:rsidR="002D0A3C" w:rsidRDefault="003B6787">
            <w:pPr>
              <w:rPr>
                <w:lang w:eastAsia="zh-CN"/>
              </w:rPr>
            </w:pPr>
            <w:r>
              <w:rPr>
                <w:sz w:val="20"/>
                <w:lang w:eastAsia="zh-CN"/>
              </w:rPr>
              <w:t>保留原文件中的行业标题</w:t>
            </w:r>
          </w:p>
        </w:tc>
      </w:tr>
      <w:tr w:rsidR="002D0A3C" w14:paraId="7A5021B9" w14:textId="77777777" w:rsidTr="002D0A3C">
        <w:trPr>
          <w:cantSplit/>
          <w:jc w:val="center"/>
        </w:trPr>
        <w:tc>
          <w:tcPr>
            <w:tcW w:w="2640" w:type="dxa"/>
            <w:vAlign w:val="center"/>
          </w:tcPr>
          <w:p w14:paraId="69CF5EB0" w14:textId="77777777" w:rsidR="002D0A3C" w:rsidRDefault="003B6787">
            <w:r>
              <w:rPr>
                <w:sz w:val="20"/>
              </w:rPr>
              <w:t>activity_text</w:t>
            </w:r>
          </w:p>
        </w:tc>
        <w:tc>
          <w:tcPr>
            <w:tcW w:w="2640" w:type="dxa"/>
            <w:vAlign w:val="center"/>
          </w:tcPr>
          <w:p w14:paraId="53707967" w14:textId="77777777" w:rsidR="002D0A3C" w:rsidRDefault="003B6787">
            <w:r>
              <w:rPr>
                <w:sz w:val="20"/>
              </w:rPr>
              <w:t>最小细分经济活动</w:t>
            </w:r>
          </w:p>
        </w:tc>
        <w:tc>
          <w:tcPr>
            <w:tcW w:w="2640" w:type="dxa"/>
            <w:vAlign w:val="center"/>
          </w:tcPr>
          <w:p w14:paraId="1CEE3ABD" w14:textId="77777777" w:rsidR="002D0A3C" w:rsidRDefault="003B6787">
            <w:pPr>
              <w:rPr>
                <w:lang w:eastAsia="zh-CN"/>
              </w:rPr>
            </w:pPr>
            <w:r>
              <w:rPr>
                <w:sz w:val="20"/>
                <w:lang w:eastAsia="zh-CN"/>
              </w:rPr>
              <w:t>尽量沿用原文，不用</w:t>
            </w:r>
            <w:r>
              <w:rPr>
                <w:sz w:val="20"/>
                <w:lang w:eastAsia="zh-CN"/>
              </w:rPr>
              <w:t>LLM</w:t>
            </w:r>
            <w:r>
              <w:rPr>
                <w:sz w:val="20"/>
                <w:lang w:eastAsia="zh-CN"/>
              </w:rPr>
              <w:t>改写替代</w:t>
            </w:r>
          </w:p>
        </w:tc>
      </w:tr>
      <w:tr w:rsidR="002D0A3C" w14:paraId="40497B28" w14:textId="77777777" w:rsidTr="002D0A3C">
        <w:trPr>
          <w:cantSplit/>
          <w:jc w:val="center"/>
        </w:trPr>
        <w:tc>
          <w:tcPr>
            <w:tcW w:w="2640" w:type="dxa"/>
            <w:vAlign w:val="center"/>
          </w:tcPr>
          <w:p w14:paraId="6F2AB7D5" w14:textId="77777777" w:rsidR="002D0A3C" w:rsidRDefault="003B6787">
            <w:r>
              <w:rPr>
                <w:sz w:val="20"/>
              </w:rPr>
              <w:t>restriction_text</w:t>
            </w:r>
          </w:p>
        </w:tc>
        <w:tc>
          <w:tcPr>
            <w:tcW w:w="2640" w:type="dxa"/>
            <w:vAlign w:val="center"/>
          </w:tcPr>
          <w:p w14:paraId="54DB4982" w14:textId="77777777" w:rsidR="002D0A3C" w:rsidRDefault="003B6787">
            <w:pPr>
              <w:rPr>
                <w:lang w:eastAsia="zh-CN"/>
              </w:rPr>
            </w:pPr>
            <w:r>
              <w:rPr>
                <w:sz w:val="20"/>
                <w:lang w:eastAsia="zh-CN"/>
              </w:rPr>
              <w:t>该活动适用的限制原文</w:t>
            </w:r>
          </w:p>
        </w:tc>
        <w:tc>
          <w:tcPr>
            <w:tcW w:w="2640" w:type="dxa"/>
            <w:vAlign w:val="center"/>
          </w:tcPr>
          <w:p w14:paraId="7B9FE60D" w14:textId="77777777" w:rsidR="002D0A3C" w:rsidRDefault="003B6787">
            <w:pPr>
              <w:rPr>
                <w:lang w:eastAsia="zh-CN"/>
              </w:rPr>
            </w:pPr>
            <w:r>
              <w:rPr>
                <w:sz w:val="20"/>
                <w:lang w:eastAsia="zh-CN"/>
              </w:rPr>
              <w:t>保留股比、控制、组织形式、治理等限定词</w:t>
            </w:r>
          </w:p>
        </w:tc>
      </w:tr>
      <w:tr w:rsidR="002D0A3C" w14:paraId="038DC42F" w14:textId="77777777" w:rsidTr="002D0A3C">
        <w:trPr>
          <w:cantSplit/>
          <w:jc w:val="center"/>
        </w:trPr>
        <w:tc>
          <w:tcPr>
            <w:tcW w:w="2640" w:type="dxa"/>
            <w:vAlign w:val="center"/>
          </w:tcPr>
          <w:p w14:paraId="5E067FE0" w14:textId="77777777" w:rsidR="002D0A3C" w:rsidRDefault="003B6787">
            <w:r>
              <w:rPr>
                <w:sz w:val="20"/>
              </w:rPr>
              <w:t>exception_text</w:t>
            </w:r>
          </w:p>
        </w:tc>
        <w:tc>
          <w:tcPr>
            <w:tcW w:w="2640" w:type="dxa"/>
            <w:vAlign w:val="center"/>
          </w:tcPr>
          <w:p w14:paraId="3A64A61E" w14:textId="77777777" w:rsidR="002D0A3C" w:rsidRDefault="003B6787">
            <w:r>
              <w:rPr>
                <w:sz w:val="20"/>
              </w:rPr>
              <w:t>明确的例外内容</w:t>
            </w:r>
          </w:p>
        </w:tc>
        <w:tc>
          <w:tcPr>
            <w:tcW w:w="2640" w:type="dxa"/>
            <w:vAlign w:val="center"/>
          </w:tcPr>
          <w:p w14:paraId="42459C66" w14:textId="77777777" w:rsidR="002D0A3C" w:rsidRDefault="003B6787">
            <w:r>
              <w:rPr>
                <w:sz w:val="20"/>
              </w:rPr>
              <w:t>无例外时为空</w:t>
            </w:r>
          </w:p>
        </w:tc>
      </w:tr>
      <w:tr w:rsidR="002D0A3C" w14:paraId="28A5CCA2" w14:textId="77777777" w:rsidTr="002D0A3C">
        <w:trPr>
          <w:cantSplit/>
          <w:jc w:val="center"/>
        </w:trPr>
        <w:tc>
          <w:tcPr>
            <w:tcW w:w="2640" w:type="dxa"/>
            <w:vAlign w:val="center"/>
          </w:tcPr>
          <w:p w14:paraId="70ABEB5B" w14:textId="77777777" w:rsidR="002D0A3C" w:rsidRDefault="003B6787">
            <w:r>
              <w:rPr>
                <w:sz w:val="20"/>
              </w:rPr>
              <w:t>scope_text</w:t>
            </w:r>
          </w:p>
        </w:tc>
        <w:tc>
          <w:tcPr>
            <w:tcW w:w="2640" w:type="dxa"/>
            <w:vAlign w:val="center"/>
          </w:tcPr>
          <w:p w14:paraId="0E70E950" w14:textId="77777777" w:rsidR="002D0A3C" w:rsidRDefault="003B6787">
            <w:r>
              <w:rPr>
                <w:sz w:val="20"/>
              </w:rPr>
              <w:t>特殊适用范围或前提</w:t>
            </w:r>
          </w:p>
        </w:tc>
        <w:tc>
          <w:tcPr>
            <w:tcW w:w="2640" w:type="dxa"/>
            <w:vAlign w:val="center"/>
          </w:tcPr>
          <w:p w14:paraId="1CB3613B" w14:textId="77777777" w:rsidR="002D0A3C" w:rsidRDefault="003B6787">
            <w:pPr>
              <w:rPr>
                <w:lang w:eastAsia="zh-CN"/>
              </w:rPr>
            </w:pPr>
            <w:r>
              <w:rPr>
                <w:sz w:val="20"/>
                <w:lang w:eastAsia="zh-CN"/>
              </w:rPr>
              <w:t>如</w:t>
            </w:r>
            <w:r>
              <w:rPr>
                <w:sz w:val="20"/>
                <w:lang w:eastAsia="zh-CN"/>
              </w:rPr>
              <w:t>“</w:t>
            </w:r>
            <w:r>
              <w:rPr>
                <w:sz w:val="20"/>
                <w:lang w:eastAsia="zh-CN"/>
              </w:rPr>
              <w:t>限于中国入世承诺开放的电信业务</w:t>
            </w:r>
            <w:r>
              <w:rPr>
                <w:sz w:val="20"/>
                <w:lang w:eastAsia="zh-CN"/>
              </w:rPr>
              <w:t>”</w:t>
            </w:r>
          </w:p>
        </w:tc>
      </w:tr>
      <w:tr w:rsidR="002D0A3C" w14:paraId="6E50433D" w14:textId="77777777" w:rsidTr="002D0A3C">
        <w:trPr>
          <w:cantSplit/>
          <w:jc w:val="center"/>
        </w:trPr>
        <w:tc>
          <w:tcPr>
            <w:tcW w:w="2640" w:type="dxa"/>
            <w:vAlign w:val="center"/>
          </w:tcPr>
          <w:p w14:paraId="7BA81F2A" w14:textId="77777777" w:rsidR="002D0A3C" w:rsidRDefault="003B6787">
            <w:r>
              <w:rPr>
                <w:sz w:val="20"/>
              </w:rPr>
              <w:t>effective_from</w:t>
            </w:r>
          </w:p>
        </w:tc>
        <w:tc>
          <w:tcPr>
            <w:tcW w:w="2640" w:type="dxa"/>
            <w:vAlign w:val="center"/>
          </w:tcPr>
          <w:p w14:paraId="7BC096EC" w14:textId="77777777" w:rsidR="002D0A3C" w:rsidRDefault="003B6787">
            <w:r>
              <w:rPr>
                <w:sz w:val="20"/>
              </w:rPr>
              <w:t>实际生效日期</w:t>
            </w:r>
          </w:p>
        </w:tc>
        <w:tc>
          <w:tcPr>
            <w:tcW w:w="2640" w:type="dxa"/>
            <w:vAlign w:val="center"/>
          </w:tcPr>
          <w:p w14:paraId="266AE7ED" w14:textId="77777777" w:rsidR="002D0A3C" w:rsidRDefault="003B6787">
            <w:pPr>
              <w:rPr>
                <w:lang w:eastAsia="zh-CN"/>
              </w:rPr>
            </w:pPr>
            <w:r>
              <w:rPr>
                <w:sz w:val="20"/>
                <w:lang w:eastAsia="zh-CN"/>
              </w:rPr>
              <w:t>用于把政策版本准确归入年度</w:t>
            </w:r>
          </w:p>
        </w:tc>
      </w:tr>
    </w:tbl>
    <w:p w14:paraId="18307AB1" w14:textId="77777777" w:rsidR="002D0A3C" w:rsidRDefault="003B6787">
      <w:pPr>
        <w:pStyle w:val="3"/>
        <w:rPr>
          <w:lang w:eastAsia="zh-CN"/>
        </w:rPr>
      </w:pPr>
      <w:bookmarkStart w:id="2" w:name="a.1.2-限制变量的定义"/>
      <w:bookmarkEnd w:id="1"/>
      <w:r>
        <w:rPr>
          <w:rFonts w:ascii="Times New Roman" w:eastAsia="宋体" w:hAnsi="Times New Roman"/>
          <w:lang w:eastAsia="zh-CN"/>
        </w:rPr>
        <w:t>A.1.2</w:t>
      </w:r>
      <w:r>
        <w:rPr>
          <w:rFonts w:ascii="Times New Roman" w:eastAsia="宋体" w:hAnsi="Times New Roman"/>
          <w:lang w:eastAsia="zh-CN"/>
        </w:rPr>
        <w:t xml:space="preserve">　限制变量的定义</w:t>
      </w:r>
    </w:p>
    <w:p w14:paraId="16DF91C6" w14:textId="77777777" w:rsidR="002D0A3C" w:rsidRDefault="003B6787">
      <w:pPr>
        <w:pStyle w:val="FirstParagraph"/>
        <w:spacing w:before="80" w:after="80" w:line="240" w:lineRule="auto"/>
        <w:ind w:firstLine="0"/>
        <w:jc w:val="center"/>
        <w:rPr>
          <w:lang w:eastAsia="zh-CN"/>
        </w:rPr>
      </w:pPr>
      <w:r>
        <w:rPr>
          <w:lang w:eastAsia="zh-CN"/>
        </w:rPr>
        <w:t>LLM</w:t>
      </w:r>
      <w:r>
        <w:rPr>
          <w:lang w:eastAsia="zh-CN"/>
        </w:rPr>
        <w:t>的第一项任务是从原文中抽取可核验的法律事实，而不是评价政策</w:t>
      </w:r>
      <w:r>
        <w:rPr>
          <w:lang w:eastAsia="zh-CN"/>
        </w:rPr>
        <w:t>“</w:t>
      </w:r>
      <w:r>
        <w:rPr>
          <w:lang w:eastAsia="zh-CN"/>
        </w:rPr>
        <w:t>开放程度</w:t>
      </w:r>
      <w:r>
        <w:rPr>
          <w:lang w:eastAsia="zh-CN"/>
        </w:rPr>
        <w:t>”</w:t>
      </w:r>
      <w:r>
        <w:rPr>
          <w:lang w:eastAsia="zh-CN"/>
        </w:rPr>
        <w:t>。对每个细活动</w:t>
      </w:r>
      <w:r>
        <w:rPr>
          <w:lang w:eastAsia="zh-CN"/>
        </w:rPr>
        <w:t xml:space="preserve"> </w:t>
      </w:r>
      <m:oMath>
        <m:r>
          <w:rPr>
            <w:rFonts w:ascii="Cambria Math" w:hAnsi="Cambria Math"/>
            <w:lang w:eastAsia="zh-CN"/>
          </w:rPr>
          <m:t>g</m:t>
        </m:r>
      </m:oMath>
      <w:r>
        <w:rPr>
          <w:lang w:eastAsia="zh-CN"/>
        </w:rPr>
        <w:t xml:space="preserve"> </w:t>
      </w:r>
      <w:r>
        <w:rPr>
          <w:lang w:eastAsia="zh-CN"/>
        </w:rPr>
        <w:t>和年份</w:t>
      </w:r>
      <w:r>
        <w:rPr>
          <w:lang w:eastAsia="zh-CN"/>
        </w:rPr>
        <w:t xml:space="preserve"> </w:t>
      </w:r>
      <m:oMath>
        <m:r>
          <w:rPr>
            <w:rFonts w:ascii="Cambria Math" w:hAnsi="Cambria Math"/>
            <w:lang w:eastAsia="zh-CN"/>
          </w:rPr>
          <m:t>t</m:t>
        </m:r>
      </m:oMath>
      <w:r>
        <w:rPr>
          <w:lang w:eastAsia="zh-CN"/>
        </w:rPr>
        <w:t>，定义限制向量</w:t>
      </w:r>
    </w:p>
    <w:p w14:paraId="19E8189F" w14:textId="77777777" w:rsidR="002D0A3C" w:rsidRDefault="00791C5A">
      <w:pPr>
        <w:pStyle w:val="a0"/>
        <w:spacing w:before="80" w:after="80" w:line="240" w:lineRule="auto"/>
        <w:ind w:firstLine="0"/>
        <w:jc w:val="center"/>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gt</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gt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gt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gt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gt</m:t>
                  </m:r>
                </m:sub>
              </m:sSub>
            </m:e>
          </m:d>
        </m:oMath>
      </m:oMathPara>
    </w:p>
    <w:p w14:paraId="78054E5F" w14:textId="77777777" w:rsidR="002D0A3C" w:rsidRDefault="003B6787">
      <w:pPr>
        <w:pStyle w:val="FirstParagraph"/>
        <w:spacing w:before="80" w:after="80" w:line="240" w:lineRule="auto"/>
        <w:jc w:val="both"/>
        <w:rPr>
          <w:lang w:eastAsia="zh-CN"/>
        </w:rPr>
      </w:pPr>
      <w:r>
        <w:rPr>
          <w:lang w:eastAsia="zh-CN"/>
        </w:rPr>
        <w:t>其中，</w:t>
      </w:r>
      <w:r>
        <w:rPr>
          <w:lang w:eastAsia="zh-CN"/>
        </w:rPr>
        <w:t>P</w:t>
      </w:r>
      <w:r>
        <w:rPr>
          <w:lang w:eastAsia="zh-CN"/>
        </w:rPr>
        <w:t>表示完全禁止准入，</w:t>
      </w:r>
      <w:r>
        <w:rPr>
          <w:lang w:eastAsia="zh-CN"/>
        </w:rPr>
        <w:t>E</w:t>
      </w:r>
      <w:r>
        <w:rPr>
          <w:lang w:eastAsia="zh-CN"/>
        </w:rPr>
        <w:t>表示由明确股比信息构造的股权限制强度，</w:t>
      </w:r>
      <w:r>
        <w:rPr>
          <w:lang w:eastAsia="zh-CN"/>
        </w:rPr>
        <w:t>C</w:t>
      </w:r>
      <w:r>
        <w:rPr>
          <w:lang w:eastAsia="zh-CN"/>
        </w:rPr>
        <w:t>表示中方控制要求，</w:t>
      </w:r>
      <w:r>
        <w:rPr>
          <w:lang w:eastAsia="zh-CN"/>
        </w:rPr>
        <w:t>O</w:t>
      </w:r>
      <w:r>
        <w:rPr>
          <w:lang w:eastAsia="zh-CN"/>
        </w:rPr>
        <w:t>表示组织形式限制，</w:t>
      </w:r>
      <w:r>
        <w:rPr>
          <w:lang w:eastAsia="zh-CN"/>
        </w:rPr>
        <w:t>G</w:t>
      </w:r>
      <w:r>
        <w:rPr>
          <w:lang w:eastAsia="zh-CN"/>
        </w:rPr>
        <w:t>表示治理层面的中方要求，</w:t>
      </w:r>
      <w:r>
        <w:rPr>
          <w:lang w:eastAsia="zh-CN"/>
        </w:rPr>
        <w:t>R</w:t>
      </w:r>
      <w:r>
        <w:rPr>
          <w:lang w:eastAsia="zh-CN"/>
        </w:rPr>
        <w:t>表示其余无法归入前述类别的准入限制。实际数据库使用更直观的字段名保存这些信息，字段与经济含义见表</w:t>
      </w:r>
      <w:r>
        <w:rPr>
          <w:lang w:eastAsia="zh-CN"/>
        </w:rPr>
        <w:t>A2</w:t>
      </w:r>
      <w:r>
        <w:rPr>
          <w:lang w:eastAsia="zh-CN"/>
        </w:rPr>
        <w:t>。</w:t>
      </w:r>
    </w:p>
    <w:p w14:paraId="7E9C7EB4" w14:textId="77777777" w:rsidR="002D0A3C" w:rsidRDefault="003B6787">
      <w:pPr>
        <w:pStyle w:val="a0"/>
        <w:keepNext/>
        <w:spacing w:before="100" w:after="60"/>
        <w:ind w:firstLine="0"/>
        <w:jc w:val="center"/>
        <w:rPr>
          <w:lang w:eastAsia="zh-CN"/>
        </w:rPr>
      </w:pPr>
      <w:r>
        <w:rPr>
          <w:b/>
          <w:sz w:val="22"/>
          <w:lang w:eastAsia="zh-CN"/>
        </w:rPr>
        <w:t>表</w:t>
      </w:r>
      <w:r>
        <w:rPr>
          <w:b/>
          <w:sz w:val="22"/>
          <w:lang w:eastAsia="zh-CN"/>
        </w:rPr>
        <w:t>A2</w:t>
      </w:r>
      <w:r>
        <w:rPr>
          <w:b/>
          <w:sz w:val="22"/>
          <w:lang w:eastAsia="zh-CN"/>
        </w:rPr>
        <w:t xml:space="preserve">　细活动层面的外资准入限制变量</w:t>
      </w:r>
    </w:p>
    <w:tbl>
      <w:tblPr>
        <w:tblStyle w:val="Table"/>
        <w:tblW w:w="5000" w:type="pct"/>
        <w:jc w:val="center"/>
        <w:tblLook w:val="0020" w:firstRow="1" w:lastRow="0" w:firstColumn="0" w:lastColumn="0" w:noHBand="0" w:noVBand="0"/>
      </w:tblPr>
      <w:tblGrid>
        <w:gridCol w:w="3058"/>
        <w:gridCol w:w="3058"/>
        <w:gridCol w:w="3058"/>
      </w:tblGrid>
      <w:tr w:rsidR="002D0A3C" w14:paraId="5C158178" w14:textId="77777777" w:rsidTr="002D0A3C">
        <w:trPr>
          <w:cnfStyle w:val="100000000000" w:firstRow="1" w:lastRow="0" w:firstColumn="0" w:lastColumn="0" w:oddVBand="0" w:evenVBand="0" w:oddHBand="0" w:evenHBand="0" w:firstRowFirstColumn="0" w:firstRowLastColumn="0" w:lastRowFirstColumn="0" w:lastRowLastColumn="0"/>
          <w:cantSplit/>
          <w:tblHeader/>
          <w:jc w:val="center"/>
        </w:trPr>
        <w:tc>
          <w:tcPr>
            <w:tcW w:w="2640" w:type="dxa"/>
            <w:vAlign w:val="center"/>
          </w:tcPr>
          <w:p w14:paraId="54B5CAAE" w14:textId="77777777" w:rsidR="002D0A3C" w:rsidRDefault="003B6787">
            <w:pPr>
              <w:jc w:val="center"/>
            </w:pPr>
            <w:r>
              <w:rPr>
                <w:b/>
                <w:sz w:val="19"/>
              </w:rPr>
              <w:t>字段</w:t>
            </w:r>
          </w:p>
        </w:tc>
        <w:tc>
          <w:tcPr>
            <w:tcW w:w="2640" w:type="dxa"/>
            <w:vAlign w:val="center"/>
          </w:tcPr>
          <w:p w14:paraId="5D2D68D3" w14:textId="77777777" w:rsidR="002D0A3C" w:rsidRDefault="003B6787">
            <w:pPr>
              <w:jc w:val="center"/>
            </w:pPr>
            <w:r>
              <w:rPr>
                <w:b/>
                <w:sz w:val="19"/>
              </w:rPr>
              <w:t>经济含义</w:t>
            </w:r>
          </w:p>
        </w:tc>
        <w:tc>
          <w:tcPr>
            <w:tcW w:w="2640" w:type="dxa"/>
            <w:vAlign w:val="center"/>
          </w:tcPr>
          <w:p w14:paraId="321B4AE8" w14:textId="77777777" w:rsidR="002D0A3C" w:rsidRDefault="003B6787">
            <w:pPr>
              <w:jc w:val="center"/>
            </w:pPr>
            <w:r>
              <w:rPr>
                <w:b/>
                <w:sz w:val="19"/>
              </w:rPr>
              <w:t>基准编码</w:t>
            </w:r>
          </w:p>
        </w:tc>
      </w:tr>
      <w:tr w:rsidR="002D0A3C" w14:paraId="671D85CC" w14:textId="77777777" w:rsidTr="002D0A3C">
        <w:trPr>
          <w:cantSplit/>
          <w:jc w:val="center"/>
        </w:trPr>
        <w:tc>
          <w:tcPr>
            <w:tcW w:w="2640" w:type="dxa"/>
            <w:vAlign w:val="center"/>
          </w:tcPr>
          <w:p w14:paraId="4014B49B" w14:textId="77777777" w:rsidR="002D0A3C" w:rsidRDefault="003B6787">
            <w:r>
              <w:rPr>
                <w:sz w:val="19"/>
              </w:rPr>
              <w:t>access_status</w:t>
            </w:r>
          </w:p>
        </w:tc>
        <w:tc>
          <w:tcPr>
            <w:tcW w:w="2640" w:type="dxa"/>
            <w:vAlign w:val="center"/>
          </w:tcPr>
          <w:p w14:paraId="75617A3E" w14:textId="77777777" w:rsidR="002D0A3C" w:rsidRDefault="003B6787">
            <w:pPr>
              <w:rPr>
                <w:lang w:eastAsia="zh-CN"/>
              </w:rPr>
            </w:pPr>
            <w:r>
              <w:rPr>
                <w:sz w:val="19"/>
                <w:lang w:eastAsia="zh-CN"/>
              </w:rPr>
              <w:t>完全禁止或有条件准入</w:t>
            </w:r>
          </w:p>
        </w:tc>
        <w:tc>
          <w:tcPr>
            <w:tcW w:w="2640" w:type="dxa"/>
            <w:vAlign w:val="center"/>
          </w:tcPr>
          <w:p w14:paraId="379B97DB" w14:textId="77777777" w:rsidR="002D0A3C" w:rsidRDefault="003B6787">
            <w:r>
              <w:rPr>
                <w:sz w:val="19"/>
              </w:rPr>
              <w:t>prohibited / conditional</w:t>
            </w:r>
            <w:r>
              <w:rPr>
                <w:sz w:val="19"/>
              </w:rPr>
              <w:t>；后续由此生成禁止指标</w:t>
            </w:r>
            <w:r>
              <w:rPr>
                <w:sz w:val="19"/>
              </w:rPr>
              <w:t xml:space="preserve"> P</w:t>
            </w:r>
          </w:p>
        </w:tc>
      </w:tr>
      <w:tr w:rsidR="002D0A3C" w14:paraId="0B3E36E5" w14:textId="77777777" w:rsidTr="002D0A3C">
        <w:trPr>
          <w:cantSplit/>
          <w:jc w:val="center"/>
        </w:trPr>
        <w:tc>
          <w:tcPr>
            <w:tcW w:w="2640" w:type="dxa"/>
            <w:vAlign w:val="center"/>
          </w:tcPr>
          <w:p w14:paraId="72A2C9C2" w14:textId="77777777" w:rsidR="002D0A3C" w:rsidRDefault="003B6787">
            <w:r>
              <w:rPr>
                <w:sz w:val="19"/>
              </w:rPr>
              <w:t>foreign_equity_cap</w:t>
            </w:r>
          </w:p>
        </w:tc>
        <w:tc>
          <w:tcPr>
            <w:tcW w:w="2640" w:type="dxa"/>
            <w:vAlign w:val="center"/>
          </w:tcPr>
          <w:p w14:paraId="6A2311D5" w14:textId="77777777" w:rsidR="002D0A3C" w:rsidRDefault="003B6787">
            <w:pPr>
              <w:rPr>
                <w:lang w:eastAsia="zh-CN"/>
              </w:rPr>
            </w:pPr>
            <w:r>
              <w:rPr>
                <w:sz w:val="19"/>
                <w:lang w:eastAsia="zh-CN"/>
              </w:rPr>
              <w:t>有效外资最高持股比例</w:t>
            </w:r>
          </w:p>
        </w:tc>
        <w:tc>
          <w:tcPr>
            <w:tcW w:w="2640" w:type="dxa"/>
            <w:vAlign w:val="center"/>
          </w:tcPr>
          <w:p w14:paraId="5E700A0B" w14:textId="77777777" w:rsidR="002D0A3C" w:rsidRDefault="003B6787">
            <w:pPr>
              <w:rPr>
                <w:lang w:eastAsia="zh-CN"/>
              </w:rPr>
            </w:pPr>
            <w:r>
              <w:rPr>
                <w:sz w:val="19"/>
                <w:lang w:eastAsia="zh-CN"/>
              </w:rPr>
              <w:t>0—1</w:t>
            </w:r>
            <w:r>
              <w:rPr>
                <w:sz w:val="19"/>
                <w:lang w:eastAsia="zh-CN"/>
              </w:rPr>
              <w:t>；有明确数值依据时记录，无明确阈值为缺失</w:t>
            </w:r>
          </w:p>
        </w:tc>
      </w:tr>
      <w:tr w:rsidR="002D0A3C" w14:paraId="49FD2ED7" w14:textId="77777777" w:rsidTr="002D0A3C">
        <w:trPr>
          <w:cantSplit/>
          <w:jc w:val="center"/>
        </w:trPr>
        <w:tc>
          <w:tcPr>
            <w:tcW w:w="2640" w:type="dxa"/>
            <w:vAlign w:val="center"/>
          </w:tcPr>
          <w:p w14:paraId="6CCC9C12" w14:textId="77777777" w:rsidR="002D0A3C" w:rsidRDefault="003B6787">
            <w:r>
              <w:rPr>
                <w:sz w:val="19"/>
              </w:rPr>
              <w:t>chinese_control</w:t>
            </w:r>
          </w:p>
        </w:tc>
        <w:tc>
          <w:tcPr>
            <w:tcW w:w="2640" w:type="dxa"/>
            <w:vAlign w:val="center"/>
          </w:tcPr>
          <w:p w14:paraId="008C572E" w14:textId="77777777" w:rsidR="002D0A3C" w:rsidRDefault="003B6787">
            <w:r>
              <w:rPr>
                <w:sz w:val="19"/>
              </w:rPr>
              <w:t>中方控制要求</w:t>
            </w:r>
          </w:p>
        </w:tc>
        <w:tc>
          <w:tcPr>
            <w:tcW w:w="2640" w:type="dxa"/>
            <w:vAlign w:val="center"/>
          </w:tcPr>
          <w:p w14:paraId="22F91DE9" w14:textId="77777777" w:rsidR="002D0A3C" w:rsidRDefault="003B6787">
            <w:pPr>
              <w:rPr>
                <w:lang w:eastAsia="zh-CN"/>
              </w:rPr>
            </w:pPr>
            <w:r>
              <w:rPr>
                <w:sz w:val="19"/>
                <w:lang w:eastAsia="zh-CN"/>
              </w:rPr>
              <w:t>“</w:t>
            </w:r>
            <w:r>
              <w:rPr>
                <w:sz w:val="19"/>
                <w:lang w:eastAsia="zh-CN"/>
              </w:rPr>
              <w:t>中方控股</w:t>
            </w:r>
            <w:r>
              <w:rPr>
                <w:sz w:val="19"/>
                <w:lang w:eastAsia="zh-CN"/>
              </w:rPr>
              <w:t>”“</w:t>
            </w:r>
            <w:r>
              <w:rPr>
                <w:sz w:val="19"/>
                <w:lang w:eastAsia="zh-CN"/>
              </w:rPr>
              <w:t>中方相对控股</w:t>
            </w:r>
            <w:r>
              <w:rPr>
                <w:sz w:val="19"/>
                <w:lang w:eastAsia="zh-CN"/>
              </w:rPr>
              <w:t>”“</w:t>
            </w:r>
            <w:r>
              <w:rPr>
                <w:sz w:val="19"/>
                <w:lang w:eastAsia="zh-CN"/>
              </w:rPr>
              <w:t>中方主导</w:t>
            </w:r>
            <w:r>
              <w:rPr>
                <w:sz w:val="19"/>
                <w:lang w:eastAsia="zh-CN"/>
              </w:rPr>
              <w:t>”</w:t>
            </w:r>
            <w:r>
              <w:rPr>
                <w:sz w:val="19"/>
                <w:lang w:eastAsia="zh-CN"/>
              </w:rPr>
              <w:t>等统一为</w:t>
            </w:r>
            <w:r>
              <w:rPr>
                <w:sz w:val="19"/>
                <w:lang w:eastAsia="zh-CN"/>
              </w:rPr>
              <w:t>1</w:t>
            </w:r>
          </w:p>
        </w:tc>
      </w:tr>
      <w:tr w:rsidR="002D0A3C" w14:paraId="5A3AAB28" w14:textId="77777777" w:rsidTr="002D0A3C">
        <w:trPr>
          <w:cantSplit/>
          <w:jc w:val="center"/>
        </w:trPr>
        <w:tc>
          <w:tcPr>
            <w:tcW w:w="2640" w:type="dxa"/>
            <w:vAlign w:val="center"/>
          </w:tcPr>
          <w:p w14:paraId="10FAC01E" w14:textId="77777777" w:rsidR="002D0A3C" w:rsidRDefault="003B6787">
            <w:r>
              <w:rPr>
                <w:sz w:val="19"/>
              </w:rPr>
              <w:t>organization_restriction</w:t>
            </w:r>
          </w:p>
        </w:tc>
        <w:tc>
          <w:tcPr>
            <w:tcW w:w="2640" w:type="dxa"/>
            <w:vAlign w:val="center"/>
          </w:tcPr>
          <w:p w14:paraId="7EA8FE22" w14:textId="77777777" w:rsidR="002D0A3C" w:rsidRDefault="003B6787">
            <w:r>
              <w:rPr>
                <w:sz w:val="19"/>
              </w:rPr>
              <w:t>组织形式限制</w:t>
            </w:r>
          </w:p>
        </w:tc>
        <w:tc>
          <w:tcPr>
            <w:tcW w:w="2640" w:type="dxa"/>
            <w:vAlign w:val="center"/>
          </w:tcPr>
          <w:p w14:paraId="342A6A3E" w14:textId="77777777" w:rsidR="002D0A3C" w:rsidRDefault="003B6787">
            <w:pPr>
              <w:rPr>
                <w:lang w:eastAsia="zh-CN"/>
              </w:rPr>
            </w:pPr>
            <w:r>
              <w:rPr>
                <w:sz w:val="19"/>
                <w:lang w:eastAsia="zh-CN"/>
              </w:rPr>
              <w:t>限于合资、中外合作等为</w:t>
            </w:r>
            <w:r>
              <w:rPr>
                <w:sz w:val="19"/>
                <w:lang w:eastAsia="zh-CN"/>
              </w:rPr>
              <w:t>1</w:t>
            </w:r>
          </w:p>
        </w:tc>
      </w:tr>
      <w:tr w:rsidR="002D0A3C" w14:paraId="3D7B633D" w14:textId="77777777" w:rsidTr="002D0A3C">
        <w:trPr>
          <w:cantSplit/>
          <w:jc w:val="center"/>
        </w:trPr>
        <w:tc>
          <w:tcPr>
            <w:tcW w:w="2640" w:type="dxa"/>
            <w:vAlign w:val="center"/>
          </w:tcPr>
          <w:p w14:paraId="17C5072F" w14:textId="77777777" w:rsidR="002D0A3C" w:rsidRDefault="003B6787">
            <w:r>
              <w:rPr>
                <w:sz w:val="19"/>
              </w:rPr>
              <w:t>governance_restriction</w:t>
            </w:r>
          </w:p>
        </w:tc>
        <w:tc>
          <w:tcPr>
            <w:tcW w:w="2640" w:type="dxa"/>
            <w:vAlign w:val="center"/>
          </w:tcPr>
          <w:p w14:paraId="7CB14DE4" w14:textId="77777777" w:rsidR="002D0A3C" w:rsidRDefault="003B6787">
            <w:r>
              <w:rPr>
                <w:sz w:val="19"/>
              </w:rPr>
              <w:t>治理结构限制</w:t>
            </w:r>
          </w:p>
        </w:tc>
        <w:tc>
          <w:tcPr>
            <w:tcW w:w="2640" w:type="dxa"/>
            <w:vAlign w:val="center"/>
          </w:tcPr>
          <w:p w14:paraId="39063065" w14:textId="77777777" w:rsidR="002D0A3C" w:rsidRDefault="003B6787">
            <w:pPr>
              <w:rPr>
                <w:lang w:eastAsia="zh-CN"/>
              </w:rPr>
            </w:pPr>
            <w:r>
              <w:rPr>
                <w:sz w:val="19"/>
                <w:lang w:eastAsia="zh-CN"/>
              </w:rPr>
              <w:t>法定代表人、高管、董事会等存在中方要求为</w:t>
            </w:r>
            <w:r>
              <w:rPr>
                <w:sz w:val="19"/>
                <w:lang w:eastAsia="zh-CN"/>
              </w:rPr>
              <w:t>1</w:t>
            </w:r>
          </w:p>
        </w:tc>
      </w:tr>
      <w:tr w:rsidR="002D0A3C" w14:paraId="59DA4FF9" w14:textId="77777777" w:rsidTr="002D0A3C">
        <w:trPr>
          <w:cantSplit/>
          <w:jc w:val="center"/>
        </w:trPr>
        <w:tc>
          <w:tcPr>
            <w:tcW w:w="2640" w:type="dxa"/>
            <w:vAlign w:val="center"/>
          </w:tcPr>
          <w:p w14:paraId="419AFF1D" w14:textId="77777777" w:rsidR="002D0A3C" w:rsidRDefault="003B6787">
            <w:r>
              <w:rPr>
                <w:sz w:val="19"/>
              </w:rPr>
              <w:t>other_access_restriction</w:t>
            </w:r>
          </w:p>
        </w:tc>
        <w:tc>
          <w:tcPr>
            <w:tcW w:w="2640" w:type="dxa"/>
            <w:vAlign w:val="center"/>
          </w:tcPr>
          <w:p w14:paraId="7239E136" w14:textId="77777777" w:rsidR="002D0A3C" w:rsidRDefault="003B6787">
            <w:r>
              <w:rPr>
                <w:sz w:val="19"/>
              </w:rPr>
              <w:t>其他准入限制</w:t>
            </w:r>
          </w:p>
        </w:tc>
        <w:tc>
          <w:tcPr>
            <w:tcW w:w="2640" w:type="dxa"/>
            <w:vAlign w:val="center"/>
          </w:tcPr>
          <w:p w14:paraId="3181C11D" w14:textId="77777777" w:rsidR="002D0A3C" w:rsidRDefault="003B6787">
            <w:pPr>
              <w:rPr>
                <w:lang w:eastAsia="zh-CN"/>
              </w:rPr>
            </w:pPr>
            <w:r>
              <w:rPr>
                <w:sz w:val="19"/>
                <w:lang w:eastAsia="zh-CN"/>
              </w:rPr>
              <w:t>数量、业务范围、地域、单一外商持股上限等其他限制为</w:t>
            </w:r>
            <w:r>
              <w:rPr>
                <w:sz w:val="19"/>
                <w:lang w:eastAsia="zh-CN"/>
              </w:rPr>
              <w:t>1</w:t>
            </w:r>
          </w:p>
        </w:tc>
      </w:tr>
    </w:tbl>
    <w:p w14:paraId="273AE684" w14:textId="77777777" w:rsidR="002D0A3C" w:rsidRDefault="003B6787">
      <w:pPr>
        <w:pStyle w:val="a0"/>
        <w:keepNext/>
        <w:spacing w:before="100" w:after="60"/>
        <w:ind w:firstLine="0"/>
        <w:jc w:val="center"/>
        <w:rPr>
          <w:lang w:eastAsia="zh-CN"/>
        </w:rPr>
      </w:pPr>
      <w:r>
        <w:rPr>
          <w:b/>
          <w:sz w:val="22"/>
          <w:lang w:eastAsia="zh-CN"/>
        </w:rPr>
        <w:t>表</w:t>
      </w:r>
      <w:r>
        <w:rPr>
          <w:b/>
          <w:sz w:val="22"/>
          <w:lang w:eastAsia="zh-CN"/>
        </w:rPr>
        <w:t>A2a</w:t>
      </w:r>
      <w:r>
        <w:rPr>
          <w:b/>
          <w:sz w:val="22"/>
          <w:lang w:eastAsia="zh-CN"/>
        </w:rPr>
        <w:t xml:space="preserve">　细活动层面的外资准入限制变量（</w:t>
      </w:r>
      <w:r w:rsidR="005A5AC6">
        <w:rPr>
          <w:rFonts w:hint="eastAsia"/>
          <w:b/>
          <w:sz w:val="22"/>
          <w:lang w:eastAsia="zh-CN"/>
        </w:rPr>
        <w:t>更全面的</w:t>
      </w:r>
      <w:r>
        <w:rPr>
          <w:b/>
          <w:sz w:val="22"/>
          <w:lang w:eastAsia="zh-CN"/>
        </w:rPr>
        <w:t>备选字段，仅供审计）</w:t>
      </w:r>
    </w:p>
    <w:tbl>
      <w:tblPr>
        <w:tblStyle w:val="Table"/>
        <w:tblW w:w="0" w:type="auto"/>
        <w:tblLook w:val="04A0" w:firstRow="1" w:lastRow="0" w:firstColumn="1" w:lastColumn="0" w:noHBand="0" w:noVBand="1"/>
      </w:tblPr>
      <w:tblGrid>
        <w:gridCol w:w="4479"/>
        <w:gridCol w:w="4479"/>
      </w:tblGrid>
      <w:tr w:rsidR="002D0A3C" w14:paraId="22857707" w14:textId="77777777" w:rsidTr="002D0A3C">
        <w:trPr>
          <w:cnfStyle w:val="100000000000" w:firstRow="1" w:lastRow="0" w:firstColumn="0" w:lastColumn="0" w:oddVBand="0" w:evenVBand="0" w:oddHBand="0" w:evenHBand="0" w:firstRowFirstColumn="0" w:firstRowLastColumn="0" w:lastRowFirstColumn="0" w:lastRowLastColumn="0"/>
          <w:cantSplit/>
          <w:tblHeader/>
        </w:trPr>
        <w:tc>
          <w:tcPr>
            <w:tcW w:w="4479" w:type="dxa"/>
            <w:vAlign w:val="center"/>
          </w:tcPr>
          <w:p w14:paraId="19AA0E60" w14:textId="77777777" w:rsidR="002D0A3C" w:rsidRDefault="003B6787">
            <w:pPr>
              <w:jc w:val="center"/>
            </w:pPr>
            <w:r>
              <w:rPr>
                <w:b/>
                <w:sz w:val="18"/>
              </w:rPr>
              <w:t>扩展字段</w:t>
            </w:r>
          </w:p>
        </w:tc>
        <w:tc>
          <w:tcPr>
            <w:tcW w:w="4479" w:type="dxa"/>
            <w:vAlign w:val="center"/>
          </w:tcPr>
          <w:p w14:paraId="2BF64A19" w14:textId="77777777" w:rsidR="002D0A3C" w:rsidRDefault="003B6787">
            <w:pPr>
              <w:jc w:val="center"/>
            </w:pPr>
            <w:r>
              <w:rPr>
                <w:b/>
                <w:sz w:val="18"/>
              </w:rPr>
              <w:t>含义</w:t>
            </w:r>
          </w:p>
        </w:tc>
      </w:tr>
      <w:tr w:rsidR="002D0A3C" w14:paraId="7FD4B7BD" w14:textId="77777777" w:rsidTr="002D0A3C">
        <w:trPr>
          <w:cantSplit/>
        </w:trPr>
        <w:tc>
          <w:tcPr>
            <w:tcW w:w="4479" w:type="dxa"/>
            <w:vAlign w:val="center"/>
          </w:tcPr>
          <w:p w14:paraId="75340821" w14:textId="77777777" w:rsidR="002D0A3C" w:rsidRDefault="003B6787">
            <w:r>
              <w:rPr>
                <w:sz w:val="18"/>
              </w:rPr>
              <w:t>access_status</w:t>
            </w:r>
          </w:p>
        </w:tc>
        <w:tc>
          <w:tcPr>
            <w:tcW w:w="4479" w:type="dxa"/>
            <w:vAlign w:val="center"/>
          </w:tcPr>
          <w:p w14:paraId="6828C9DB" w14:textId="77777777" w:rsidR="002D0A3C" w:rsidRDefault="003B6787">
            <w:pPr>
              <w:rPr>
                <w:lang w:eastAsia="zh-CN"/>
              </w:rPr>
            </w:pPr>
            <w:r>
              <w:rPr>
                <w:sz w:val="18"/>
                <w:lang w:eastAsia="zh-CN"/>
              </w:rPr>
              <w:t>禁止投资或附条件准入</w:t>
            </w:r>
          </w:p>
        </w:tc>
      </w:tr>
      <w:tr w:rsidR="002D0A3C" w14:paraId="6E6D1176" w14:textId="77777777" w:rsidTr="002D0A3C">
        <w:trPr>
          <w:cantSplit/>
        </w:trPr>
        <w:tc>
          <w:tcPr>
            <w:tcW w:w="4479" w:type="dxa"/>
            <w:vAlign w:val="center"/>
          </w:tcPr>
          <w:p w14:paraId="1E99BE0E" w14:textId="77777777" w:rsidR="002D0A3C" w:rsidRDefault="003B6787">
            <w:r>
              <w:rPr>
                <w:sz w:val="18"/>
              </w:rPr>
              <w:t>prohibited</w:t>
            </w:r>
          </w:p>
        </w:tc>
        <w:tc>
          <w:tcPr>
            <w:tcW w:w="4479" w:type="dxa"/>
            <w:vAlign w:val="center"/>
          </w:tcPr>
          <w:p w14:paraId="0B1CE440" w14:textId="77777777" w:rsidR="002D0A3C" w:rsidRDefault="003B6787">
            <w:pPr>
              <w:rPr>
                <w:lang w:eastAsia="zh-CN"/>
              </w:rPr>
            </w:pPr>
            <w:r>
              <w:rPr>
                <w:sz w:val="18"/>
                <w:lang w:eastAsia="zh-CN"/>
              </w:rPr>
              <w:t>是否明确禁止外资进入</w:t>
            </w:r>
          </w:p>
        </w:tc>
      </w:tr>
      <w:tr w:rsidR="002D0A3C" w14:paraId="01DD9138" w14:textId="77777777" w:rsidTr="002D0A3C">
        <w:trPr>
          <w:cantSplit/>
        </w:trPr>
        <w:tc>
          <w:tcPr>
            <w:tcW w:w="4479" w:type="dxa"/>
            <w:vAlign w:val="center"/>
          </w:tcPr>
          <w:p w14:paraId="6943CE21" w14:textId="77777777" w:rsidR="002D0A3C" w:rsidRDefault="003B6787">
            <w:r>
              <w:rPr>
                <w:sz w:val="18"/>
              </w:rPr>
              <w:t>chinese_equity_min</w:t>
            </w:r>
          </w:p>
        </w:tc>
        <w:tc>
          <w:tcPr>
            <w:tcW w:w="4479" w:type="dxa"/>
            <w:vAlign w:val="center"/>
          </w:tcPr>
          <w:p w14:paraId="6947C857" w14:textId="77777777" w:rsidR="002D0A3C" w:rsidRDefault="003B6787">
            <w:pPr>
              <w:rPr>
                <w:lang w:eastAsia="zh-CN"/>
              </w:rPr>
            </w:pPr>
            <w:r>
              <w:rPr>
                <w:sz w:val="18"/>
                <w:lang w:eastAsia="zh-CN"/>
              </w:rPr>
              <w:t>明确规定的最低中方股比</w:t>
            </w:r>
          </w:p>
        </w:tc>
      </w:tr>
      <w:tr w:rsidR="002D0A3C" w14:paraId="395C3B72" w14:textId="77777777" w:rsidTr="002D0A3C">
        <w:trPr>
          <w:cantSplit/>
        </w:trPr>
        <w:tc>
          <w:tcPr>
            <w:tcW w:w="4479" w:type="dxa"/>
            <w:vAlign w:val="center"/>
          </w:tcPr>
          <w:p w14:paraId="2C18BC21" w14:textId="77777777" w:rsidR="002D0A3C" w:rsidRDefault="003B6787">
            <w:r>
              <w:rPr>
                <w:sz w:val="18"/>
              </w:rPr>
              <w:t>foreign_equity_cap</w:t>
            </w:r>
          </w:p>
        </w:tc>
        <w:tc>
          <w:tcPr>
            <w:tcW w:w="4479" w:type="dxa"/>
            <w:vAlign w:val="center"/>
          </w:tcPr>
          <w:p w14:paraId="4BF60CF7" w14:textId="77777777" w:rsidR="002D0A3C" w:rsidRDefault="003B6787">
            <w:pPr>
              <w:rPr>
                <w:lang w:eastAsia="zh-CN"/>
              </w:rPr>
            </w:pPr>
            <w:r>
              <w:rPr>
                <w:sz w:val="18"/>
                <w:lang w:eastAsia="zh-CN"/>
              </w:rPr>
              <w:t>明确规定或可机械推出的外资总股比上限</w:t>
            </w:r>
          </w:p>
        </w:tc>
      </w:tr>
      <w:tr w:rsidR="002D0A3C" w14:paraId="1FBE4086" w14:textId="77777777" w:rsidTr="002D0A3C">
        <w:trPr>
          <w:cantSplit/>
        </w:trPr>
        <w:tc>
          <w:tcPr>
            <w:tcW w:w="4479" w:type="dxa"/>
            <w:vAlign w:val="center"/>
          </w:tcPr>
          <w:p w14:paraId="2261447B" w14:textId="77777777" w:rsidR="002D0A3C" w:rsidRDefault="003B6787">
            <w:r>
              <w:rPr>
                <w:sz w:val="18"/>
              </w:rPr>
              <w:lastRenderedPageBreak/>
              <w:t>single_foreign_investor_cap</w:t>
            </w:r>
          </w:p>
        </w:tc>
        <w:tc>
          <w:tcPr>
            <w:tcW w:w="4479" w:type="dxa"/>
            <w:vAlign w:val="center"/>
          </w:tcPr>
          <w:p w14:paraId="088CE1C7" w14:textId="77777777" w:rsidR="002D0A3C" w:rsidRDefault="003B6787">
            <w:pPr>
              <w:rPr>
                <w:lang w:eastAsia="zh-CN"/>
              </w:rPr>
            </w:pPr>
            <w:r>
              <w:rPr>
                <w:sz w:val="18"/>
                <w:lang w:eastAsia="zh-CN"/>
              </w:rPr>
              <w:t>单一外商及关联方持股上限</w:t>
            </w:r>
          </w:p>
        </w:tc>
      </w:tr>
      <w:tr w:rsidR="002D0A3C" w14:paraId="7A7C0B5D" w14:textId="77777777" w:rsidTr="002D0A3C">
        <w:trPr>
          <w:cantSplit/>
        </w:trPr>
        <w:tc>
          <w:tcPr>
            <w:tcW w:w="4479" w:type="dxa"/>
            <w:vAlign w:val="center"/>
          </w:tcPr>
          <w:p w14:paraId="60BE151E" w14:textId="77777777" w:rsidR="002D0A3C" w:rsidRDefault="003B6787">
            <w:r>
              <w:rPr>
                <w:sz w:val="18"/>
              </w:rPr>
              <w:t>chinese_control_required</w:t>
            </w:r>
          </w:p>
        </w:tc>
        <w:tc>
          <w:tcPr>
            <w:tcW w:w="4479" w:type="dxa"/>
            <w:vAlign w:val="center"/>
          </w:tcPr>
          <w:p w14:paraId="773D01D4" w14:textId="77777777" w:rsidR="002D0A3C" w:rsidRDefault="003B6787">
            <w:r>
              <w:rPr>
                <w:sz w:val="18"/>
              </w:rPr>
              <w:t>是否要求中方控股或控制</w:t>
            </w:r>
          </w:p>
        </w:tc>
      </w:tr>
      <w:tr w:rsidR="002D0A3C" w14:paraId="7821CC80" w14:textId="77777777" w:rsidTr="002D0A3C">
        <w:trPr>
          <w:cantSplit/>
        </w:trPr>
        <w:tc>
          <w:tcPr>
            <w:tcW w:w="4479" w:type="dxa"/>
            <w:vAlign w:val="center"/>
          </w:tcPr>
          <w:p w14:paraId="03CCD79D" w14:textId="77777777" w:rsidR="002D0A3C" w:rsidRDefault="003B6787">
            <w:r>
              <w:rPr>
                <w:sz w:val="18"/>
              </w:rPr>
              <w:t>chinese_relative_control_required</w:t>
            </w:r>
          </w:p>
        </w:tc>
        <w:tc>
          <w:tcPr>
            <w:tcW w:w="4479" w:type="dxa"/>
            <w:vAlign w:val="center"/>
          </w:tcPr>
          <w:p w14:paraId="64785A01" w14:textId="77777777" w:rsidR="002D0A3C" w:rsidRDefault="003B6787">
            <w:pPr>
              <w:rPr>
                <w:lang w:eastAsia="zh-CN"/>
              </w:rPr>
            </w:pPr>
            <w:r>
              <w:rPr>
                <w:sz w:val="18"/>
                <w:lang w:eastAsia="zh-CN"/>
              </w:rPr>
              <w:t>是否要求中方相对控股</w:t>
            </w:r>
          </w:p>
        </w:tc>
      </w:tr>
      <w:tr w:rsidR="002D0A3C" w14:paraId="588F2DA8" w14:textId="77777777" w:rsidTr="002D0A3C">
        <w:trPr>
          <w:cantSplit/>
        </w:trPr>
        <w:tc>
          <w:tcPr>
            <w:tcW w:w="4479" w:type="dxa"/>
            <w:vAlign w:val="center"/>
          </w:tcPr>
          <w:p w14:paraId="43AF392B" w14:textId="77777777" w:rsidR="002D0A3C" w:rsidRDefault="003B6787">
            <w:r>
              <w:rPr>
                <w:sz w:val="18"/>
              </w:rPr>
              <w:t>joint_venture_required</w:t>
            </w:r>
          </w:p>
        </w:tc>
        <w:tc>
          <w:tcPr>
            <w:tcW w:w="4479" w:type="dxa"/>
            <w:vAlign w:val="center"/>
          </w:tcPr>
          <w:p w14:paraId="34310B67" w14:textId="77777777" w:rsidR="002D0A3C" w:rsidRDefault="003B6787">
            <w:r>
              <w:rPr>
                <w:sz w:val="18"/>
              </w:rPr>
              <w:t>是否明确限于合资</w:t>
            </w:r>
          </w:p>
        </w:tc>
      </w:tr>
      <w:tr w:rsidR="002D0A3C" w14:paraId="14FFFCE9" w14:textId="77777777" w:rsidTr="002D0A3C">
        <w:trPr>
          <w:cantSplit/>
        </w:trPr>
        <w:tc>
          <w:tcPr>
            <w:tcW w:w="4479" w:type="dxa"/>
            <w:vAlign w:val="center"/>
          </w:tcPr>
          <w:p w14:paraId="07D76B90" w14:textId="77777777" w:rsidR="002D0A3C" w:rsidRDefault="003B6787">
            <w:r>
              <w:rPr>
                <w:sz w:val="18"/>
              </w:rPr>
              <w:t>cooperative_operation_required</w:t>
            </w:r>
          </w:p>
        </w:tc>
        <w:tc>
          <w:tcPr>
            <w:tcW w:w="4479" w:type="dxa"/>
            <w:vAlign w:val="center"/>
          </w:tcPr>
          <w:p w14:paraId="6E462B82" w14:textId="77777777" w:rsidR="002D0A3C" w:rsidRDefault="003B6787">
            <w:pPr>
              <w:rPr>
                <w:lang w:eastAsia="zh-CN"/>
              </w:rPr>
            </w:pPr>
            <w:r>
              <w:rPr>
                <w:sz w:val="18"/>
                <w:lang w:eastAsia="zh-CN"/>
              </w:rPr>
              <w:t>是否要求中外合作等其他组织形式</w:t>
            </w:r>
          </w:p>
        </w:tc>
      </w:tr>
      <w:tr w:rsidR="002D0A3C" w14:paraId="1F50A9C0" w14:textId="77777777" w:rsidTr="002D0A3C">
        <w:trPr>
          <w:cantSplit/>
        </w:trPr>
        <w:tc>
          <w:tcPr>
            <w:tcW w:w="4479" w:type="dxa"/>
            <w:vAlign w:val="center"/>
          </w:tcPr>
          <w:p w14:paraId="3B9632AA" w14:textId="77777777" w:rsidR="002D0A3C" w:rsidRDefault="003B6787">
            <w:r>
              <w:rPr>
                <w:sz w:val="18"/>
              </w:rPr>
              <w:t>legal_representative_cn_required</w:t>
            </w:r>
          </w:p>
        </w:tc>
        <w:tc>
          <w:tcPr>
            <w:tcW w:w="4479" w:type="dxa"/>
            <w:vAlign w:val="center"/>
          </w:tcPr>
          <w:p w14:paraId="0C226A32" w14:textId="77777777" w:rsidR="002D0A3C" w:rsidRDefault="003B6787">
            <w:pPr>
              <w:rPr>
                <w:lang w:eastAsia="zh-CN"/>
              </w:rPr>
            </w:pPr>
            <w:r>
              <w:rPr>
                <w:sz w:val="18"/>
                <w:lang w:eastAsia="zh-CN"/>
              </w:rPr>
              <w:t>法定代表人是否须为中国籍</w:t>
            </w:r>
          </w:p>
        </w:tc>
      </w:tr>
      <w:tr w:rsidR="002D0A3C" w14:paraId="0BEB831E" w14:textId="77777777" w:rsidTr="002D0A3C">
        <w:trPr>
          <w:cantSplit/>
        </w:trPr>
        <w:tc>
          <w:tcPr>
            <w:tcW w:w="4479" w:type="dxa"/>
            <w:vAlign w:val="center"/>
          </w:tcPr>
          <w:p w14:paraId="748CFD51" w14:textId="77777777" w:rsidR="002D0A3C" w:rsidRDefault="003B6787">
            <w:r>
              <w:rPr>
                <w:sz w:val="18"/>
              </w:rPr>
              <w:t>senior_manager_cn_required</w:t>
            </w:r>
          </w:p>
        </w:tc>
        <w:tc>
          <w:tcPr>
            <w:tcW w:w="4479" w:type="dxa"/>
            <w:vAlign w:val="center"/>
          </w:tcPr>
          <w:p w14:paraId="5FDF1312" w14:textId="77777777" w:rsidR="002D0A3C" w:rsidRDefault="003B6787">
            <w:pPr>
              <w:rPr>
                <w:lang w:eastAsia="zh-CN"/>
              </w:rPr>
            </w:pPr>
            <w:r>
              <w:rPr>
                <w:sz w:val="18"/>
                <w:lang w:eastAsia="zh-CN"/>
              </w:rPr>
              <w:t>校长、主要负责人等是否须为中国籍</w:t>
            </w:r>
          </w:p>
        </w:tc>
      </w:tr>
      <w:tr w:rsidR="002D0A3C" w14:paraId="5D770F13" w14:textId="77777777" w:rsidTr="002D0A3C">
        <w:trPr>
          <w:cantSplit/>
        </w:trPr>
        <w:tc>
          <w:tcPr>
            <w:tcW w:w="4479" w:type="dxa"/>
            <w:vAlign w:val="center"/>
          </w:tcPr>
          <w:p w14:paraId="6511C6C0" w14:textId="77777777" w:rsidR="002D0A3C" w:rsidRDefault="003B6787">
            <w:r>
              <w:rPr>
                <w:sz w:val="18"/>
              </w:rPr>
              <w:t>board_chinese_share_min</w:t>
            </w:r>
          </w:p>
        </w:tc>
        <w:tc>
          <w:tcPr>
            <w:tcW w:w="4479" w:type="dxa"/>
            <w:vAlign w:val="center"/>
          </w:tcPr>
          <w:p w14:paraId="76029E12" w14:textId="77777777" w:rsidR="002D0A3C" w:rsidRDefault="003B6787">
            <w:pPr>
              <w:rPr>
                <w:lang w:eastAsia="zh-CN"/>
              </w:rPr>
            </w:pPr>
            <w:r>
              <w:rPr>
                <w:sz w:val="18"/>
                <w:lang w:eastAsia="zh-CN"/>
              </w:rPr>
              <w:t>董事会或联合管理机构中方成员最低比例</w:t>
            </w:r>
          </w:p>
        </w:tc>
      </w:tr>
      <w:tr w:rsidR="002D0A3C" w14:paraId="348790F0" w14:textId="77777777" w:rsidTr="002D0A3C">
        <w:trPr>
          <w:cantSplit/>
        </w:trPr>
        <w:tc>
          <w:tcPr>
            <w:tcW w:w="4479" w:type="dxa"/>
            <w:vAlign w:val="center"/>
          </w:tcPr>
          <w:p w14:paraId="3B8A3387" w14:textId="77777777" w:rsidR="002D0A3C" w:rsidRDefault="003B6787">
            <w:r>
              <w:rPr>
                <w:sz w:val="18"/>
              </w:rPr>
              <w:t>quantity_limit</w:t>
            </w:r>
          </w:p>
        </w:tc>
        <w:tc>
          <w:tcPr>
            <w:tcW w:w="4479" w:type="dxa"/>
            <w:vAlign w:val="center"/>
          </w:tcPr>
          <w:p w14:paraId="3FE7A3E6" w14:textId="77777777" w:rsidR="002D0A3C" w:rsidRDefault="003B6787">
            <w:pPr>
              <w:rPr>
                <w:lang w:eastAsia="zh-CN"/>
              </w:rPr>
            </w:pPr>
            <w:r>
              <w:rPr>
                <w:sz w:val="18"/>
                <w:lang w:eastAsia="zh-CN"/>
              </w:rPr>
              <w:t>机构数、网点数、项目数等数量限制</w:t>
            </w:r>
          </w:p>
        </w:tc>
      </w:tr>
      <w:tr w:rsidR="002D0A3C" w14:paraId="5E9C84B0" w14:textId="77777777" w:rsidTr="002D0A3C">
        <w:trPr>
          <w:cantSplit/>
        </w:trPr>
        <w:tc>
          <w:tcPr>
            <w:tcW w:w="4479" w:type="dxa"/>
            <w:vAlign w:val="center"/>
          </w:tcPr>
          <w:p w14:paraId="4FD00D9F" w14:textId="77777777" w:rsidR="002D0A3C" w:rsidRDefault="003B6787">
            <w:r>
              <w:rPr>
                <w:sz w:val="18"/>
              </w:rPr>
              <w:t>license_qualification_explicit</w:t>
            </w:r>
          </w:p>
        </w:tc>
        <w:tc>
          <w:tcPr>
            <w:tcW w:w="4479" w:type="dxa"/>
            <w:vAlign w:val="center"/>
          </w:tcPr>
          <w:p w14:paraId="7BA75CB5" w14:textId="77777777" w:rsidR="002D0A3C" w:rsidRDefault="003B6787">
            <w:pPr>
              <w:rPr>
                <w:lang w:eastAsia="zh-CN"/>
              </w:rPr>
            </w:pPr>
            <w:r>
              <w:rPr>
                <w:sz w:val="18"/>
                <w:lang w:eastAsia="zh-CN"/>
              </w:rPr>
              <w:t>条文是否明确设置额外许可或资质要求</w:t>
            </w:r>
          </w:p>
        </w:tc>
      </w:tr>
      <w:tr w:rsidR="002D0A3C" w14:paraId="7024CF7F" w14:textId="77777777" w:rsidTr="002D0A3C">
        <w:trPr>
          <w:cantSplit/>
        </w:trPr>
        <w:tc>
          <w:tcPr>
            <w:tcW w:w="4479" w:type="dxa"/>
            <w:vAlign w:val="center"/>
          </w:tcPr>
          <w:p w14:paraId="359B345F" w14:textId="77777777" w:rsidR="002D0A3C" w:rsidRDefault="003B6787">
            <w:r>
              <w:rPr>
                <w:sz w:val="18"/>
              </w:rPr>
              <w:t>regional_restriction</w:t>
            </w:r>
          </w:p>
        </w:tc>
        <w:tc>
          <w:tcPr>
            <w:tcW w:w="4479" w:type="dxa"/>
            <w:vAlign w:val="center"/>
          </w:tcPr>
          <w:p w14:paraId="1E34F196" w14:textId="77777777" w:rsidR="002D0A3C" w:rsidRDefault="003B6787">
            <w:pPr>
              <w:rPr>
                <w:lang w:eastAsia="zh-CN"/>
              </w:rPr>
            </w:pPr>
            <w:r>
              <w:rPr>
                <w:sz w:val="18"/>
                <w:lang w:eastAsia="zh-CN"/>
              </w:rPr>
              <w:t>是否存在特定地域范围限制</w:t>
            </w:r>
          </w:p>
        </w:tc>
      </w:tr>
      <w:tr w:rsidR="002D0A3C" w14:paraId="7B0C7A00" w14:textId="77777777" w:rsidTr="002D0A3C">
        <w:trPr>
          <w:cantSplit/>
        </w:trPr>
        <w:tc>
          <w:tcPr>
            <w:tcW w:w="4479" w:type="dxa"/>
            <w:vAlign w:val="center"/>
          </w:tcPr>
          <w:p w14:paraId="4F392A54" w14:textId="77777777" w:rsidR="002D0A3C" w:rsidRDefault="003B6787">
            <w:r>
              <w:rPr>
                <w:sz w:val="18"/>
              </w:rPr>
              <w:t>has_exception</w:t>
            </w:r>
          </w:p>
        </w:tc>
        <w:tc>
          <w:tcPr>
            <w:tcW w:w="4479" w:type="dxa"/>
            <w:vAlign w:val="center"/>
          </w:tcPr>
          <w:p w14:paraId="5F19C7A2" w14:textId="77777777" w:rsidR="002D0A3C" w:rsidRDefault="003B6787">
            <w:pPr>
              <w:rPr>
                <w:lang w:eastAsia="zh-CN"/>
              </w:rPr>
            </w:pPr>
            <w:r>
              <w:rPr>
                <w:sz w:val="18"/>
                <w:lang w:eastAsia="zh-CN"/>
              </w:rPr>
              <w:t>条文是否明确列出例外事项</w:t>
            </w:r>
          </w:p>
        </w:tc>
      </w:tr>
      <w:tr w:rsidR="002D0A3C" w14:paraId="766354A7" w14:textId="77777777" w:rsidTr="002D0A3C">
        <w:trPr>
          <w:cantSplit/>
        </w:trPr>
        <w:tc>
          <w:tcPr>
            <w:tcW w:w="4479" w:type="dxa"/>
            <w:vAlign w:val="center"/>
          </w:tcPr>
          <w:p w14:paraId="28B13E46" w14:textId="77777777" w:rsidR="002D0A3C" w:rsidRDefault="003B6787">
            <w:r>
              <w:rPr>
                <w:sz w:val="18"/>
              </w:rPr>
              <w:t>access_condition_text</w:t>
            </w:r>
          </w:p>
        </w:tc>
        <w:tc>
          <w:tcPr>
            <w:tcW w:w="4479" w:type="dxa"/>
            <w:vAlign w:val="center"/>
          </w:tcPr>
          <w:p w14:paraId="32AEC90A" w14:textId="77777777" w:rsidR="002D0A3C" w:rsidRDefault="003B6787">
            <w:pPr>
              <w:rPr>
                <w:lang w:eastAsia="zh-CN"/>
              </w:rPr>
            </w:pPr>
            <w:r>
              <w:rPr>
                <w:sz w:val="18"/>
                <w:lang w:eastAsia="zh-CN"/>
              </w:rPr>
              <w:t>无法安全压缩为数值的其他适用条件</w:t>
            </w:r>
          </w:p>
        </w:tc>
      </w:tr>
    </w:tbl>
    <w:p w14:paraId="5BB38A92" w14:textId="77777777" w:rsidR="002D0A3C" w:rsidRDefault="003B6787">
      <w:pPr>
        <w:spacing w:before="80" w:after="80" w:line="240" w:lineRule="auto"/>
        <w:rPr>
          <w:lang w:eastAsia="zh-CN"/>
        </w:rPr>
      </w:pPr>
      <w:r>
        <w:rPr>
          <w:lang w:eastAsia="zh-CN"/>
        </w:rPr>
        <w:t>表</w:t>
      </w:r>
      <w:r>
        <w:rPr>
          <w:lang w:eastAsia="zh-CN"/>
        </w:rPr>
        <w:t>A2a</w:t>
      </w:r>
      <w:r>
        <w:rPr>
          <w:lang w:eastAsia="zh-CN"/>
        </w:rPr>
        <w:t>仅展示更细的法律信息拆分方式，不作为基准政策向量。基准分析使用表</w:t>
      </w:r>
      <w:r>
        <w:rPr>
          <w:lang w:eastAsia="zh-CN"/>
        </w:rPr>
        <w:t>A2</w:t>
      </w:r>
      <w:r>
        <w:rPr>
          <w:lang w:eastAsia="zh-CN"/>
        </w:rPr>
        <w:t>的六个字段，以避免在样本较小的情况下形成大量稀疏且高度相关的限制变量；若</w:t>
      </w:r>
      <w:r>
        <w:rPr>
          <w:lang w:eastAsia="zh-CN"/>
        </w:rPr>
        <w:t>LLM</w:t>
      </w:r>
      <w:r>
        <w:rPr>
          <w:lang w:eastAsia="zh-CN"/>
        </w:rPr>
        <w:t>在抽取阶段生成表</w:t>
      </w:r>
      <w:r>
        <w:rPr>
          <w:lang w:eastAsia="zh-CN"/>
        </w:rPr>
        <w:t>A2a</w:t>
      </w:r>
      <w:r>
        <w:rPr>
          <w:lang w:eastAsia="zh-CN"/>
        </w:rPr>
        <w:t>中的细字段，其原始结果保留在审计文件中，用于人工核验和必要的稳健性扩展。</w:t>
      </w:r>
    </w:p>
    <w:p w14:paraId="11D7DF47" w14:textId="77777777" w:rsidR="002D0A3C" w:rsidRDefault="003B6787">
      <w:pPr>
        <w:pStyle w:val="a0"/>
        <w:spacing w:before="80" w:after="80" w:line="240" w:lineRule="auto"/>
        <w:jc w:val="both"/>
        <w:rPr>
          <w:lang w:eastAsia="zh-CN"/>
        </w:rPr>
      </w:pPr>
      <w:r>
        <w:rPr>
          <w:lang w:eastAsia="zh-CN"/>
        </w:rPr>
        <w:t>股比字段遵循</w:t>
      </w:r>
      <w:r>
        <w:rPr>
          <w:lang w:eastAsia="zh-CN"/>
        </w:rPr>
        <w:t>“</w:t>
      </w:r>
      <w:r>
        <w:rPr>
          <w:lang w:eastAsia="zh-CN"/>
        </w:rPr>
        <w:t>有明确数值依据才量化</w:t>
      </w:r>
      <w:r>
        <w:rPr>
          <w:lang w:eastAsia="zh-CN"/>
        </w:rPr>
        <w:t>”</w:t>
      </w:r>
      <w:r>
        <w:rPr>
          <w:lang w:eastAsia="zh-CN"/>
        </w:rPr>
        <w:t>的原则。若条文直接规定外资股比上限，则按原值记录；若条文规定</w:t>
      </w:r>
      <w:r>
        <w:rPr>
          <w:lang w:eastAsia="zh-CN"/>
        </w:rPr>
        <w:t>“</w:t>
      </w:r>
      <w:r>
        <w:rPr>
          <w:lang w:eastAsia="zh-CN"/>
        </w:rPr>
        <w:t>中方股比不低于</w:t>
      </w:r>
      <w:r>
        <w:rPr>
          <w:lang w:eastAsia="zh-CN"/>
        </w:rPr>
        <w:t>c”</w:t>
      </w:r>
      <w:r>
        <w:rPr>
          <w:lang w:eastAsia="zh-CN"/>
        </w:rPr>
        <w:t>，且不存在其他股权类别导致算术关系失效，可机械推出有效外资上限</w:t>
      </w:r>
      <w:r>
        <w:rPr>
          <w:lang w:eastAsia="zh-CN"/>
        </w:rPr>
        <w:t>1−c</w:t>
      </w:r>
      <w:r>
        <w:rPr>
          <w:lang w:eastAsia="zh-CN"/>
        </w:rPr>
        <w:t>。相反，</w:t>
      </w:r>
      <w:r>
        <w:rPr>
          <w:lang w:eastAsia="zh-CN"/>
        </w:rPr>
        <w:t>“</w:t>
      </w:r>
      <w:r>
        <w:rPr>
          <w:lang w:eastAsia="zh-CN"/>
        </w:rPr>
        <w:t>中方控股</w:t>
      </w:r>
      <w:r>
        <w:rPr>
          <w:lang w:eastAsia="zh-CN"/>
        </w:rPr>
        <w:t>”“</w:t>
      </w:r>
      <w:r>
        <w:rPr>
          <w:lang w:eastAsia="zh-CN"/>
        </w:rPr>
        <w:t>中方相对控股</w:t>
      </w:r>
      <w:r>
        <w:rPr>
          <w:lang w:eastAsia="zh-CN"/>
        </w:rPr>
        <w:t>”</w:t>
      </w:r>
      <w:r>
        <w:rPr>
          <w:lang w:eastAsia="zh-CN"/>
        </w:rPr>
        <w:t>或</w:t>
      </w:r>
      <w:r>
        <w:rPr>
          <w:lang w:eastAsia="zh-CN"/>
        </w:rPr>
        <w:t>“</w:t>
      </w:r>
      <w:r>
        <w:rPr>
          <w:lang w:eastAsia="zh-CN"/>
        </w:rPr>
        <w:t>中方主导</w:t>
      </w:r>
      <w:r>
        <w:rPr>
          <w:lang w:eastAsia="zh-CN"/>
        </w:rPr>
        <w:t>”</w:t>
      </w:r>
      <w:r>
        <w:rPr>
          <w:lang w:eastAsia="zh-CN"/>
        </w:rPr>
        <w:t>只编码为</w:t>
      </w:r>
      <w:r>
        <w:rPr>
          <w:lang w:eastAsia="zh-CN"/>
        </w:rPr>
        <w:t xml:space="preserve"> chinese_control=1</w:t>
      </w:r>
      <w:r>
        <w:rPr>
          <w:lang w:eastAsia="zh-CN"/>
        </w:rPr>
        <w:t>，不人为改写成</w:t>
      </w:r>
      <w:r>
        <w:rPr>
          <w:lang w:eastAsia="zh-CN"/>
        </w:rPr>
        <w:t>49%</w:t>
      </w:r>
      <w:r>
        <w:rPr>
          <w:lang w:eastAsia="zh-CN"/>
        </w:rPr>
        <w:t>或其他股比阈值。类似地，</w:t>
      </w:r>
      <w:r>
        <w:rPr>
          <w:lang w:eastAsia="zh-CN"/>
        </w:rPr>
        <w:t>“</w:t>
      </w:r>
      <w:r>
        <w:rPr>
          <w:lang w:eastAsia="zh-CN"/>
        </w:rPr>
        <w:t>一家外商及其关联企业投资比例不得超过</w:t>
      </w:r>
      <w:r>
        <w:rPr>
          <w:lang w:eastAsia="zh-CN"/>
        </w:rPr>
        <w:t>25%”</w:t>
      </w:r>
      <w:r>
        <w:rPr>
          <w:lang w:eastAsia="zh-CN"/>
        </w:rPr>
        <w:t>不是外资总股比上限，压缩版将其归入</w:t>
      </w:r>
      <w:r>
        <w:rPr>
          <w:lang w:eastAsia="zh-CN"/>
        </w:rPr>
        <w:t xml:space="preserve"> other_access_restriction</w:t>
      </w:r>
      <w:r>
        <w:rPr>
          <w:lang w:eastAsia="zh-CN"/>
        </w:rPr>
        <w:t>，而不误填</w:t>
      </w:r>
      <w:r>
        <w:rPr>
          <w:lang w:eastAsia="zh-CN"/>
        </w:rPr>
        <w:t xml:space="preserve"> foreign_equity_cap</w:t>
      </w:r>
      <w:r>
        <w:rPr>
          <w:lang w:eastAsia="zh-CN"/>
        </w:rPr>
        <w:t>。</w:t>
      </w:r>
    </w:p>
    <w:bookmarkEnd w:id="2"/>
    <w:p w14:paraId="219D7146" w14:textId="77777777" w:rsidR="002D0A3C" w:rsidRDefault="003B6787">
      <w:pPr>
        <w:pStyle w:val="3"/>
        <w:rPr>
          <w:lang w:eastAsia="zh-CN"/>
        </w:rPr>
      </w:pPr>
      <w:r>
        <w:rPr>
          <w:rFonts w:ascii="Times New Roman" w:eastAsia="宋体" w:hAnsi="Times New Roman"/>
          <w:lang w:eastAsia="zh-CN"/>
        </w:rPr>
        <w:t>A.1.3</w:t>
      </w:r>
      <w:r>
        <w:rPr>
          <w:rFonts w:ascii="Times New Roman" w:eastAsia="宋体" w:hAnsi="Times New Roman"/>
          <w:lang w:eastAsia="zh-CN"/>
        </w:rPr>
        <w:t xml:space="preserve">　</w:t>
      </w:r>
      <w:r>
        <w:rPr>
          <w:rFonts w:ascii="Times New Roman" w:eastAsia="宋体" w:hAnsi="Times New Roman"/>
          <w:lang w:eastAsia="zh-CN"/>
        </w:rPr>
        <w:t>LLM</w:t>
      </w:r>
      <w:r>
        <w:rPr>
          <w:rFonts w:ascii="Times New Roman" w:eastAsia="宋体" w:hAnsi="Times New Roman"/>
          <w:lang w:eastAsia="zh-CN"/>
        </w:rPr>
        <w:t>抽取与人工审计</w:t>
      </w:r>
    </w:p>
    <w:p w14:paraId="300F5309" w14:textId="77777777" w:rsidR="002D0A3C" w:rsidRDefault="003B6787">
      <w:pPr>
        <w:pStyle w:val="FirstParagraph"/>
        <w:spacing w:line="240" w:lineRule="auto"/>
        <w:jc w:val="both"/>
        <w:rPr>
          <w:lang w:eastAsia="zh-CN"/>
        </w:rPr>
      </w:pPr>
      <w:r>
        <w:rPr>
          <w:lang w:eastAsia="zh-CN"/>
        </w:rPr>
        <w:t>每个原子单元采用封闭式结构化输出。模型必须返回表</w:t>
      </w:r>
      <w:r>
        <w:rPr>
          <w:lang w:eastAsia="zh-CN"/>
        </w:rPr>
        <w:t>A2</w:t>
      </w:r>
      <w:r>
        <w:rPr>
          <w:lang w:eastAsia="zh-CN"/>
        </w:rPr>
        <w:t>的基准字段以及支持判断的原文片段</w:t>
      </w:r>
      <w:r>
        <w:rPr>
          <w:lang w:eastAsia="zh-CN"/>
        </w:rPr>
        <w:t xml:space="preserve"> evidence_span</w:t>
      </w:r>
      <w:r>
        <w:rPr>
          <w:lang w:eastAsia="zh-CN"/>
        </w:rPr>
        <w:t>；原文未提供的信息返回</w:t>
      </w:r>
      <w:r>
        <w:rPr>
          <w:lang w:eastAsia="zh-CN"/>
        </w:rPr>
        <w:t xml:space="preserve"> unknown</w:t>
      </w:r>
      <w:r>
        <w:rPr>
          <w:lang w:eastAsia="zh-CN"/>
        </w:rPr>
        <w:t>，不得依赖常识补全。若同时抽取表</w:t>
      </w:r>
      <w:r>
        <w:rPr>
          <w:lang w:eastAsia="zh-CN"/>
        </w:rPr>
        <w:t>A2a</w:t>
      </w:r>
      <w:r>
        <w:rPr>
          <w:lang w:eastAsia="zh-CN"/>
        </w:rPr>
        <w:t>的未压缩字段，其作用仅是辅助审计。模型自报置信度用于排序人工复核队列，不作为回归权重，也不替代人工确认。最终通过复核的</w:t>
      </w:r>
      <w:r>
        <w:rPr>
          <w:lang w:eastAsia="zh-CN"/>
        </w:rPr>
        <w:t>A1</w:t>
      </w:r>
      <w:r>
        <w:rPr>
          <w:lang w:eastAsia="zh-CN"/>
        </w:rPr>
        <w:t>文本字段与</w:t>
      </w:r>
      <w:r>
        <w:rPr>
          <w:lang w:eastAsia="zh-CN"/>
        </w:rPr>
        <w:t>A2</w:t>
      </w:r>
      <w:r>
        <w:rPr>
          <w:lang w:eastAsia="zh-CN"/>
        </w:rPr>
        <w:t>压缩字段合并进入政策原子主数据；原始模型输出、证据片段和未压缩字段另存于审计文件。</w:t>
      </w:r>
    </w:p>
    <w:p w14:paraId="56F15A7B" w14:textId="77777777" w:rsidR="002D0A3C" w:rsidRDefault="003B6787">
      <w:pPr>
        <w:pStyle w:val="a0"/>
        <w:spacing w:before="80" w:after="80" w:line="240" w:lineRule="auto"/>
        <w:jc w:val="both"/>
        <w:rPr>
          <w:lang w:eastAsia="zh-CN"/>
        </w:rPr>
      </w:pPr>
      <w:r>
        <w:rPr>
          <w:lang w:eastAsia="zh-CN"/>
        </w:rPr>
        <w:t>抽取程序采用</w:t>
      </w:r>
      <w:r>
        <w:rPr>
          <w:lang w:eastAsia="zh-CN"/>
        </w:rPr>
        <w:t>“</w:t>
      </w:r>
      <w:r>
        <w:rPr>
          <w:lang w:eastAsia="zh-CN"/>
        </w:rPr>
        <w:t>模型抽取</w:t>
      </w:r>
      <w:r>
        <w:rPr>
          <w:lang w:eastAsia="zh-CN"/>
        </w:rPr>
        <w:t>—</w:t>
      </w:r>
      <w:r>
        <w:rPr>
          <w:lang w:eastAsia="zh-CN"/>
        </w:rPr>
        <w:t>规则检查</w:t>
      </w:r>
      <w:r>
        <w:rPr>
          <w:lang w:eastAsia="zh-CN"/>
        </w:rPr>
        <w:t>—</w:t>
      </w:r>
      <w:r>
        <w:rPr>
          <w:lang w:eastAsia="zh-CN"/>
        </w:rPr>
        <w:t>人工复核</w:t>
      </w:r>
      <w:r>
        <w:rPr>
          <w:lang w:eastAsia="zh-CN"/>
        </w:rPr>
        <w:t>”</w:t>
      </w:r>
      <w:r>
        <w:rPr>
          <w:lang w:eastAsia="zh-CN"/>
        </w:rPr>
        <w:t>三层审计。规则检查主要识别内部矛盾，例如</w:t>
      </w:r>
      <w:r>
        <w:rPr>
          <w:lang w:eastAsia="zh-CN"/>
        </w:rPr>
        <w:t xml:space="preserve"> access_status=prohibited </w:t>
      </w:r>
      <w:r>
        <w:rPr>
          <w:lang w:eastAsia="zh-CN"/>
        </w:rPr>
        <w:t>却同时报告</w:t>
      </w:r>
      <w:r>
        <w:rPr>
          <w:lang w:eastAsia="zh-CN"/>
        </w:rPr>
        <w:t>“</w:t>
      </w:r>
      <w:r>
        <w:rPr>
          <w:lang w:eastAsia="zh-CN"/>
        </w:rPr>
        <w:t>外资股比上限</w:t>
      </w:r>
      <w:r>
        <w:rPr>
          <w:lang w:eastAsia="zh-CN"/>
        </w:rPr>
        <w:t>100%”</w:t>
      </w:r>
      <w:r>
        <w:rPr>
          <w:lang w:eastAsia="zh-CN"/>
        </w:rPr>
        <w:t>，或政策明确要求中方控制而模型又判断</w:t>
      </w:r>
      <w:r>
        <w:rPr>
          <w:lang w:eastAsia="zh-CN"/>
        </w:rPr>
        <w:t>“</w:t>
      </w:r>
      <w:r>
        <w:rPr>
          <w:lang w:eastAsia="zh-CN"/>
        </w:rPr>
        <w:t>无控制权限制</w:t>
      </w:r>
      <w:r>
        <w:rPr>
          <w:lang w:eastAsia="zh-CN"/>
        </w:rPr>
        <w:t>”</w:t>
      </w:r>
      <w:r>
        <w:rPr>
          <w:lang w:eastAsia="zh-CN"/>
        </w:rPr>
        <w:t>。人工复核应优先覆盖三类样本：低置信度记录、跨模型或跨次调用结果不一致的记录，以及含有</w:t>
      </w:r>
      <w:r>
        <w:rPr>
          <w:lang w:eastAsia="zh-CN"/>
        </w:rPr>
        <w:t>“</w:t>
      </w:r>
      <w:r>
        <w:rPr>
          <w:lang w:eastAsia="zh-CN"/>
        </w:rPr>
        <w:t>除</w:t>
      </w:r>
      <w:r>
        <w:rPr>
          <w:lang w:eastAsia="zh-CN"/>
        </w:rPr>
        <w:t>……</w:t>
      </w:r>
      <w:r>
        <w:rPr>
          <w:lang w:eastAsia="zh-CN"/>
        </w:rPr>
        <w:t>外</w:t>
      </w:r>
      <w:r>
        <w:rPr>
          <w:lang w:eastAsia="zh-CN"/>
        </w:rPr>
        <w:t>”“</w:t>
      </w:r>
      <w:r>
        <w:rPr>
          <w:lang w:eastAsia="zh-CN"/>
        </w:rPr>
        <w:t>仅限于</w:t>
      </w:r>
      <w:r>
        <w:rPr>
          <w:lang w:eastAsia="zh-CN"/>
        </w:rPr>
        <w:t>”“</w:t>
      </w:r>
      <w:r>
        <w:rPr>
          <w:lang w:eastAsia="zh-CN"/>
        </w:rPr>
        <w:t>不得超过</w:t>
      </w:r>
      <w:r>
        <w:rPr>
          <w:lang w:eastAsia="zh-CN"/>
        </w:rPr>
        <w:t>”“</w:t>
      </w:r>
      <w:r>
        <w:rPr>
          <w:lang w:eastAsia="zh-CN"/>
        </w:rPr>
        <w:t>相对控股</w:t>
      </w:r>
      <w:r>
        <w:rPr>
          <w:lang w:eastAsia="zh-CN"/>
        </w:rPr>
        <w:t>”</w:t>
      </w:r>
      <w:r>
        <w:rPr>
          <w:lang w:eastAsia="zh-CN"/>
        </w:rPr>
        <w:t>等复杂限定词的记录。</w:t>
      </w:r>
    </w:p>
    <w:p w14:paraId="04291533" w14:textId="77777777" w:rsidR="002D0A3C" w:rsidRDefault="003B6787">
      <w:pPr>
        <w:pStyle w:val="a0"/>
        <w:jc w:val="both"/>
        <w:rPr>
          <w:lang w:eastAsia="zh-CN"/>
        </w:rPr>
      </w:pPr>
      <w:r>
        <w:rPr>
          <w:lang w:eastAsia="zh-CN"/>
        </w:rPr>
        <w:t>正式全量运行之前，应随机抽取一组人工金标准样本，逐字段报告</w:t>
      </w:r>
      <w:r>
        <w:rPr>
          <w:lang w:eastAsia="zh-CN"/>
        </w:rPr>
        <w:t xml:space="preserve"> precision</w:t>
      </w:r>
      <w:r>
        <w:rPr>
          <w:lang w:eastAsia="zh-CN"/>
        </w:rPr>
        <w:t>、</w:t>
      </w:r>
      <w:r>
        <w:rPr>
          <w:lang w:eastAsia="zh-CN"/>
        </w:rPr>
        <w:t xml:space="preserve">recall </w:t>
      </w:r>
      <w:r>
        <w:rPr>
          <w:lang w:eastAsia="zh-CN"/>
        </w:rPr>
        <w:t>和</w:t>
      </w:r>
      <w:r>
        <w:rPr>
          <w:lang w:eastAsia="zh-CN"/>
        </w:rPr>
        <w:t xml:space="preserve"> F1</w:t>
      </w:r>
      <w:r>
        <w:rPr>
          <w:lang w:eastAsia="zh-CN"/>
        </w:rPr>
        <w:t>，而不是仅报告</w:t>
      </w:r>
      <w:r>
        <w:rPr>
          <w:lang w:eastAsia="zh-CN"/>
        </w:rPr>
        <w:t>“</w:t>
      </w:r>
      <w:r>
        <w:rPr>
          <w:lang w:eastAsia="zh-CN"/>
        </w:rPr>
        <w:t>整体准确率</w:t>
      </w:r>
      <w:r>
        <w:rPr>
          <w:lang w:eastAsia="zh-CN"/>
        </w:rPr>
        <w:t>”</w:t>
      </w:r>
      <w:r>
        <w:rPr>
          <w:lang w:eastAsia="zh-CN"/>
        </w:rPr>
        <w:t>。原因在于不同字段的经济后果并不相同：漏判一个许可条件与漏判一个</w:t>
      </w:r>
      <w:r>
        <w:rPr>
          <w:lang w:eastAsia="zh-CN"/>
        </w:rPr>
        <w:t>“</w:t>
      </w:r>
      <w:r>
        <w:rPr>
          <w:lang w:eastAsia="zh-CN"/>
        </w:rPr>
        <w:t>禁止进入</w:t>
      </w:r>
      <w:r>
        <w:rPr>
          <w:lang w:eastAsia="zh-CN"/>
        </w:rPr>
        <w:t>”</w:t>
      </w:r>
      <w:r>
        <w:rPr>
          <w:lang w:eastAsia="zh-CN"/>
        </w:rPr>
        <w:t>对结构反事实的影响不可同日而语。</w:t>
      </w:r>
      <w:r>
        <w:rPr>
          <w:lang w:eastAsia="zh-CN"/>
        </w:rPr>
        <w:t>Eppinger and Ma</w:t>
      </w:r>
      <w:r>
        <w:rPr>
          <w:lang w:eastAsia="zh-CN"/>
        </w:rPr>
        <w:t>（</w:t>
      </w:r>
      <w:r>
        <w:rPr>
          <w:lang w:eastAsia="zh-CN"/>
        </w:rPr>
        <w:t>2023</w:t>
      </w:r>
      <w:r>
        <w:rPr>
          <w:lang w:eastAsia="zh-CN"/>
        </w:rPr>
        <w:t>）在产品层面匹配中同时依赖文本算法和大量人工核验；本文保留其窄口径匹配和人工审计原则，只把语义识别工具由词向量方法扩展为</w:t>
      </w:r>
      <w:r>
        <w:rPr>
          <w:lang w:eastAsia="zh-CN"/>
        </w:rPr>
        <w:t>LLM</w:t>
      </w:r>
      <w:r>
        <w:rPr>
          <w:lang w:eastAsia="zh-CN"/>
        </w:rPr>
        <w:t>。</w:t>
      </w:r>
    </w:p>
    <w:p w14:paraId="371F0A50" w14:textId="77777777" w:rsidR="00C76E2E" w:rsidRDefault="00791C5A">
      <w:pPr>
        <w:pStyle w:val="2"/>
        <w:rPr>
          <w:lang w:eastAsia="zh-CN"/>
        </w:rPr>
      </w:pPr>
      <w:r>
        <w:rPr>
          <w:rFonts w:ascii="Times New Roman" w:eastAsia="宋体" w:hAnsi="Times New Roman"/>
          <w:lang w:eastAsia="zh-CN"/>
        </w:rPr>
        <w:lastRenderedPageBreak/>
        <w:t>A.2</w:t>
      </w:r>
      <w:r>
        <w:rPr>
          <w:rFonts w:ascii="Times New Roman" w:eastAsia="宋体" w:hAnsi="Times New Roman"/>
          <w:lang w:eastAsia="zh-CN"/>
        </w:rPr>
        <w:t xml:space="preserve">　从政策经济活动到</w:t>
      </w:r>
      <w:r>
        <w:rPr>
          <w:rFonts w:ascii="Times New Roman" w:eastAsia="宋体" w:hAnsi="Times New Roman"/>
          <w:lang w:eastAsia="zh-CN"/>
        </w:rPr>
        <w:t>OECD-AMNE</w:t>
      </w:r>
      <w:r>
        <w:rPr>
          <w:rFonts w:ascii="Times New Roman" w:eastAsia="宋体" w:hAnsi="Times New Roman"/>
          <w:lang w:eastAsia="zh-CN"/>
        </w:rPr>
        <w:t>模型部门</w:t>
      </w:r>
    </w:p>
    <w:p w14:paraId="3CDB6F29" w14:textId="77777777" w:rsidR="00C76E2E" w:rsidRDefault="00791C5A">
      <w:pPr>
        <w:pStyle w:val="3"/>
        <w:rPr>
          <w:lang w:eastAsia="zh-CN"/>
        </w:rPr>
      </w:pPr>
      <w:r>
        <w:rPr>
          <w:rFonts w:ascii="Times New Roman" w:eastAsia="宋体" w:hAnsi="Times New Roman"/>
          <w:lang w:eastAsia="zh-CN"/>
        </w:rPr>
        <w:t>A.2.1</w:t>
      </w:r>
      <w:r>
        <w:rPr>
          <w:rFonts w:ascii="Times New Roman" w:eastAsia="宋体" w:hAnsi="Times New Roman"/>
          <w:lang w:eastAsia="zh-CN"/>
        </w:rPr>
        <w:t xml:space="preserve">　负面清单经济活动与</w:t>
      </w:r>
      <w:r>
        <w:rPr>
          <w:rFonts w:ascii="Times New Roman" w:eastAsia="宋体" w:hAnsi="Times New Roman"/>
          <w:lang w:eastAsia="zh-CN"/>
        </w:rPr>
        <w:t>GB/T 4754</w:t>
      </w:r>
      <w:r>
        <w:rPr>
          <w:rFonts w:ascii="Times New Roman" w:eastAsia="宋体" w:hAnsi="Times New Roman"/>
          <w:lang w:eastAsia="zh-CN"/>
        </w:rPr>
        <w:t>四位小类匹配</w:t>
      </w:r>
    </w:p>
    <w:p w14:paraId="49445867" w14:textId="77777777" w:rsidR="00C76E2E" w:rsidRDefault="00791C5A">
      <w:pPr>
        <w:pStyle w:val="FirstParagraph"/>
        <w:rPr>
          <w:lang w:eastAsia="zh-CN"/>
        </w:rPr>
      </w:pPr>
      <w:r>
        <w:rPr>
          <w:lang w:eastAsia="zh-CN"/>
        </w:rPr>
        <w:t>《国民经济行业分类》采用门类、大类、中类和小类四级结构，其中四位代码为最细的小类。外资准入负面清单虽然按照国民经济行业分类的行业框架编制，但特别管理措施实际以具体经济活动表述，同一官方序号还可能同时包含若干活动及不同准入条件。因此，政策原子完成表</w:t>
      </w:r>
      <w:r>
        <w:rPr>
          <w:lang w:eastAsia="zh-CN"/>
        </w:rPr>
        <w:t>A1</w:t>
      </w:r>
      <w:r>
        <w:rPr>
          <w:lang w:eastAsia="zh-CN"/>
        </w:rPr>
        <w:t>和表</w:t>
      </w:r>
      <w:r>
        <w:rPr>
          <w:lang w:eastAsia="zh-CN"/>
        </w:rPr>
        <w:t>A2</w:t>
      </w:r>
      <w:r>
        <w:rPr>
          <w:lang w:eastAsia="zh-CN"/>
        </w:rPr>
        <w:t>的抽取后，首先与</w:t>
      </w:r>
      <w:r>
        <w:rPr>
          <w:lang w:eastAsia="zh-CN"/>
        </w:rPr>
        <w:t>GB/T 4754</w:t>
      </w:r>
      <w:r>
        <w:rPr>
          <w:lang w:eastAsia="zh-CN"/>
        </w:rPr>
        <w:t>四位小类进行匹配，而不直接进入</w:t>
      </w:r>
      <w:r>
        <w:rPr>
          <w:lang w:eastAsia="zh-CN"/>
        </w:rPr>
        <w:t>OECD-AMNE</w:t>
      </w:r>
      <w:r>
        <w:rPr>
          <w:lang w:eastAsia="zh-CN"/>
        </w:rPr>
        <w:t>粗行业。</w:t>
      </w:r>
    </w:p>
    <w:p w14:paraId="5E003F75" w14:textId="77777777" w:rsidR="00C76E2E" w:rsidRDefault="00791C5A">
      <w:pPr>
        <w:pStyle w:val="a0"/>
        <w:rPr>
          <w:lang w:eastAsia="zh-CN"/>
        </w:rPr>
      </w:pPr>
      <w:r>
        <w:rPr>
          <w:lang w:eastAsia="zh-CN"/>
        </w:rPr>
        <w:t>该步骤是行业链条中主要需要语义判断的环节。</w:t>
      </w:r>
      <w:r>
        <w:rPr>
          <w:lang w:eastAsia="zh-CN"/>
        </w:rPr>
        <w:t>LLM</w:t>
      </w:r>
      <w:r>
        <w:rPr>
          <w:lang w:eastAsia="zh-CN"/>
        </w:rPr>
        <w:t>应结合</w:t>
      </w:r>
      <w:r>
        <w:rPr>
          <w:lang w:eastAsia="zh-CN"/>
        </w:rPr>
        <w:t xml:space="preserve"> activity_text</w:t>
      </w:r>
      <w:r>
        <w:rPr>
          <w:lang w:eastAsia="zh-CN"/>
        </w:rPr>
        <w:t>、</w:t>
      </w:r>
      <w:r>
        <w:rPr>
          <w:lang w:eastAsia="zh-CN"/>
        </w:rPr>
        <w:t>restriction_text</w:t>
      </w:r>
      <w:r>
        <w:rPr>
          <w:lang w:eastAsia="zh-CN"/>
        </w:rPr>
        <w:t>、</w:t>
      </w:r>
      <w:r>
        <w:rPr>
          <w:lang w:eastAsia="zh-CN"/>
        </w:rPr>
        <w:t xml:space="preserve">exception_text </w:t>
      </w:r>
      <w:r>
        <w:rPr>
          <w:lang w:eastAsia="zh-CN"/>
        </w:rPr>
        <w:t>以及</w:t>
      </w:r>
      <w:r>
        <w:rPr>
          <w:lang w:eastAsia="zh-CN"/>
        </w:rPr>
        <w:t>GB/T 4754</w:t>
      </w:r>
      <w:r>
        <w:rPr>
          <w:lang w:eastAsia="zh-CN"/>
        </w:rPr>
        <w:t>的小类名称和解释性说明，给出</w:t>
      </w:r>
      <w:r>
        <w:rPr>
          <w:lang w:eastAsia="zh-CN"/>
        </w:rPr>
        <w:t>“</w:t>
      </w:r>
      <w:r>
        <w:rPr>
          <w:lang w:eastAsia="zh-CN"/>
        </w:rPr>
        <w:t>最细可确认</w:t>
      </w:r>
      <w:r>
        <w:rPr>
          <w:lang w:eastAsia="zh-CN"/>
        </w:rPr>
        <w:t>”</w:t>
      </w:r>
      <w:r>
        <w:rPr>
          <w:lang w:eastAsia="zh-CN"/>
        </w:rPr>
        <w:t>的四位代码。一个政策原子可以对应一个或多个</w:t>
      </w:r>
      <w:r>
        <w:rPr>
          <w:lang w:eastAsia="zh-CN"/>
        </w:rPr>
        <w:t>GB</w:t>
      </w:r>
      <w:r>
        <w:rPr>
          <w:lang w:eastAsia="zh-CN"/>
        </w:rPr>
        <w:t>四位小类，不强制一对一匹配；若政策只覆盖某一四位小类中的部分活动，则保留</w:t>
      </w:r>
      <w:r>
        <w:rPr>
          <w:lang w:eastAsia="zh-CN"/>
        </w:rPr>
        <w:t xml:space="preserve"> coverage_type=partial</w:t>
      </w:r>
      <w:r>
        <w:rPr>
          <w:lang w:eastAsia="zh-CN"/>
        </w:rPr>
        <w:t>，而不能把整个小类机械记为完全受限。每条关系同时保存候选代码、</w:t>
      </w:r>
      <w:r>
        <w:rPr>
          <w:lang w:eastAsia="zh-CN"/>
        </w:rPr>
        <w:t>match_type</w:t>
      </w:r>
      <w:r>
        <w:rPr>
          <w:lang w:eastAsia="zh-CN"/>
        </w:rPr>
        <w:t>（</w:t>
      </w:r>
      <w:r>
        <w:rPr>
          <w:lang w:eastAsia="zh-CN"/>
        </w:rPr>
        <w:t>exact/narrow/broad/ambiguous</w:t>
      </w:r>
      <w:r>
        <w:rPr>
          <w:lang w:eastAsia="zh-CN"/>
        </w:rPr>
        <w:t>）、</w:t>
      </w:r>
      <w:r>
        <w:rPr>
          <w:lang w:eastAsia="zh-CN"/>
        </w:rPr>
        <w:t>coverage_type</w:t>
      </w:r>
      <w:r>
        <w:rPr>
          <w:lang w:eastAsia="zh-CN"/>
        </w:rPr>
        <w:t>（</w:t>
      </w:r>
      <w:r>
        <w:rPr>
          <w:lang w:eastAsia="zh-CN"/>
        </w:rPr>
        <w:t>full/partial/ambiguous</w:t>
      </w:r>
      <w:r>
        <w:rPr>
          <w:lang w:eastAsia="zh-CN"/>
        </w:rPr>
        <w:t>）、证据片段和人工复核状态。除非存在可核验的更细产值、就业或企业数据，不由</w:t>
      </w:r>
      <w:r>
        <w:rPr>
          <w:lang w:eastAsia="zh-CN"/>
        </w:rPr>
        <w:t>LLM</w:t>
      </w:r>
      <w:r>
        <w:rPr>
          <w:lang w:eastAsia="zh-CN"/>
        </w:rPr>
        <w:t>主观给</w:t>
      </w:r>
      <w:r>
        <w:rPr>
          <w:lang w:eastAsia="zh-CN"/>
        </w:rPr>
        <w:t xml:space="preserve"> partial </w:t>
      </w:r>
      <w:r>
        <w:rPr>
          <w:lang w:eastAsia="zh-CN"/>
        </w:rPr>
        <w:t>记录指定</w:t>
      </w:r>
      <w:r>
        <w:rPr>
          <w:lang w:eastAsia="zh-CN"/>
        </w:rPr>
        <w:t>0—1</w:t>
      </w:r>
      <w:r>
        <w:rPr>
          <w:lang w:eastAsia="zh-CN"/>
        </w:rPr>
        <w:t>覆盖比例。</w:t>
      </w:r>
    </w:p>
    <w:p w14:paraId="4A8F55C0" w14:textId="77777777" w:rsidR="00C76E2E" w:rsidRDefault="00791C5A">
      <w:pPr>
        <w:pStyle w:val="a0"/>
        <w:rPr>
          <w:lang w:eastAsia="zh-CN"/>
        </w:rPr>
      </w:pPr>
      <w:r>
        <w:rPr>
          <w:lang w:eastAsia="zh-CN"/>
        </w:rPr>
        <w:t>例如，</w:t>
      </w:r>
      <w:r>
        <w:rPr>
          <w:lang w:eastAsia="zh-CN"/>
        </w:rPr>
        <w:t>2024</w:t>
      </w:r>
      <w:r>
        <w:rPr>
          <w:lang w:eastAsia="zh-CN"/>
        </w:rPr>
        <w:t>年负面清单第</w:t>
      </w:r>
      <w:r>
        <w:rPr>
          <w:lang w:eastAsia="zh-CN"/>
        </w:rPr>
        <w:t>9</w:t>
      </w:r>
      <w:r>
        <w:rPr>
          <w:lang w:eastAsia="zh-CN"/>
        </w:rPr>
        <w:t>项同时包含公共航空运输公司和不同类型的通用航空公司，且股权、组织形式和治理要求并不相同。首先应按最小可执行政策单元拆分，再分别匹配</w:t>
      </w:r>
      <w:r>
        <w:rPr>
          <w:lang w:eastAsia="zh-CN"/>
        </w:rPr>
        <w:t>GB</w:t>
      </w:r>
      <w:r>
        <w:rPr>
          <w:lang w:eastAsia="zh-CN"/>
        </w:rPr>
        <w:t>四位小类；不能仅凭其位于</w:t>
      </w:r>
      <w:r>
        <w:rPr>
          <w:lang w:eastAsia="zh-CN"/>
        </w:rPr>
        <w:t>“</w:t>
      </w:r>
      <w:r>
        <w:rPr>
          <w:lang w:eastAsia="zh-CN"/>
        </w:rPr>
        <w:t>交通运输、仓储和邮政业</w:t>
      </w:r>
      <w:r>
        <w:rPr>
          <w:lang w:eastAsia="zh-CN"/>
        </w:rPr>
        <w:t>”</w:t>
      </w:r>
      <w:r>
        <w:rPr>
          <w:lang w:eastAsia="zh-CN"/>
        </w:rPr>
        <w:t>标题下，就把整项措施直接赋给一个</w:t>
      </w:r>
      <w:r>
        <w:rPr>
          <w:lang w:eastAsia="zh-CN"/>
        </w:rPr>
        <w:t>OECD-AMNE</w:t>
      </w:r>
      <w:r>
        <w:rPr>
          <w:lang w:eastAsia="zh-CN"/>
        </w:rPr>
        <w:t>运输部门。</w:t>
      </w:r>
    </w:p>
    <w:p w14:paraId="77D99651" w14:textId="77777777" w:rsidR="00C76E2E" w:rsidRDefault="00791C5A">
      <w:pPr>
        <w:pStyle w:val="3"/>
      </w:pPr>
      <w:r>
        <w:rPr>
          <w:rFonts w:ascii="Times New Roman" w:eastAsia="宋体" w:hAnsi="Times New Roman"/>
        </w:rPr>
        <w:t>A.2.2</w:t>
      </w:r>
      <w:r>
        <w:rPr>
          <w:rFonts w:ascii="Times New Roman" w:eastAsia="宋体" w:hAnsi="Times New Roman"/>
        </w:rPr>
        <w:t xml:space="preserve">　</w:t>
      </w:r>
      <w:r>
        <w:rPr>
          <w:rFonts w:ascii="Times New Roman" w:eastAsia="宋体" w:hAnsi="Times New Roman"/>
        </w:rPr>
        <w:t>GB/T 4754</w:t>
      </w:r>
      <w:r>
        <w:rPr>
          <w:rFonts w:ascii="Times New Roman" w:eastAsia="宋体" w:hAnsi="Times New Roman"/>
        </w:rPr>
        <w:t>四位小类到</w:t>
      </w:r>
      <w:r>
        <w:rPr>
          <w:rFonts w:ascii="Times New Roman" w:eastAsia="宋体" w:hAnsi="Times New Roman"/>
        </w:rPr>
        <w:t>ISIC Rev.4</w:t>
      </w:r>
      <w:r>
        <w:rPr>
          <w:rFonts w:ascii="Times New Roman" w:eastAsia="宋体" w:hAnsi="Times New Roman"/>
        </w:rPr>
        <w:t>四位组</w:t>
      </w:r>
    </w:p>
    <w:p w14:paraId="71688D05" w14:textId="77777777" w:rsidR="00C76E2E" w:rsidRDefault="00791C5A">
      <w:pPr>
        <w:pStyle w:val="FirstParagraph"/>
        <w:rPr>
          <w:lang w:eastAsia="zh-CN"/>
        </w:rPr>
      </w:pPr>
      <w:r>
        <w:t>GB/T 4754—2017</w:t>
      </w:r>
      <w:r>
        <w:t>参考</w:t>
      </w:r>
      <w:r>
        <w:t>ISIC Rev.4</w:t>
      </w:r>
      <w:r>
        <w:t>编制，与</w:t>
      </w:r>
      <w:r>
        <w:t>ISIC Rev.4</w:t>
      </w:r>
      <w:r>
        <w:t>的一致性程度为非等效。</w:t>
      </w:r>
      <w:r>
        <w:rPr>
          <w:lang w:eastAsia="zh-CN"/>
        </w:rPr>
        <w:t>因此，得到</w:t>
      </w:r>
      <w:r>
        <w:rPr>
          <w:lang w:eastAsia="zh-CN"/>
        </w:rPr>
        <w:t>GB</w:t>
      </w:r>
      <w:r>
        <w:rPr>
          <w:lang w:eastAsia="zh-CN"/>
        </w:rPr>
        <w:t>四位小类后，第二步使用《国民经济行业分类》附录中的</w:t>
      </w:r>
      <w:r>
        <w:rPr>
          <w:lang w:eastAsia="zh-CN"/>
        </w:rPr>
        <w:t>GB—ISIC</w:t>
      </w:r>
      <w:r>
        <w:rPr>
          <w:lang w:eastAsia="zh-CN"/>
        </w:rPr>
        <w:t>对照关系，将其映射到</w:t>
      </w:r>
      <w:r>
        <w:rPr>
          <w:lang w:eastAsia="zh-CN"/>
        </w:rPr>
        <w:t>ISIC Rev.4</w:t>
      </w:r>
      <w:r>
        <w:rPr>
          <w:lang w:eastAsia="zh-CN"/>
        </w:rPr>
        <w:t>四位组。该步骤原则上采用官方或可复核的</w:t>
      </w:r>
      <w:r>
        <w:rPr>
          <w:lang w:eastAsia="zh-CN"/>
        </w:rPr>
        <w:t>concordance</w:t>
      </w:r>
      <w:r>
        <w:rPr>
          <w:lang w:eastAsia="zh-CN"/>
        </w:rPr>
        <w:t>机械转换，不再次让</w:t>
      </w:r>
      <w:r>
        <w:rPr>
          <w:lang w:eastAsia="zh-CN"/>
        </w:rPr>
        <w:t>LLM</w:t>
      </w:r>
      <w:r>
        <w:rPr>
          <w:lang w:eastAsia="zh-CN"/>
        </w:rPr>
        <w:t>自由选择行业。</w:t>
      </w:r>
    </w:p>
    <w:p w14:paraId="52F6F2B9" w14:textId="77777777" w:rsidR="00C76E2E" w:rsidRDefault="00791C5A">
      <w:pPr>
        <w:pStyle w:val="a0"/>
        <w:rPr>
          <w:lang w:eastAsia="zh-CN"/>
        </w:rPr>
      </w:pPr>
      <w:r>
        <w:rPr>
          <w:lang w:eastAsia="zh-CN"/>
        </w:rPr>
        <w:t>若官方对照为一对一，直接记录对应的</w:t>
      </w:r>
      <w:r>
        <w:rPr>
          <w:lang w:eastAsia="zh-CN"/>
        </w:rPr>
        <w:t>ISIC</w:t>
      </w:r>
      <w:r>
        <w:rPr>
          <w:lang w:eastAsia="zh-CN"/>
        </w:rPr>
        <w:t>四位组；若为一对多，则保留全部候选关系，并利用负面清单活动文本判断是否能够在候选组之间进一步缩窄。只有必须依赖政策上下文才能裁决时才使用</w:t>
      </w:r>
      <w:r>
        <w:rPr>
          <w:lang w:eastAsia="zh-CN"/>
        </w:rPr>
        <w:t>LLM</w:t>
      </w:r>
      <w:r>
        <w:rPr>
          <w:lang w:eastAsia="zh-CN"/>
        </w:rPr>
        <w:t>；无法可靠裁决的记录保留</w:t>
      </w:r>
      <w:r>
        <w:rPr>
          <w:lang w:eastAsia="zh-CN"/>
        </w:rPr>
        <w:t xml:space="preserve"> ambiguous </w:t>
      </w:r>
      <w:r>
        <w:rPr>
          <w:lang w:eastAsia="zh-CN"/>
        </w:rPr>
        <w:t>标记，不为了形成唯一代码而任意择一。由四位</w:t>
      </w:r>
      <w:r>
        <w:rPr>
          <w:lang w:eastAsia="zh-CN"/>
        </w:rPr>
        <w:t>ISIC</w:t>
      </w:r>
      <w:r>
        <w:rPr>
          <w:lang w:eastAsia="zh-CN"/>
        </w:rPr>
        <w:t>代码可以机械得到其所属两位类（</w:t>
      </w:r>
      <w:r>
        <w:rPr>
          <w:lang w:eastAsia="zh-CN"/>
        </w:rPr>
        <w:t>Division</w:t>
      </w:r>
      <w:r>
        <w:rPr>
          <w:lang w:eastAsia="zh-CN"/>
        </w:rPr>
        <w:t>），随后再进入聚合。完整链条写为：</w:t>
      </w:r>
    </w:p>
    <w:p w14:paraId="66CA916D" w14:textId="77777777" w:rsidR="00C76E2E" w:rsidRDefault="00791C5A">
      <w:pPr>
        <w:pStyle w:val="a0"/>
        <w:ind w:firstLine="0"/>
        <w:jc w:val="center"/>
      </w:pPr>
      <w:r>
        <w:t>负面清单政策原子</w:t>
      </w:r>
      <w:r>
        <w:t xml:space="preserve"> g  →  GB/T 4754</w:t>
      </w:r>
      <w:r>
        <w:t>四位小类</w:t>
      </w:r>
      <w:r>
        <w:t xml:space="preserve">  →  ISIC Rev.4</w:t>
      </w:r>
      <w:r>
        <w:t>四位组</w:t>
      </w:r>
      <w:r>
        <w:t xml:space="preserve"> h  →  ISIC Rev.4</w:t>
      </w:r>
      <w:r>
        <w:t>两位类</w:t>
      </w:r>
      <w:r>
        <w:t xml:space="preserve"> d  →  OECD-AMNE</w:t>
      </w:r>
      <w:r>
        <w:t>行业</w:t>
      </w:r>
      <w:r>
        <w:t xml:space="preserve"> j    </w:t>
      </w:r>
      <w:r>
        <w:t>（</w:t>
      </w:r>
      <w:r>
        <w:t>A2</w:t>
      </w:r>
      <w:r>
        <w:t>）</w:t>
      </w:r>
    </w:p>
    <w:p w14:paraId="0439E3DC" w14:textId="77777777" w:rsidR="00C76E2E" w:rsidRDefault="00791C5A">
      <w:pPr>
        <w:pStyle w:val="3"/>
      </w:pPr>
      <w:r>
        <w:rPr>
          <w:rFonts w:ascii="Times New Roman" w:eastAsia="宋体" w:hAnsi="Times New Roman"/>
        </w:rPr>
        <w:t>A.2.3</w:t>
      </w:r>
      <w:r>
        <w:rPr>
          <w:rFonts w:ascii="Times New Roman" w:eastAsia="宋体" w:hAnsi="Times New Roman"/>
        </w:rPr>
        <w:t xml:space="preserve">　</w:t>
      </w:r>
      <w:r>
        <w:rPr>
          <w:rFonts w:ascii="Times New Roman" w:eastAsia="宋体" w:hAnsi="Times New Roman"/>
        </w:rPr>
        <w:t>ISIC Rev.4</w:t>
      </w:r>
      <w:r>
        <w:rPr>
          <w:rFonts w:ascii="Times New Roman" w:eastAsia="宋体" w:hAnsi="Times New Roman"/>
        </w:rPr>
        <w:t>四位组到两位类的固定权重聚合</w:t>
      </w:r>
    </w:p>
    <w:p w14:paraId="3BE7198F" w14:textId="77777777" w:rsidR="00C76E2E" w:rsidRDefault="00791C5A">
      <w:pPr>
        <w:pStyle w:val="FirstParagraph"/>
        <w:rPr>
          <w:lang w:eastAsia="zh-CN"/>
        </w:rPr>
      </w:pPr>
      <w:r>
        <w:t>完成跨分类映射后，政策变量先停留在</w:t>
      </w:r>
      <w:r>
        <w:t>ISIC Rev.4</w:t>
      </w:r>
      <w:r>
        <w:t>四位组层面。以</w:t>
      </w:r>
      <w:r>
        <w:t xml:space="preserve"> h </w:t>
      </w:r>
      <w:r>
        <w:t>表示</w:t>
      </w:r>
      <w:r>
        <w:t>ISIC</w:t>
      </w:r>
      <w:r>
        <w:t>四位组、</w:t>
      </w:r>
      <w:r>
        <w:t xml:space="preserve">d </w:t>
      </w:r>
      <w:r>
        <w:t>表示其所属两位类、</w:t>
      </w:r>
      <w:r>
        <w:t xml:space="preserve">k </w:t>
      </w:r>
      <w:r>
        <w:t>表示有限准入限制类型，并令</w:t>
      </w:r>
      <w:r>
        <w:t xml:space="preserve"> z_ht^k </w:t>
      </w:r>
      <w:r>
        <w:t>表示四位组</w:t>
      </w:r>
      <w:r>
        <w:t xml:space="preserve"> h </w:t>
      </w:r>
      <w:r>
        <w:t>在年份</w:t>
      </w:r>
      <w:r>
        <w:t xml:space="preserve"> t </w:t>
      </w:r>
      <w:r>
        <w:t>的第</w:t>
      </w:r>
      <w:r>
        <w:t xml:space="preserve"> k </w:t>
      </w:r>
      <w:r>
        <w:t>类限制。</w:t>
      </w:r>
      <w:r>
        <w:rPr>
          <w:lang w:eastAsia="zh-CN"/>
        </w:rPr>
        <w:t>基准聚合必须以完整的</w:t>
      </w:r>
      <w:r>
        <w:rPr>
          <w:lang w:eastAsia="zh-CN"/>
        </w:rPr>
        <w:t>ISIC</w:t>
      </w:r>
      <w:r>
        <w:rPr>
          <w:lang w:eastAsia="zh-CN"/>
        </w:rPr>
        <w:t>四位行业集合为分母：对于未被任</w:t>
      </w:r>
      <w:r>
        <w:rPr>
          <w:lang w:eastAsia="zh-CN"/>
        </w:rPr>
        <w:lastRenderedPageBreak/>
        <w:t>何负面清单原子命中的四位组，其相应限制记为</w:t>
      </w:r>
      <w:r>
        <w:rPr>
          <w:lang w:eastAsia="zh-CN"/>
        </w:rPr>
        <w:t>0</w:t>
      </w:r>
      <w:r>
        <w:rPr>
          <w:lang w:eastAsia="zh-CN"/>
        </w:rPr>
        <w:t>，而不是只在</w:t>
      </w:r>
      <w:r>
        <w:rPr>
          <w:lang w:eastAsia="zh-CN"/>
        </w:rPr>
        <w:t>“</w:t>
      </w:r>
      <w:r>
        <w:rPr>
          <w:lang w:eastAsia="zh-CN"/>
        </w:rPr>
        <w:t>出现在负面清单中的行业</w:t>
      </w:r>
      <w:r>
        <w:rPr>
          <w:lang w:eastAsia="zh-CN"/>
        </w:rPr>
        <w:t>”</w:t>
      </w:r>
      <w:r>
        <w:rPr>
          <w:lang w:eastAsia="zh-CN"/>
        </w:rPr>
        <w:t>之间重新标准化权重。否则，一个只限制少量细行业的政策会被错误放大为整个两位类均受限制。</w:t>
      </w:r>
    </w:p>
    <w:p w14:paraId="2BCC43FD" w14:textId="77777777" w:rsidR="00C76E2E" w:rsidRDefault="00791C5A">
      <w:pPr>
        <w:pStyle w:val="a0"/>
      </w:pPr>
      <w:r>
        <w:rPr>
          <w:lang w:eastAsia="zh-CN"/>
        </w:rPr>
        <w:t>设</w:t>
      </w:r>
      <w:r>
        <w:rPr>
          <w:lang w:eastAsia="zh-CN"/>
        </w:rPr>
        <w:t xml:space="preserve"> H_d </w:t>
      </w:r>
      <w:r>
        <w:rPr>
          <w:lang w:eastAsia="zh-CN"/>
        </w:rPr>
        <w:t>为两位类</w:t>
      </w:r>
      <w:r>
        <w:rPr>
          <w:lang w:eastAsia="zh-CN"/>
        </w:rPr>
        <w:t xml:space="preserve"> d </w:t>
      </w:r>
      <w:r>
        <w:rPr>
          <w:lang w:eastAsia="zh-CN"/>
        </w:rPr>
        <w:t>下全部</w:t>
      </w:r>
      <w:r>
        <w:rPr>
          <w:lang w:eastAsia="zh-CN"/>
        </w:rPr>
        <w:t>ISIC</w:t>
      </w:r>
      <w:r>
        <w:rPr>
          <w:lang w:eastAsia="zh-CN"/>
        </w:rPr>
        <w:t>四位组的集合，</w:t>
      </w:r>
      <w:r>
        <w:rPr>
          <w:lang w:eastAsia="zh-CN"/>
        </w:rPr>
        <w:t xml:space="preserve">Y_h0 </w:t>
      </w:r>
      <w:r>
        <w:rPr>
          <w:lang w:eastAsia="zh-CN"/>
        </w:rPr>
        <w:t>为统一基期的四位组经济规模。基准优先使用能够在</w:t>
      </w:r>
      <w:r>
        <w:rPr>
          <w:lang w:eastAsia="zh-CN"/>
        </w:rPr>
        <w:t>ISIC</w:t>
      </w:r>
      <w:r>
        <w:rPr>
          <w:lang w:eastAsia="zh-CN"/>
        </w:rPr>
        <w:t>四位层面获得且口径稳定的基期产值或增加值；外资企业产值和就业权重作为替代口径。</w:t>
      </w:r>
      <w:r>
        <w:t>定义固定权重和两位类政策暴露为</w:t>
      </w:r>
    </w:p>
    <w:p w14:paraId="56590DDC" w14:textId="77777777" w:rsidR="00C76E2E" w:rsidRDefault="00791C5A">
      <w:pPr>
        <w:pStyle w:val="a0"/>
        <w:spacing w:before="80" w:after="80"/>
        <w:ind w:firstLine="0"/>
        <w:jc w:val="center"/>
      </w:pPr>
      <m:oMathPara>
        <m:oMathParaPr>
          <m:jc m:val="center"/>
        </m:oMathParaP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hd,0</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Y</m:t>
                  </m:r>
                </m:e>
                <m:sub>
                  <m:r>
                    <m:rPr>
                      <m:sty m:val="p"/>
                    </m:rPr>
                    <w:rPr>
                      <w:rFonts w:ascii="Cambria Math" w:hAnsi="Cambria Math"/>
                    </w:rPr>
                    <m:t>h0</m:t>
                  </m:r>
                </m:sub>
              </m:sSub>
            </m:num>
            <m:den>
              <m:nary>
                <m:naryPr>
                  <m:chr m:val="∑"/>
                  <m:limLoc m:val="undOvr"/>
                  <m:supHide m:val="1"/>
                  <m:ctrlPr>
                    <w:rPr>
                      <w:rFonts w:ascii="Cambria Math" w:hAnsi="Cambria Math"/>
                    </w:rPr>
                  </m:ctrlPr>
                </m:naryPr>
                <m:sub>
                  <m:r>
                    <m:rPr>
                      <m:sty m:val="p"/>
                    </m:rPr>
                    <w:rPr>
                      <w:rFonts w:ascii="Cambria Math" w:hAnsi="Cambria Math"/>
                    </w:rPr>
                    <m:t>h'∈H_d</m:t>
                  </m:r>
                </m:sub>
                <m:sup>
                  <m:r>
                    <m:rPr>
                      <m:sty m:val="p"/>
                    </m:rPr>
                    <w:rPr>
                      <w:rFonts w:ascii="Cambria Math" w:hAnsi="Cambria Math"/>
                    </w:rPr>
                    <m:t>​</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h'0</m:t>
                      </m:r>
                    </m:sub>
                  </m:sSub>
                </m:e>
              </m:nary>
            </m:den>
          </m:f>
          <m:r>
            <m:rPr>
              <m:sty m:val="p"/>
            </m:rPr>
            <w:rPr>
              <w:rFonts w:ascii="Cambria Math" w:hAnsi="Cambria Math"/>
            </w:rPr>
            <m:t xml:space="preserve">,    </m:t>
          </m:r>
          <m:sSubSup>
            <m:sSubSupPr>
              <m:ctrlPr>
                <w:rPr>
                  <w:rFonts w:ascii="Cambria Math" w:hAnsi="Cambria Math"/>
                </w:rPr>
              </m:ctrlPr>
            </m:sSubSupPr>
            <m:e>
              <m:r>
                <m:rPr>
                  <m:sty m:val="p"/>
                </m:rPr>
                <w:rPr>
                  <w:rFonts w:ascii="Cambria Math" w:hAnsi="Cambria Math"/>
                </w:rPr>
                <m:t>Z</m:t>
              </m:r>
            </m:e>
            <m:sub>
              <m:r>
                <m:rPr>
                  <m:sty m:val="p"/>
                </m:rPr>
                <w:rPr>
                  <w:rFonts w:ascii="Cambria Math" w:hAnsi="Cambria Math"/>
                </w:rPr>
                <m:t>dt</m:t>
              </m:r>
            </m:sub>
            <m:sup>
              <m:r>
                <m:rPr>
                  <m:sty m:val="p"/>
                </m:rPr>
                <w:rPr>
                  <w:rFonts w:ascii="Cambria Math" w:hAnsi="Cambria Math"/>
                </w:rPr>
                <m:t>k</m:t>
              </m:r>
            </m:sup>
          </m:sSubSup>
          <m:r>
            <m:rPr>
              <m:sty m:val="p"/>
            </m:rPr>
            <w:rPr>
              <w:rFonts w:ascii="Cambria Math" w:hAnsi="Cambria Math"/>
            </w:rPr>
            <m:t xml:space="preserve"> = </m:t>
          </m:r>
          <m:nary>
            <m:naryPr>
              <m:chr m:val="∑"/>
              <m:limLoc m:val="undOvr"/>
              <m:supHide m:val="1"/>
              <m:ctrlPr>
                <w:rPr>
                  <w:rFonts w:ascii="Cambria Math" w:hAnsi="Cambria Math"/>
                </w:rPr>
              </m:ctrlPr>
            </m:naryPr>
            <m:sub>
              <m:r>
                <m:rPr>
                  <m:sty m:val="p"/>
                </m:rPr>
                <w:rPr>
                  <w:rFonts w:ascii="Cambria Math" w:hAnsi="Cambria Math"/>
                </w:rPr>
                <m:t>h∈H_d</m:t>
              </m:r>
            </m:sub>
            <m:sup>
              <m:r>
                <m:rPr>
                  <m:sty m:val="p"/>
                </m:rPr>
                <w:rPr>
                  <w:rFonts w:ascii="Cambria Math" w:hAnsi="Cambria Math"/>
                </w:rPr>
                <m:t>​</m:t>
              </m:r>
            </m:sup>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hd,0</m:t>
                  </m:r>
                </m:sub>
              </m:sSub>
              <m:sSubSup>
                <m:sSubSupPr>
                  <m:ctrlPr>
                    <w:rPr>
                      <w:rFonts w:ascii="Cambria Math" w:hAnsi="Cambria Math"/>
                    </w:rPr>
                  </m:ctrlPr>
                </m:sSubSupPr>
                <m:e>
                  <m:r>
                    <m:rPr>
                      <m:sty m:val="p"/>
                    </m:rPr>
                    <w:rPr>
                      <w:rFonts w:ascii="Cambria Math" w:hAnsi="Cambria Math"/>
                    </w:rPr>
                    <m:t>z</m:t>
                  </m:r>
                </m:e>
                <m:sub>
                  <m:r>
                    <m:rPr>
                      <m:sty m:val="p"/>
                    </m:rPr>
                    <w:rPr>
                      <w:rFonts w:ascii="Cambria Math" w:hAnsi="Cambria Math"/>
                    </w:rPr>
                    <m:t>ht</m:t>
                  </m:r>
                </m:sub>
                <m:sup>
                  <m:r>
                    <m:rPr>
                      <m:sty m:val="p"/>
                    </m:rPr>
                    <w:rPr>
                      <w:rFonts w:ascii="Cambria Math" w:hAnsi="Cambria Math"/>
                    </w:rPr>
                    <m:t>k</m:t>
                  </m:r>
                </m:sup>
              </m:sSubSup>
            </m:e>
          </m:nary>
          <m:r>
            <m:rPr>
              <m:sty m:val="p"/>
            </m:rPr>
            <w:rPr>
              <w:rFonts w:ascii="Cambria Math" w:hAnsi="Cambria Math"/>
            </w:rPr>
            <m:t>.</m:t>
          </m:r>
        </m:oMath>
      </m:oMathPara>
    </w:p>
    <w:p w14:paraId="31759FAB" w14:textId="77777777" w:rsidR="00C76E2E" w:rsidRDefault="00791C5A">
      <w:pPr>
        <w:pStyle w:val="a0"/>
        <w:rPr>
          <w:lang w:eastAsia="zh-CN"/>
        </w:rPr>
      </w:pPr>
      <w:r>
        <w:rPr>
          <w:lang w:eastAsia="zh-CN"/>
        </w:rPr>
        <w:t>固定基期权重的作用是使政策暴露的时间变化尽可能只来自负面清单约束本身，而不把细行业随后扩张或收缩产生的构成效应混入政策变量。若某条政策仅覆盖</w:t>
      </w:r>
      <w:r>
        <w:rPr>
          <w:lang w:eastAsia="zh-CN"/>
        </w:rPr>
        <w:t>ISIC</w:t>
      </w:r>
      <w:r>
        <w:rPr>
          <w:lang w:eastAsia="zh-CN"/>
        </w:rPr>
        <w:t>四位组中的部分活动且缺乏可核验的组内权重，基准结果不应把该组直接视为</w:t>
      </w:r>
      <w:r>
        <w:rPr>
          <w:lang w:eastAsia="zh-CN"/>
        </w:rPr>
        <w:t>100%</w:t>
      </w:r>
      <w:r>
        <w:rPr>
          <w:lang w:eastAsia="zh-CN"/>
        </w:rPr>
        <w:t>受限；可以将</w:t>
      </w:r>
      <w:r>
        <w:rPr>
          <w:lang w:eastAsia="zh-CN"/>
        </w:rPr>
        <w:t xml:space="preserve"> full/exact </w:t>
      </w:r>
      <w:r>
        <w:rPr>
          <w:lang w:eastAsia="zh-CN"/>
        </w:rPr>
        <w:t>或</w:t>
      </w:r>
      <w:r>
        <w:rPr>
          <w:lang w:eastAsia="zh-CN"/>
        </w:rPr>
        <w:t xml:space="preserve"> full/narrow </w:t>
      </w:r>
      <w:r>
        <w:rPr>
          <w:lang w:eastAsia="zh-CN"/>
        </w:rPr>
        <w:t>关系作为窄口径基准，并把</w:t>
      </w:r>
      <w:r>
        <w:rPr>
          <w:lang w:eastAsia="zh-CN"/>
        </w:rPr>
        <w:t xml:space="preserve"> partial/ambiguous </w:t>
      </w:r>
      <w:r>
        <w:rPr>
          <w:lang w:eastAsia="zh-CN"/>
        </w:rPr>
        <w:t>关系纳入扩展口径或上下界稳健性检验。</w:t>
      </w:r>
    </w:p>
    <w:p w14:paraId="087B286F" w14:textId="77777777" w:rsidR="00C76E2E" w:rsidRDefault="00791C5A">
      <w:pPr>
        <w:pStyle w:val="3"/>
        <w:rPr>
          <w:lang w:eastAsia="zh-CN"/>
        </w:rPr>
      </w:pPr>
      <w:r>
        <w:rPr>
          <w:rFonts w:ascii="Times New Roman" w:eastAsia="宋体" w:hAnsi="Times New Roman"/>
          <w:lang w:eastAsia="zh-CN"/>
        </w:rPr>
        <w:t>A.2.4</w:t>
      </w:r>
      <w:r>
        <w:rPr>
          <w:rFonts w:ascii="Times New Roman" w:eastAsia="宋体" w:hAnsi="Times New Roman"/>
          <w:lang w:eastAsia="zh-CN"/>
        </w:rPr>
        <w:t xml:space="preserve">　</w:t>
      </w:r>
      <w:r>
        <w:rPr>
          <w:rFonts w:ascii="Times New Roman" w:eastAsia="宋体" w:hAnsi="Times New Roman"/>
          <w:lang w:eastAsia="zh-CN"/>
        </w:rPr>
        <w:t>ISIC Rev.4</w:t>
      </w:r>
      <w:r>
        <w:rPr>
          <w:rFonts w:ascii="Times New Roman" w:eastAsia="宋体" w:hAnsi="Times New Roman"/>
          <w:lang w:eastAsia="zh-CN"/>
        </w:rPr>
        <w:t>两位类到</w:t>
      </w:r>
      <w:r>
        <w:rPr>
          <w:rFonts w:ascii="Times New Roman" w:eastAsia="宋体" w:hAnsi="Times New Roman"/>
          <w:lang w:eastAsia="zh-CN"/>
        </w:rPr>
        <w:t>OECD-AMNE</w:t>
      </w:r>
      <w:r>
        <w:rPr>
          <w:rFonts w:ascii="Times New Roman" w:eastAsia="宋体" w:hAnsi="Times New Roman"/>
          <w:lang w:eastAsia="zh-CN"/>
        </w:rPr>
        <w:t>行业</w:t>
      </w:r>
    </w:p>
    <w:p w14:paraId="77CADE79" w14:textId="77777777" w:rsidR="00C76E2E" w:rsidRDefault="00791C5A">
      <w:pPr>
        <w:pStyle w:val="FirstParagraph"/>
        <w:rPr>
          <w:lang w:eastAsia="zh-CN"/>
        </w:rPr>
      </w:pPr>
      <w:r>
        <w:t>OECD-AMNE</w:t>
      </w:r>
      <w:r>
        <w:t>行业是对</w:t>
      </w:r>
      <w:r>
        <w:t>ISIC Rev.4</w:t>
      </w:r>
      <w:r>
        <w:t>若干两位类的进一步归并。设</w:t>
      </w:r>
      <w:r>
        <w:t xml:space="preserve"> D_j </w:t>
      </w:r>
      <w:r>
        <w:t>为</w:t>
      </w:r>
      <w:r>
        <w:t>OECD-AMNE</w:t>
      </w:r>
      <w:r>
        <w:t>行业</w:t>
      </w:r>
      <w:r>
        <w:t xml:space="preserve"> j </w:t>
      </w:r>
      <w:r>
        <w:t>所包含的</w:t>
      </w:r>
      <w:r>
        <w:t>ISIC</w:t>
      </w:r>
      <w:r>
        <w:t>两位类集合，</w:t>
      </w:r>
      <w:r>
        <w:t>Y_d0=∑_{h∈H_d}Y_h0</w:t>
      </w:r>
      <w:r>
        <w:t>。</w:t>
      </w:r>
      <w:r>
        <w:rPr>
          <w:lang w:eastAsia="zh-CN"/>
        </w:rPr>
        <w:t>使用同一基期口径构造两位类在</w:t>
      </w:r>
      <w:r>
        <w:rPr>
          <w:lang w:eastAsia="zh-CN"/>
        </w:rPr>
        <w:t>OECD-AMNE</w:t>
      </w:r>
      <w:r>
        <w:rPr>
          <w:lang w:eastAsia="zh-CN"/>
        </w:rPr>
        <w:t>行业中的固定权重，并进一步得到最终进入成本映射方程的行业</w:t>
      </w:r>
      <w:r>
        <w:rPr>
          <w:lang w:eastAsia="zh-CN"/>
        </w:rPr>
        <w:t>—</w:t>
      </w:r>
      <w:r>
        <w:rPr>
          <w:lang w:eastAsia="zh-CN"/>
        </w:rPr>
        <w:t>年份政策暴露：</w:t>
      </w:r>
    </w:p>
    <w:p w14:paraId="3CC5B1FB" w14:textId="77777777" w:rsidR="00C76E2E" w:rsidRDefault="00791C5A">
      <w:pPr>
        <w:pStyle w:val="a0"/>
        <w:spacing w:before="80" w:after="80"/>
        <w:ind w:firstLine="0"/>
        <w:jc w:val="center"/>
      </w:pPr>
      <m:oMathPara>
        <m:oMathParaPr>
          <m:jc m:val="center"/>
        </m:oMathParaP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dj,0</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Y</m:t>
                  </m:r>
                </m:e>
                <m:sub>
                  <m:r>
                    <m:rPr>
                      <m:sty m:val="p"/>
                    </m:rPr>
                    <w:rPr>
                      <w:rFonts w:ascii="Cambria Math" w:hAnsi="Cambria Math"/>
                    </w:rPr>
                    <m:t>d0</m:t>
                  </m:r>
                </m:sub>
              </m:sSub>
            </m:num>
            <m:den>
              <m:nary>
                <m:naryPr>
                  <m:chr m:val="∑"/>
                  <m:limLoc m:val="undOvr"/>
                  <m:supHide m:val="1"/>
                  <m:ctrlPr>
                    <w:rPr>
                      <w:rFonts w:ascii="Cambria Math" w:hAnsi="Cambria Math"/>
                    </w:rPr>
                  </m:ctrlPr>
                </m:naryPr>
                <m:sub>
                  <m:r>
                    <m:rPr>
                      <m:sty m:val="p"/>
                    </m:rPr>
                    <w:rPr>
                      <w:rFonts w:ascii="Cambria Math" w:hAnsi="Cambria Math"/>
                    </w:rPr>
                    <m:t>d'∈D_j</m:t>
                  </m:r>
                </m:sub>
                <m:sup>
                  <m:r>
                    <m:rPr>
                      <m:sty m:val="p"/>
                    </m:rPr>
                    <w:rPr>
                      <w:rFonts w:ascii="Cambria Math" w:hAnsi="Cambria Math"/>
                    </w:rPr>
                    <m:t>​</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d'0</m:t>
                      </m:r>
                    </m:sub>
                  </m:sSub>
                </m:e>
              </m:nary>
            </m:den>
          </m:f>
          <m:r>
            <m:rPr>
              <m:sty m:val="p"/>
            </m:rPr>
            <w:rPr>
              <w:rFonts w:ascii="Cambria Math" w:hAnsi="Cambria Math"/>
            </w:rPr>
            <m:t xml:space="preserve">,    </m:t>
          </m:r>
          <m:sSubSup>
            <m:sSubSupPr>
              <m:ctrlPr>
                <w:rPr>
                  <w:rFonts w:ascii="Cambria Math" w:hAnsi="Cambria Math"/>
                </w:rPr>
              </m:ctrlPr>
            </m:sSubSupPr>
            <m:e>
              <m:r>
                <m:rPr>
                  <m:sty m:val="p"/>
                </m:rPr>
                <w:rPr>
                  <w:rFonts w:ascii="Cambria Math" w:hAnsi="Cambria Math"/>
                </w:rPr>
                <m:t>Z</m:t>
              </m:r>
            </m:e>
            <m:sub>
              <m:r>
                <m:rPr>
                  <m:sty m:val="p"/>
                </m:rPr>
                <w:rPr>
                  <w:rFonts w:ascii="Cambria Math" w:hAnsi="Cambria Math"/>
                </w:rPr>
                <m:t>jt</m:t>
              </m:r>
            </m:sub>
            <m:sup>
              <m:r>
                <m:rPr>
                  <m:sty m:val="p"/>
                </m:rPr>
                <w:rPr>
                  <w:rFonts w:ascii="Cambria Math" w:hAnsi="Cambria Math"/>
                </w:rPr>
                <m:t>k</m:t>
              </m:r>
            </m:sup>
          </m:sSubSup>
          <m:r>
            <m:rPr>
              <m:sty m:val="p"/>
            </m:rPr>
            <w:rPr>
              <w:rFonts w:ascii="Cambria Math" w:hAnsi="Cambria Math"/>
            </w:rPr>
            <m:t xml:space="preserve"> = </m:t>
          </m:r>
          <m:nary>
            <m:naryPr>
              <m:chr m:val="∑"/>
              <m:limLoc m:val="undOvr"/>
              <m:supHide m:val="1"/>
              <m:ctrlPr>
                <w:rPr>
                  <w:rFonts w:ascii="Cambria Math" w:hAnsi="Cambria Math"/>
                </w:rPr>
              </m:ctrlPr>
            </m:naryPr>
            <m:sub>
              <m:r>
                <m:rPr>
                  <m:sty m:val="p"/>
                </m:rPr>
                <w:rPr>
                  <w:rFonts w:ascii="Cambria Math" w:hAnsi="Cambria Math"/>
                </w:rPr>
                <m:t>d∈D_j</m:t>
              </m:r>
            </m:sub>
            <m:sup>
              <m:r>
                <m:rPr>
                  <m:sty m:val="p"/>
                </m:rPr>
                <w:rPr>
                  <w:rFonts w:ascii="Cambria Math" w:hAnsi="Cambria Math"/>
                </w:rPr>
                <m:t>​</m:t>
              </m:r>
            </m:sup>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dj,0</m:t>
                  </m:r>
                </m:sub>
              </m:sSub>
              <m:sSubSup>
                <m:sSubSupPr>
                  <m:ctrlPr>
                    <w:rPr>
                      <w:rFonts w:ascii="Cambria Math" w:hAnsi="Cambria Math"/>
                    </w:rPr>
                  </m:ctrlPr>
                </m:sSubSupPr>
                <m:e>
                  <m:r>
                    <m:rPr>
                      <m:sty m:val="p"/>
                    </m:rPr>
                    <w:rPr>
                      <w:rFonts w:ascii="Cambria Math" w:hAnsi="Cambria Math"/>
                    </w:rPr>
                    <m:t>Z</m:t>
                  </m:r>
                </m:e>
                <m:sub>
                  <m:r>
                    <m:rPr>
                      <m:sty m:val="p"/>
                    </m:rPr>
                    <w:rPr>
                      <w:rFonts w:ascii="Cambria Math" w:hAnsi="Cambria Math"/>
                    </w:rPr>
                    <m:t>dt</m:t>
                  </m:r>
                </m:sub>
                <m:sup>
                  <m:r>
                    <m:rPr>
                      <m:sty m:val="p"/>
                    </m:rPr>
                    <w:rPr>
                      <w:rFonts w:ascii="Cambria Math" w:hAnsi="Cambria Math"/>
                    </w:rPr>
                    <m:t>k</m:t>
                  </m:r>
                </m:sup>
              </m:sSubSup>
            </m:e>
          </m:nary>
          <m:r>
            <m:rPr>
              <m:sty m:val="p"/>
            </m:rPr>
            <w:rPr>
              <w:rFonts w:ascii="Cambria Math" w:hAnsi="Cambria Math"/>
            </w:rPr>
            <m:t xml:space="preserve"> = </m:t>
          </m:r>
          <m:nary>
            <m:naryPr>
              <m:chr m:val="∑"/>
              <m:limLoc m:val="undOvr"/>
              <m:supHide m:val="1"/>
              <m:ctrlPr>
                <w:rPr>
                  <w:rFonts w:ascii="Cambria Math" w:hAnsi="Cambria Math"/>
                </w:rPr>
              </m:ctrlPr>
            </m:naryPr>
            <m:sub>
              <m:r>
                <m:rPr>
                  <m:sty m:val="p"/>
                </m:rPr>
                <w:rPr>
                  <w:rFonts w:ascii="Cambria Math" w:hAnsi="Cambria Math"/>
                </w:rPr>
                <m:t>h∈H_j</m:t>
              </m:r>
            </m:sub>
            <m:sup>
              <m:r>
                <m:rPr>
                  <m:sty m:val="p"/>
                </m:rPr>
                <w:rPr>
                  <w:rFonts w:ascii="Cambria Math" w:hAnsi="Cambria Math"/>
                </w:rPr>
                <m:t>​</m:t>
              </m:r>
            </m:sup>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hj,0</m:t>
                  </m:r>
                </m:sub>
              </m:sSub>
              <m:sSubSup>
                <m:sSubSupPr>
                  <m:ctrlPr>
                    <w:rPr>
                      <w:rFonts w:ascii="Cambria Math" w:hAnsi="Cambria Math"/>
                    </w:rPr>
                  </m:ctrlPr>
                </m:sSubSupPr>
                <m:e>
                  <m:r>
                    <m:rPr>
                      <m:sty m:val="p"/>
                    </m:rPr>
                    <w:rPr>
                      <w:rFonts w:ascii="Cambria Math" w:hAnsi="Cambria Math"/>
                    </w:rPr>
                    <m:t>z</m:t>
                  </m:r>
                </m:e>
                <m:sub>
                  <m:r>
                    <m:rPr>
                      <m:sty m:val="p"/>
                    </m:rPr>
                    <w:rPr>
                      <w:rFonts w:ascii="Cambria Math" w:hAnsi="Cambria Math"/>
                    </w:rPr>
                    <m:t>ht</m:t>
                  </m:r>
                </m:sub>
                <m:sup>
                  <m:r>
                    <m:rPr>
                      <m:sty m:val="p"/>
                    </m:rPr>
                    <w:rPr>
                      <w:rFonts w:ascii="Cambria Math" w:hAnsi="Cambria Math"/>
                    </w:rPr>
                    <m:t>k</m:t>
                  </m:r>
                </m:sup>
              </m:sSubSup>
            </m:e>
          </m:nary>
          <m:r>
            <m:rPr>
              <m:sty m:val="p"/>
            </m:rPr>
            <w:rPr>
              <w:rFonts w:ascii="Cambria Math" w:hAnsi="Cambria Math"/>
            </w:rPr>
            <m:t>.    (A3)</m:t>
          </m:r>
        </m:oMath>
      </m:oMathPara>
    </w:p>
    <w:p w14:paraId="0749C4ED" w14:textId="77777777" w:rsidR="00C76E2E" w:rsidRDefault="00791C5A">
      <w:pPr>
        <w:pStyle w:val="a0"/>
        <w:rPr>
          <w:lang w:eastAsia="zh-CN"/>
        </w:rPr>
      </w:pPr>
      <w:r>
        <w:rPr>
          <w:lang w:eastAsia="zh-CN"/>
        </w:rPr>
        <w:t>因此，在使用同一基期规模变量并保持行业集合完整时，</w:t>
      </w:r>
      <w:r>
        <w:rPr>
          <w:lang w:eastAsia="zh-CN"/>
        </w:rPr>
        <w:t>“ISIC</w:t>
      </w:r>
      <w:r>
        <w:rPr>
          <w:lang w:eastAsia="zh-CN"/>
        </w:rPr>
        <w:t>四位组</w:t>
      </w:r>
      <w:r>
        <w:rPr>
          <w:lang w:eastAsia="zh-CN"/>
        </w:rPr>
        <w:t>→ISIC</w:t>
      </w:r>
      <w:r>
        <w:rPr>
          <w:lang w:eastAsia="zh-CN"/>
        </w:rPr>
        <w:t>两位类</w:t>
      </w:r>
      <w:r>
        <w:rPr>
          <w:lang w:eastAsia="zh-CN"/>
        </w:rPr>
        <w:t>→OECD-AMNE</w:t>
      </w:r>
      <w:r>
        <w:rPr>
          <w:lang w:eastAsia="zh-CN"/>
        </w:rPr>
        <w:t>行业</w:t>
      </w:r>
      <w:r>
        <w:rPr>
          <w:lang w:eastAsia="zh-CN"/>
        </w:rPr>
        <w:t>”</w:t>
      </w:r>
      <w:r>
        <w:rPr>
          <w:lang w:eastAsia="zh-CN"/>
        </w:rPr>
        <w:t>的分步聚合与直接从</w:t>
      </w:r>
      <w:r>
        <w:rPr>
          <w:lang w:eastAsia="zh-CN"/>
        </w:rPr>
        <w:t>ISIC</w:t>
      </w:r>
      <w:r>
        <w:rPr>
          <w:lang w:eastAsia="zh-CN"/>
        </w:rPr>
        <w:t>四位组加权到</w:t>
      </w:r>
      <w:r>
        <w:rPr>
          <w:lang w:eastAsia="zh-CN"/>
        </w:rPr>
        <w:t>OECD-AMNE</w:t>
      </w:r>
      <w:r>
        <w:rPr>
          <w:lang w:eastAsia="zh-CN"/>
        </w:rPr>
        <w:t>行业在数学上等价；但数据处理中仍保留两位类这一中间层，以便逐层核查</w:t>
      </w:r>
      <w:r>
        <w:rPr>
          <w:lang w:eastAsia="zh-CN"/>
        </w:rPr>
        <w:t>GB—ISIC</w:t>
      </w:r>
      <w:r>
        <w:rPr>
          <w:lang w:eastAsia="zh-CN"/>
        </w:rPr>
        <w:t>转换、</w:t>
      </w:r>
      <w:r>
        <w:rPr>
          <w:lang w:eastAsia="zh-CN"/>
        </w:rPr>
        <w:t>ISIC</w:t>
      </w:r>
      <w:r>
        <w:rPr>
          <w:lang w:eastAsia="zh-CN"/>
        </w:rPr>
        <w:t>内部聚合以及</w:t>
      </w:r>
      <w:r>
        <w:rPr>
          <w:lang w:eastAsia="zh-CN"/>
        </w:rPr>
        <w:t>OECD-AMNE</w:t>
      </w:r>
      <w:r>
        <w:rPr>
          <w:lang w:eastAsia="zh-CN"/>
        </w:rPr>
        <w:t>归并是否正确。若某一</w:t>
      </w:r>
      <w:r>
        <w:rPr>
          <w:lang w:eastAsia="zh-CN"/>
        </w:rPr>
        <w:t>OECD-AMNE</w:t>
      </w:r>
      <w:r>
        <w:rPr>
          <w:lang w:eastAsia="zh-CN"/>
        </w:rPr>
        <w:t>行业只对应一个</w:t>
      </w:r>
      <w:r>
        <w:rPr>
          <w:lang w:eastAsia="zh-CN"/>
        </w:rPr>
        <w:t>ISIC</w:t>
      </w:r>
      <w:r>
        <w:rPr>
          <w:lang w:eastAsia="zh-CN"/>
        </w:rPr>
        <w:t>两位类，则第二步权重等于</w:t>
      </w:r>
      <w:r>
        <w:rPr>
          <w:lang w:eastAsia="zh-CN"/>
        </w:rPr>
        <w:t>1</w:t>
      </w:r>
      <w:r>
        <w:rPr>
          <w:lang w:eastAsia="zh-CN"/>
        </w:rPr>
        <w:t>。</w:t>
      </w:r>
    </w:p>
    <w:p w14:paraId="34146A4D" w14:textId="77777777" w:rsidR="00C76E2E" w:rsidRDefault="00791C5A">
      <w:pPr>
        <w:pStyle w:val="a0"/>
        <w:rPr>
          <w:lang w:eastAsia="zh-CN"/>
        </w:rPr>
      </w:pPr>
      <w:r>
        <w:rPr>
          <w:lang w:eastAsia="zh-CN"/>
        </w:rPr>
        <w:t>禁止准入仍与有限准入限制分开处理。令</w:t>
      </w:r>
      <w:r>
        <w:rPr>
          <w:lang w:eastAsia="zh-CN"/>
        </w:rPr>
        <w:t xml:space="preserve"> P_ht </w:t>
      </w:r>
      <w:r>
        <w:rPr>
          <w:lang w:eastAsia="zh-CN"/>
        </w:rPr>
        <w:t>表示</w:t>
      </w:r>
      <w:r>
        <w:rPr>
          <w:lang w:eastAsia="zh-CN"/>
        </w:rPr>
        <w:t>ISIC</w:t>
      </w:r>
      <w:r>
        <w:rPr>
          <w:lang w:eastAsia="zh-CN"/>
        </w:rPr>
        <w:t>四位组</w:t>
      </w:r>
      <w:r>
        <w:rPr>
          <w:lang w:eastAsia="zh-CN"/>
        </w:rPr>
        <w:t xml:space="preserve"> h </w:t>
      </w:r>
      <w:r>
        <w:rPr>
          <w:lang w:eastAsia="zh-CN"/>
        </w:rPr>
        <w:t>是否被排除在外资可行生产集合之外，则</w:t>
      </w:r>
      <w:r>
        <w:rPr>
          <w:lang w:eastAsia="zh-CN"/>
        </w:rPr>
        <w:t>OECD-AMNE</w:t>
      </w:r>
      <w:r>
        <w:rPr>
          <w:lang w:eastAsia="zh-CN"/>
        </w:rPr>
        <w:t>行业层面的禁止准入份额定义为</w:t>
      </w:r>
    </w:p>
    <w:p w14:paraId="0E3EDA47" w14:textId="77777777" w:rsidR="00C76E2E" w:rsidRDefault="00791C5A">
      <w:pPr>
        <w:pStyle w:val="a0"/>
        <w:spacing w:before="80" w:after="80"/>
        <w:ind w:firstLine="0"/>
        <w:jc w:val="center"/>
      </w:pPr>
      <m:oMathPara>
        <m:oMathParaPr>
          <m:jc m:val="center"/>
        </m:oMathParaP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jt</m:t>
              </m:r>
            </m:sub>
          </m:sSub>
          <m:r>
            <m:rPr>
              <m:sty m:val="p"/>
            </m:rPr>
            <w:rPr>
              <w:rFonts w:ascii="Cambria Math" w:hAnsi="Cambria Math"/>
            </w:rPr>
            <m:t xml:space="preserve"> = </m:t>
          </m:r>
          <m:nary>
            <m:naryPr>
              <m:chr m:val="∑"/>
              <m:limLoc m:val="undOvr"/>
              <m:supHide m:val="1"/>
              <m:ctrlPr>
                <w:rPr>
                  <w:rFonts w:ascii="Cambria Math" w:hAnsi="Cambria Math"/>
                </w:rPr>
              </m:ctrlPr>
            </m:naryPr>
            <m:sub>
              <m:r>
                <m:rPr>
                  <m:sty m:val="p"/>
                </m:rPr>
                <w:rPr>
                  <w:rFonts w:ascii="Cambria Math" w:hAnsi="Cambria Math"/>
                </w:rPr>
                <m:t>h∈H_j</m:t>
              </m:r>
            </m:sub>
            <m:sup>
              <m:r>
                <m:rPr>
                  <m:sty m:val="p"/>
                </m:rPr>
                <w:rPr>
                  <w:rFonts w:ascii="Cambria Math" w:hAnsi="Cambria Math"/>
                </w:rPr>
                <m:t>​</m:t>
              </m:r>
            </m:sup>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hj,0</m:t>
                  </m:r>
                </m:sub>
              </m:sSub>
              <m:sSub>
                <m:sSubPr>
                  <m:ctrlPr>
                    <w:rPr>
                      <w:rFonts w:ascii="Cambria Math" w:hAnsi="Cambria Math"/>
                    </w:rPr>
                  </m:ctrlPr>
                </m:sSubPr>
                <m:e>
                  <m:r>
                    <m:rPr>
                      <m:sty m:val="p"/>
                    </m:rPr>
                    <w:rPr>
                      <w:rFonts w:ascii="Cambria Math" w:hAnsi="Cambria Math"/>
                    </w:rPr>
                    <m:t>P</m:t>
                  </m:r>
                </m:e>
                <m:sub>
                  <m:r>
                    <m:rPr>
                      <m:sty m:val="p"/>
                    </m:rPr>
                    <w:rPr>
                      <w:rFonts w:ascii="Cambria Math" w:hAnsi="Cambria Math"/>
                    </w:rPr>
                    <m:t>ht</m:t>
                  </m:r>
                </m:sub>
              </m:sSub>
            </m:e>
          </m:nary>
          <m:r>
            <m:rPr>
              <m:sty m:val="p"/>
            </m:rPr>
            <w:rPr>
              <w:rFonts w:ascii="Cambria Math" w:hAnsi="Cambria Math"/>
            </w:rPr>
            <m:t>.</m:t>
          </m:r>
        </m:oMath>
      </m:oMathPara>
    </w:p>
    <w:p w14:paraId="1C488227" w14:textId="77777777" w:rsidR="00C76E2E" w:rsidRDefault="00791C5A">
      <w:pPr>
        <w:pStyle w:val="FirstParagraph"/>
        <w:rPr>
          <w:lang w:eastAsia="zh-CN"/>
        </w:rPr>
      </w:pPr>
      <w:r>
        <w:rPr>
          <w:lang w:eastAsia="zh-CN"/>
        </w:rPr>
        <w:t xml:space="preserve">B_jt </w:t>
      </w:r>
      <w:r>
        <w:rPr>
          <w:lang w:eastAsia="zh-CN"/>
        </w:rPr>
        <w:t>不与股权限制、中方控制、组织形式、治理要求和其他有限准入限制直接线性相加。其含义是</w:t>
      </w:r>
      <w:r>
        <w:rPr>
          <w:lang w:eastAsia="zh-CN"/>
        </w:rPr>
        <w:t>OECD-AMNE</w:t>
      </w:r>
      <w:r>
        <w:rPr>
          <w:lang w:eastAsia="zh-CN"/>
        </w:rPr>
        <w:t>行业</w:t>
      </w:r>
      <w:r>
        <w:rPr>
          <w:lang w:eastAsia="zh-CN"/>
        </w:rPr>
        <w:t xml:space="preserve"> j </w:t>
      </w:r>
      <w:r>
        <w:rPr>
          <w:lang w:eastAsia="zh-CN"/>
        </w:rPr>
        <w:t>的基期经济活动中有多大份额在年份</w:t>
      </w:r>
      <w:r>
        <w:rPr>
          <w:lang w:eastAsia="zh-CN"/>
        </w:rPr>
        <w:t xml:space="preserve"> t </w:t>
      </w:r>
      <w:r>
        <w:rPr>
          <w:lang w:eastAsia="zh-CN"/>
        </w:rPr>
        <w:t>被排除在外国投资者的可行进入集合之外。</w:t>
      </w:r>
    </w:p>
    <w:p w14:paraId="24B5DA07" w14:textId="77777777" w:rsidR="00C76E2E" w:rsidRDefault="00791C5A">
      <w:pPr>
        <w:pStyle w:val="a0"/>
        <w:rPr>
          <w:lang w:eastAsia="zh-CN"/>
        </w:rPr>
      </w:pPr>
      <w:r>
        <w:rPr>
          <w:lang w:eastAsia="zh-CN"/>
        </w:rPr>
        <w:t>例（分层固定权重的直观含义）。设某</w:t>
      </w:r>
      <w:r>
        <w:rPr>
          <w:lang w:eastAsia="zh-CN"/>
        </w:rPr>
        <w:t>ISIC</w:t>
      </w:r>
      <w:r>
        <w:rPr>
          <w:lang w:eastAsia="zh-CN"/>
        </w:rPr>
        <w:t>两位类由三个四位组组成，基期权重分别为</w:t>
      </w:r>
      <w:r>
        <w:rPr>
          <w:lang w:eastAsia="zh-CN"/>
        </w:rPr>
        <w:t>0.5</w:t>
      </w:r>
      <w:r>
        <w:rPr>
          <w:lang w:eastAsia="zh-CN"/>
        </w:rPr>
        <w:t>、</w:t>
      </w:r>
      <w:r>
        <w:rPr>
          <w:lang w:eastAsia="zh-CN"/>
        </w:rPr>
        <w:t>0.3</w:t>
      </w:r>
      <w:r>
        <w:rPr>
          <w:lang w:eastAsia="zh-CN"/>
        </w:rPr>
        <w:t>和</w:t>
      </w:r>
      <w:r>
        <w:rPr>
          <w:lang w:eastAsia="zh-CN"/>
        </w:rPr>
        <w:t>0.2</w:t>
      </w:r>
      <w:r>
        <w:rPr>
          <w:lang w:eastAsia="zh-CN"/>
        </w:rPr>
        <w:t>。改革前只有前两个四位组存在明确</w:t>
      </w:r>
      <w:r>
        <w:rPr>
          <w:lang w:eastAsia="zh-CN"/>
        </w:rPr>
        <w:t>50%</w:t>
      </w:r>
      <w:r>
        <w:rPr>
          <w:lang w:eastAsia="zh-CN"/>
        </w:rPr>
        <w:t>的外资股比上限，</w:t>
      </w:r>
      <w:r>
        <w:rPr>
          <w:lang w:eastAsia="zh-CN"/>
        </w:rPr>
        <w:lastRenderedPageBreak/>
        <w:t>则该两位类的股权限制暴露为</w:t>
      </w:r>
      <w:r>
        <w:rPr>
          <w:lang w:eastAsia="zh-CN"/>
        </w:rPr>
        <w:t>0.40</w:t>
      </w:r>
      <w:r>
        <w:rPr>
          <w:lang w:eastAsia="zh-CN"/>
        </w:rPr>
        <w:t>；改革后第一个四位组取消股比上限而第二个保持不变，则暴露降至</w:t>
      </w:r>
      <w:r>
        <w:rPr>
          <w:lang w:eastAsia="zh-CN"/>
        </w:rPr>
        <w:t>0.15</w:t>
      </w:r>
      <w:r>
        <w:rPr>
          <w:lang w:eastAsia="zh-CN"/>
        </w:rPr>
        <w:t>，变化为</w:t>
      </w:r>
      <w:r>
        <w:rPr>
          <w:lang w:eastAsia="zh-CN"/>
        </w:rPr>
        <w:t>−</w:t>
      </w:r>
      <w:r>
        <w:rPr>
          <w:lang w:eastAsia="zh-CN"/>
        </w:rPr>
        <w:t>0.25</w:t>
      </w:r>
      <w:r>
        <w:rPr>
          <w:lang w:eastAsia="zh-CN"/>
        </w:rPr>
        <w:t>。若该两位类只占某</w:t>
      </w:r>
      <w:r>
        <w:rPr>
          <w:lang w:eastAsia="zh-CN"/>
        </w:rPr>
        <w:t>OECD-AMNE</w:t>
      </w:r>
      <w:r>
        <w:rPr>
          <w:lang w:eastAsia="zh-CN"/>
        </w:rPr>
        <w:t>行业的一部分，则还应按其在该</w:t>
      </w:r>
      <w:r>
        <w:rPr>
          <w:lang w:eastAsia="zh-CN"/>
        </w:rPr>
        <w:t>OECD-AMNE</w:t>
      </w:r>
      <w:r>
        <w:rPr>
          <w:lang w:eastAsia="zh-CN"/>
        </w:rPr>
        <w:t>行业中的固定基期份额继续加权，不能把</w:t>
      </w:r>
      <w:r>
        <w:rPr>
          <w:lang w:eastAsia="zh-CN"/>
        </w:rPr>
        <w:t>0.15</w:t>
      </w:r>
      <w:r>
        <w:rPr>
          <w:lang w:eastAsia="zh-CN"/>
        </w:rPr>
        <w:t>直接解释为整个</w:t>
      </w:r>
      <w:r>
        <w:rPr>
          <w:lang w:eastAsia="zh-CN"/>
        </w:rPr>
        <w:t>OECD-AMNE</w:t>
      </w:r>
      <w:r>
        <w:rPr>
          <w:lang w:eastAsia="zh-CN"/>
        </w:rPr>
        <w:t>行业的限制强度。</w:t>
      </w:r>
    </w:p>
    <w:p w14:paraId="6F79F96F" w14:textId="77777777" w:rsidR="002D0A3C" w:rsidRDefault="003B6787">
      <w:pPr>
        <w:pStyle w:val="2"/>
        <w:rPr>
          <w:lang w:eastAsia="zh-CN"/>
        </w:rPr>
      </w:pPr>
      <w:bookmarkStart w:id="3" w:name="a.3-由政策限制识别中国-inward-mp-cost"/>
      <w:r>
        <w:rPr>
          <w:rFonts w:ascii="Times New Roman" w:eastAsia="宋体" w:hAnsi="Times New Roman"/>
          <w:lang w:eastAsia="zh-CN"/>
        </w:rPr>
        <w:t>A.3</w:t>
      </w:r>
      <w:r>
        <w:rPr>
          <w:rFonts w:ascii="Times New Roman" w:eastAsia="宋体" w:hAnsi="Times New Roman"/>
          <w:lang w:eastAsia="zh-CN"/>
        </w:rPr>
        <w:t xml:space="preserve">　由政策限制识别中国</w:t>
      </w:r>
      <w:r>
        <w:rPr>
          <w:rFonts w:ascii="Times New Roman" w:eastAsia="宋体" w:hAnsi="Times New Roman"/>
          <w:lang w:eastAsia="zh-CN"/>
        </w:rPr>
        <w:t xml:space="preserve"> inward MP cost</w:t>
      </w:r>
    </w:p>
    <w:p w14:paraId="35630EB0" w14:textId="77777777" w:rsidR="002D0A3C" w:rsidRDefault="003B6787">
      <w:pPr>
        <w:pStyle w:val="3"/>
        <w:rPr>
          <w:lang w:eastAsia="zh-CN"/>
        </w:rPr>
      </w:pPr>
      <w:bookmarkStart w:id="4" w:name="a.3.1-经验制度型跨国投资成本"/>
      <w:r>
        <w:rPr>
          <w:rFonts w:ascii="Times New Roman" w:eastAsia="宋体" w:hAnsi="Times New Roman"/>
          <w:lang w:eastAsia="zh-CN"/>
        </w:rPr>
        <w:t>A.3.1</w:t>
      </w:r>
      <w:r>
        <w:rPr>
          <w:rFonts w:ascii="Times New Roman" w:eastAsia="宋体" w:hAnsi="Times New Roman"/>
          <w:lang w:eastAsia="zh-CN"/>
        </w:rPr>
        <w:t xml:space="preserve">　经验制度型跨国投资成本</w:t>
      </w:r>
    </w:p>
    <w:p w14:paraId="3437370D" w14:textId="77777777" w:rsidR="002D0A3C" w:rsidRDefault="003B6787" w:rsidP="00D12DAA">
      <w:pPr>
        <w:pStyle w:val="FirstParagraph"/>
        <w:spacing w:before="80" w:after="80" w:line="240" w:lineRule="auto"/>
        <w:ind w:firstLine="0"/>
        <w:rPr>
          <w:lang w:eastAsia="zh-CN"/>
        </w:rPr>
      </w:pPr>
      <w:r>
        <w:rPr>
          <w:lang w:eastAsia="zh-CN"/>
        </w:rPr>
        <w:t>《中国高水平制度型开放与全球产业链网络重塑》先利用</w:t>
      </w:r>
      <w:r>
        <w:rPr>
          <w:lang w:eastAsia="zh-CN"/>
        </w:rPr>
        <w:t xml:space="preserve"> OECD-AMNE </w:t>
      </w:r>
      <w:r>
        <w:rPr>
          <w:lang w:eastAsia="zh-CN"/>
        </w:rPr>
        <w:t>的跨国企业活动数据反推双边跨国投资成本，再剥离距离等客观因素得到制度型成本。按该文记号，双边总跨国投资成本记为</w:t>
      </w:r>
      <w:r>
        <w:rPr>
          <w:lang w:eastAsia="zh-CN"/>
        </w:rPr>
        <w:t xml:space="preserve"> </w:t>
      </w:r>
      <m:oMath>
        <m:sSub>
          <m:sSubPr>
            <m:ctrlPr>
              <w:rPr>
                <w:rFonts w:ascii="Cambria Math" w:hAnsi="Cambria Math"/>
              </w:rPr>
            </m:ctrlPr>
          </m:sSubPr>
          <m:e>
            <m:r>
              <w:rPr>
                <w:rFonts w:ascii="Cambria Math" w:hAnsi="Cambria Math"/>
                <w:lang w:eastAsia="zh-CN"/>
              </w:rPr>
              <m:t>γ</m:t>
            </m:r>
          </m:e>
          <m:sub>
            <m:r>
              <w:rPr>
                <w:rFonts w:ascii="Cambria Math" w:hAnsi="Cambria Math"/>
                <w:lang w:eastAsia="zh-CN"/>
              </w:rPr>
              <m:t>il</m:t>
            </m:r>
          </m:sub>
        </m:sSub>
      </m:oMath>
      <w:r>
        <w:rPr>
          <w:lang w:eastAsia="zh-CN"/>
        </w:rPr>
        <w:t>，制度型成本写为</w:t>
      </w:r>
      <w:r>
        <w:rPr>
          <w:lang w:eastAsia="zh-CN"/>
        </w:rPr>
        <w:t xml:space="preserve"> </w:t>
      </w:r>
      <m:oMath>
        <m:sSub>
          <m:sSubPr>
            <m:ctrlPr>
              <w:rPr>
                <w:rFonts w:ascii="Cambria Math" w:hAnsi="Cambria Math"/>
              </w:rPr>
            </m:ctrlPr>
          </m:sSubPr>
          <m:e>
            <m:r>
              <w:rPr>
                <w:rFonts w:ascii="Cambria Math" w:hAnsi="Cambria Math"/>
                <w:lang w:eastAsia="zh-CN"/>
              </w:rPr>
              <m:t>γ</m:t>
            </m:r>
          </m:e>
          <m:sub>
            <m:r>
              <w:rPr>
                <w:rFonts w:ascii="Cambria Math" w:hAnsi="Cambria Math"/>
                <w:lang w:eastAsia="zh-CN"/>
              </w:rPr>
              <m:t>il</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m</m:t>
            </m:r>
          </m:e>
          <m:sub>
            <m:r>
              <w:rPr>
                <w:rFonts w:ascii="Cambria Math" w:hAnsi="Cambria Math"/>
                <w:lang w:eastAsia="zh-CN"/>
              </w:rPr>
              <m:t>il</m:t>
            </m:r>
          </m:sub>
        </m:sSub>
      </m:oMath>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il</m:t>
            </m:r>
          </m:sub>
        </m:sSub>
      </m:oMath>
      <w:r>
        <w:rPr>
          <w:lang w:eastAsia="zh-CN"/>
        </w:rPr>
        <w:t xml:space="preserve"> </w:t>
      </w:r>
      <w:r>
        <w:rPr>
          <w:lang w:eastAsia="zh-CN"/>
        </w:rPr>
        <w:t>由地理距离等客观因素拟合得到。原文这一经验成本是双边口径，并未在该处引入行业</w:t>
      </w:r>
      <w:r>
        <w:rPr>
          <w:lang w:eastAsia="zh-CN"/>
        </w:rPr>
        <w:t>—</w:t>
      </w:r>
      <w:r>
        <w:rPr>
          <w:lang w:eastAsia="zh-CN"/>
        </w:rPr>
        <w:t>年份上标。</w:t>
      </w:r>
    </w:p>
    <w:p w14:paraId="4547C1A4" w14:textId="77777777" w:rsidR="002D0A3C" w:rsidRDefault="003B6787" w:rsidP="00D12DAA">
      <w:pPr>
        <w:pStyle w:val="a0"/>
        <w:spacing w:before="80" w:after="80" w:line="240" w:lineRule="auto"/>
        <w:ind w:firstLine="0"/>
        <w:rPr>
          <w:lang w:eastAsia="zh-CN"/>
        </w:rPr>
      </w:pPr>
      <w:r>
        <w:rPr>
          <w:lang w:eastAsia="zh-CN"/>
        </w:rPr>
        <w:t>本文若要与负面清单的</w:t>
      </w:r>
      <w:r>
        <w:rPr>
          <w:lang w:eastAsia="zh-CN"/>
        </w:rPr>
        <w:t xml:space="preserve"> </w:t>
      </w:r>
      <m:oMath>
        <m:r>
          <w:rPr>
            <w:rFonts w:ascii="Cambria Math" w:hAnsi="Cambria Math"/>
            <w:lang w:eastAsia="zh-CN"/>
          </w:rPr>
          <m:t>j</m:t>
        </m:r>
        <m:r>
          <m:rPr>
            <m:sty m:val="p"/>
          </m:rPr>
          <w:rPr>
            <w:rFonts w:ascii="Cambria Math" w:hAnsi="Cambria Math"/>
            <w:lang w:eastAsia="zh-CN"/>
          </w:rPr>
          <m:t>×</m:t>
        </m:r>
        <m:r>
          <w:rPr>
            <w:rFonts w:ascii="Cambria Math" w:hAnsi="Cambria Math"/>
            <w:lang w:eastAsia="zh-CN"/>
          </w:rPr>
          <m:t>t</m:t>
        </m:r>
      </m:oMath>
      <w:r>
        <w:rPr>
          <w:lang w:eastAsia="zh-CN"/>
        </w:rPr>
        <w:t xml:space="preserve"> </w:t>
      </w:r>
      <w:r>
        <w:rPr>
          <w:lang w:eastAsia="zh-CN"/>
        </w:rPr>
        <w:t>变化对接，必须重新在</w:t>
      </w:r>
      <w:r>
        <w:rPr>
          <w:lang w:eastAsia="zh-CN"/>
        </w:rPr>
        <w:t xml:space="preserve"> AMNE </w:t>
      </w:r>
      <w:r>
        <w:rPr>
          <w:lang w:eastAsia="zh-CN"/>
        </w:rPr>
        <w:t>的所有权国</w:t>
      </w:r>
      <w:r>
        <w:rPr>
          <w:lang w:eastAsia="zh-CN"/>
        </w:rPr>
        <w:t>—</w:t>
      </w:r>
      <w:r>
        <w:rPr>
          <w:lang w:eastAsia="zh-CN"/>
        </w:rPr>
        <w:t>东道国</w:t>
      </w:r>
      <w:r>
        <w:rPr>
          <w:lang w:eastAsia="zh-CN"/>
        </w:rPr>
        <w:t>—</w:t>
      </w:r>
      <w:r>
        <w:rPr>
          <w:lang w:eastAsia="zh-CN"/>
        </w:rPr>
        <w:t>行业</w:t>
      </w:r>
      <w:r>
        <w:rPr>
          <w:lang w:eastAsia="zh-CN"/>
        </w:rPr>
        <w:t>—</w:t>
      </w:r>
      <w:r>
        <w:rPr>
          <w:lang w:eastAsia="zh-CN"/>
        </w:rPr>
        <w:t>年份单元上复现同一反演逻辑，而不能仅在符号上给原文的</w:t>
      </w:r>
      <w:r>
        <w:rPr>
          <w:lang w:eastAsia="zh-CN"/>
        </w:rPr>
        <w:t xml:space="preserve"> </w:t>
      </w:r>
      <m:oMath>
        <m:sSub>
          <m:sSubPr>
            <m:ctrlPr>
              <w:rPr>
                <w:rFonts w:ascii="Cambria Math" w:hAnsi="Cambria Math"/>
              </w:rPr>
            </m:ctrlPr>
          </m:sSubPr>
          <m:e>
            <m:r>
              <w:rPr>
                <w:rFonts w:ascii="Cambria Math" w:hAnsi="Cambria Math"/>
                <w:lang w:eastAsia="zh-CN"/>
              </w:rPr>
              <m:t>γ</m:t>
            </m:r>
          </m:e>
          <m:sub>
            <m:r>
              <w:rPr>
                <w:rFonts w:ascii="Cambria Math" w:hAnsi="Cambria Math"/>
                <w:lang w:eastAsia="zh-CN"/>
              </w:rPr>
              <m:t>il</m:t>
            </m:r>
          </m:sub>
        </m:sSub>
      </m:oMath>
      <w:r>
        <w:rPr>
          <w:lang w:eastAsia="zh-CN"/>
        </w:rPr>
        <w:t xml:space="preserve"> </w:t>
      </w:r>
      <w:r>
        <w:rPr>
          <w:lang w:eastAsia="zh-CN"/>
        </w:rPr>
        <w:t>添加</w:t>
      </w:r>
      <w:r>
        <w:rPr>
          <w:lang w:eastAsia="zh-CN"/>
        </w:rPr>
        <w:t xml:space="preserve"> </w:t>
      </w:r>
      <m:oMath>
        <m:r>
          <w:rPr>
            <w:rFonts w:ascii="Cambria Math" w:hAnsi="Cambria Math"/>
            <w:lang w:eastAsia="zh-CN"/>
          </w:rPr>
          <m:t>j</m:t>
        </m:r>
        <m:r>
          <m:rPr>
            <m:sty m:val="p"/>
          </m:rPr>
          <w:rPr>
            <w:rFonts w:ascii="Cambria Math" w:hAnsi="Cambria Math"/>
            <w:lang w:eastAsia="zh-CN"/>
          </w:rPr>
          <m:t>,</m:t>
        </m:r>
        <m:r>
          <w:rPr>
            <w:rFonts w:ascii="Cambria Math" w:hAnsi="Cambria Math"/>
            <w:lang w:eastAsia="zh-CN"/>
          </w:rPr>
          <m:t>t</m:t>
        </m:r>
      </m:oMath>
      <w:r>
        <w:rPr>
          <w:lang w:eastAsia="zh-CN"/>
        </w:rPr>
        <w:t>。在数据单元足够密集时，记扩展后的中国</w:t>
      </w:r>
      <w:r>
        <w:rPr>
          <w:lang w:eastAsia="zh-CN"/>
        </w:rPr>
        <w:t xml:space="preserve"> inward </w:t>
      </w:r>
      <w:r>
        <w:rPr>
          <w:lang w:eastAsia="zh-CN"/>
        </w:rPr>
        <w:t>制度型成本为</w:t>
      </w:r>
      <w:r>
        <w:rPr>
          <w:lang w:eastAsia="zh-CN"/>
        </w:rPr>
        <w:t xml:space="preserve"> </w:t>
      </w:r>
      <m:oMath>
        <m:sSubSup>
          <m:sSubSupPr>
            <m:ctrlPr>
              <w:rPr>
                <w:rFonts w:ascii="Cambria Math" w:hAnsi="Cambria Math"/>
              </w:rPr>
            </m:ctrlPr>
          </m:sSubSupPr>
          <m:e>
            <m:r>
              <w:rPr>
                <w:rFonts w:ascii="Cambria Math" w:hAnsi="Cambria Math"/>
                <w:lang w:eastAsia="zh-CN"/>
              </w:rPr>
              <m:t>γ</m:t>
            </m:r>
          </m:e>
          <m:sub>
            <m:r>
              <w:rPr>
                <w:rFonts w:ascii="Cambria Math" w:hAnsi="Cambria Math"/>
                <w:lang w:eastAsia="zh-CN"/>
              </w:rPr>
              <m:t>mCjt</m:t>
            </m:r>
          </m:sub>
          <m:sup>
            <m:r>
              <m:rPr>
                <m:sty m:val="p"/>
              </m:rPr>
              <w:rPr>
                <w:rFonts w:ascii="Cambria Math" w:hAnsi="Cambria Math"/>
                <w:lang w:eastAsia="zh-CN"/>
              </w:rPr>
              <m:t>inst</m:t>
            </m:r>
          </m:sup>
        </m:sSubSup>
      </m:oMath>
      <w:r>
        <w:rPr>
          <w:lang w:eastAsia="zh-CN"/>
        </w:rPr>
        <w:t>；若双边行业单元过于稀疏，则应扩大行业口径或采用多期平均，并在结果中明确数据聚合层级。无法可靠恢复行业</w:t>
      </w:r>
      <w:r>
        <w:rPr>
          <w:lang w:eastAsia="zh-CN"/>
        </w:rPr>
        <w:t>—</w:t>
      </w:r>
      <w:r>
        <w:rPr>
          <w:lang w:eastAsia="zh-CN"/>
        </w:rPr>
        <w:t>年份成本时，本文不把总量双边成本伪装成行业成本，而仅将其用于总量一致性检验。</w:t>
      </w:r>
    </w:p>
    <w:p w14:paraId="6CDC9B33" w14:textId="77777777" w:rsidR="002D0A3C" w:rsidRDefault="003B6787">
      <w:pPr>
        <w:pStyle w:val="3"/>
      </w:pPr>
      <w:bookmarkStart w:id="5" w:name="a.3.2-政策成本映射方程"/>
      <w:bookmarkEnd w:id="4"/>
      <w:r>
        <w:rPr>
          <w:rFonts w:ascii="Times New Roman" w:eastAsia="宋体" w:hAnsi="Times New Roman"/>
        </w:rPr>
        <w:t>A.3.2</w:t>
      </w:r>
      <w:r>
        <w:rPr>
          <w:rFonts w:ascii="Times New Roman" w:eastAsia="宋体" w:hAnsi="Times New Roman"/>
        </w:rPr>
        <w:t xml:space="preserve">　政策</w:t>
      </w:r>
      <w:r>
        <w:rPr>
          <w:rFonts w:ascii="Times New Roman" w:eastAsia="宋体" w:hAnsi="Times New Roman"/>
        </w:rPr>
        <w:t>—</w:t>
      </w:r>
      <w:r>
        <w:rPr>
          <w:rFonts w:ascii="Times New Roman" w:eastAsia="宋体" w:hAnsi="Times New Roman"/>
        </w:rPr>
        <w:t>成本映射方程</w:t>
      </w:r>
    </w:p>
    <w:p w14:paraId="663ADF92" w14:textId="77777777" w:rsidR="002D0A3C" w:rsidRDefault="003B6787" w:rsidP="00C70984">
      <w:pPr>
        <w:pStyle w:val="FirstParagraph"/>
        <w:ind w:firstLine="720"/>
        <w:jc w:val="both"/>
        <w:rPr>
          <w:lang w:eastAsia="zh-CN"/>
        </w:rPr>
      </w:pPr>
      <w:r>
        <w:rPr>
          <w:lang w:eastAsia="zh-CN"/>
        </w:rPr>
        <w:t>对有限准入限制，基准映射方程写为</w:t>
      </w:r>
    </w:p>
    <w:p w14:paraId="7B9FE18A" w14:textId="77777777" w:rsidR="002D0A3C" w:rsidRDefault="003B6787">
      <w:pPr>
        <w:pStyle w:val="a0"/>
        <w:spacing w:before="80" w:after="80" w:line="240" w:lineRule="auto"/>
        <w:ind w:firstLine="0"/>
        <w:jc w:val="center"/>
      </w:pPr>
      <m:oMathPara>
        <m:oMathParaPr>
          <m:jc m:val="center"/>
        </m:oMathParaPr>
        <m:oMath>
          <m:r>
            <w:rPr>
              <w:rFonts w:ascii="Cambria Math" w:hAnsi="Cambria Math"/>
            </w:rPr>
            <m:t>ln</m:t>
          </m:r>
          <m:sSubSup>
            <m:sSubSupPr>
              <m:ctrlPr>
                <w:rPr>
                  <w:rFonts w:ascii="Cambria Math" w:hAnsi="Cambria Math"/>
                </w:rPr>
              </m:ctrlPr>
            </m:sSubSupPr>
            <m:e>
              <m:r>
                <w:rPr>
                  <w:rFonts w:ascii="Cambria Math" w:hAnsi="Cambria Math"/>
                </w:rPr>
                <m:t>γ</m:t>
              </m:r>
            </m:e>
            <m:sub>
              <m:r>
                <w:rPr>
                  <w:rFonts w:ascii="Cambria Math" w:hAnsi="Cambria Math"/>
                </w:rPr>
                <m:t>mCjt</m:t>
              </m:r>
            </m:sub>
            <m:sup>
              <m:r>
                <w:rPr>
                  <w:rFonts w:ascii="Cambria Math" w:hAnsi="Cambria Math"/>
                </w:rPr>
                <m:t>inst</m:t>
              </m:r>
            </m:sup>
          </m:sSubSup>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E</m:t>
              </m:r>
            </m:sub>
          </m:sSub>
          <m:sSub>
            <m:sSubPr>
              <m:ctrlPr>
                <w:rPr>
                  <w:rFonts w:ascii="Cambria Math" w:hAnsi="Cambria Math"/>
                </w:rPr>
              </m:ctrlPr>
            </m:sSubPr>
            <m:e>
              <m:r>
                <w:rPr>
                  <w:rFonts w:ascii="Cambria Math" w:hAnsi="Cambria Math"/>
                </w:rPr>
                <m:t>E</m:t>
              </m:r>
            </m:e>
            <m:sub>
              <m:r>
                <w:rPr>
                  <w:rFonts w:ascii="Cambria Math" w:hAnsi="Cambria Math"/>
                </w:rPr>
                <m:t>jt</m:t>
              </m:r>
            </m:sub>
          </m:sSub>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C</m:t>
              </m:r>
            </m:sub>
          </m:sSub>
          <m:sSub>
            <m:sSubPr>
              <m:ctrlPr>
                <w:rPr>
                  <w:rFonts w:ascii="Cambria Math" w:hAnsi="Cambria Math"/>
                </w:rPr>
              </m:ctrlPr>
            </m:sSubPr>
            <m:e>
              <m:r>
                <w:rPr>
                  <w:rFonts w:ascii="Cambria Math" w:hAnsi="Cambria Math"/>
                </w:rPr>
                <m:t>C</m:t>
              </m:r>
            </m:e>
            <m:sub>
              <m:r>
                <w:rPr>
                  <w:rFonts w:ascii="Cambria Math" w:hAnsi="Cambria Math"/>
                </w:rPr>
                <m:t>jt</m:t>
              </m:r>
            </m:sub>
          </m:sSub>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O</m:t>
              </m:r>
            </m:sub>
          </m:sSub>
          <m:sSub>
            <m:sSubPr>
              <m:ctrlPr>
                <w:rPr>
                  <w:rFonts w:ascii="Cambria Math" w:hAnsi="Cambria Math"/>
                </w:rPr>
              </m:ctrlPr>
            </m:sSubPr>
            <m:e>
              <m:r>
                <w:rPr>
                  <w:rFonts w:ascii="Cambria Math" w:hAnsi="Cambria Math"/>
                </w:rPr>
                <m:t>O</m:t>
              </m:r>
            </m:e>
            <m:sub>
              <m:r>
                <w:rPr>
                  <w:rFonts w:ascii="Cambria Math" w:hAnsi="Cambria Math"/>
                </w:rPr>
                <m:t>jt</m:t>
              </m:r>
            </m:sub>
          </m:sSub>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G</m:t>
              </m:r>
            </m:sub>
          </m:sSub>
          <m:sSub>
            <m:sSubPr>
              <m:ctrlPr>
                <w:rPr>
                  <w:rFonts w:ascii="Cambria Math" w:hAnsi="Cambria Math"/>
                </w:rPr>
              </m:ctrlPr>
            </m:sSubPr>
            <m:e>
              <m:r>
                <w:rPr>
                  <w:rFonts w:ascii="Cambria Math" w:hAnsi="Cambria Math"/>
                </w:rPr>
                <m:t>G</m:t>
              </m:r>
            </m:e>
            <m:sub>
              <m:r>
                <w:rPr>
                  <w:rFonts w:ascii="Cambria Math" w:hAnsi="Cambria Math"/>
                </w:rPr>
                <m:t>jt</m:t>
              </m:r>
            </m:sub>
          </m:sSub>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R</m:t>
              </m:r>
            </m:sub>
          </m:sSub>
          <m:sSub>
            <m:sSubPr>
              <m:ctrlPr>
                <w:rPr>
                  <w:rFonts w:ascii="Cambria Math" w:hAnsi="Cambria Math"/>
                </w:rPr>
              </m:ctrlPr>
            </m:sSubPr>
            <m:e>
              <m:r>
                <w:rPr>
                  <w:rFonts w:ascii="Cambria Math" w:hAnsi="Cambria Math"/>
                </w:rPr>
                <m:t>R</m:t>
              </m:r>
            </m:e>
            <m:sub>
              <m:r>
                <w:rPr>
                  <w:rFonts w:ascii="Cambria Math" w:hAnsi="Cambria Math"/>
                </w:rPr>
                <m:t>jt</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mj</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mjt</m:t>
              </m:r>
            </m:sub>
          </m:sSub>
          <m:r>
            <w:rPr>
              <w:rFonts w:ascii="Cambria Math" w:hAnsi="Cambria Math"/>
            </w:rPr>
            <m:t xml:space="preserve">.  </m:t>
          </m:r>
          <m:d>
            <m:dPr>
              <m:ctrlPr>
                <w:rPr>
                  <w:rFonts w:ascii="Cambria Math" w:hAnsi="Cambria Math"/>
                </w:rPr>
              </m:ctrlPr>
            </m:dPr>
            <m:e>
              <m:r>
                <w:rPr>
                  <w:rFonts w:ascii="Cambria Math" w:hAnsi="Cambria Math"/>
                </w:rPr>
                <m:t>A4</m:t>
              </m:r>
            </m:e>
          </m:d>
        </m:oMath>
      </m:oMathPara>
    </w:p>
    <w:p w14:paraId="3F9C74DA" w14:textId="77777777" w:rsidR="002D0A3C" w:rsidRDefault="00791C5A" w:rsidP="00C70984">
      <w:pPr>
        <w:pStyle w:val="FirstParagraph"/>
        <w:spacing w:before="80" w:after="80" w:line="240" w:lineRule="auto"/>
        <w:ind w:firstLine="720"/>
        <w:rPr>
          <w:lang w:eastAsia="zh-CN"/>
        </w:rPr>
      </w:pP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mj</m:t>
            </m:r>
          </m:sub>
        </m:sSub>
      </m:oMath>
      <w:r w:rsidR="003B6787">
        <w:rPr>
          <w:lang w:eastAsia="zh-CN"/>
        </w:rPr>
        <w:t xml:space="preserve"> </w:t>
      </w:r>
      <w:r w:rsidR="003B6787">
        <w:rPr>
          <w:lang w:eastAsia="zh-CN"/>
        </w:rPr>
        <w:t>吸收母国</w:t>
      </w:r>
      <w:r w:rsidR="003B6787">
        <w:rPr>
          <w:lang w:eastAsia="zh-CN"/>
        </w:rPr>
        <w:t>—</w:t>
      </w:r>
      <w:r w:rsidR="003B6787">
        <w:rPr>
          <w:lang w:eastAsia="zh-CN"/>
        </w:rPr>
        <w:t>部门长期不变的跨国生产摩擦，</w:t>
      </w:r>
      <m:oMath>
        <m:sSub>
          <m:sSubPr>
            <m:ctrlPr>
              <w:rPr>
                <w:rFonts w:ascii="Cambria Math" w:hAnsi="Cambria Math"/>
              </w:rPr>
            </m:ctrlPr>
          </m:sSubPr>
          <m:e>
            <m:r>
              <w:rPr>
                <w:rFonts w:ascii="Cambria Math" w:hAnsi="Cambria Math"/>
                <w:lang w:eastAsia="zh-CN"/>
              </w:rPr>
              <m:t>λ</m:t>
            </m:r>
          </m:e>
          <m:sub>
            <m:r>
              <w:rPr>
                <w:rFonts w:ascii="Cambria Math" w:hAnsi="Cambria Math"/>
                <w:lang w:eastAsia="zh-CN"/>
              </w:rPr>
              <m:t>mt</m:t>
            </m:r>
          </m:sub>
        </m:sSub>
      </m:oMath>
      <w:r w:rsidR="003B6787">
        <w:rPr>
          <w:lang w:eastAsia="zh-CN"/>
        </w:rPr>
        <w:t xml:space="preserve"> </w:t>
      </w:r>
      <w:r w:rsidR="003B6787">
        <w:rPr>
          <w:lang w:eastAsia="zh-CN"/>
        </w:rPr>
        <w:t>吸收母国在年份</w:t>
      </w:r>
      <w:r w:rsidR="003B6787">
        <w:rPr>
          <w:lang w:eastAsia="zh-CN"/>
        </w:rPr>
        <w:t xml:space="preserve"> </w:t>
      </w:r>
      <m:oMath>
        <m:r>
          <w:rPr>
            <w:rFonts w:ascii="Cambria Math" w:hAnsi="Cambria Math"/>
            <w:lang w:eastAsia="zh-CN"/>
          </w:rPr>
          <m:t>t</m:t>
        </m:r>
      </m:oMath>
      <w:r w:rsidR="003B6787">
        <w:rPr>
          <w:lang w:eastAsia="zh-CN"/>
        </w:rPr>
        <w:t xml:space="preserve"> </w:t>
      </w:r>
      <w:r w:rsidR="003B6787">
        <w:rPr>
          <w:lang w:eastAsia="zh-CN"/>
        </w:rPr>
        <w:t>面向中国投资的共同冲击。由于</w:t>
      </w:r>
      <w:r w:rsidR="003B6787">
        <w:rPr>
          <w:lang w:eastAsia="zh-CN"/>
        </w:rPr>
        <w:t xml:space="preserve"> </w:t>
      </w: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jt</m:t>
            </m:r>
          </m:sub>
        </m:sSub>
      </m:oMath>
      <w:r w:rsidR="003B6787">
        <w:rPr>
          <w:lang w:eastAsia="zh-CN"/>
        </w:rPr>
        <w:t xml:space="preserve"> </w:t>
      </w:r>
      <w:r w:rsidR="003B6787">
        <w:rPr>
          <w:lang w:eastAsia="zh-CN"/>
        </w:rPr>
        <w:t>对同一</w:t>
      </w:r>
      <w:r w:rsidR="003B6787">
        <w:rPr>
          <w:lang w:eastAsia="zh-CN"/>
        </w:rPr>
        <w:t xml:space="preserve"> </w:t>
      </w:r>
      <m:oMath>
        <m:r>
          <w:rPr>
            <w:rFonts w:ascii="Cambria Math" w:hAnsi="Cambria Math"/>
            <w:lang w:eastAsia="zh-CN"/>
          </w:rPr>
          <m:t>j</m:t>
        </m:r>
        <m:r>
          <m:rPr>
            <m:sty m:val="p"/>
          </m:rPr>
          <w:rPr>
            <w:rFonts w:ascii="Cambria Math" w:hAnsi="Cambria Math"/>
            <w:lang w:eastAsia="zh-CN"/>
          </w:rPr>
          <m:t>,</m:t>
        </m:r>
        <m:r>
          <w:rPr>
            <w:rFonts w:ascii="Cambria Math" w:hAnsi="Cambria Math"/>
            <w:lang w:eastAsia="zh-CN"/>
          </w:rPr>
          <m:t>t</m:t>
        </m:r>
      </m:oMath>
      <w:r w:rsidR="003B6787">
        <w:rPr>
          <w:lang w:eastAsia="zh-CN"/>
        </w:rPr>
        <w:t xml:space="preserve"> </w:t>
      </w:r>
      <w:r w:rsidR="003B6787">
        <w:rPr>
          <w:lang w:eastAsia="zh-CN"/>
        </w:rPr>
        <w:t>下的所有母国完全相同，</w:t>
      </w:r>
      <m:oMath>
        <m:r>
          <w:rPr>
            <w:rFonts w:ascii="Cambria Math" w:hAnsi="Cambria Math"/>
            <w:lang w:eastAsia="zh-CN"/>
          </w:rPr>
          <m:t>κ</m:t>
        </m:r>
      </m:oMath>
      <w:r w:rsidR="003B6787">
        <w:rPr>
          <w:lang w:eastAsia="zh-CN"/>
        </w:rPr>
        <w:t xml:space="preserve"> </w:t>
      </w:r>
      <w:r w:rsidR="003B6787">
        <w:rPr>
          <w:lang w:eastAsia="zh-CN"/>
        </w:rPr>
        <w:t>实际由中国行业</w:t>
      </w:r>
      <w:r w:rsidR="003B6787">
        <w:rPr>
          <w:lang w:eastAsia="zh-CN"/>
        </w:rPr>
        <w:t>—</w:t>
      </w:r>
      <w:r w:rsidR="003B6787">
        <w:rPr>
          <w:lang w:eastAsia="zh-CN"/>
        </w:rPr>
        <w:t>年份政策变化识别；母国维度主要提高成本测量的信息量，而不能被视为独立的政策冲击。因此，标准误至少在政策发生层级（部门）聚类；部门数较少时，进一步采用</w:t>
      </w:r>
      <w:r w:rsidR="003B6787">
        <w:rPr>
          <w:lang w:eastAsia="zh-CN"/>
        </w:rPr>
        <w:t xml:space="preserve"> wild cluster bootstrap </w:t>
      </w:r>
      <w:r w:rsidR="003B6787">
        <w:rPr>
          <w:lang w:eastAsia="zh-CN"/>
        </w:rPr>
        <w:t>作为稳健性推断。</w:t>
      </w:r>
    </w:p>
    <w:p w14:paraId="703BA3A3" w14:textId="77777777" w:rsidR="002D0A3C" w:rsidRDefault="003B6787" w:rsidP="00C70984">
      <w:pPr>
        <w:pStyle w:val="a0"/>
        <w:spacing w:before="80" w:after="80" w:line="240" w:lineRule="auto"/>
        <w:ind w:firstLine="720"/>
        <w:rPr>
          <w:lang w:eastAsia="zh-CN"/>
        </w:rPr>
      </w:pPr>
      <w:r>
        <w:rPr>
          <w:lang w:eastAsia="zh-CN"/>
        </w:rPr>
        <w:t>若限制变量数目相对于可用政策变化过多，基准规格不应由</w:t>
      </w:r>
      <w:r>
        <w:rPr>
          <w:lang w:eastAsia="zh-CN"/>
        </w:rPr>
        <w:t>LLM</w:t>
      </w:r>
      <w:r>
        <w:rPr>
          <w:lang w:eastAsia="zh-CN"/>
        </w:rPr>
        <w:t>主观给各限制类型设置权重，而应预先合并经济含义高度相近的变量，或者分别估计后再构造成本等价。只有在系数估计稳定时，</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κ</m:t>
                </m:r>
              </m:e>
            </m:acc>
          </m:e>
          <m:sub>
            <m:r>
              <w:rPr>
                <w:rFonts w:ascii="Cambria Math" w:hAnsi="Cambria Math"/>
                <w:lang w:eastAsia="zh-CN"/>
              </w:rPr>
              <m:t>r</m:t>
            </m:r>
          </m:sub>
        </m:sSub>
      </m:oMath>
      <w:r>
        <w:rPr>
          <w:lang w:eastAsia="zh-CN"/>
        </w:rPr>
        <w:t xml:space="preserve"> </w:t>
      </w:r>
      <w:r>
        <w:rPr>
          <w:lang w:eastAsia="zh-CN"/>
        </w:rPr>
        <w:t>才被用于生成反事实冲击。</w:t>
      </w:r>
    </w:p>
    <w:p w14:paraId="3B019941" w14:textId="77777777" w:rsidR="002D0A3C" w:rsidRDefault="003B6787" w:rsidP="00C70984">
      <w:pPr>
        <w:pStyle w:val="a0"/>
        <w:spacing w:before="80" w:after="80" w:line="240" w:lineRule="auto"/>
        <w:ind w:firstLine="0"/>
        <w:rPr>
          <w:lang w:eastAsia="zh-CN"/>
        </w:rPr>
      </w:pPr>
      <w:r>
        <w:rPr>
          <w:lang w:eastAsia="zh-CN"/>
        </w:rPr>
        <w:t>对任意两个政策版本</w:t>
      </w:r>
      <w:r>
        <w:rPr>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0</m:t>
            </m:r>
          </m:sub>
        </m:sSub>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1</m:t>
            </m:r>
          </m:sub>
        </m:sSub>
      </m:oMath>
      <w:r>
        <w:rPr>
          <w:lang w:eastAsia="zh-CN"/>
        </w:rPr>
        <w:t>，由负面清单可解释的制度型投资成本变化为</w:t>
      </w:r>
    </w:p>
    <w:p w14:paraId="476121F6" w14:textId="77777777" w:rsidR="002D0A3C" w:rsidRDefault="003B6787" w:rsidP="00C70984">
      <w:pPr>
        <w:pStyle w:val="a0"/>
        <w:spacing w:before="80" w:after="80" w:line="240" w:lineRule="auto"/>
        <w:ind w:firstLine="0"/>
      </w:pPr>
      <m:oMathPara>
        <m:oMathParaPr>
          <m:jc m:val="center"/>
        </m:oMathParaPr>
        <m:oMath>
          <m:r>
            <w:rPr>
              <w:rFonts w:ascii="Cambria Math" w:hAnsi="Cambria Math"/>
            </w:rPr>
            <m:t>Δ</m:t>
          </m:r>
          <m:r>
            <m:rPr>
              <m:sty m:val="p"/>
            </m:rPr>
            <w:rPr>
              <w:rFonts w:ascii="Cambria Math" w:hAnsi="Cambria Math"/>
            </w:rPr>
            <m:t>ln</m:t>
          </m:r>
          <m:sSubSup>
            <m:sSubSupPr>
              <m:ctrlPr>
                <w:rPr>
                  <w:rFonts w:ascii="Cambria Math" w:hAnsi="Cambria Math"/>
                </w:rPr>
              </m:ctrlPr>
            </m:sSubSupPr>
            <m:e>
              <m:r>
                <w:rPr>
                  <w:rFonts w:ascii="Cambria Math" w:hAnsi="Cambria Math"/>
                </w:rPr>
                <m:t>γ</m:t>
              </m:r>
            </m:e>
            <m:sub>
              <m:r>
                <w:rPr>
                  <w:rFonts w:ascii="Cambria Math" w:hAnsi="Cambria Math"/>
                </w:rPr>
                <m:t>mCj</m:t>
              </m:r>
            </m:sub>
            <m:sup>
              <m:r>
                <m:rPr>
                  <m:sty m:val="p"/>
                </m:rPr>
                <w:rPr>
                  <w:rFonts w:ascii="Cambria Math" w:hAnsi="Cambria Math"/>
                </w:rPr>
                <m:t>inst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r</m:t>
              </m:r>
            </m:sub>
            <m:sup>
              <m:r>
                <w:rPr>
                  <w:rFonts w:ascii="Cambria Math" w:hAnsi="Cambria Math"/>
                </w:rPr>
                <m:t>​</m:t>
              </m:r>
            </m:sup>
            <m:e>
              <m:sSub>
                <m:sSubPr>
                  <m:ctrlPr>
                    <w:rPr>
                      <w:rFonts w:ascii="Cambria Math" w:hAnsi="Cambria Math"/>
                    </w:rPr>
                  </m:ctrlPr>
                </m:sSubPr>
                <m:e>
                  <m:acc>
                    <m:accPr>
                      <m:ctrlPr>
                        <w:rPr>
                          <w:rFonts w:ascii="Cambria Math" w:hAnsi="Cambria Math"/>
                        </w:rPr>
                      </m:ctrlPr>
                    </m:accPr>
                    <m:e>
                      <m:r>
                        <w:rPr>
                          <w:rFonts w:ascii="Cambria Math" w:hAnsi="Cambria Math"/>
                        </w:rPr>
                        <m:t>κ</m:t>
                      </m:r>
                    </m:e>
                  </m:acc>
                </m:e>
                <m:sub>
                  <m:r>
                    <w:rPr>
                      <w:rFonts w:ascii="Cambria Math" w:hAnsi="Cambria Math"/>
                    </w:rPr>
                    <m:t>r</m:t>
                  </m:r>
                </m:sub>
              </m:sSub>
            </m:e>
          </m:nary>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r</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sub>
                <m:sup>
                  <m:r>
                    <w:rPr>
                      <w:rFonts w:ascii="Cambria Math" w:hAnsi="Cambria Math"/>
                    </w:rPr>
                    <m:t>r</m:t>
                  </m:r>
                </m:sup>
              </m:sSubSup>
            </m:e>
          </m:d>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γ</m:t>
                  </m:r>
                </m:e>
              </m:acc>
            </m:e>
            <m:sub>
              <m:r>
                <w:rPr>
                  <w:rFonts w:ascii="Cambria Math" w:hAnsi="Cambria Math"/>
                </w:rPr>
                <m:t>mCj</m:t>
              </m:r>
            </m:sub>
            <m:sup>
              <m:r>
                <m:rPr>
                  <m:sty m:val="p"/>
                </m:rPr>
                <w:rPr>
                  <w:rFonts w:ascii="Cambria Math" w:hAnsi="Cambria Math"/>
                </w:rPr>
                <m:t>inst</m:t>
              </m:r>
            </m:sup>
          </m:sSubSup>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Δ</m:t>
              </m:r>
              <m:r>
                <m:rPr>
                  <m:sty m:val="p"/>
                </m:rPr>
                <w:rPr>
                  <w:rFonts w:ascii="Cambria Math" w:hAnsi="Cambria Math"/>
                </w:rPr>
                <m:t>ln</m:t>
              </m:r>
              <m:sSubSup>
                <m:sSubSupPr>
                  <m:ctrlPr>
                    <w:rPr>
                      <w:rFonts w:ascii="Cambria Math" w:hAnsi="Cambria Math"/>
                    </w:rPr>
                  </m:ctrlPr>
                </m:sSubSupPr>
                <m:e>
                  <m:r>
                    <w:rPr>
                      <w:rFonts w:ascii="Cambria Math" w:hAnsi="Cambria Math"/>
                    </w:rPr>
                    <m:t>γ</m:t>
                  </m:r>
                </m:e>
                <m:sub>
                  <m:r>
                    <w:rPr>
                      <w:rFonts w:ascii="Cambria Math" w:hAnsi="Cambria Math"/>
                    </w:rPr>
                    <m:t>mCj</m:t>
                  </m:r>
                </m:sub>
                <m:sup>
                  <m:r>
                    <m:rPr>
                      <m:sty m:val="p"/>
                    </m:rPr>
                    <w:rPr>
                      <w:rFonts w:ascii="Cambria Math" w:hAnsi="Cambria Math"/>
                    </w:rPr>
                    <m:t>inst</m:t>
                  </m:r>
                </m:sup>
              </m:sSubSup>
            </m:e>
          </m:d>
          <m:r>
            <m:rPr>
              <m:sty m:val="p"/>
            </m:rPr>
            <w:rPr>
              <w:rFonts w:ascii="Cambria Math" w:hAnsi="Cambria Math"/>
            </w:rPr>
            <m:t>.</m:t>
          </m:r>
          <m:r>
            <w:rPr>
              <w:rFonts w:ascii="Cambria Math" w:hAnsi="Cambria Math"/>
            </w:rPr>
            <m:t> </m:t>
          </m:r>
          <m:d>
            <m:dPr>
              <m:ctrlPr>
                <w:rPr>
                  <w:rFonts w:ascii="Cambria Math" w:hAnsi="Cambria Math"/>
                </w:rPr>
              </m:ctrlPr>
            </m:dPr>
            <m:e>
              <m:r>
                <m:rPr>
                  <m:sty m:val="p"/>
                </m:rPr>
                <w:rPr>
                  <w:rFonts w:ascii="Cambria Math" w:hAnsi="Cambria Math"/>
                </w:rPr>
                <m:t>A5</m:t>
              </m:r>
            </m:e>
          </m:d>
        </m:oMath>
      </m:oMathPara>
    </w:p>
    <w:p w14:paraId="7460C1EA" w14:textId="77777777" w:rsidR="002D0A3C" w:rsidRDefault="003B6787" w:rsidP="00C70984">
      <w:pPr>
        <w:pStyle w:val="FirstParagraph"/>
        <w:spacing w:before="80" w:after="80" w:line="240" w:lineRule="auto"/>
        <w:ind w:firstLine="720"/>
        <w:rPr>
          <w:lang w:eastAsia="zh-CN"/>
        </w:rPr>
      </w:pPr>
      <w:r>
        <w:rPr>
          <w:lang w:eastAsia="zh-CN"/>
        </w:rPr>
        <w:t>若限制越严格的变量取值越大，则预期</w:t>
      </w:r>
      <w:r>
        <w:rPr>
          <w:lang w:eastAsia="zh-CN"/>
        </w:rPr>
        <w:t xml:space="preserve"> </w:t>
      </w:r>
      <m:oMath>
        <m:sSub>
          <m:sSubPr>
            <m:ctrlPr>
              <w:rPr>
                <w:rFonts w:ascii="Cambria Math" w:hAnsi="Cambria Math"/>
              </w:rPr>
            </m:ctrlPr>
          </m:sSubPr>
          <m:e>
            <m:r>
              <w:rPr>
                <w:rFonts w:ascii="Cambria Math" w:hAnsi="Cambria Math"/>
                <w:lang w:eastAsia="zh-CN"/>
              </w:rPr>
              <m:t>κ</m:t>
            </m:r>
          </m:e>
          <m:sub>
            <m:r>
              <w:rPr>
                <w:rFonts w:ascii="Cambria Math" w:hAnsi="Cambria Math"/>
                <w:lang w:eastAsia="zh-CN"/>
              </w:rPr>
              <m:t>r</m:t>
            </m:r>
          </m:sub>
        </m:sSub>
        <m:r>
          <m:rPr>
            <m:sty m:val="p"/>
          </m:rPr>
          <w:rPr>
            <w:rFonts w:ascii="Cambria Math" w:hAnsi="Cambria Math"/>
            <w:lang w:eastAsia="zh-CN"/>
          </w:rPr>
          <m:t>&gt;</m:t>
        </m:r>
        <m:r>
          <w:rPr>
            <w:rFonts w:ascii="Cambria Math" w:hAnsi="Cambria Math"/>
            <w:lang w:eastAsia="zh-CN"/>
          </w:rPr>
          <m:t>0</m:t>
        </m:r>
      </m:oMath>
      <w:r>
        <w:rPr>
          <w:lang w:eastAsia="zh-CN"/>
        </w:rPr>
        <w:t>；一次开放改革通常对应</w:t>
      </w:r>
      <w:r>
        <w:rPr>
          <w:lang w:eastAsia="zh-CN"/>
        </w:rPr>
        <w:t xml:space="preserve"> </w:t>
      </w:r>
      <m:oMath>
        <m:r>
          <w:rPr>
            <w:rFonts w:ascii="Cambria Math" w:hAnsi="Cambria Math"/>
            <w:lang w:eastAsia="zh-CN"/>
          </w:rPr>
          <m:t>Δ</m:t>
        </m:r>
        <m:sSubSup>
          <m:sSubSupPr>
            <m:ctrlPr>
              <w:rPr>
                <w:rFonts w:ascii="Cambria Math" w:hAnsi="Cambria Math"/>
              </w:rPr>
            </m:ctrlPr>
          </m:sSubSupPr>
          <m:e>
            <m:r>
              <w:rPr>
                <w:rFonts w:ascii="Cambria Math" w:hAnsi="Cambria Math"/>
                <w:lang w:eastAsia="zh-CN"/>
              </w:rPr>
              <m:t>Z</m:t>
            </m:r>
          </m:e>
          <m:sub>
            <m:r>
              <w:rPr>
                <w:rFonts w:ascii="Cambria Math" w:hAnsi="Cambria Math"/>
                <w:lang w:eastAsia="zh-CN"/>
              </w:rPr>
              <m:t>j</m:t>
            </m:r>
          </m:sub>
          <m:sup>
            <m:r>
              <w:rPr>
                <w:rFonts w:ascii="Cambria Math" w:hAnsi="Cambria Math"/>
                <w:lang w:eastAsia="zh-CN"/>
              </w:rPr>
              <m:t>r</m:t>
            </m:r>
          </m:sup>
        </m:sSubSup>
        <m:r>
          <m:rPr>
            <m:sty m:val="p"/>
          </m:rPr>
          <w:rPr>
            <w:rFonts w:ascii="Cambria Math" w:hAnsi="Cambria Math"/>
            <w:lang w:eastAsia="zh-CN"/>
          </w:rPr>
          <m:t>&lt;</m:t>
        </m:r>
        <m:r>
          <w:rPr>
            <w:rFonts w:ascii="Cambria Math" w:hAnsi="Cambria Math"/>
            <w:lang w:eastAsia="zh-CN"/>
          </w:rPr>
          <m:t>0</m:t>
        </m:r>
      </m:oMath>
      <w:r>
        <w:rPr>
          <w:lang w:eastAsia="zh-CN"/>
        </w:rPr>
        <w:t>，从而有</w:t>
      </w:r>
      <w:r>
        <w:rPr>
          <w:lang w:eastAsia="zh-CN"/>
        </w:rP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lang w:eastAsia="zh-CN"/>
                  </w:rPr>
                  <m:t>γ</m:t>
                </m:r>
              </m:e>
            </m:acc>
          </m:e>
          <m:sub>
            <m:r>
              <w:rPr>
                <w:rFonts w:ascii="Cambria Math" w:hAnsi="Cambria Math"/>
                <w:lang w:eastAsia="zh-CN"/>
              </w:rPr>
              <m:t>mCj</m:t>
            </m:r>
          </m:sub>
          <m:sup>
            <m:r>
              <m:rPr>
                <m:sty m:val="p"/>
              </m:rPr>
              <w:rPr>
                <w:rFonts w:ascii="Cambria Math" w:hAnsi="Cambria Math"/>
                <w:lang w:eastAsia="zh-CN"/>
              </w:rPr>
              <m:t>inst</m:t>
            </m:r>
          </m:sup>
        </m:sSubSup>
        <m:r>
          <m:rPr>
            <m:sty m:val="p"/>
          </m:rPr>
          <w:rPr>
            <w:rFonts w:ascii="Cambria Math" w:hAnsi="Cambria Math"/>
            <w:lang w:eastAsia="zh-CN"/>
          </w:rPr>
          <m:t>&lt;</m:t>
        </m:r>
        <m:r>
          <w:rPr>
            <w:rFonts w:ascii="Cambria Math" w:hAnsi="Cambria Math"/>
            <w:lang w:eastAsia="zh-CN"/>
          </w:rPr>
          <m:t>1</m:t>
        </m:r>
      </m:oMath>
      <w:r>
        <w:rPr>
          <w:lang w:eastAsia="zh-CN"/>
        </w:rPr>
        <w:t>。这里的</w:t>
      </w:r>
      <w:r>
        <w:rPr>
          <w:lang w:eastAsia="zh-CN"/>
        </w:rPr>
        <w:t xml:space="preserve"> </w:t>
      </w:r>
      <m:oMath>
        <m:acc>
          <m:accPr>
            <m:ctrlPr>
              <w:rPr>
                <w:rFonts w:ascii="Cambria Math" w:hAnsi="Cambria Math"/>
              </w:rPr>
            </m:ctrlPr>
          </m:accPr>
          <m:e>
            <m:r>
              <w:rPr>
                <w:rFonts w:ascii="Cambria Math" w:hAnsi="Cambria Math"/>
                <w:lang w:eastAsia="zh-CN"/>
              </w:rPr>
              <m:t>γ</m:t>
            </m:r>
          </m:e>
        </m:acc>
      </m:oMath>
      <w:r>
        <w:rPr>
          <w:lang w:eastAsia="zh-CN"/>
        </w:rPr>
        <w:t xml:space="preserve"> </w:t>
      </w:r>
      <w:r>
        <w:rPr>
          <w:lang w:eastAsia="zh-CN"/>
        </w:rPr>
        <w:t>是</w:t>
      </w:r>
      <w:r>
        <w:rPr>
          <w:lang w:eastAsia="zh-CN"/>
        </w:rPr>
        <w:t>“</w:t>
      </w:r>
      <w:r>
        <w:rPr>
          <w:lang w:eastAsia="zh-CN"/>
        </w:rPr>
        <w:t>经验制度型成本</w:t>
      </w:r>
      <w:r>
        <w:rPr>
          <w:lang w:eastAsia="zh-CN"/>
        </w:rPr>
        <w:t>”</w:t>
      </w:r>
      <w:r>
        <w:rPr>
          <w:lang w:eastAsia="zh-CN"/>
        </w:rPr>
        <w:t>的相对变化，尚不是结构模型中</w:t>
      </w:r>
      <w:r>
        <w:rPr>
          <w:lang w:eastAsia="zh-CN"/>
        </w:rPr>
        <w:t xml:space="preserve"> </w:t>
      </w:r>
      <m:oMath>
        <m:r>
          <w:rPr>
            <w:rFonts w:ascii="Cambria Math" w:hAnsi="Cambria Math"/>
            <w:lang w:eastAsia="zh-CN"/>
          </w:rPr>
          <m:t>ξ</m:t>
        </m:r>
      </m:oMath>
      <w:r>
        <w:rPr>
          <w:lang w:eastAsia="zh-CN"/>
        </w:rPr>
        <w:t xml:space="preserve"> </w:t>
      </w:r>
      <w:r>
        <w:rPr>
          <w:lang w:eastAsia="zh-CN"/>
        </w:rPr>
        <w:t>的相对变化。</w:t>
      </w:r>
    </w:p>
    <w:p w14:paraId="3EFC2F42" w14:textId="77777777" w:rsidR="002D0A3C" w:rsidRDefault="003B6787" w:rsidP="00C70984">
      <w:pPr>
        <w:pStyle w:val="a0"/>
        <w:spacing w:before="80" w:after="80" w:line="240" w:lineRule="auto"/>
        <w:ind w:firstLine="720"/>
        <w:rPr>
          <w:lang w:eastAsia="zh-CN"/>
        </w:rPr>
      </w:pPr>
      <w:r>
        <w:rPr>
          <w:b/>
          <w:bCs/>
          <w:lang w:eastAsia="zh-CN"/>
        </w:rPr>
        <w:t>例（成本等价的含义，仅为数值示意）</w:t>
      </w:r>
      <w:r>
        <w:rPr>
          <w:lang w:eastAsia="zh-CN"/>
        </w:rPr>
        <w:t>。假设某部门只有明确股比限制发生变化，估计得到</w:t>
      </w:r>
      <w:r>
        <w:rPr>
          <w:lang w:eastAsia="zh-CN"/>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lang w:eastAsia="zh-CN"/>
                  </w:rPr>
                  <m:t>κ</m:t>
                </m:r>
              </m:e>
            </m:acc>
          </m:e>
          <m:sub>
            <m:r>
              <w:rPr>
                <w:rFonts w:ascii="Cambria Math" w:hAnsi="Cambria Math"/>
                <w:lang w:eastAsia="zh-CN"/>
              </w:rPr>
              <m:t>E</m:t>
            </m:r>
          </m:sub>
        </m:sSub>
        <m:r>
          <m:rPr>
            <m:sty m:val="p"/>
          </m:rPr>
          <w:rPr>
            <w:rFonts w:ascii="Cambria Math" w:hAnsi="Cambria Math"/>
            <w:lang w:eastAsia="zh-CN"/>
          </w:rPr>
          <m:t>=</m:t>
        </m:r>
        <m:r>
          <w:rPr>
            <w:rFonts w:ascii="Cambria Math" w:hAnsi="Cambria Math"/>
            <w:lang w:eastAsia="zh-CN"/>
          </w:rPr>
          <m:t>0.20</m:t>
        </m:r>
      </m:oMath>
      <w:r>
        <w:rPr>
          <w:lang w:eastAsia="zh-CN"/>
        </w:rPr>
        <w:t>；负面清单改革使</w:t>
      </w:r>
      <w:r>
        <w:rPr>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j</m:t>
            </m:r>
          </m:sub>
        </m:sSub>
      </m:oMath>
      <w:r>
        <w:rPr>
          <w:lang w:eastAsia="zh-CN"/>
        </w:rPr>
        <w:t xml:space="preserve"> </w:t>
      </w:r>
      <w:r>
        <w:rPr>
          <w:lang w:eastAsia="zh-CN"/>
        </w:rPr>
        <w:t>从</w:t>
      </w:r>
      <w:r>
        <w:rPr>
          <w:lang w:eastAsia="zh-CN"/>
        </w:rPr>
        <w:t>0.50</w:t>
      </w:r>
      <w:r>
        <w:rPr>
          <w:lang w:eastAsia="zh-CN"/>
        </w:rPr>
        <w:t>降至</w:t>
      </w:r>
      <w:r>
        <w:rPr>
          <w:lang w:eastAsia="zh-CN"/>
        </w:rPr>
        <w:t>0</w:t>
      </w:r>
      <w:r>
        <w:rPr>
          <w:lang w:eastAsia="zh-CN"/>
        </w:rPr>
        <w:t>，则</w:t>
      </w:r>
      <w:r>
        <w:rPr>
          <w:lang w:eastAsia="zh-CN"/>
        </w:rPr>
        <w:t xml:space="preserve"> </w:t>
      </w:r>
      <m:oMath>
        <m:r>
          <w:rPr>
            <w:rFonts w:ascii="Cambria Math" w:hAnsi="Cambria Math"/>
            <w:lang w:eastAsia="zh-CN"/>
          </w:rPr>
          <m:t>Δ</m:t>
        </m:r>
        <m:r>
          <m:rPr>
            <m:sty m:val="p"/>
          </m:rPr>
          <w:rPr>
            <w:rFonts w:ascii="Cambria Math" w:hAnsi="Cambria Math"/>
            <w:lang w:eastAsia="zh-CN"/>
          </w:rPr>
          <m:t>ln</m:t>
        </m:r>
        <m:sSup>
          <m:sSupPr>
            <m:ctrlPr>
              <w:rPr>
                <w:rFonts w:ascii="Cambria Math" w:hAnsi="Cambria Math"/>
              </w:rPr>
            </m:ctrlPr>
          </m:sSupPr>
          <m:e>
            <m:r>
              <w:rPr>
                <w:rFonts w:ascii="Cambria Math" w:hAnsi="Cambria Math"/>
                <w:lang w:eastAsia="zh-CN"/>
              </w:rPr>
              <m:t>γ</m:t>
            </m:r>
          </m:e>
          <m:sup>
            <m:r>
              <m:rPr>
                <m:sty m:val="p"/>
              </m:rPr>
              <w:rPr>
                <w:rFonts w:ascii="Cambria Math" w:hAnsi="Cambria Math"/>
                <w:lang w:eastAsia="zh-CN"/>
              </w:rPr>
              <m:t>inst</m:t>
            </m:r>
          </m:sup>
        </m:sSup>
        <m:r>
          <m:rPr>
            <m:sty m:val="p"/>
          </m:rPr>
          <w:rPr>
            <w:rFonts w:ascii="Cambria Math" w:hAnsi="Cambria Math"/>
            <w:lang w:eastAsia="zh-CN"/>
          </w:rPr>
          <m:t>=-</m:t>
        </m:r>
        <m:r>
          <w:rPr>
            <w:rFonts w:ascii="Cambria Math" w:hAnsi="Cambria Math"/>
            <w:lang w:eastAsia="zh-CN"/>
          </w:rPr>
          <m:t>0.10</m:t>
        </m:r>
      </m:oMath>
      <w:r>
        <w:rPr>
          <w:lang w:eastAsia="zh-CN"/>
        </w:rPr>
        <w:t>，因而</w:t>
      </w:r>
      <w:r>
        <w:rPr>
          <w:lang w:eastAsia="zh-CN"/>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lang w:eastAsia="zh-CN"/>
                  </w:rPr>
                  <m:t>γ</m:t>
                </m:r>
              </m:e>
            </m:acc>
          </m:e>
          <m:sup>
            <m:r>
              <m:rPr>
                <m:sty m:val="p"/>
              </m:rPr>
              <w:rPr>
                <w:rFonts w:ascii="Cambria Math" w:hAnsi="Cambria Math"/>
                <w:lang w:eastAsia="zh-CN"/>
              </w:rPr>
              <m:t>inst</m:t>
            </m:r>
          </m:sup>
        </m:sSup>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e</m:t>
            </m:r>
          </m:e>
          <m:sup>
            <m:r>
              <m:rPr>
                <m:sty m:val="p"/>
              </m:rPr>
              <w:rPr>
                <w:rFonts w:ascii="Cambria Math" w:hAnsi="Cambria Math"/>
                <w:lang w:eastAsia="zh-CN"/>
              </w:rPr>
              <m:t>-</m:t>
            </m:r>
            <m:r>
              <w:rPr>
                <w:rFonts w:ascii="Cambria Math" w:hAnsi="Cambria Math"/>
                <w:lang w:eastAsia="zh-CN"/>
              </w:rPr>
              <m:t>0.10</m:t>
            </m:r>
          </m:sup>
        </m:sSup>
        <m:r>
          <m:rPr>
            <m:sty m:val="p"/>
          </m:rPr>
          <w:rPr>
            <w:rFonts w:ascii="Cambria Math" w:hAnsi="Cambria Math"/>
            <w:lang w:eastAsia="zh-CN"/>
          </w:rPr>
          <m:t>≈</m:t>
        </m:r>
        <m:r>
          <w:rPr>
            <w:rFonts w:ascii="Cambria Math" w:hAnsi="Cambria Math"/>
            <w:lang w:eastAsia="zh-CN"/>
          </w:rPr>
          <m:t>0.905</m:t>
        </m:r>
      </m:oMath>
      <w:r>
        <w:rPr>
          <w:lang w:eastAsia="zh-CN"/>
        </w:rPr>
        <w:t>。这表示在该估计与识别假设下，改革对应的经验制度型</w:t>
      </w:r>
      <w:r>
        <w:rPr>
          <w:lang w:eastAsia="zh-CN"/>
        </w:rPr>
        <w:t>MP</w:t>
      </w:r>
      <w:r>
        <w:rPr>
          <w:lang w:eastAsia="zh-CN"/>
        </w:rPr>
        <w:t>成本约下降</w:t>
      </w:r>
      <w:r>
        <w:rPr>
          <w:lang w:eastAsia="zh-CN"/>
        </w:rPr>
        <w:t>9.5%</w:t>
      </w:r>
      <w:r>
        <w:rPr>
          <w:lang w:eastAsia="zh-CN"/>
        </w:rPr>
        <w:t>。</w:t>
      </w:r>
      <w:r>
        <w:rPr>
          <w:lang w:eastAsia="zh-CN"/>
        </w:rPr>
        <w:t>0.905</w:t>
      </w:r>
      <w:r>
        <w:rPr>
          <w:lang w:eastAsia="zh-CN"/>
        </w:rPr>
        <w:t>来自政策变量与实际跨国生产成本的估计关系，不是</w:t>
      </w:r>
      <w:r>
        <w:rPr>
          <w:lang w:eastAsia="zh-CN"/>
        </w:rPr>
        <w:t>LLM</w:t>
      </w:r>
      <w:r>
        <w:rPr>
          <w:lang w:eastAsia="zh-CN"/>
        </w:rPr>
        <w:t>直接给出的分数。</w:t>
      </w:r>
    </w:p>
    <w:p w14:paraId="6BADDD8D" w14:textId="77777777" w:rsidR="002D0A3C" w:rsidRDefault="003B6787">
      <w:pPr>
        <w:pStyle w:val="3"/>
        <w:rPr>
          <w:lang w:eastAsia="zh-CN"/>
        </w:rPr>
      </w:pPr>
      <w:bookmarkStart w:id="6" w:name="a.3.3-因果解释与微观验证"/>
      <w:bookmarkEnd w:id="5"/>
      <w:r>
        <w:rPr>
          <w:rFonts w:ascii="Times New Roman" w:eastAsia="宋体" w:hAnsi="Times New Roman"/>
          <w:lang w:eastAsia="zh-CN"/>
        </w:rPr>
        <w:lastRenderedPageBreak/>
        <w:t>A.3.3</w:t>
      </w:r>
      <w:r>
        <w:rPr>
          <w:rFonts w:ascii="Times New Roman" w:eastAsia="宋体" w:hAnsi="Times New Roman"/>
          <w:lang w:eastAsia="zh-CN"/>
        </w:rPr>
        <w:t xml:space="preserve">　因果解释与微观验证</w:t>
      </w:r>
    </w:p>
    <w:p w14:paraId="08195D9E" w14:textId="77777777" w:rsidR="002D0A3C" w:rsidRDefault="003B6787" w:rsidP="00C51E76">
      <w:pPr>
        <w:pStyle w:val="FirstParagraph"/>
        <w:spacing w:before="80" w:after="80" w:line="240" w:lineRule="auto"/>
        <w:rPr>
          <w:lang w:eastAsia="zh-CN"/>
        </w:rPr>
      </w:pPr>
      <w:r>
        <w:t>式（</w:t>
      </w:r>
      <w:r>
        <w:t>A4</w:t>
      </w:r>
      <w:r>
        <w:t>）的核心用途是构造</w:t>
      </w:r>
      <w:r>
        <w:t>“</w:t>
      </w:r>
      <w:r>
        <w:t>成本等价</w:t>
      </w:r>
      <w:r>
        <w:t>”</w:t>
      </w:r>
      <w:r>
        <w:t>。</w:t>
      </w:r>
      <w:r>
        <w:rPr>
          <w:lang w:eastAsia="zh-CN"/>
        </w:rPr>
        <w:t>若要进一步把</w:t>
      </w:r>
      <w:r>
        <w:rPr>
          <w:lang w:eastAsia="zh-CN"/>
        </w:rPr>
        <w:t xml:space="preserve"> </w:t>
      </w:r>
      <m:oMath>
        <m:acc>
          <m:accPr>
            <m:ctrlPr>
              <w:rPr>
                <w:rFonts w:ascii="Cambria Math" w:hAnsi="Cambria Math"/>
              </w:rPr>
            </m:ctrlPr>
          </m:accPr>
          <m:e>
            <m:r>
              <w:rPr>
                <w:rFonts w:ascii="Cambria Math" w:hAnsi="Cambria Math"/>
                <w:lang w:eastAsia="zh-CN"/>
              </w:rPr>
              <m:t>κ</m:t>
            </m:r>
          </m:e>
        </m:acc>
      </m:oMath>
      <w:r>
        <w:rPr>
          <w:lang w:eastAsia="zh-CN"/>
        </w:rPr>
        <w:t xml:space="preserve"> </w:t>
      </w:r>
      <w:r>
        <w:rPr>
          <w:lang w:eastAsia="zh-CN"/>
        </w:rPr>
        <w:t>解释为准入改革对跨国投资成本的因果效应，需要额外排除政策内生性：例如某些行业可能因为外资增长前景更好而更早开放。实证中应检验改革前趋势，并在可能的情况下利用政策承诺时间表、分批开放或窄活动内的未改革组形成更有约束力的对照。</w:t>
      </w:r>
    </w:p>
    <w:p w14:paraId="50291F62" w14:textId="77777777" w:rsidR="002D0A3C" w:rsidRDefault="003B6787" w:rsidP="00C51E76">
      <w:pPr>
        <w:pStyle w:val="a0"/>
        <w:rPr>
          <w:lang w:eastAsia="zh-CN"/>
        </w:rPr>
      </w:pPr>
      <w:r>
        <w:rPr>
          <w:lang w:eastAsia="zh-CN"/>
        </w:rPr>
        <w:t>Eppinger and Ma</w:t>
      </w:r>
      <w:r>
        <w:rPr>
          <w:lang w:eastAsia="zh-CN"/>
        </w:rPr>
        <w:t>（</w:t>
      </w:r>
      <w:r>
        <w:rPr>
          <w:lang w:eastAsia="zh-CN"/>
        </w:rPr>
        <w:t>2023</w:t>
      </w:r>
      <w:r>
        <w:rPr>
          <w:lang w:eastAsia="zh-CN"/>
        </w:rPr>
        <w:t>）提供了一个自然的微观验证思路。他们发现，</w:t>
      </w:r>
      <w:r>
        <w:rPr>
          <w:lang w:eastAsia="zh-CN"/>
        </w:rPr>
        <w:t>2002</w:t>
      </w:r>
      <w:r>
        <w:rPr>
          <w:lang w:eastAsia="zh-CN"/>
        </w:rPr>
        <w:t>年前受到外资所有权限制而后被放开的企业，更可能在改革后转向完全外资所有，并进一步表现出产出和生产率改善。本文不把其约</w:t>
      </w:r>
      <w:r>
        <w:rPr>
          <w:lang w:eastAsia="zh-CN"/>
        </w:rPr>
        <w:t>40%</w:t>
      </w:r>
      <w:r>
        <w:rPr>
          <w:lang w:eastAsia="zh-CN"/>
        </w:rPr>
        <w:t>的产出效应或</w:t>
      </w:r>
      <w:r>
        <w:rPr>
          <w:lang w:eastAsia="zh-CN"/>
        </w:rPr>
        <w:t>7.5%</w:t>
      </w:r>
      <w:r>
        <w:rPr>
          <w:lang w:eastAsia="zh-CN"/>
        </w:rPr>
        <w:t>的</w:t>
      </w:r>
      <w:r>
        <w:rPr>
          <w:lang w:eastAsia="zh-CN"/>
        </w:rPr>
        <w:t>TFP</w:t>
      </w:r>
      <w:r>
        <w:rPr>
          <w:lang w:eastAsia="zh-CN"/>
        </w:rPr>
        <w:t>效应直接当作</w:t>
      </w:r>
      <w:r>
        <w:rPr>
          <w:lang w:eastAsia="zh-CN"/>
        </w:rPr>
        <w:t>“</w:t>
      </w:r>
      <w:r>
        <w:rPr>
          <w:lang w:eastAsia="zh-CN"/>
        </w:rPr>
        <w:t>成本下降幅度</w:t>
      </w:r>
      <w:r>
        <w:rPr>
          <w:lang w:eastAsia="zh-CN"/>
        </w:rPr>
        <w:t>”</w:t>
      </w:r>
      <w:r>
        <w:rPr>
          <w:lang w:eastAsia="zh-CN"/>
        </w:rPr>
        <w:t>；这些结果的作用是验证所有权和准入限制确实具有行为后果。对本文的新负面清单测度，如果某细活动由</w:t>
      </w:r>
      <w:r>
        <w:rPr>
          <w:lang w:eastAsia="zh-CN"/>
        </w:rPr>
        <w:t>“</w:t>
      </w:r>
      <w:r>
        <w:rPr>
          <w:lang w:eastAsia="zh-CN"/>
        </w:rPr>
        <w:t>外资股比受限</w:t>
      </w:r>
      <w:r>
        <w:rPr>
          <w:lang w:eastAsia="zh-CN"/>
        </w:rPr>
        <w:t>”</w:t>
      </w:r>
      <w:r>
        <w:rPr>
          <w:lang w:eastAsia="zh-CN"/>
        </w:rPr>
        <w:t>转为</w:t>
      </w:r>
      <w:r>
        <w:rPr>
          <w:lang w:eastAsia="zh-CN"/>
        </w:rPr>
        <w:t>“</w:t>
      </w:r>
      <w:r>
        <w:rPr>
          <w:lang w:eastAsia="zh-CN"/>
        </w:rPr>
        <w:t>不再设限</w:t>
      </w:r>
      <w:r>
        <w:rPr>
          <w:lang w:eastAsia="zh-CN"/>
        </w:rPr>
        <w:t>”</w:t>
      </w:r>
      <w:r>
        <w:rPr>
          <w:lang w:eastAsia="zh-CN"/>
        </w:rPr>
        <w:t>，则企业层面的外资持股、全外资概率、外资企业数量或外资企业在华产出应至少在方向上与政策测量一致。</w:t>
      </w:r>
    </w:p>
    <w:p w14:paraId="54A5DA27" w14:textId="77777777" w:rsidR="002D0A3C" w:rsidRDefault="003B6787">
      <w:pPr>
        <w:pStyle w:val="2"/>
        <w:rPr>
          <w:lang w:eastAsia="zh-CN"/>
        </w:rPr>
      </w:pPr>
      <w:bookmarkStart w:id="7" w:name="a.4-禁止准入的广延边际"/>
      <w:bookmarkEnd w:id="3"/>
      <w:bookmarkEnd w:id="6"/>
      <w:r>
        <w:rPr>
          <w:rFonts w:ascii="Times New Roman" w:eastAsia="宋体" w:hAnsi="Times New Roman"/>
          <w:lang w:eastAsia="zh-CN"/>
        </w:rPr>
        <w:t>A.4</w:t>
      </w:r>
      <w:r>
        <w:rPr>
          <w:rFonts w:ascii="Times New Roman" w:eastAsia="宋体" w:hAnsi="Times New Roman"/>
          <w:lang w:eastAsia="zh-CN"/>
        </w:rPr>
        <w:t xml:space="preserve">　禁止准入的广延边际</w:t>
      </w:r>
    </w:p>
    <w:p w14:paraId="79AEE50E" w14:textId="77777777" w:rsidR="002D0A3C" w:rsidRDefault="003B6787" w:rsidP="00BC662F">
      <w:pPr>
        <w:pStyle w:val="FirstParagraph"/>
        <w:spacing w:before="80" w:after="80" w:line="240" w:lineRule="auto"/>
        <w:rPr>
          <w:lang w:eastAsia="zh-CN"/>
        </w:rPr>
      </w:pPr>
      <w:r>
        <w:rPr>
          <w:lang w:eastAsia="zh-CN"/>
        </w:rPr>
        <w:t>禁止投资与股比、控制、组织形式和治理要求不是同一连续成本上的不同取值。有限限制意味着外国企业仍可选择中国作为生产地，只是进入方式或运营条件受到约束；完全禁止则意味着中国不在该活动的可行生产地点集合内。因此，基准成本回归式（</w:t>
      </w:r>
      <w:r>
        <w:rPr>
          <w:lang w:eastAsia="zh-CN"/>
        </w:rPr>
        <w:t>A4</w:t>
      </w:r>
      <w:r>
        <w:rPr>
          <w:lang w:eastAsia="zh-CN"/>
        </w:rPr>
        <w:t>）只使用</w:t>
      </w:r>
      <w:r>
        <w:rPr>
          <w:lang w:eastAsia="zh-CN"/>
        </w:rPr>
        <w:t xml:space="preserve"> access_status=conditional </w:t>
      </w:r>
      <w:r>
        <w:rPr>
          <w:lang w:eastAsia="zh-CN"/>
        </w:rPr>
        <w:t>的可进入活动，并把禁止准入份额单独保存。</w:t>
      </w:r>
    </w:p>
    <w:p w14:paraId="45963096" w14:textId="77777777" w:rsidR="002D0A3C" w:rsidRDefault="003B6787" w:rsidP="00BC662F">
      <w:pPr>
        <w:pStyle w:val="a0"/>
        <w:spacing w:before="80" w:after="80" w:line="240" w:lineRule="auto"/>
        <w:ind w:firstLine="0"/>
        <w:rPr>
          <w:lang w:eastAsia="zh-CN"/>
        </w:rPr>
      </w:pPr>
      <w:r>
        <w:rPr>
          <w:lang w:eastAsia="zh-CN"/>
        </w:rPr>
        <w:t>当政策从</w:t>
      </w:r>
      <w:r>
        <w:rPr>
          <w:lang w:eastAsia="zh-CN"/>
        </w:rPr>
        <w:t>“</w:t>
      </w:r>
      <w:r>
        <w:rPr>
          <w:lang w:eastAsia="zh-CN"/>
        </w:rPr>
        <w:t>禁止</w:t>
      </w:r>
      <w:r>
        <w:rPr>
          <w:lang w:eastAsia="zh-CN"/>
        </w:rPr>
        <w:t>”</w:t>
      </w:r>
      <w:r>
        <w:rPr>
          <w:lang w:eastAsia="zh-CN"/>
        </w:rPr>
        <w:t>变为</w:t>
      </w:r>
      <w:r>
        <w:rPr>
          <w:lang w:eastAsia="zh-CN"/>
        </w:rPr>
        <w:t>“</w:t>
      </w:r>
      <w:r>
        <w:rPr>
          <w:lang w:eastAsia="zh-CN"/>
        </w:rPr>
        <w:t>允许</w:t>
      </w:r>
      <w:r>
        <w:rPr>
          <w:lang w:eastAsia="zh-CN"/>
        </w:rPr>
        <w:t>”</w:t>
      </w:r>
      <w:r>
        <w:rPr>
          <w:lang w:eastAsia="zh-CN"/>
        </w:rPr>
        <w:t>时，结构模型中的自然处理是扩大可行生产地集合，而不是给</w:t>
      </w:r>
      <w:r>
        <w:rPr>
          <w:lang w:eastAsia="zh-CN"/>
        </w:rPr>
        <w:t xml:space="preserve"> </w:t>
      </w:r>
      <m:oMath>
        <m:r>
          <w:rPr>
            <w:rFonts w:ascii="Cambria Math" w:hAnsi="Cambria Math"/>
            <w:lang w:eastAsia="zh-CN"/>
          </w:rPr>
          <m:t>ξ</m:t>
        </m:r>
      </m:oMath>
      <w:r>
        <w:rPr>
          <w:lang w:eastAsia="zh-CN"/>
        </w:rPr>
        <w:t xml:space="preserve"> </w:t>
      </w:r>
      <w:r>
        <w:rPr>
          <w:lang w:eastAsia="zh-CN"/>
        </w:rPr>
        <w:t>或</w:t>
      </w:r>
      <w:r>
        <w:rPr>
          <w:lang w:eastAsia="zh-CN"/>
        </w:rPr>
        <w:t xml:space="preserve"> </w:t>
      </w:r>
      <m:oMath>
        <m:r>
          <w:rPr>
            <w:rFonts w:ascii="Cambria Math" w:hAnsi="Cambria Math"/>
            <w:lang w:eastAsia="zh-CN"/>
          </w:rPr>
          <m:t>γ</m:t>
        </m:r>
      </m:oMath>
      <w:r>
        <w:rPr>
          <w:lang w:eastAsia="zh-CN"/>
        </w:rPr>
        <w:t xml:space="preserve"> </w:t>
      </w:r>
      <w:r>
        <w:rPr>
          <w:lang w:eastAsia="zh-CN"/>
        </w:rPr>
        <w:t>指定一个任意的大数。若现有数值代码暂时只能处理有限成本，可以在扩展反事实中用极高成本近似禁止，但该设定必须明确标注为数值近似，并对高成本上限进行敏感性分析；基准结果不应依赖这一近似。</w:t>
      </w:r>
    </w:p>
    <w:p w14:paraId="2DD2D6EA" w14:textId="77777777" w:rsidR="002D0A3C" w:rsidRDefault="003B6787">
      <w:pPr>
        <w:pStyle w:val="2"/>
        <w:rPr>
          <w:lang w:eastAsia="zh-CN"/>
        </w:rPr>
      </w:pPr>
      <w:bookmarkStart w:id="8" w:name="a.5-从经验mp成本到结构模型冲击"/>
      <w:bookmarkEnd w:id="7"/>
      <w:r>
        <w:rPr>
          <w:rFonts w:ascii="Times New Roman" w:eastAsia="宋体" w:hAnsi="Times New Roman"/>
          <w:lang w:eastAsia="zh-CN"/>
        </w:rPr>
        <w:t>A.5</w:t>
      </w:r>
      <w:r>
        <w:rPr>
          <w:rFonts w:ascii="Times New Roman" w:eastAsia="宋体" w:hAnsi="Times New Roman"/>
          <w:lang w:eastAsia="zh-CN"/>
        </w:rPr>
        <w:t xml:space="preserve">　从经验</w:t>
      </w:r>
      <w:r>
        <w:rPr>
          <w:rFonts w:ascii="Times New Roman" w:eastAsia="宋体" w:hAnsi="Times New Roman"/>
          <w:lang w:eastAsia="zh-CN"/>
        </w:rPr>
        <w:t>MP</w:t>
      </w:r>
      <w:r>
        <w:rPr>
          <w:rFonts w:ascii="Times New Roman" w:eastAsia="宋体" w:hAnsi="Times New Roman"/>
          <w:lang w:eastAsia="zh-CN"/>
        </w:rPr>
        <w:t>成本到结构模型冲击</w:t>
      </w:r>
    </w:p>
    <w:p w14:paraId="0C8BA27B" w14:textId="77777777" w:rsidR="002D0A3C" w:rsidRDefault="003B6787">
      <w:pPr>
        <w:pStyle w:val="3"/>
        <w:rPr>
          <w:lang w:eastAsia="zh-CN"/>
        </w:rPr>
      </w:pPr>
      <w:bookmarkStart w:id="9" w:name="a.5.1-结构变量的方向"/>
      <w:r>
        <w:rPr>
          <w:rFonts w:ascii="Times New Roman" w:eastAsia="宋体" w:hAnsi="Times New Roman"/>
          <w:lang w:eastAsia="zh-CN"/>
        </w:rPr>
        <w:t>A.5.1</w:t>
      </w:r>
      <w:r>
        <w:rPr>
          <w:rFonts w:ascii="Times New Roman" w:eastAsia="宋体" w:hAnsi="Times New Roman"/>
          <w:lang w:eastAsia="zh-CN"/>
        </w:rPr>
        <w:t xml:space="preserve">　结构变量的方向</w:t>
      </w:r>
    </w:p>
    <w:p w14:paraId="63E5097F" w14:textId="77777777" w:rsidR="002D0A3C" w:rsidRDefault="003B6787" w:rsidP="00305E6F">
      <w:pPr>
        <w:pStyle w:val="FirstParagraph"/>
        <w:spacing w:before="80" w:after="80" w:line="240" w:lineRule="auto"/>
        <w:ind w:firstLine="720"/>
        <w:rPr>
          <w:lang w:eastAsia="zh-CN"/>
        </w:rPr>
      </w:pPr>
      <w:r>
        <w:rPr>
          <w:lang w:eastAsia="zh-CN"/>
        </w:rPr>
        <w:t>第二篇文献用</w:t>
      </w:r>
      <w:r>
        <w:rPr>
          <w:lang w:eastAsia="zh-CN"/>
        </w:rPr>
        <w:t xml:space="preserve"> </w:t>
      </w:r>
      <m:oMath>
        <m:sSubSup>
          <m:sSubSupPr>
            <m:ctrlPr>
              <w:rPr>
                <w:rFonts w:ascii="Cambria Math" w:hAnsi="Cambria Math"/>
              </w:rPr>
            </m:ctrlPr>
          </m:sSubSupPr>
          <m:e>
            <m:r>
              <w:rPr>
                <w:rFonts w:ascii="Cambria Math" w:hAnsi="Cambria Math"/>
                <w:lang w:eastAsia="zh-CN"/>
              </w:rPr>
              <m:t>ξ</m:t>
            </m:r>
          </m:e>
          <m:sub>
            <m:r>
              <w:rPr>
                <w:rFonts w:ascii="Cambria Math" w:hAnsi="Cambria Math"/>
                <w:lang w:eastAsia="zh-CN"/>
              </w:rPr>
              <m:t>im</m:t>
            </m:r>
          </m:sub>
          <m:sup>
            <m:r>
              <w:rPr>
                <w:rFonts w:ascii="Cambria Math" w:hAnsi="Cambria Math"/>
                <w:lang w:eastAsia="zh-CN"/>
              </w:rPr>
              <m:t>j</m:t>
            </m:r>
          </m:sup>
        </m:sSubSup>
      </m:oMath>
      <w:r>
        <w:rPr>
          <w:lang w:eastAsia="zh-CN"/>
        </w:rPr>
        <w:t xml:space="preserve"> </w:t>
      </w:r>
      <w:r>
        <w:rPr>
          <w:lang w:eastAsia="zh-CN"/>
        </w:rPr>
        <w:t>表示跨国生产效率项，其中</w:t>
      </w:r>
      <w:r>
        <w:rPr>
          <w:lang w:eastAsia="zh-CN"/>
        </w:rPr>
        <w:t xml:space="preserve"> </w:t>
      </w:r>
      <m:oMath>
        <m:r>
          <w:rPr>
            <w:rFonts w:ascii="Cambria Math" w:hAnsi="Cambria Math"/>
            <w:lang w:eastAsia="zh-CN"/>
          </w:rPr>
          <m:t>m</m:t>
        </m:r>
      </m:oMath>
      <w:r>
        <w:rPr>
          <w:lang w:eastAsia="zh-CN"/>
        </w:rPr>
        <w:t xml:space="preserve"> </w:t>
      </w:r>
      <w:r>
        <w:rPr>
          <w:lang w:eastAsia="zh-CN"/>
        </w:rPr>
        <w:t>为母国、</w:t>
      </w:r>
      <m:oMath>
        <m:r>
          <w:rPr>
            <w:rFonts w:ascii="Cambria Math" w:hAnsi="Cambria Math"/>
            <w:lang w:eastAsia="zh-CN"/>
          </w:rPr>
          <m:t>i</m:t>
        </m:r>
      </m:oMath>
      <w:r>
        <w:rPr>
          <w:lang w:eastAsia="zh-CN"/>
        </w:rPr>
        <w:t xml:space="preserve"> </w:t>
      </w:r>
      <w:r>
        <w:rPr>
          <w:lang w:eastAsia="zh-CN"/>
        </w:rPr>
        <w:t>为生产国。该变量刻画母国企业把生产知识和信息传递到生产国分支机构时的效率损失，其单位成本写为</w:t>
      </w:r>
    </w:p>
    <w:p w14:paraId="64AA2B8B" w14:textId="77777777" w:rsidR="002D0A3C" w:rsidRDefault="00791C5A">
      <w:pPr>
        <w:pStyle w:val="a0"/>
        <w:spacing w:before="80" w:after="80" w:line="240" w:lineRule="auto"/>
        <w:ind w:firstLine="0"/>
        <w:jc w:val="center"/>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m:t>
              </m:r>
            </m:sub>
            <m:sup>
              <m:r>
                <w:rPr>
                  <w:rFonts w:ascii="Cambria Math" w:hAnsi="Cambria Math"/>
                </w:rPr>
                <m:t>j</m:t>
              </m:r>
            </m:sup>
          </m:sSub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ξ</m:t>
                  </m:r>
                </m:e>
                <m:sub>
                  <m:r>
                    <w:rPr>
                      <w:rFonts w:ascii="Cambria Math" w:hAnsi="Cambria Math"/>
                    </w:rPr>
                    <m:t>im</m:t>
                  </m:r>
                </m:sub>
                <m:sup>
                  <m:r>
                    <w:rPr>
                      <w:rFonts w:ascii="Cambria Math" w:hAnsi="Cambria Math"/>
                    </w:rPr>
                    <m:t>j</m:t>
                  </m:r>
                </m:sup>
              </m:sSubSup>
            </m:den>
          </m:f>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E</m:t>
                      </m:r>
                    </m:sup>
                  </m:sSubSup>
                </m:e>
              </m:d>
            </m:e>
            <m:sup>
              <m:sSubSup>
                <m:sSubSupPr>
                  <m:ctrlPr>
                    <w:rPr>
                      <w:rFonts w:ascii="Cambria Math" w:hAnsi="Cambria Math"/>
                    </w:rPr>
                  </m:ctrlPr>
                </m:sSubSupPr>
                <m:e>
                  <m:r>
                    <w:rPr>
                      <w:rFonts w:ascii="Cambria Math" w:hAnsi="Cambria Math"/>
                    </w:rPr>
                    <m:t>γ</m:t>
                  </m:r>
                </m:e>
                <m:sub>
                  <m:r>
                    <w:rPr>
                      <w:rFonts w:ascii="Cambria Math" w:hAnsi="Cambria Math"/>
                    </w:rPr>
                    <m:t>i</m:t>
                  </m:r>
                </m:sub>
                <m:sup>
                  <m:r>
                    <w:rPr>
                      <w:rFonts w:ascii="Cambria Math" w:hAnsi="Cambria Math"/>
                    </w:rPr>
                    <m:t>L</m:t>
                  </m:r>
                  <m:r>
                    <m:rPr>
                      <m:sty m:val="p"/>
                    </m:rPr>
                    <w:rPr>
                      <w:rFonts w:ascii="Cambria Math" w:hAnsi="Cambria Math"/>
                    </w:rPr>
                    <m:t>,</m:t>
                  </m:r>
                  <m:r>
                    <w:rPr>
                      <w:rFonts w:ascii="Cambria Math" w:hAnsi="Cambria Math"/>
                    </w:rPr>
                    <m:t>j</m:t>
                  </m:r>
                </m:sup>
              </m:sSubSup>
            </m:sup>
          </m:s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k</m:t>
                          </m:r>
                        </m:sup>
                      </m:sSubSup>
                    </m:e>
                  </m:d>
                </m:e>
                <m:sup>
                  <m:sSubSup>
                    <m:sSubSupPr>
                      <m:ctrlPr>
                        <w:rPr>
                          <w:rFonts w:ascii="Cambria Math" w:hAnsi="Cambria Math"/>
                        </w:rPr>
                      </m:ctrlPr>
                    </m:sSubSupPr>
                    <m:e>
                      <m:r>
                        <w:rPr>
                          <w:rFonts w:ascii="Cambria Math" w:hAnsi="Cambria Math"/>
                        </w:rPr>
                        <m:t>γ</m:t>
                      </m:r>
                    </m:e>
                    <m:sub>
                      <m:r>
                        <w:rPr>
                          <w:rFonts w:ascii="Cambria Math" w:hAnsi="Cambria Math"/>
                        </w:rPr>
                        <m:t>i</m:t>
                      </m:r>
                    </m:sub>
                    <m:sup>
                      <m:r>
                        <w:rPr>
                          <w:rFonts w:ascii="Cambria Math" w:hAnsi="Cambria Math"/>
                        </w:rPr>
                        <m:t>jk</m:t>
                      </m:r>
                    </m:sup>
                  </m:sSubSup>
                </m:sup>
              </m:sSup>
            </m:e>
          </m:nary>
          <m:r>
            <m:rPr>
              <m:sty m:val="p"/>
            </m:rPr>
            <w:rPr>
              <w:rFonts w:ascii="Cambria Math" w:hAnsi="Cambria Math"/>
            </w:rPr>
            <m:t>.</m:t>
          </m:r>
          <m:r>
            <w:rPr>
              <w:rFonts w:ascii="Cambria Math" w:hAnsi="Cambria Math"/>
            </w:rPr>
            <m:t> </m:t>
          </m:r>
          <m:d>
            <m:dPr>
              <m:ctrlPr>
                <w:rPr>
                  <w:rFonts w:ascii="Cambria Math" w:hAnsi="Cambria Math"/>
                </w:rPr>
              </m:ctrlPr>
            </m:dPr>
            <m:e>
              <m:r>
                <m:rPr>
                  <m:sty m:val="p"/>
                </m:rPr>
                <w:rPr>
                  <w:rFonts w:ascii="Cambria Math" w:hAnsi="Cambria Math"/>
                </w:rPr>
                <m:t>A6</m:t>
              </m:r>
            </m:e>
          </m:d>
        </m:oMath>
      </m:oMathPara>
    </w:p>
    <w:p w14:paraId="6F556E9A" w14:textId="77777777" w:rsidR="002D0A3C" w:rsidRDefault="003B6787" w:rsidP="00305E6F">
      <w:pPr>
        <w:pStyle w:val="FirstParagraph"/>
        <w:spacing w:before="80" w:after="80" w:line="240" w:lineRule="auto"/>
        <w:ind w:firstLine="720"/>
        <w:rPr>
          <w:lang w:eastAsia="zh-CN"/>
        </w:rPr>
      </w:pPr>
      <w:r>
        <w:rPr>
          <w:lang w:eastAsia="zh-CN"/>
        </w:rPr>
        <w:t>因此，按公式方向，</w:t>
      </w:r>
      <m:oMath>
        <m:sSubSup>
          <m:sSubSupPr>
            <m:ctrlPr>
              <w:rPr>
                <w:rFonts w:ascii="Cambria Math" w:hAnsi="Cambria Math"/>
              </w:rPr>
            </m:ctrlPr>
          </m:sSubSupPr>
          <m:e>
            <m:r>
              <w:rPr>
                <w:rFonts w:ascii="Cambria Math" w:hAnsi="Cambria Math"/>
                <w:lang w:eastAsia="zh-CN"/>
              </w:rPr>
              <m:t>ξ</m:t>
            </m:r>
          </m:e>
          <m:sub>
            <m:r>
              <w:rPr>
                <w:rFonts w:ascii="Cambria Math" w:hAnsi="Cambria Math"/>
                <w:lang w:eastAsia="zh-CN"/>
              </w:rPr>
              <m:t>im</m:t>
            </m:r>
          </m:sub>
          <m:sup>
            <m:r>
              <w:rPr>
                <w:rFonts w:ascii="Cambria Math" w:hAnsi="Cambria Math"/>
                <w:lang w:eastAsia="zh-CN"/>
              </w:rPr>
              <m:t>j</m:t>
            </m:r>
          </m:sup>
        </m:sSubSup>
      </m:oMath>
      <w:r>
        <w:rPr>
          <w:lang w:eastAsia="zh-CN"/>
        </w:rPr>
        <w:t xml:space="preserve"> </w:t>
      </w:r>
      <w:r>
        <w:rPr>
          <w:lang w:eastAsia="zh-CN"/>
        </w:rPr>
        <w:t>上升会降低单位成本；这与经验部分</w:t>
      </w:r>
      <w:r>
        <w:rPr>
          <w:lang w:eastAsia="zh-CN"/>
        </w:rPr>
        <w:t>“</w:t>
      </w:r>
      <m:oMath>
        <m:r>
          <w:rPr>
            <w:rFonts w:ascii="Cambria Math" w:hAnsi="Cambria Math"/>
            <w:lang w:eastAsia="zh-CN"/>
          </w:rPr>
          <m:t>γ</m:t>
        </m:r>
      </m:oMath>
      <w:r>
        <w:rPr>
          <w:lang w:eastAsia="zh-CN"/>
        </w:rPr>
        <w:t xml:space="preserve"> </w:t>
      </w:r>
      <w:r>
        <w:rPr>
          <w:lang w:eastAsia="zh-CN"/>
        </w:rPr>
        <w:t>越大表示成本越高</w:t>
      </w:r>
      <w:r>
        <w:rPr>
          <w:lang w:eastAsia="zh-CN"/>
        </w:rPr>
        <w:t>”</w:t>
      </w:r>
      <w:r>
        <w:rPr>
          <w:lang w:eastAsia="zh-CN"/>
        </w:rPr>
        <w:t>的方向相反。为避免符号混淆，定义结构成本楔子</w:t>
      </w:r>
      <w:r>
        <w:rPr>
          <w:lang w:eastAsia="zh-CN"/>
        </w:rPr>
        <w:t xml:space="preserve"> </w:t>
      </w:r>
      <m:oMath>
        <m:sSubSup>
          <m:sSubSupPr>
            <m:ctrlPr>
              <w:rPr>
                <w:rFonts w:ascii="Cambria Math" w:hAnsi="Cambria Math"/>
              </w:rPr>
            </m:ctrlPr>
          </m:sSubSupPr>
          <m:e>
            <m:r>
              <w:rPr>
                <w:rFonts w:ascii="Cambria Math" w:hAnsi="Cambria Math"/>
                <w:lang w:eastAsia="zh-CN"/>
              </w:rPr>
              <m:t>d</m:t>
            </m:r>
          </m:e>
          <m:sub>
            <m:r>
              <w:rPr>
                <w:rFonts w:ascii="Cambria Math" w:hAnsi="Cambria Math"/>
                <w:lang w:eastAsia="zh-CN"/>
              </w:rPr>
              <m:t>im</m:t>
            </m:r>
          </m:sub>
          <m:sup>
            <m:r>
              <w:rPr>
                <w:rFonts w:ascii="Cambria Math" w:hAnsi="Cambria Math"/>
                <w:lang w:eastAsia="zh-CN"/>
              </w:rPr>
              <m:t>j</m:t>
            </m:r>
          </m:sup>
        </m:sSubSup>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sSubSup>
          <m:sSubSupPr>
            <m:ctrlPr>
              <w:rPr>
                <w:rFonts w:ascii="Cambria Math" w:hAnsi="Cambria Math"/>
              </w:rPr>
            </m:ctrlPr>
          </m:sSubSupPr>
          <m:e>
            <m:r>
              <w:rPr>
                <w:rFonts w:ascii="Cambria Math" w:hAnsi="Cambria Math"/>
                <w:lang w:eastAsia="zh-CN"/>
              </w:rPr>
              <m:t>ξ</m:t>
            </m:r>
          </m:e>
          <m:sub>
            <m:r>
              <w:rPr>
                <w:rFonts w:ascii="Cambria Math" w:hAnsi="Cambria Math"/>
                <w:lang w:eastAsia="zh-CN"/>
              </w:rPr>
              <m:t>im</m:t>
            </m:r>
          </m:sub>
          <m:sup>
            <m:r>
              <w:rPr>
                <w:rFonts w:ascii="Cambria Math" w:hAnsi="Cambria Math"/>
                <w:lang w:eastAsia="zh-CN"/>
              </w:rPr>
              <m:t>j</m:t>
            </m:r>
          </m:sup>
        </m:sSubSup>
      </m:oMath>
      <w:r>
        <w:rPr>
          <w:lang w:eastAsia="zh-CN"/>
        </w:rPr>
        <w:t>。政策开放降低跨国生产摩擦时，应有</w:t>
      </w:r>
      <w:r>
        <w:rPr>
          <w:lang w:eastAsia="zh-CN"/>
        </w:rP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lang w:eastAsia="zh-CN"/>
                  </w:rPr>
                  <m:t>d</m:t>
                </m:r>
              </m:e>
            </m:acc>
          </m:e>
          <m:sub>
            <m:r>
              <w:rPr>
                <w:rFonts w:ascii="Cambria Math" w:hAnsi="Cambria Math"/>
                <w:lang w:eastAsia="zh-CN"/>
              </w:rPr>
              <m:t>Cm</m:t>
            </m:r>
          </m:sub>
          <m:sup>
            <m:r>
              <w:rPr>
                <w:rFonts w:ascii="Cambria Math" w:hAnsi="Cambria Math"/>
                <w:lang w:eastAsia="zh-CN"/>
              </w:rPr>
              <m:t>j</m:t>
            </m:r>
          </m:sup>
        </m:sSubSup>
        <m:r>
          <m:rPr>
            <m:sty m:val="p"/>
          </m:rPr>
          <w:rPr>
            <w:rFonts w:ascii="Cambria Math" w:hAnsi="Cambria Math"/>
            <w:lang w:eastAsia="zh-CN"/>
          </w:rPr>
          <m:t>&lt;</m:t>
        </m:r>
        <m:r>
          <w:rPr>
            <w:rFonts w:ascii="Cambria Math" w:hAnsi="Cambria Math"/>
            <w:lang w:eastAsia="zh-CN"/>
          </w:rPr>
          <m:t>1</m:t>
        </m:r>
      </m:oMath>
      <w:r>
        <w:rPr>
          <w:lang w:eastAsia="zh-CN"/>
        </w:rPr>
        <w:t>，等价地</w:t>
      </w:r>
      <w:r>
        <w:rPr>
          <w:lang w:eastAsia="zh-CN"/>
        </w:rP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lang w:eastAsia="zh-CN"/>
                  </w:rPr>
                  <m:t>ξ</m:t>
                </m:r>
              </m:e>
            </m:acc>
          </m:e>
          <m:sub>
            <m:r>
              <w:rPr>
                <w:rFonts w:ascii="Cambria Math" w:hAnsi="Cambria Math"/>
                <w:lang w:eastAsia="zh-CN"/>
              </w:rPr>
              <m:t>Cm</m:t>
            </m:r>
          </m:sub>
          <m:sup>
            <m:r>
              <w:rPr>
                <w:rFonts w:ascii="Cambria Math" w:hAnsi="Cambria Math"/>
                <w:lang w:eastAsia="zh-CN"/>
              </w:rPr>
              <m:t>j</m:t>
            </m:r>
          </m:sup>
        </m:sSubSup>
        <m:r>
          <m:rPr>
            <m:sty m:val="p"/>
          </m:rPr>
          <w:rPr>
            <w:rFonts w:ascii="Cambria Math" w:hAnsi="Cambria Math"/>
            <w:lang w:eastAsia="zh-CN"/>
          </w:rPr>
          <m:t>&gt;</m:t>
        </m:r>
        <m:r>
          <w:rPr>
            <w:rFonts w:ascii="Cambria Math" w:hAnsi="Cambria Math"/>
            <w:lang w:eastAsia="zh-CN"/>
          </w:rPr>
          <m:t>1</m:t>
        </m:r>
      </m:oMath>
      <w:r>
        <w:rPr>
          <w:lang w:eastAsia="zh-CN"/>
        </w:rPr>
        <w:t>。</w:t>
      </w:r>
    </w:p>
    <w:p w14:paraId="3B80F47E" w14:textId="77777777" w:rsidR="002D0A3C" w:rsidRDefault="003B6787" w:rsidP="00305E6F">
      <w:pPr>
        <w:pStyle w:val="a0"/>
        <w:spacing w:before="80" w:after="80" w:line="240" w:lineRule="auto"/>
        <w:ind w:firstLine="720"/>
        <w:rPr>
          <w:lang w:eastAsia="zh-CN"/>
        </w:rPr>
      </w:pPr>
      <w:r>
        <w:rPr>
          <w:lang w:eastAsia="zh-CN"/>
        </w:rPr>
        <w:t>经验成本</w:t>
      </w:r>
      <w:r>
        <w:rPr>
          <w:lang w:eastAsia="zh-CN"/>
        </w:rPr>
        <w:t xml:space="preserve"> </w:t>
      </w:r>
      <m:oMath>
        <m:sSup>
          <m:sSupPr>
            <m:ctrlPr>
              <w:rPr>
                <w:rFonts w:ascii="Cambria Math" w:hAnsi="Cambria Math"/>
              </w:rPr>
            </m:ctrlPr>
          </m:sSupPr>
          <m:e>
            <m:r>
              <w:rPr>
                <w:rFonts w:ascii="Cambria Math" w:hAnsi="Cambria Math"/>
                <w:lang w:eastAsia="zh-CN"/>
              </w:rPr>
              <m:t>γ</m:t>
            </m:r>
          </m:e>
          <m:sup>
            <m:r>
              <m:rPr>
                <m:sty m:val="p"/>
              </m:rPr>
              <w:rPr>
                <w:rFonts w:ascii="Cambria Math" w:hAnsi="Cambria Math"/>
                <w:lang w:eastAsia="zh-CN"/>
              </w:rPr>
              <m:t>inst</m:t>
            </m:r>
          </m:sup>
        </m:sSup>
      </m:oMath>
      <w:r>
        <w:rPr>
          <w:lang w:eastAsia="zh-CN"/>
        </w:rPr>
        <w:t xml:space="preserve"> </w:t>
      </w:r>
      <w:r>
        <w:rPr>
          <w:lang w:eastAsia="zh-CN"/>
        </w:rPr>
        <w:t>与结构楔子</w:t>
      </w:r>
      <w:r>
        <w:rPr>
          <w:lang w:eastAsia="zh-CN"/>
        </w:rPr>
        <w:t xml:space="preserve"> </w:t>
      </w:r>
      <m:oMath>
        <m:r>
          <w:rPr>
            <w:rFonts w:ascii="Cambria Math" w:hAnsi="Cambria Math"/>
            <w:lang w:eastAsia="zh-CN"/>
          </w:rPr>
          <m:t>d</m:t>
        </m:r>
      </m:oMath>
      <w:r>
        <w:rPr>
          <w:lang w:eastAsia="zh-CN"/>
        </w:rPr>
        <w:t xml:space="preserve"> </w:t>
      </w:r>
      <w:r>
        <w:rPr>
          <w:lang w:eastAsia="zh-CN"/>
        </w:rPr>
        <w:t>的量纲并不由第二篇文献直接证明完全一致。因此，本附录不把两者无条件一对一替换，而把转换写为</w:t>
      </w:r>
    </w:p>
    <w:p w14:paraId="5D306B00" w14:textId="77777777" w:rsidR="002D0A3C" w:rsidRDefault="00791C5A">
      <w:pPr>
        <w:pStyle w:val="a0"/>
        <w:spacing w:before="80" w:after="80" w:line="240" w:lineRule="auto"/>
        <w:ind w:firstLine="0"/>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d</m:t>
                  </m:r>
                </m:e>
              </m:acc>
            </m:e>
            <m:sub>
              <m:r>
                <w:rPr>
                  <w:rFonts w:ascii="Cambria Math" w:hAnsi="Cambria Math"/>
                </w:rPr>
                <m:t>Cm</m:t>
              </m:r>
            </m:sub>
            <m:sup>
              <m:r>
                <w:rPr>
                  <w:rFonts w:ascii="Cambria Math" w:hAnsi="Cambria Math"/>
                </w:rPr>
                <m:t>j</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γ</m:t>
                          </m:r>
                        </m:e>
                      </m:acc>
                    </m:e>
                    <m:sub>
                      <m:r>
                        <w:rPr>
                          <w:rFonts w:ascii="Cambria Math" w:hAnsi="Cambria Math"/>
                        </w:rPr>
                        <m:t>mCj</m:t>
                      </m:r>
                    </m:sub>
                    <m:sup>
                      <m:r>
                        <m:rPr>
                          <m:sty m:val="p"/>
                        </m:rPr>
                        <w:rPr>
                          <w:rFonts w:ascii="Cambria Math" w:hAnsi="Cambria Math"/>
                        </w:rPr>
                        <m:t>inst</m:t>
                      </m:r>
                    </m:sup>
                  </m:sSubSup>
                </m:e>
              </m:d>
            </m:e>
            <m:sup>
              <m:sSub>
                <m:sSubPr>
                  <m:ctrlPr>
                    <w:rPr>
                      <w:rFonts w:ascii="Cambria Math" w:hAnsi="Cambria Math"/>
                    </w:rPr>
                  </m:ctrlPr>
                </m:sSubPr>
                <m:e>
                  <m:r>
                    <w:rPr>
                      <w:rFonts w:ascii="Cambria Math" w:hAnsi="Cambria Math"/>
                    </w:rPr>
                    <m:t>ν</m:t>
                  </m:r>
                </m:e>
                <m:sub>
                  <m:r>
                    <w:rPr>
                      <w:rFonts w:ascii="Cambria Math" w:hAnsi="Cambria Math"/>
                    </w:rPr>
                    <m:t>j</m:t>
                  </m:r>
                </m:sub>
              </m:sSub>
            </m:sup>
          </m:s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ξ</m:t>
                  </m:r>
                </m:e>
              </m:acc>
            </m:e>
            <m:sub>
              <m:r>
                <w:rPr>
                  <w:rFonts w:ascii="Cambria Math" w:hAnsi="Cambria Math"/>
                </w:rPr>
                <m:t>Cm</m:t>
              </m:r>
            </m:sub>
            <m:sup>
              <m:r>
                <w:rPr>
                  <w:rFonts w:ascii="Cambria Math" w:hAnsi="Cambria Math"/>
                </w:rPr>
                <m:t>j</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γ</m:t>
                          </m:r>
                        </m:e>
                      </m:acc>
                    </m:e>
                    <m:sub>
                      <m:r>
                        <w:rPr>
                          <w:rFonts w:ascii="Cambria Math" w:hAnsi="Cambria Math"/>
                        </w:rPr>
                        <m:t>mCj</m:t>
                      </m:r>
                    </m:sub>
                    <m:sup>
                      <m:r>
                        <m:rPr>
                          <m:sty m:val="p"/>
                        </m:rPr>
                        <w:rPr>
                          <w:rFonts w:ascii="Cambria Math" w:hAnsi="Cambria Math"/>
                        </w:rPr>
                        <m:t>inst</m:t>
                      </m:r>
                    </m:sup>
                  </m:sSubSup>
                </m:e>
              </m:d>
            </m:e>
            <m:sup>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m:t>
                  </m:r>
                </m:sub>
              </m:sSub>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ν</m:t>
              </m:r>
            </m:e>
            <m:sub>
              <m:r>
                <w:rPr>
                  <w:rFonts w:ascii="Cambria Math" w:hAnsi="Cambria Math"/>
                </w:rPr>
                <m:t>j</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m:rPr>
                  <m:sty m:val="p"/>
                </m:rPr>
                <w:rPr>
                  <w:rFonts w:ascii="Cambria Math" w:hAnsi="Cambria Math"/>
                </w:rPr>
                <m:t>A7</m:t>
              </m:r>
            </m:e>
          </m:d>
        </m:oMath>
      </m:oMathPara>
    </w:p>
    <w:p w14:paraId="2585C80D" w14:textId="77777777" w:rsidR="002D0A3C" w:rsidRDefault="00791C5A" w:rsidP="006C5C23">
      <w:pPr>
        <w:pStyle w:val="FirstParagraph"/>
        <w:spacing w:before="80" w:after="80" w:line="240" w:lineRule="auto"/>
        <w:ind w:firstLine="720"/>
        <w:rPr>
          <w:lang w:eastAsia="zh-CN"/>
        </w:rPr>
      </w:pPr>
      <m:oMath>
        <m:sSub>
          <m:sSubPr>
            <m:ctrlPr>
              <w:rPr>
                <w:rFonts w:ascii="Cambria Math" w:hAnsi="Cambria Math"/>
              </w:rPr>
            </m:ctrlPr>
          </m:sSubPr>
          <m:e>
            <m:r>
              <w:rPr>
                <w:rFonts w:ascii="Cambria Math" w:hAnsi="Cambria Math"/>
                <w:lang w:eastAsia="zh-CN"/>
              </w:rPr>
              <m:t>ν</m:t>
            </m:r>
          </m:e>
          <m:sub>
            <m:r>
              <w:rPr>
                <w:rFonts w:ascii="Cambria Math" w:hAnsi="Cambria Math"/>
                <w:lang w:eastAsia="zh-CN"/>
              </w:rPr>
              <m:t>j</m:t>
            </m:r>
          </m:sub>
        </m:sSub>
        <m:r>
          <m:rPr>
            <m:sty m:val="p"/>
          </m:rPr>
          <w:rPr>
            <w:rFonts w:ascii="Cambria Math" w:hAnsi="Cambria Math"/>
            <w:lang w:eastAsia="zh-CN"/>
          </w:rPr>
          <m:t>=</m:t>
        </m:r>
        <m:r>
          <w:rPr>
            <w:rFonts w:ascii="Cambria Math" w:hAnsi="Cambria Math"/>
            <w:lang w:eastAsia="zh-CN"/>
          </w:rPr>
          <m:t>1</m:t>
        </m:r>
      </m:oMath>
      <w:r w:rsidR="003B6787">
        <w:rPr>
          <w:lang w:eastAsia="zh-CN"/>
        </w:rPr>
        <w:t xml:space="preserve"> </w:t>
      </w:r>
      <w:r w:rsidR="003B6787">
        <w:rPr>
          <w:lang w:eastAsia="zh-CN"/>
        </w:rPr>
        <w:t>对应单位弹性的成本等价归一化，可作为第一轮基准；更优的做法是利用可观察的</w:t>
      </w:r>
      <w:r w:rsidR="003B6787">
        <w:rPr>
          <w:lang w:eastAsia="zh-CN"/>
        </w:rPr>
        <w:t xml:space="preserve"> AMNE </w:t>
      </w:r>
      <w:r w:rsidR="003B6787">
        <w:rPr>
          <w:lang w:eastAsia="zh-CN"/>
        </w:rPr>
        <w:t>跨国生产份额变化校准</w:t>
      </w:r>
      <w:r w:rsidR="003B6787">
        <w:rPr>
          <w:lang w:eastAsia="zh-CN"/>
        </w:rPr>
        <w:t xml:space="preserve"> </w:t>
      </w:r>
      <m:oMath>
        <m:sSub>
          <m:sSubPr>
            <m:ctrlPr>
              <w:rPr>
                <w:rFonts w:ascii="Cambria Math" w:hAnsi="Cambria Math"/>
              </w:rPr>
            </m:ctrlPr>
          </m:sSubPr>
          <m:e>
            <m:r>
              <w:rPr>
                <w:rFonts w:ascii="Cambria Math" w:hAnsi="Cambria Math"/>
                <w:lang w:eastAsia="zh-CN"/>
              </w:rPr>
              <m:t>ν</m:t>
            </m:r>
          </m:e>
          <m:sub>
            <m:r>
              <w:rPr>
                <w:rFonts w:ascii="Cambria Math" w:hAnsi="Cambria Math"/>
                <w:lang w:eastAsia="zh-CN"/>
              </w:rPr>
              <m:t>j</m:t>
            </m:r>
          </m:sub>
        </m:sSub>
      </m:oMath>
      <w:r w:rsidR="003B6787">
        <w:rPr>
          <w:lang w:eastAsia="zh-CN"/>
        </w:rPr>
        <w:t>，使结构模型在政策期内能够复现相应</w:t>
      </w:r>
      <w:r w:rsidR="003B6787">
        <w:rPr>
          <w:lang w:eastAsia="zh-CN"/>
        </w:rPr>
        <w:lastRenderedPageBreak/>
        <w:t>的在华生产份额变化。最终论文应同时报告围绕基准</w:t>
      </w:r>
      <w:r w:rsidR="003B6787">
        <w:rPr>
          <w:lang w:eastAsia="zh-CN"/>
        </w:rPr>
        <w:t xml:space="preserve"> </w:t>
      </w:r>
      <m:oMath>
        <m:sSub>
          <m:sSubPr>
            <m:ctrlPr>
              <w:rPr>
                <w:rFonts w:ascii="Cambria Math" w:hAnsi="Cambria Math"/>
              </w:rPr>
            </m:ctrlPr>
          </m:sSubPr>
          <m:e>
            <m:r>
              <w:rPr>
                <w:rFonts w:ascii="Cambria Math" w:hAnsi="Cambria Math"/>
                <w:lang w:eastAsia="zh-CN"/>
              </w:rPr>
              <m:t>ν</m:t>
            </m:r>
          </m:e>
          <m:sub>
            <m:r>
              <w:rPr>
                <w:rFonts w:ascii="Cambria Math" w:hAnsi="Cambria Math"/>
                <w:lang w:eastAsia="zh-CN"/>
              </w:rPr>
              <m:t>j</m:t>
            </m:r>
          </m:sub>
        </m:sSub>
      </m:oMath>
      <w:r w:rsidR="003B6787">
        <w:rPr>
          <w:lang w:eastAsia="zh-CN"/>
        </w:rPr>
        <w:t xml:space="preserve"> </w:t>
      </w:r>
      <w:r w:rsidR="003B6787">
        <w:rPr>
          <w:lang w:eastAsia="zh-CN"/>
        </w:rPr>
        <w:t>的敏感性结果。这样，经验成本到结构参数的转换成为一个显式、可检验的校准环节，而不是隐藏在符号替换中。</w:t>
      </w:r>
    </w:p>
    <w:p w14:paraId="18586787" w14:textId="77777777" w:rsidR="002D0A3C" w:rsidRDefault="003B6787" w:rsidP="006C5C23">
      <w:pPr>
        <w:pStyle w:val="a0"/>
        <w:spacing w:before="80" w:after="80" w:line="240" w:lineRule="auto"/>
        <w:ind w:firstLine="720"/>
        <w:rPr>
          <w:lang w:eastAsia="zh-CN"/>
        </w:rPr>
      </w:pPr>
      <w:r>
        <w:rPr>
          <w:lang w:eastAsia="zh-CN"/>
        </w:rPr>
        <w:t>若</w:t>
      </w:r>
      <w:r w:rsidR="00C875C1">
        <w:rPr>
          <w:rFonts w:hint="eastAsia"/>
          <w:lang w:eastAsia="zh-CN"/>
        </w:rPr>
        <w:t>上</w:t>
      </w:r>
      <w:r>
        <w:rPr>
          <w:lang w:eastAsia="zh-CN"/>
        </w:rPr>
        <w:t>例得到</w:t>
      </w:r>
      <w:r>
        <w:rPr>
          <w:lang w:eastAsia="zh-CN"/>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lang w:eastAsia="zh-CN"/>
                  </w:rPr>
                  <m:t>γ</m:t>
                </m:r>
              </m:e>
            </m:acc>
          </m:e>
          <m:sup>
            <m:r>
              <m:rPr>
                <m:sty m:val="p"/>
              </m:rPr>
              <w:rPr>
                <w:rFonts w:ascii="Cambria Math" w:hAnsi="Cambria Math"/>
                <w:lang w:eastAsia="zh-CN"/>
              </w:rPr>
              <m:t>inst</m:t>
            </m:r>
          </m:sup>
        </m:sSup>
        <m:r>
          <m:rPr>
            <m:sty m:val="p"/>
          </m:rPr>
          <w:rPr>
            <w:rFonts w:ascii="Cambria Math" w:hAnsi="Cambria Math"/>
            <w:lang w:eastAsia="zh-CN"/>
          </w:rPr>
          <m:t>=</m:t>
        </m:r>
        <m:r>
          <w:rPr>
            <w:rFonts w:ascii="Cambria Math" w:hAnsi="Cambria Math"/>
            <w:lang w:eastAsia="zh-CN"/>
          </w:rPr>
          <m:t>0.905</m:t>
        </m:r>
      </m:oMath>
      <w:r>
        <w:rPr>
          <w:lang w:eastAsia="zh-CN"/>
        </w:rPr>
        <w:t>，且基准取</w:t>
      </w:r>
      <w:r>
        <w:rPr>
          <w:lang w:eastAsia="zh-CN"/>
        </w:rPr>
        <w:t xml:space="preserve"> </w:t>
      </w:r>
      <m:oMath>
        <m:sSub>
          <m:sSubPr>
            <m:ctrlPr>
              <w:rPr>
                <w:rFonts w:ascii="Cambria Math" w:hAnsi="Cambria Math"/>
              </w:rPr>
            </m:ctrlPr>
          </m:sSubPr>
          <m:e>
            <m:r>
              <w:rPr>
                <w:rFonts w:ascii="Cambria Math" w:hAnsi="Cambria Math"/>
                <w:lang w:eastAsia="zh-CN"/>
              </w:rPr>
              <m:t>ν</m:t>
            </m:r>
          </m:e>
          <m:sub>
            <m:r>
              <w:rPr>
                <w:rFonts w:ascii="Cambria Math" w:hAnsi="Cambria Math"/>
                <w:lang w:eastAsia="zh-CN"/>
              </w:rPr>
              <m:t>j</m:t>
            </m:r>
          </m:sub>
        </m:sSub>
        <m:r>
          <m:rPr>
            <m:sty m:val="p"/>
          </m:rPr>
          <w:rPr>
            <w:rFonts w:ascii="Cambria Math" w:hAnsi="Cambria Math"/>
            <w:lang w:eastAsia="zh-CN"/>
          </w:rPr>
          <m:t>=</m:t>
        </m:r>
        <m:r>
          <w:rPr>
            <w:rFonts w:ascii="Cambria Math" w:hAnsi="Cambria Math"/>
            <w:lang w:eastAsia="zh-CN"/>
          </w:rPr>
          <m:t>1</m:t>
        </m:r>
      </m:oMath>
      <w:r>
        <w:rPr>
          <w:lang w:eastAsia="zh-CN"/>
        </w:rPr>
        <w:t>，则</w:t>
      </w:r>
      <w:r>
        <w:rPr>
          <w:lang w:eastAsia="zh-CN"/>
        </w:rPr>
        <w:t xml:space="preserve"> </w:t>
      </w:r>
      <m:oMath>
        <m:acc>
          <m:accPr>
            <m:ctrlPr>
              <w:rPr>
                <w:rFonts w:ascii="Cambria Math" w:hAnsi="Cambria Math"/>
              </w:rPr>
            </m:ctrlPr>
          </m:accPr>
          <m:e>
            <m:r>
              <w:rPr>
                <w:rFonts w:ascii="Cambria Math" w:hAnsi="Cambria Math"/>
                <w:lang w:eastAsia="zh-CN"/>
              </w:rPr>
              <m:t>ξ</m:t>
            </m:r>
          </m:e>
        </m:acc>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0.905</m:t>
        </m:r>
        <m:r>
          <m:rPr>
            <m:sty m:val="p"/>
          </m:rPr>
          <w:rPr>
            <w:rFonts w:ascii="Cambria Math" w:hAnsi="Cambria Math"/>
            <w:lang w:eastAsia="zh-CN"/>
          </w:rPr>
          <m:t>≈</m:t>
        </m:r>
        <m:r>
          <w:rPr>
            <w:rFonts w:ascii="Cambria Math" w:hAnsi="Cambria Math"/>
            <w:lang w:eastAsia="zh-CN"/>
          </w:rPr>
          <m:t>1.105</m:t>
        </m:r>
      </m:oMath>
      <w:r>
        <w:rPr>
          <w:lang w:eastAsia="zh-CN"/>
        </w:rPr>
        <w:t>。代回式（</w:t>
      </w:r>
      <w:r>
        <w:rPr>
          <w:lang w:eastAsia="zh-CN"/>
        </w:rPr>
        <w:t>A6</w:t>
      </w:r>
      <w:r>
        <w:rPr>
          <w:lang w:eastAsia="zh-CN"/>
        </w:rPr>
        <w:t>），仅考虑这一政策项时单位成本乘数恰为</w:t>
      </w:r>
      <w:r>
        <w:rPr>
          <w:lang w:eastAsia="zh-CN"/>
        </w:rPr>
        <w:t>0.905</w:t>
      </w:r>
      <w:r>
        <w:rPr>
          <w:lang w:eastAsia="zh-CN"/>
        </w:rPr>
        <w:t>。由此可以直观看到：</w:t>
      </w:r>
      <w:r>
        <w:rPr>
          <w:lang w:eastAsia="zh-CN"/>
        </w:rPr>
        <w:t>“</w:t>
      </w:r>
      <w:r>
        <w:rPr>
          <w:lang w:eastAsia="zh-CN"/>
        </w:rPr>
        <w:t>经验成本下降</w:t>
      </w:r>
      <w:r>
        <w:rPr>
          <w:lang w:eastAsia="zh-CN"/>
        </w:rPr>
        <w:t>9.5%”</w:t>
      </w:r>
      <w:r>
        <w:rPr>
          <w:lang w:eastAsia="zh-CN"/>
        </w:rPr>
        <w:t>在结构模型中对应</w:t>
      </w:r>
      <w:r>
        <w:rPr>
          <w:lang w:eastAsia="zh-CN"/>
        </w:rPr>
        <w:t>“</w:t>
      </w:r>
      <w:r>
        <w:rPr>
          <w:lang w:eastAsia="zh-CN"/>
        </w:rPr>
        <w:t>跨国生产效率项约提高</w:t>
      </w:r>
      <w:r>
        <w:rPr>
          <w:lang w:eastAsia="zh-CN"/>
        </w:rPr>
        <w:t>10.5%”</w:t>
      </w:r>
      <w:r>
        <w:rPr>
          <w:lang w:eastAsia="zh-CN"/>
        </w:rPr>
        <w:t>，两者方向相反但对单位成本的含义一致。</w:t>
      </w:r>
    </w:p>
    <w:p w14:paraId="1288607D" w14:textId="77777777" w:rsidR="002D0A3C" w:rsidRDefault="003B6787">
      <w:pPr>
        <w:pStyle w:val="3"/>
        <w:rPr>
          <w:lang w:eastAsia="zh-CN"/>
        </w:rPr>
      </w:pPr>
      <w:bookmarkStart w:id="10" w:name="a.5.2-mp-only反事实"/>
      <w:bookmarkEnd w:id="9"/>
      <w:r>
        <w:rPr>
          <w:rFonts w:ascii="Times New Roman" w:eastAsia="宋体" w:hAnsi="Times New Roman"/>
          <w:lang w:eastAsia="zh-CN"/>
        </w:rPr>
        <w:t>A.5.2</w:t>
      </w:r>
      <w:r>
        <w:rPr>
          <w:rFonts w:ascii="Times New Roman" w:eastAsia="宋体" w:hAnsi="Times New Roman"/>
          <w:lang w:eastAsia="zh-CN"/>
        </w:rPr>
        <w:t xml:space="preserve">　</w:t>
      </w:r>
      <w:r>
        <w:rPr>
          <w:rFonts w:ascii="Times New Roman" w:eastAsia="宋体" w:hAnsi="Times New Roman"/>
          <w:lang w:eastAsia="zh-CN"/>
        </w:rPr>
        <w:t>MP-only</w:t>
      </w:r>
      <w:r>
        <w:rPr>
          <w:rFonts w:ascii="Times New Roman" w:eastAsia="宋体" w:hAnsi="Times New Roman"/>
          <w:lang w:eastAsia="zh-CN"/>
        </w:rPr>
        <w:t>反事实</w:t>
      </w:r>
    </w:p>
    <w:p w14:paraId="14EA68F7" w14:textId="77777777" w:rsidR="002D0A3C" w:rsidRDefault="003B6787">
      <w:pPr>
        <w:pStyle w:val="FirstParagraph"/>
        <w:spacing w:before="80" w:after="80" w:line="240" w:lineRule="auto"/>
        <w:ind w:firstLine="0"/>
        <w:jc w:val="center"/>
        <w:rPr>
          <w:lang w:eastAsia="zh-CN"/>
        </w:rPr>
      </w:pPr>
      <w:r>
        <w:rPr>
          <w:lang w:eastAsia="zh-CN"/>
        </w:rPr>
        <w:t>若只研究中国外资准入开放，则保持贸易成本不变，即</w:t>
      </w:r>
      <w:r>
        <w:rPr>
          <w:lang w:eastAsia="zh-CN"/>
        </w:rP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lang w:eastAsia="zh-CN"/>
                  </w:rPr>
                  <m:t>τ</m:t>
                </m:r>
              </m:e>
            </m:acc>
          </m:e>
          <m:sub>
            <m:r>
              <w:rPr>
                <w:rFonts w:ascii="Cambria Math" w:hAnsi="Cambria Math"/>
                <w:lang w:eastAsia="zh-CN"/>
              </w:rPr>
              <m:t>ni</m:t>
            </m:r>
          </m:sub>
          <m:sup>
            <m:r>
              <w:rPr>
                <w:rFonts w:ascii="Cambria Math" w:hAnsi="Cambria Math"/>
                <w:lang w:eastAsia="zh-CN"/>
              </w:rPr>
              <m:t>j</m:t>
            </m:r>
          </m:sup>
        </m:sSubSup>
        <m:r>
          <m:rPr>
            <m:sty m:val="p"/>
          </m:rPr>
          <w:rPr>
            <w:rFonts w:ascii="Cambria Math" w:hAnsi="Cambria Math"/>
            <w:lang w:eastAsia="zh-CN"/>
          </w:rPr>
          <m:t>=</m:t>
        </m:r>
        <m:r>
          <w:rPr>
            <w:rFonts w:ascii="Cambria Math" w:hAnsi="Cambria Math"/>
            <w:lang w:eastAsia="zh-CN"/>
          </w:rPr>
          <m:t>1</m:t>
        </m:r>
      </m:oMath>
      <w:r>
        <w:rPr>
          <w:lang w:eastAsia="zh-CN"/>
        </w:rPr>
        <w:t>。对所有外国母国</w:t>
      </w:r>
      <w:r>
        <w:rPr>
          <w:lang w:eastAsia="zh-CN"/>
        </w:rPr>
        <w:t xml:space="preserve"> </w:t>
      </w:r>
      <m:oMath>
        <m:r>
          <w:rPr>
            <w:rFonts w:ascii="Cambria Math" w:hAnsi="Cambria Math"/>
            <w:lang w:eastAsia="zh-CN"/>
          </w:rPr>
          <m:t>m</m:t>
        </m:r>
        <m:r>
          <m:rPr>
            <m:sty m:val="p"/>
          </m:rPr>
          <w:rPr>
            <w:rFonts w:ascii="Cambria Math" w:hAnsi="Cambria Math"/>
            <w:lang w:eastAsia="zh-CN"/>
          </w:rPr>
          <m:t>≠</m:t>
        </m:r>
        <m:r>
          <w:rPr>
            <w:rFonts w:ascii="Cambria Math" w:hAnsi="Cambria Math"/>
            <w:lang w:eastAsia="zh-CN"/>
          </w:rPr>
          <m:t>C</m:t>
        </m:r>
      </m:oMath>
      <w:r>
        <w:rPr>
          <w:lang w:eastAsia="zh-CN"/>
        </w:rPr>
        <w:t>，仅改变其在中国生产的结构楔子；其他生产国的跨国生产摩擦保持基准值：</w:t>
      </w:r>
    </w:p>
    <w:p w14:paraId="7FC97F21" w14:textId="77777777" w:rsidR="002D0A3C" w:rsidRDefault="00791C5A">
      <w:pPr>
        <w:pStyle w:val="a0"/>
        <w:spacing w:before="80" w:after="80" w:line="240" w:lineRule="auto"/>
        <w:ind w:firstLine="0"/>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ξ</m:t>
                  </m:r>
                </m:e>
              </m:acc>
            </m:e>
            <m:sub>
              <m:r>
                <w:rPr>
                  <w:rFonts w:ascii="Cambria Math" w:hAnsi="Cambria Math"/>
                </w:rPr>
                <m:t>im</m:t>
              </m:r>
            </m:sub>
            <m:sup>
              <m:r>
                <w:rPr>
                  <w:rFonts w:ascii="Cambria Math" w:hAnsi="Cambria Math"/>
                </w:rPr>
                <m:t>j</m:t>
              </m:r>
            </m:sup>
          </m:sSubSup>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γ</m:t>
                                    </m:r>
                                  </m:e>
                                </m:acc>
                              </m:e>
                              <m:sub>
                                <m:r>
                                  <w:rPr>
                                    <w:rFonts w:ascii="Cambria Math" w:hAnsi="Cambria Math"/>
                                  </w:rPr>
                                  <m:t>mCj</m:t>
                                </m:r>
                              </m:sub>
                              <m:sup>
                                <m:r>
                                  <m:rPr>
                                    <m:sty m:val="p"/>
                                  </m:rPr>
                                  <w:rPr>
                                    <w:rFonts w:ascii="Cambria Math" w:hAnsi="Cambria Math"/>
                                  </w:rPr>
                                  <m:t>inst</m:t>
                                </m:r>
                              </m:sup>
                            </m:sSubSup>
                          </m:e>
                        </m:d>
                      </m:e>
                      <m:sup>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m:t>
                            </m:r>
                          </m:sub>
                        </m:sSub>
                      </m:sup>
                    </m:sSup>
                    <m:r>
                      <m:rPr>
                        <m:sty m:val="p"/>
                      </m:rPr>
                      <w:rPr>
                        <w:rFonts w:ascii="Cambria Math" w:hAnsi="Cambria Math"/>
                      </w:rPr>
                      <m:t>,</m:t>
                    </m:r>
                  </m:e>
                  <m:e>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C</m:t>
                    </m:r>
                    <m:r>
                      <m:rPr>
                        <m:sty m:val="p"/>
                      </m:rPr>
                      <w:rPr>
                        <w:rFonts w:ascii="Cambria Math" w:hAnsi="Cambria Math"/>
                      </w:rPr>
                      <m:t>,</m:t>
                    </m:r>
                  </m:e>
                </m:mr>
                <m:mr>
                  <m:e>
                    <m:r>
                      <w:rPr>
                        <w:rFonts w:ascii="Cambria Math" w:hAnsi="Cambria Math"/>
                      </w:rPr>
                      <m:t>1</m:t>
                    </m:r>
                    <m:r>
                      <m:rPr>
                        <m:sty m:val="p"/>
                      </m:rPr>
                      <w:rPr>
                        <w:rFonts w:ascii="Cambria Math" w:hAnsi="Cambria Math"/>
                      </w:rPr>
                      <m:t>,</m:t>
                    </m:r>
                  </m:e>
                  <m:e>
                    <m:r>
                      <w:rPr>
                        <w:rFonts w:ascii="Cambria Math" w:hAnsi="Cambria Math"/>
                      </w:rPr>
                      <m:t>i</m:t>
                    </m:r>
                    <m:r>
                      <m:rPr>
                        <m:sty m:val="p"/>
                      </m:rPr>
                      <w:rPr>
                        <w:rFonts w:ascii="Cambria Math" w:hAnsi="Cambria Math"/>
                      </w:rPr>
                      <m:t>≠</m:t>
                    </m:r>
                    <m:r>
                      <w:rPr>
                        <w:rFonts w:ascii="Cambria Math" w:hAnsi="Cambria Math"/>
                      </w:rPr>
                      <m:t>C </m:t>
                    </m:r>
                    <m:r>
                      <m:rPr>
                        <m:nor/>
                      </m:rPr>
                      <m:t>或</m:t>
                    </m:r>
                    <m:r>
                      <w:rPr>
                        <w:rFonts w:ascii="Cambria Math" w:hAnsi="Cambria Math"/>
                      </w:rPr>
                      <m:t> m</m:t>
                    </m:r>
                    <m:r>
                      <m:rPr>
                        <m:sty m:val="p"/>
                      </m:rPr>
                      <w:rPr>
                        <w:rFonts w:ascii="Cambria Math" w:hAnsi="Cambria Math"/>
                      </w:rPr>
                      <m:t>=</m:t>
                    </m:r>
                    <m:r>
                      <w:rPr>
                        <w:rFonts w:ascii="Cambria Math" w:hAnsi="Cambria Math"/>
                      </w:rPr>
                      <m:t>C</m:t>
                    </m:r>
                    <m:r>
                      <m:rPr>
                        <m:sty m:val="p"/>
                      </m:rPr>
                      <w:rPr>
                        <w:rFonts w:ascii="Cambria Math" w:hAnsi="Cambria Math"/>
                      </w:rPr>
                      <m:t>.</m:t>
                    </m:r>
                  </m:e>
                </m:mr>
              </m:m>
            </m:e>
          </m:d>
          <m:r>
            <w:rPr>
              <w:rFonts w:ascii="Cambria Math" w:hAnsi="Cambria Math"/>
            </w:rPr>
            <m:t> </m:t>
          </m:r>
          <m:d>
            <m:dPr>
              <m:ctrlPr>
                <w:rPr>
                  <w:rFonts w:ascii="Cambria Math" w:hAnsi="Cambria Math"/>
                </w:rPr>
              </m:ctrlPr>
            </m:dPr>
            <m:e>
              <m:r>
                <m:rPr>
                  <m:sty m:val="p"/>
                </m:rPr>
                <w:rPr>
                  <w:rFonts w:ascii="Cambria Math" w:hAnsi="Cambria Math"/>
                </w:rPr>
                <m:t>A8</m:t>
              </m:r>
            </m:e>
          </m:d>
        </m:oMath>
      </m:oMathPara>
    </w:p>
    <w:p w14:paraId="701F060D" w14:textId="77777777" w:rsidR="002D0A3C" w:rsidRDefault="003B6787">
      <w:pPr>
        <w:pStyle w:val="FirstParagraph"/>
        <w:spacing w:before="120" w:after="80" w:line="240" w:lineRule="auto"/>
        <w:jc w:val="both"/>
        <w:rPr>
          <w:lang w:eastAsia="zh-CN"/>
        </w:rPr>
      </w:pPr>
      <w:r>
        <w:rPr>
          <w:lang w:eastAsia="zh-CN"/>
        </w:rPr>
        <w:t>由此，式（</w:t>
      </w:r>
      <w:r>
        <w:rPr>
          <w:lang w:eastAsia="zh-CN"/>
        </w:rPr>
        <w:t>34</w:t>
      </w:r>
      <w:r>
        <w:rPr>
          <w:lang w:eastAsia="zh-CN"/>
        </w:rPr>
        <w:t>）首先更新单位成本，并进一步通过生产地份额方程改变跨国公司的最优选址；按式（</w:t>
      </w:r>
      <w:r>
        <w:rPr>
          <w:lang w:eastAsia="zh-CN"/>
        </w:rPr>
        <w:t>37</w:t>
      </w:r>
      <w:r>
        <w:rPr>
          <w:lang w:eastAsia="zh-CN"/>
        </w:rPr>
        <w:t>）的结构，生产地份额的相对变化可概括为</w:t>
      </w:r>
    </w:p>
    <w:p w14:paraId="713824AB" w14:textId="77777777" w:rsidR="002D0A3C" w:rsidRDefault="00791C5A">
      <w:pPr>
        <w:pStyle w:val="a0"/>
        <w:spacing w:before="80" w:after="80" w:line="240" w:lineRule="auto"/>
        <w:ind w:firstLine="0"/>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ψ</m:t>
                  </m:r>
                </m:e>
              </m:acc>
            </m:e>
            <m:sub>
              <m:r>
                <w:rPr>
                  <w:rFonts w:ascii="Cambria Math" w:hAnsi="Cambria Math"/>
                </w:rPr>
                <m:t>nlm</m:t>
              </m:r>
            </m:sub>
            <m:sup>
              <m:r>
                <w:rPr>
                  <w:rFonts w:ascii="Cambria Math" w:hAnsi="Cambria Math"/>
                </w:rPr>
                <m:t>j</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nl</m:t>
                                  </m:r>
                                </m:sub>
                                <m:sup>
                                  <m:r>
                                    <w:rPr>
                                      <w:rFonts w:ascii="Cambria Math" w:hAnsi="Cambria Math"/>
                                    </w:rPr>
                                    <m:t>j</m:t>
                                  </m:r>
                                </m:sup>
                              </m:sSubSup>
                              <m:sSubSup>
                                <m:sSubSupPr>
                                  <m:ctrlPr>
                                    <w:rPr>
                                      <w:rFonts w:ascii="Cambria Math" w:hAnsi="Cambria Math"/>
                                    </w:rPr>
                                  </m:ctrlPr>
                                </m:sSubSupPr>
                                <m:e>
                                  <m:acc>
                                    <m:accPr>
                                      <m:ctrlPr>
                                        <w:rPr>
                                          <w:rFonts w:ascii="Cambria Math" w:hAnsi="Cambria Math"/>
                                        </w:rPr>
                                      </m:ctrlPr>
                                    </m:accPr>
                                    <m:e>
                                      <m:r>
                                        <w:rPr>
                                          <w:rFonts w:ascii="Cambria Math" w:hAnsi="Cambria Math"/>
                                        </w:rPr>
                                        <m:t>c</m:t>
                                      </m:r>
                                    </m:e>
                                  </m:acc>
                                </m:e>
                                <m:sub>
                                  <m:r>
                                    <w:rPr>
                                      <w:rFonts w:ascii="Cambria Math" w:hAnsi="Cambria Math"/>
                                    </w:rPr>
                                    <m:t>lm</m:t>
                                  </m:r>
                                </m:sub>
                                <m:sup>
                                  <m:r>
                                    <w:rPr>
                                      <w:rFonts w:ascii="Cambria Math" w:hAnsi="Cambria Math"/>
                                    </w:rPr>
                                    <m:t>j</m:t>
                                  </m:r>
                                </m:sup>
                              </m:sSubSup>
                            </m:e>
                          </m:d>
                        </m:e>
                        <m: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j</m:t>
                              </m:r>
                            </m:sub>
                          </m:sSub>
                        </m:sup>
                      </m:sSup>
                    </m:num>
                    <m:den>
                      <m:sSubSup>
                        <m:sSubSupPr>
                          <m:ctrlPr>
                            <w:rPr>
                              <w:rFonts w:ascii="Cambria Math" w:hAnsi="Cambria Math"/>
                            </w:rPr>
                          </m:ctrlPr>
                        </m:sSubSupPr>
                        <m:e>
                          <m:acc>
                            <m:accPr>
                              <m:ctrlPr>
                                <w:rPr>
                                  <w:rFonts w:ascii="Cambria Math" w:hAnsi="Cambria Math"/>
                                </w:rPr>
                              </m:ctrlPr>
                            </m:accPr>
                            <m:e>
                              <m:r>
                                <w:rPr>
                                  <w:rFonts w:ascii="Cambria Math" w:hAnsi="Cambria Math"/>
                                </w:rPr>
                                <m:t>Ψ</m:t>
                              </m:r>
                            </m:e>
                          </m:acc>
                        </m:e>
                        <m:sub>
                          <m:r>
                            <w:rPr>
                              <w:rFonts w:ascii="Cambria Math" w:hAnsi="Cambria Math"/>
                            </w:rPr>
                            <m:t>nm</m:t>
                          </m:r>
                        </m:sub>
                        <m:sup>
                          <m:r>
                            <w:rPr>
                              <w:rFonts w:ascii="Cambria Math" w:hAnsi="Cambria Math"/>
                            </w:rPr>
                            <m:t>j</m:t>
                          </m:r>
                        </m:sup>
                      </m:sSubSup>
                    </m:den>
                  </m:f>
                </m:e>
              </m:d>
            </m:e>
            <m:sup>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j</m:t>
                      </m:r>
                    </m:sub>
                  </m:sSub>
                </m:e>
              </m:d>
            </m:sup>
          </m:sSup>
          <m:r>
            <w:rPr>
              <w:rFonts w:ascii="Cambria Math" w:hAnsi="Cambria Math"/>
            </w:rPr>
            <m:t> </m:t>
          </m:r>
          <m:d>
            <m:dPr>
              <m:ctrlPr>
                <w:rPr>
                  <w:rFonts w:ascii="Cambria Math" w:hAnsi="Cambria Math"/>
                </w:rPr>
              </m:ctrlPr>
            </m:dPr>
            <m:e>
              <m:r>
                <m:rPr>
                  <m:sty m:val="p"/>
                </m:rPr>
                <w:rPr>
                  <w:rFonts w:ascii="Cambria Math" w:hAnsi="Cambria Math"/>
                </w:rPr>
                <m:t>A9</m:t>
              </m:r>
            </m:e>
          </m:d>
        </m:oMath>
      </m:oMathPara>
    </w:p>
    <w:p w14:paraId="11E3AF62" w14:textId="77777777" w:rsidR="002D0A3C" w:rsidRDefault="003B6787">
      <w:pPr>
        <w:pStyle w:val="FirstParagraph"/>
        <w:spacing w:before="80" w:after="80" w:line="240" w:lineRule="auto"/>
        <w:ind w:firstLine="0"/>
        <w:jc w:val="center"/>
        <w:rPr>
          <w:lang w:eastAsia="zh-CN"/>
        </w:rPr>
      </w:pPr>
      <w:r>
        <w:rPr>
          <w:lang w:eastAsia="zh-CN"/>
        </w:rPr>
        <w:t>在</w:t>
      </w:r>
      <w:r>
        <w:rPr>
          <w:lang w:eastAsia="zh-CN"/>
        </w:rPr>
        <w:t xml:space="preserve"> </w:t>
      </w:r>
      <m:oMath>
        <m:r>
          <w:rPr>
            <w:rFonts w:ascii="Cambria Math" w:hAnsi="Cambria Math"/>
            <w:lang w:eastAsia="zh-CN"/>
          </w:rPr>
          <m:t>l</m:t>
        </m:r>
        <m:r>
          <m:rPr>
            <m:sty m:val="p"/>
          </m:rPr>
          <w:rPr>
            <w:rFonts w:ascii="Cambria Math" w:hAnsi="Cambria Math"/>
            <w:lang w:eastAsia="zh-CN"/>
          </w:rPr>
          <m:t>=</m:t>
        </m:r>
        <m:r>
          <w:rPr>
            <w:rFonts w:ascii="Cambria Math" w:hAnsi="Cambria Math"/>
            <w:lang w:eastAsia="zh-CN"/>
          </w:rPr>
          <m:t>C</m:t>
        </m:r>
      </m:oMath>
      <w:r>
        <w:rPr>
          <w:lang w:eastAsia="zh-CN"/>
        </w:rPr>
        <w:t xml:space="preserve"> </w:t>
      </w:r>
      <w:r>
        <w:rPr>
          <w:lang w:eastAsia="zh-CN"/>
        </w:rPr>
        <w:t>且</w:t>
      </w:r>
      <w:r>
        <w:rPr>
          <w:lang w:eastAsia="zh-CN"/>
        </w:rPr>
        <w:t xml:space="preserve"> </w:t>
      </w:r>
      <m:oMath>
        <m:acc>
          <m:accPr>
            <m:ctrlPr>
              <w:rPr>
                <w:rFonts w:ascii="Cambria Math" w:hAnsi="Cambria Math"/>
              </w:rPr>
            </m:ctrlPr>
          </m:accPr>
          <m:e>
            <m:r>
              <w:rPr>
                <w:rFonts w:ascii="Cambria Math" w:hAnsi="Cambria Math"/>
                <w:lang w:eastAsia="zh-CN"/>
              </w:rPr>
              <m:t>τ</m:t>
            </m:r>
          </m:e>
        </m:acc>
        <m:r>
          <m:rPr>
            <m:sty m:val="p"/>
          </m:rPr>
          <w:rPr>
            <w:rFonts w:ascii="Cambria Math" w:hAnsi="Cambria Math"/>
            <w:lang w:eastAsia="zh-CN"/>
          </w:rPr>
          <m:t>=</m:t>
        </m:r>
        <m:r>
          <w:rPr>
            <w:rFonts w:ascii="Cambria Math" w:hAnsi="Cambria Math"/>
            <w:lang w:eastAsia="zh-CN"/>
          </w:rPr>
          <m:t>1</m:t>
        </m:r>
      </m:oMath>
      <w:r>
        <w:rPr>
          <w:lang w:eastAsia="zh-CN"/>
        </w:rPr>
        <w:t xml:space="preserve"> </w:t>
      </w:r>
      <w:r>
        <w:rPr>
          <w:lang w:eastAsia="zh-CN"/>
        </w:rPr>
        <w:t>时，外资准入开放通过降低</w:t>
      </w:r>
      <w:r>
        <w:rPr>
          <w:lang w:eastAsia="zh-CN"/>
        </w:rP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lang w:eastAsia="zh-CN"/>
                  </w:rPr>
                  <m:t>c</m:t>
                </m:r>
              </m:e>
            </m:acc>
          </m:e>
          <m:sub>
            <m:r>
              <w:rPr>
                <w:rFonts w:ascii="Cambria Math" w:hAnsi="Cambria Math"/>
                <w:lang w:eastAsia="zh-CN"/>
              </w:rPr>
              <m:t>Cm</m:t>
            </m:r>
          </m:sub>
          <m:sup>
            <m:r>
              <w:rPr>
                <w:rFonts w:ascii="Cambria Math" w:hAnsi="Cambria Math"/>
                <w:lang w:eastAsia="zh-CN"/>
              </w:rPr>
              <m:t>j</m:t>
            </m:r>
          </m:sup>
        </m:sSubSup>
      </m:oMath>
      <w:r>
        <w:rPr>
          <w:lang w:eastAsia="zh-CN"/>
        </w:rPr>
        <w:t xml:space="preserve"> </w:t>
      </w:r>
      <w:r>
        <w:rPr>
          <w:lang w:eastAsia="zh-CN"/>
        </w:rPr>
        <w:t>提高外国企业选择中国作为生产地、并由中国服务目的国</w:t>
      </w:r>
      <w:r>
        <w:rPr>
          <w:lang w:eastAsia="zh-CN"/>
        </w:rPr>
        <w:t xml:space="preserve"> </w:t>
      </w:r>
      <m:oMath>
        <m:r>
          <w:rPr>
            <w:rFonts w:ascii="Cambria Math" w:hAnsi="Cambria Math"/>
            <w:lang w:eastAsia="zh-CN"/>
          </w:rPr>
          <m:t>n</m:t>
        </m:r>
      </m:oMath>
      <w:r>
        <w:rPr>
          <w:lang w:eastAsia="zh-CN"/>
        </w:rPr>
        <w:t xml:space="preserve"> </w:t>
      </w:r>
      <w:r>
        <w:rPr>
          <w:lang w:eastAsia="zh-CN"/>
        </w:rPr>
        <w:t>的相对概率。随后，三边销售流量</w:t>
      </w:r>
      <w:r>
        <w:rPr>
          <w:lang w:eastAsia="zh-CN"/>
        </w:rPr>
        <w:t xml:space="preserve"> </w:t>
      </w:r>
      <m:oMath>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nCm</m:t>
            </m:r>
          </m:sub>
          <m:sup>
            <m:r>
              <w:rPr>
                <w:rFonts w:ascii="Cambria Math" w:hAnsi="Cambria Math"/>
                <w:lang w:eastAsia="zh-CN"/>
              </w:rPr>
              <m:t>j</m:t>
            </m:r>
          </m:sup>
        </m:sSubSup>
      </m:oMath>
      <w:r>
        <w:rPr>
          <w:lang w:eastAsia="zh-CN"/>
        </w:rPr>
        <w:t>、部门价格、投入产出需求、生产与研发工资、利润和新品种数量共同调整，直至式（</w:t>
      </w:r>
      <w:r>
        <w:rPr>
          <w:lang w:eastAsia="zh-CN"/>
        </w:rPr>
        <w:t>34</w:t>
      </w:r>
      <w:r>
        <w:rPr>
          <w:lang w:eastAsia="zh-CN"/>
        </w:rPr>
        <w:t>）</w:t>
      </w:r>
      <w:r>
        <w:rPr>
          <w:lang w:eastAsia="zh-CN"/>
        </w:rPr>
        <w:t>—</w:t>
      </w:r>
      <w:r>
        <w:rPr>
          <w:lang w:eastAsia="zh-CN"/>
        </w:rPr>
        <w:t>（</w:t>
      </w:r>
      <w:r>
        <w:rPr>
          <w:lang w:eastAsia="zh-CN"/>
        </w:rPr>
        <w:t>41</w:t>
      </w:r>
      <w:r>
        <w:rPr>
          <w:lang w:eastAsia="zh-CN"/>
        </w:rPr>
        <w:t>）构成的相对变化均衡系统收敛。</w:t>
      </w:r>
    </w:p>
    <w:p w14:paraId="66CBEE6F" w14:textId="77777777" w:rsidR="002D0A3C" w:rsidRDefault="003B6787">
      <w:pPr>
        <w:pStyle w:val="2"/>
        <w:rPr>
          <w:lang w:eastAsia="zh-CN"/>
        </w:rPr>
      </w:pPr>
      <w:bookmarkStart w:id="11" w:name="a.6-一般均衡结果的组织与反事实设计"/>
      <w:bookmarkEnd w:id="8"/>
      <w:bookmarkEnd w:id="10"/>
      <w:r>
        <w:rPr>
          <w:rFonts w:ascii="Times New Roman" w:eastAsia="宋体" w:hAnsi="Times New Roman"/>
          <w:lang w:eastAsia="zh-CN"/>
        </w:rPr>
        <w:t>A.6</w:t>
      </w:r>
      <w:r>
        <w:rPr>
          <w:rFonts w:ascii="Times New Roman" w:eastAsia="宋体" w:hAnsi="Times New Roman"/>
          <w:lang w:eastAsia="zh-CN"/>
        </w:rPr>
        <w:t xml:space="preserve">　一般均衡结果的组织与反事实设计</w:t>
      </w:r>
    </w:p>
    <w:p w14:paraId="3886FC21" w14:textId="77777777" w:rsidR="002D0A3C" w:rsidRDefault="003B6787">
      <w:pPr>
        <w:pStyle w:val="3"/>
        <w:rPr>
          <w:lang w:eastAsia="zh-CN"/>
        </w:rPr>
      </w:pPr>
      <w:bookmarkStart w:id="12" w:name="a.6.1-三边生产网络"/>
      <w:r>
        <w:rPr>
          <w:rFonts w:ascii="Times New Roman" w:eastAsia="宋体" w:hAnsi="Times New Roman"/>
          <w:lang w:eastAsia="zh-CN"/>
        </w:rPr>
        <w:t>A.6.1</w:t>
      </w:r>
      <w:r>
        <w:rPr>
          <w:rFonts w:ascii="Times New Roman" w:eastAsia="宋体" w:hAnsi="Times New Roman"/>
          <w:lang w:eastAsia="zh-CN"/>
        </w:rPr>
        <w:t xml:space="preserve">　三边生产网络</w:t>
      </w:r>
    </w:p>
    <w:p w14:paraId="2D8355BB" w14:textId="77777777" w:rsidR="002D0A3C" w:rsidRDefault="003B6787">
      <w:pPr>
        <w:pStyle w:val="FirstParagraph"/>
        <w:spacing w:before="80" w:after="80" w:line="240" w:lineRule="auto"/>
        <w:ind w:firstLine="0"/>
        <w:jc w:val="center"/>
        <w:rPr>
          <w:lang w:eastAsia="zh-CN"/>
        </w:rPr>
      </w:pPr>
      <w:r>
        <w:rPr>
          <w:lang w:eastAsia="zh-CN"/>
        </w:rPr>
        <w:t>本研究的核心结果不是</w:t>
      </w:r>
      <w:r>
        <w:rPr>
          <w:lang w:eastAsia="zh-CN"/>
        </w:rPr>
        <w:t>“</w:t>
      </w:r>
      <w:r>
        <w:rPr>
          <w:lang w:eastAsia="zh-CN"/>
        </w:rPr>
        <w:t>外资增加多少</w:t>
      </w:r>
      <w:r>
        <w:rPr>
          <w:lang w:eastAsia="zh-CN"/>
        </w:rPr>
        <w:t>”</w:t>
      </w:r>
      <w:r>
        <w:rPr>
          <w:lang w:eastAsia="zh-CN"/>
        </w:rPr>
        <w:t>这一单一总量，而是母国</w:t>
      </w:r>
      <w:r>
        <w:rPr>
          <w:lang w:eastAsia="zh-CN"/>
        </w:rPr>
        <w:t>—</w:t>
      </w:r>
      <w:r>
        <w:rPr>
          <w:lang w:eastAsia="zh-CN"/>
        </w:rPr>
        <w:t>生产国</w:t>
      </w:r>
      <w:r>
        <w:rPr>
          <w:lang w:eastAsia="zh-CN"/>
        </w:rPr>
        <w:t>—</w:t>
      </w:r>
      <w:r>
        <w:rPr>
          <w:lang w:eastAsia="zh-CN"/>
        </w:rPr>
        <w:t>目的国三边网络如何重排。对中国的</w:t>
      </w:r>
      <w:r>
        <w:rPr>
          <w:lang w:eastAsia="zh-CN"/>
        </w:rPr>
        <w:t xml:space="preserve"> inward FDI </w:t>
      </w:r>
      <w:r>
        <w:rPr>
          <w:lang w:eastAsia="zh-CN"/>
        </w:rPr>
        <w:t>冲击，固定实际生产国为</w:t>
      </w:r>
      <w:r>
        <w:rPr>
          <w:lang w:eastAsia="zh-CN"/>
        </w:rPr>
        <w:t xml:space="preserve"> </w:t>
      </w:r>
      <m:oMath>
        <m:r>
          <w:rPr>
            <w:rFonts w:ascii="Cambria Math" w:hAnsi="Cambria Math"/>
            <w:lang w:eastAsia="zh-CN"/>
          </w:rPr>
          <m:t>C</m:t>
        </m:r>
      </m:oMath>
      <w:r>
        <w:rPr>
          <w:lang w:eastAsia="zh-CN"/>
        </w:rPr>
        <w:t xml:space="preserve"> </w:t>
      </w:r>
      <w:r>
        <w:rPr>
          <w:lang w:eastAsia="zh-CN"/>
        </w:rPr>
        <w:t>后，应保留</w:t>
      </w:r>
      <w:r>
        <w:rPr>
          <w:lang w:eastAsia="zh-CN"/>
        </w:rPr>
        <w:t xml:space="preserve"> </w:t>
      </w:r>
      <m:oMath>
        <m:r>
          <w:rPr>
            <w:rFonts w:ascii="Cambria Math" w:hAnsi="Cambria Math"/>
            <w:lang w:eastAsia="zh-CN"/>
          </w:rPr>
          <m:t>m</m:t>
        </m:r>
      </m:oMath>
      <w:r>
        <w:rPr>
          <w:lang w:eastAsia="zh-CN"/>
        </w:rPr>
        <w:t xml:space="preserve"> </w:t>
      </w:r>
      <w:r>
        <w:rPr>
          <w:lang w:eastAsia="zh-CN"/>
        </w:rPr>
        <w:t>和</w:t>
      </w:r>
      <w:r>
        <w:rPr>
          <w:lang w:eastAsia="zh-CN"/>
        </w:rPr>
        <w:t xml:space="preserve"> </w:t>
      </w:r>
      <m:oMath>
        <m:r>
          <w:rPr>
            <w:rFonts w:ascii="Cambria Math" w:hAnsi="Cambria Math"/>
            <w:lang w:eastAsia="zh-CN"/>
          </w:rPr>
          <m:t>n</m:t>
        </m:r>
      </m:oMath>
      <w:r>
        <w:rPr>
          <w:lang w:eastAsia="zh-CN"/>
        </w:rPr>
        <w:t xml:space="preserve"> </w:t>
      </w:r>
      <w:r>
        <w:rPr>
          <w:lang w:eastAsia="zh-CN"/>
        </w:rPr>
        <w:t>两个维度，报告</w:t>
      </w:r>
    </w:p>
    <w:p w14:paraId="227CB550" w14:textId="77777777" w:rsidR="002D0A3C" w:rsidRDefault="003B6787">
      <w:pPr>
        <w:pStyle w:val="a0"/>
        <w:spacing w:before="80" w:after="80" w:line="240" w:lineRule="auto"/>
        <w:ind w:firstLine="0"/>
        <w:jc w:val="center"/>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X</m:t>
              </m:r>
            </m:e>
            <m:sub>
              <m:r>
                <w:rPr>
                  <w:rFonts w:ascii="Cambria Math" w:hAnsi="Cambria Math"/>
                </w:rPr>
                <m:t>nCm</m:t>
              </m:r>
            </m:sub>
            <m:sup>
              <m:r>
                <w:rPr>
                  <w:rFonts w:ascii="Cambria Math" w:hAnsi="Cambria Math"/>
                </w:rPr>
                <m:t>j</m:t>
              </m:r>
            </m:sup>
          </m:sSubSup>
          <m:r>
            <m:rPr>
              <m:sty m:val="p"/>
            </m:rPr>
            <w:rPr>
              <w:rFonts w:ascii="Cambria Math" w:hAnsi="Cambria Math"/>
            </w:rPr>
            <m:t>.</m:t>
          </m:r>
        </m:oMath>
      </m:oMathPara>
    </w:p>
    <w:p w14:paraId="25447164" w14:textId="77777777" w:rsidR="002D0A3C" w:rsidRDefault="003B6787">
      <w:pPr>
        <w:pStyle w:val="FirstParagraph"/>
        <w:spacing w:before="80" w:after="80" w:line="240" w:lineRule="auto"/>
        <w:ind w:firstLine="0"/>
        <w:jc w:val="center"/>
        <w:rPr>
          <w:lang w:eastAsia="zh-CN"/>
        </w:rPr>
      </w:pPr>
      <w:r>
        <w:rPr>
          <w:lang w:eastAsia="zh-CN"/>
        </w:rPr>
        <w:t>例如，同样是德国母公司的在华新增生产，若新增销售主要流向中国，则更接近市场寻求型</w:t>
      </w:r>
      <w:r>
        <w:rPr>
          <w:lang w:eastAsia="zh-CN"/>
        </w:rPr>
        <w:t>FDI</w:t>
      </w:r>
      <w:r>
        <w:rPr>
          <w:lang w:eastAsia="zh-CN"/>
        </w:rPr>
        <w:t>；若主要流向日本、韩国、东盟或欧美第三国，则更体现中国的出口平台功能。把</w:t>
      </w:r>
      <w:r>
        <w:rPr>
          <w:lang w:eastAsia="zh-CN"/>
        </w:rPr>
        <w:t xml:space="preserve"> </w:t>
      </w:r>
      <m:oMath>
        <m:r>
          <w:rPr>
            <w:rFonts w:ascii="Cambria Math" w:hAnsi="Cambria Math"/>
            <w:lang w:eastAsia="zh-CN"/>
          </w:rPr>
          <m:t>m</m:t>
        </m:r>
        <m:r>
          <m:rPr>
            <m:sty m:val="p"/>
          </m:rPr>
          <w:rPr>
            <w:rFonts w:ascii="Cambria Math" w:hAnsi="Cambria Math"/>
            <w:lang w:eastAsia="zh-CN"/>
          </w:rPr>
          <m:t>×</m:t>
        </m:r>
        <m:r>
          <w:rPr>
            <w:rFonts w:ascii="Cambria Math" w:hAnsi="Cambria Math"/>
            <w:lang w:eastAsia="zh-CN"/>
          </w:rPr>
          <m:t>n</m:t>
        </m:r>
      </m:oMath>
      <w:r>
        <w:rPr>
          <w:lang w:eastAsia="zh-CN"/>
        </w:rPr>
        <w:t xml:space="preserve"> </w:t>
      </w:r>
      <w:r>
        <w:rPr>
          <w:lang w:eastAsia="zh-CN"/>
        </w:rPr>
        <w:t>的变化矩阵与第二篇文献已有的三边网络图结合，可以直接观察负面清单开放究竟强化了中国的本地市场节点还是全球生产平台节点。</w:t>
      </w:r>
    </w:p>
    <w:p w14:paraId="4DBECD10" w14:textId="77777777" w:rsidR="002D0A3C" w:rsidRDefault="003B6787">
      <w:pPr>
        <w:pStyle w:val="3"/>
        <w:rPr>
          <w:lang w:eastAsia="zh-CN"/>
        </w:rPr>
      </w:pPr>
      <w:bookmarkStart w:id="13" w:name="a.6.2-反事实组"/>
      <w:bookmarkEnd w:id="12"/>
      <w:r>
        <w:rPr>
          <w:rFonts w:ascii="Times New Roman" w:eastAsia="宋体" w:hAnsi="Times New Roman"/>
          <w:lang w:eastAsia="zh-CN"/>
        </w:rPr>
        <w:t>A.6.2</w:t>
      </w:r>
      <w:r>
        <w:rPr>
          <w:rFonts w:ascii="Times New Roman" w:eastAsia="宋体" w:hAnsi="Times New Roman"/>
          <w:lang w:eastAsia="zh-CN"/>
        </w:rPr>
        <w:t xml:space="preserve">　反事实组</w:t>
      </w:r>
    </w:p>
    <w:p w14:paraId="2BCDC072" w14:textId="77777777" w:rsidR="002D0A3C" w:rsidRDefault="003B6787">
      <w:pPr>
        <w:pStyle w:val="FirstParagraph"/>
        <w:keepNext/>
        <w:spacing w:before="100" w:after="60"/>
        <w:ind w:firstLine="0"/>
        <w:jc w:val="center"/>
        <w:rPr>
          <w:lang w:eastAsia="zh-CN"/>
        </w:rPr>
      </w:pPr>
      <w:r>
        <w:rPr>
          <w:b/>
          <w:bCs/>
          <w:sz w:val="22"/>
          <w:lang w:eastAsia="zh-CN"/>
        </w:rPr>
        <w:t>表</w:t>
      </w:r>
      <w:r>
        <w:rPr>
          <w:b/>
          <w:bCs/>
          <w:sz w:val="22"/>
          <w:lang w:eastAsia="zh-CN"/>
        </w:rPr>
        <w:t>A3</w:t>
      </w:r>
      <w:r>
        <w:rPr>
          <w:b/>
          <w:bCs/>
          <w:sz w:val="22"/>
          <w:lang w:eastAsia="zh-CN"/>
        </w:rPr>
        <w:t xml:space="preserve">　基准反事实实验</w:t>
      </w:r>
    </w:p>
    <w:tbl>
      <w:tblPr>
        <w:tblStyle w:val="Table"/>
        <w:tblW w:w="5000" w:type="pct"/>
        <w:jc w:val="center"/>
        <w:tblLook w:val="0020" w:firstRow="1" w:lastRow="0" w:firstColumn="0" w:lastColumn="0" w:noHBand="0" w:noVBand="0"/>
      </w:tblPr>
      <w:tblGrid>
        <w:gridCol w:w="1798"/>
        <w:gridCol w:w="4461"/>
        <w:gridCol w:w="2839"/>
      </w:tblGrid>
      <w:tr w:rsidR="002D0A3C" w14:paraId="6A4ABE69" w14:textId="77777777" w:rsidTr="002D0A3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000000"/>
              <w:left w:val="nil"/>
              <w:bottom w:val="single" w:sz="6" w:space="0" w:color="000000"/>
              <w:right w:val="nil"/>
            </w:tcBorders>
            <w:tcMar>
              <w:top w:w="50" w:type="dxa"/>
              <w:left w:w="70" w:type="dxa"/>
              <w:bottom w:w="50" w:type="dxa"/>
              <w:right w:w="70" w:type="dxa"/>
            </w:tcMar>
            <w:vAlign w:val="center"/>
          </w:tcPr>
          <w:p w14:paraId="0F5CA2E5" w14:textId="77777777" w:rsidR="002D0A3C" w:rsidRDefault="003B6787">
            <w:pPr>
              <w:pStyle w:val="Compact"/>
              <w:spacing w:before="0" w:after="0" w:line="264" w:lineRule="auto"/>
              <w:ind w:firstLine="0"/>
              <w:jc w:val="center"/>
            </w:pPr>
            <w:r>
              <w:rPr>
                <w:b/>
                <w:sz w:val="21"/>
              </w:rPr>
              <w:t>情景</w:t>
            </w:r>
          </w:p>
        </w:tc>
        <w:tc>
          <w:tcPr>
            <w:tcW w:w="0" w:type="auto"/>
            <w:tcBorders>
              <w:top w:val="single" w:sz="12" w:space="0" w:color="000000"/>
              <w:left w:val="nil"/>
              <w:bottom w:val="single" w:sz="6" w:space="0" w:color="000000"/>
              <w:right w:val="nil"/>
            </w:tcBorders>
            <w:tcMar>
              <w:top w:w="50" w:type="dxa"/>
              <w:left w:w="70" w:type="dxa"/>
              <w:bottom w:w="50" w:type="dxa"/>
              <w:right w:w="70" w:type="dxa"/>
            </w:tcMar>
            <w:vAlign w:val="center"/>
          </w:tcPr>
          <w:p w14:paraId="6FE1D79F" w14:textId="77777777" w:rsidR="002D0A3C" w:rsidRDefault="003B6787">
            <w:pPr>
              <w:pStyle w:val="Compact"/>
              <w:spacing w:before="0" w:after="0" w:line="264" w:lineRule="auto"/>
              <w:ind w:firstLine="0"/>
              <w:jc w:val="center"/>
            </w:pPr>
            <w:r>
              <w:rPr>
                <w:b/>
                <w:sz w:val="21"/>
              </w:rPr>
              <w:t>政策设定</w:t>
            </w:r>
          </w:p>
        </w:tc>
        <w:tc>
          <w:tcPr>
            <w:tcW w:w="0" w:type="auto"/>
            <w:tcBorders>
              <w:top w:val="single" w:sz="12" w:space="0" w:color="000000"/>
              <w:left w:val="nil"/>
              <w:bottom w:val="single" w:sz="6" w:space="0" w:color="000000"/>
              <w:right w:val="nil"/>
            </w:tcBorders>
            <w:tcMar>
              <w:top w:w="50" w:type="dxa"/>
              <w:left w:w="70" w:type="dxa"/>
              <w:bottom w:w="50" w:type="dxa"/>
              <w:right w:w="70" w:type="dxa"/>
            </w:tcMar>
            <w:vAlign w:val="center"/>
          </w:tcPr>
          <w:p w14:paraId="4619E3F3" w14:textId="77777777" w:rsidR="002D0A3C" w:rsidRDefault="003B6787">
            <w:pPr>
              <w:pStyle w:val="Compact"/>
              <w:spacing w:before="0" w:after="0" w:line="264" w:lineRule="auto"/>
              <w:ind w:firstLine="0"/>
              <w:jc w:val="center"/>
            </w:pPr>
            <w:r>
              <w:rPr>
                <w:b/>
                <w:sz w:val="21"/>
              </w:rPr>
              <w:t>识别对象</w:t>
            </w:r>
          </w:p>
        </w:tc>
      </w:tr>
      <w:tr w:rsidR="002D0A3C" w14:paraId="5F05286D" w14:textId="77777777" w:rsidTr="002D0A3C">
        <w:trPr>
          <w:jc w:val="center"/>
        </w:trPr>
        <w:tc>
          <w:tcPr>
            <w:tcW w:w="0" w:type="auto"/>
            <w:tcBorders>
              <w:top w:val="nil"/>
              <w:left w:val="nil"/>
              <w:bottom w:val="nil"/>
              <w:right w:val="nil"/>
            </w:tcBorders>
            <w:tcMar>
              <w:top w:w="50" w:type="dxa"/>
              <w:left w:w="70" w:type="dxa"/>
              <w:bottom w:w="50" w:type="dxa"/>
              <w:right w:w="70" w:type="dxa"/>
            </w:tcMar>
            <w:vAlign w:val="center"/>
          </w:tcPr>
          <w:p w14:paraId="5077B9E1" w14:textId="77777777" w:rsidR="002D0A3C" w:rsidRDefault="003B6787">
            <w:pPr>
              <w:pStyle w:val="Compact"/>
              <w:spacing w:before="0" w:after="0" w:line="264" w:lineRule="auto"/>
              <w:ind w:firstLine="0"/>
            </w:pPr>
            <w:r>
              <w:rPr>
                <w:sz w:val="21"/>
              </w:rPr>
              <w:t xml:space="preserve">CF1 </w:t>
            </w:r>
            <w:r>
              <w:rPr>
                <w:sz w:val="21"/>
              </w:rPr>
              <w:t>历次真实改革</w:t>
            </w:r>
          </w:p>
        </w:tc>
        <w:tc>
          <w:tcPr>
            <w:tcW w:w="0" w:type="auto"/>
            <w:tcBorders>
              <w:top w:val="nil"/>
              <w:left w:val="nil"/>
              <w:bottom w:val="nil"/>
              <w:right w:val="nil"/>
            </w:tcBorders>
            <w:tcMar>
              <w:top w:w="50" w:type="dxa"/>
              <w:left w:w="70" w:type="dxa"/>
              <w:bottom w:w="50" w:type="dxa"/>
              <w:right w:w="70" w:type="dxa"/>
            </w:tcMar>
            <w:vAlign w:val="center"/>
          </w:tcPr>
          <w:p w14:paraId="1C22D09F" w14:textId="77777777" w:rsidR="002D0A3C" w:rsidRDefault="003B6787">
            <w:pPr>
              <w:pStyle w:val="Compact"/>
              <w:spacing w:before="0" w:after="0" w:line="264" w:lineRule="auto"/>
              <w:ind w:firstLine="0"/>
              <w:rPr>
                <w:lang w:eastAsia="zh-CN"/>
              </w:rPr>
            </w:pPr>
            <w:r>
              <w:rPr>
                <w:sz w:val="21"/>
                <w:lang w:eastAsia="zh-CN"/>
              </w:rPr>
              <w:t>逐次替换相邻负面清单版本</w:t>
            </w:r>
          </w:p>
        </w:tc>
        <w:tc>
          <w:tcPr>
            <w:tcW w:w="0" w:type="auto"/>
            <w:tcBorders>
              <w:top w:val="nil"/>
              <w:left w:val="nil"/>
              <w:bottom w:val="nil"/>
              <w:right w:val="nil"/>
            </w:tcBorders>
            <w:tcMar>
              <w:top w:w="50" w:type="dxa"/>
              <w:left w:w="70" w:type="dxa"/>
              <w:bottom w:w="50" w:type="dxa"/>
              <w:right w:w="70" w:type="dxa"/>
            </w:tcMar>
            <w:vAlign w:val="center"/>
          </w:tcPr>
          <w:p w14:paraId="7EAA1C1B" w14:textId="77777777" w:rsidR="002D0A3C" w:rsidRDefault="003B6787">
            <w:pPr>
              <w:pStyle w:val="Compact"/>
              <w:spacing w:before="0" w:after="0" w:line="264" w:lineRule="auto"/>
              <w:ind w:firstLine="0"/>
            </w:pPr>
            <w:r>
              <w:rPr>
                <w:sz w:val="21"/>
              </w:rPr>
              <w:t>各次改革的边际贡献</w:t>
            </w:r>
          </w:p>
        </w:tc>
      </w:tr>
      <w:tr w:rsidR="002D0A3C" w14:paraId="379D9199" w14:textId="77777777" w:rsidTr="002D0A3C">
        <w:trPr>
          <w:jc w:val="center"/>
        </w:trPr>
        <w:tc>
          <w:tcPr>
            <w:tcW w:w="0" w:type="auto"/>
            <w:tcBorders>
              <w:top w:val="nil"/>
              <w:left w:val="nil"/>
              <w:bottom w:val="nil"/>
              <w:right w:val="nil"/>
            </w:tcBorders>
            <w:tcMar>
              <w:top w:w="50" w:type="dxa"/>
              <w:left w:w="70" w:type="dxa"/>
              <w:bottom w:w="50" w:type="dxa"/>
              <w:right w:w="70" w:type="dxa"/>
            </w:tcMar>
            <w:vAlign w:val="center"/>
          </w:tcPr>
          <w:p w14:paraId="63ECB7BC" w14:textId="77777777" w:rsidR="002D0A3C" w:rsidRDefault="003B6787">
            <w:pPr>
              <w:pStyle w:val="Compact"/>
              <w:spacing w:before="0" w:after="0" w:line="264" w:lineRule="auto"/>
              <w:ind w:firstLine="0"/>
            </w:pPr>
            <w:r>
              <w:rPr>
                <w:sz w:val="21"/>
              </w:rPr>
              <w:t xml:space="preserve">CF2 </w:t>
            </w:r>
            <w:r>
              <w:rPr>
                <w:sz w:val="21"/>
              </w:rPr>
              <w:t>累计改革</w:t>
            </w:r>
          </w:p>
        </w:tc>
        <w:tc>
          <w:tcPr>
            <w:tcW w:w="0" w:type="auto"/>
            <w:tcBorders>
              <w:top w:val="nil"/>
              <w:left w:val="nil"/>
              <w:bottom w:val="nil"/>
              <w:right w:val="nil"/>
            </w:tcBorders>
            <w:tcMar>
              <w:top w:w="50" w:type="dxa"/>
              <w:left w:w="70" w:type="dxa"/>
              <w:bottom w:w="50" w:type="dxa"/>
              <w:right w:w="70" w:type="dxa"/>
            </w:tcMar>
            <w:vAlign w:val="center"/>
          </w:tcPr>
          <w:p w14:paraId="0B5194D8" w14:textId="77777777" w:rsidR="002D0A3C" w:rsidRDefault="003B6787">
            <w:pPr>
              <w:pStyle w:val="Compact"/>
              <w:spacing w:before="0" w:after="0" w:line="264" w:lineRule="auto"/>
              <w:ind w:firstLine="0"/>
              <w:rPr>
                <w:lang w:eastAsia="zh-CN"/>
              </w:rPr>
            </w:pPr>
            <w:r>
              <w:rPr>
                <w:sz w:val="21"/>
                <w:lang w:eastAsia="zh-CN"/>
              </w:rPr>
              <w:t>较早制度版本替换为最新版本</w:t>
            </w:r>
          </w:p>
        </w:tc>
        <w:tc>
          <w:tcPr>
            <w:tcW w:w="0" w:type="auto"/>
            <w:tcBorders>
              <w:top w:val="nil"/>
              <w:left w:val="nil"/>
              <w:bottom w:val="nil"/>
              <w:right w:val="nil"/>
            </w:tcBorders>
            <w:tcMar>
              <w:top w:w="50" w:type="dxa"/>
              <w:left w:w="70" w:type="dxa"/>
              <w:bottom w:w="50" w:type="dxa"/>
              <w:right w:w="70" w:type="dxa"/>
            </w:tcMar>
            <w:vAlign w:val="center"/>
          </w:tcPr>
          <w:p w14:paraId="53C7EB60" w14:textId="77777777" w:rsidR="002D0A3C" w:rsidRDefault="003B6787">
            <w:pPr>
              <w:pStyle w:val="Compact"/>
              <w:spacing w:before="0" w:after="0" w:line="264" w:lineRule="auto"/>
              <w:ind w:firstLine="0"/>
              <w:rPr>
                <w:lang w:eastAsia="zh-CN"/>
              </w:rPr>
            </w:pPr>
            <w:r>
              <w:rPr>
                <w:sz w:val="21"/>
                <w:lang w:eastAsia="zh-CN"/>
              </w:rPr>
              <w:t>近年准入开放的累计效应</w:t>
            </w:r>
          </w:p>
        </w:tc>
      </w:tr>
      <w:tr w:rsidR="002D0A3C" w14:paraId="6D357D5C" w14:textId="77777777" w:rsidTr="002D0A3C">
        <w:trPr>
          <w:jc w:val="center"/>
        </w:trPr>
        <w:tc>
          <w:tcPr>
            <w:tcW w:w="0" w:type="auto"/>
            <w:tcBorders>
              <w:top w:val="nil"/>
              <w:left w:val="nil"/>
              <w:bottom w:val="nil"/>
              <w:right w:val="nil"/>
            </w:tcBorders>
            <w:tcMar>
              <w:top w:w="50" w:type="dxa"/>
              <w:left w:w="70" w:type="dxa"/>
              <w:bottom w:w="50" w:type="dxa"/>
              <w:right w:w="70" w:type="dxa"/>
            </w:tcMar>
            <w:vAlign w:val="center"/>
          </w:tcPr>
          <w:p w14:paraId="32E77E9D" w14:textId="77777777" w:rsidR="002D0A3C" w:rsidRDefault="003B6787">
            <w:pPr>
              <w:pStyle w:val="Compact"/>
              <w:spacing w:before="0" w:after="0" w:line="264" w:lineRule="auto"/>
              <w:ind w:firstLine="0"/>
            </w:pPr>
            <w:r>
              <w:rPr>
                <w:sz w:val="21"/>
              </w:rPr>
              <w:t xml:space="preserve">CF3 </w:t>
            </w:r>
            <w:r>
              <w:rPr>
                <w:sz w:val="21"/>
              </w:rPr>
              <w:t>无后续改革</w:t>
            </w:r>
          </w:p>
        </w:tc>
        <w:tc>
          <w:tcPr>
            <w:tcW w:w="0" w:type="auto"/>
            <w:tcBorders>
              <w:top w:val="nil"/>
              <w:left w:val="nil"/>
              <w:bottom w:val="nil"/>
              <w:right w:val="nil"/>
            </w:tcBorders>
            <w:tcMar>
              <w:top w:w="50" w:type="dxa"/>
              <w:left w:w="70" w:type="dxa"/>
              <w:bottom w:w="50" w:type="dxa"/>
              <w:right w:w="70" w:type="dxa"/>
            </w:tcMar>
            <w:vAlign w:val="center"/>
          </w:tcPr>
          <w:p w14:paraId="75F11351" w14:textId="77777777" w:rsidR="002D0A3C" w:rsidRDefault="003B6787">
            <w:pPr>
              <w:pStyle w:val="Compact"/>
              <w:spacing w:before="0" w:after="0" w:line="264" w:lineRule="auto"/>
              <w:ind w:firstLine="0"/>
              <w:rPr>
                <w:lang w:eastAsia="zh-CN"/>
              </w:rPr>
            </w:pPr>
            <w:r>
              <w:rPr>
                <w:sz w:val="21"/>
                <w:lang w:eastAsia="zh-CN"/>
              </w:rPr>
              <w:t>将早期限制固定到基准经济年份</w:t>
            </w:r>
          </w:p>
        </w:tc>
        <w:tc>
          <w:tcPr>
            <w:tcW w:w="0" w:type="auto"/>
            <w:tcBorders>
              <w:top w:val="nil"/>
              <w:left w:val="nil"/>
              <w:bottom w:val="nil"/>
              <w:right w:val="nil"/>
            </w:tcBorders>
            <w:tcMar>
              <w:top w:w="50" w:type="dxa"/>
              <w:left w:w="70" w:type="dxa"/>
              <w:bottom w:w="50" w:type="dxa"/>
              <w:right w:w="70" w:type="dxa"/>
            </w:tcMar>
            <w:vAlign w:val="center"/>
          </w:tcPr>
          <w:p w14:paraId="3C7EF2CD" w14:textId="77777777" w:rsidR="002D0A3C" w:rsidRDefault="003B6787">
            <w:pPr>
              <w:pStyle w:val="Compact"/>
              <w:spacing w:before="0" w:after="0" w:line="264" w:lineRule="auto"/>
              <w:ind w:firstLine="0"/>
              <w:rPr>
                <w:lang w:eastAsia="zh-CN"/>
              </w:rPr>
            </w:pPr>
            <w:r>
              <w:rPr>
                <w:sz w:val="21"/>
                <w:lang w:eastAsia="zh-CN"/>
              </w:rPr>
              <w:t>已发生改革的反事实缺失成</w:t>
            </w:r>
            <w:r>
              <w:rPr>
                <w:sz w:val="21"/>
                <w:lang w:eastAsia="zh-CN"/>
              </w:rPr>
              <w:lastRenderedPageBreak/>
              <w:t>本</w:t>
            </w:r>
          </w:p>
        </w:tc>
      </w:tr>
      <w:tr w:rsidR="002D0A3C" w14:paraId="5CCEC32D" w14:textId="77777777" w:rsidTr="002D0A3C">
        <w:trPr>
          <w:jc w:val="center"/>
        </w:trPr>
        <w:tc>
          <w:tcPr>
            <w:tcW w:w="0" w:type="auto"/>
            <w:tcBorders>
              <w:top w:val="nil"/>
              <w:left w:val="nil"/>
              <w:bottom w:val="nil"/>
              <w:right w:val="nil"/>
            </w:tcBorders>
            <w:tcMar>
              <w:top w:w="50" w:type="dxa"/>
              <w:left w:w="70" w:type="dxa"/>
              <w:bottom w:w="50" w:type="dxa"/>
              <w:right w:w="70" w:type="dxa"/>
            </w:tcMar>
            <w:vAlign w:val="center"/>
          </w:tcPr>
          <w:p w14:paraId="381718ED" w14:textId="77777777" w:rsidR="002D0A3C" w:rsidRDefault="003B6787">
            <w:pPr>
              <w:pStyle w:val="Compact"/>
              <w:spacing w:before="0" w:after="0" w:line="264" w:lineRule="auto"/>
              <w:ind w:firstLine="0"/>
            </w:pPr>
            <w:r>
              <w:rPr>
                <w:sz w:val="21"/>
              </w:rPr>
              <w:lastRenderedPageBreak/>
              <w:t xml:space="preserve">CF4 </w:t>
            </w:r>
            <w:r>
              <w:rPr>
                <w:sz w:val="21"/>
              </w:rPr>
              <w:t>限制类型分解</w:t>
            </w:r>
          </w:p>
        </w:tc>
        <w:tc>
          <w:tcPr>
            <w:tcW w:w="0" w:type="auto"/>
            <w:tcBorders>
              <w:top w:val="nil"/>
              <w:left w:val="nil"/>
              <w:bottom w:val="nil"/>
              <w:right w:val="nil"/>
            </w:tcBorders>
            <w:tcMar>
              <w:top w:w="50" w:type="dxa"/>
              <w:left w:w="70" w:type="dxa"/>
              <w:bottom w:w="50" w:type="dxa"/>
              <w:right w:w="70" w:type="dxa"/>
            </w:tcMar>
            <w:vAlign w:val="center"/>
          </w:tcPr>
          <w:p w14:paraId="69240227" w14:textId="77777777" w:rsidR="002D0A3C" w:rsidRDefault="003B6787">
            <w:pPr>
              <w:rPr>
                <w:lang w:eastAsia="zh-CN"/>
              </w:rPr>
            </w:pPr>
            <w:r>
              <w:rPr>
                <w:sz w:val="19"/>
                <w:lang w:eastAsia="zh-CN"/>
              </w:rPr>
              <w:t>分别只改变股权、控制、组织形式、治理或其他限制</w:t>
            </w:r>
          </w:p>
        </w:tc>
        <w:tc>
          <w:tcPr>
            <w:tcW w:w="0" w:type="auto"/>
            <w:tcBorders>
              <w:top w:val="nil"/>
              <w:left w:val="nil"/>
              <w:bottom w:val="nil"/>
              <w:right w:val="nil"/>
            </w:tcBorders>
            <w:tcMar>
              <w:top w:w="50" w:type="dxa"/>
              <w:left w:w="70" w:type="dxa"/>
              <w:bottom w:w="50" w:type="dxa"/>
              <w:right w:w="70" w:type="dxa"/>
            </w:tcMar>
            <w:vAlign w:val="center"/>
          </w:tcPr>
          <w:p w14:paraId="25738C01" w14:textId="77777777" w:rsidR="002D0A3C" w:rsidRDefault="003B6787">
            <w:pPr>
              <w:rPr>
                <w:lang w:eastAsia="zh-CN"/>
              </w:rPr>
            </w:pPr>
            <w:r>
              <w:rPr>
                <w:sz w:val="19"/>
                <w:lang w:eastAsia="zh-CN"/>
              </w:rPr>
              <w:t>哪类制度约束贡献最大</w:t>
            </w:r>
          </w:p>
        </w:tc>
      </w:tr>
      <w:tr w:rsidR="002D0A3C" w14:paraId="7A761AE8" w14:textId="77777777" w:rsidTr="002D0A3C">
        <w:trPr>
          <w:jc w:val="center"/>
        </w:trPr>
        <w:tc>
          <w:tcPr>
            <w:tcW w:w="0" w:type="auto"/>
            <w:tcBorders>
              <w:top w:val="nil"/>
              <w:left w:val="nil"/>
              <w:bottom w:val="nil"/>
              <w:right w:val="nil"/>
            </w:tcBorders>
            <w:tcMar>
              <w:top w:w="50" w:type="dxa"/>
              <w:left w:w="70" w:type="dxa"/>
              <w:bottom w:w="50" w:type="dxa"/>
              <w:right w:w="70" w:type="dxa"/>
            </w:tcMar>
            <w:vAlign w:val="center"/>
          </w:tcPr>
          <w:p w14:paraId="032273C3" w14:textId="77777777" w:rsidR="002D0A3C" w:rsidRDefault="003B6787">
            <w:pPr>
              <w:pStyle w:val="Compact"/>
              <w:spacing w:before="0" w:after="0" w:line="264" w:lineRule="auto"/>
              <w:ind w:firstLine="0"/>
            </w:pPr>
            <w:r>
              <w:rPr>
                <w:sz w:val="21"/>
              </w:rPr>
              <w:t xml:space="preserve">CF5 </w:t>
            </w:r>
            <w:r>
              <w:rPr>
                <w:sz w:val="21"/>
              </w:rPr>
              <w:t>完全开放</w:t>
            </w:r>
          </w:p>
        </w:tc>
        <w:tc>
          <w:tcPr>
            <w:tcW w:w="0" w:type="auto"/>
            <w:tcBorders>
              <w:top w:val="nil"/>
              <w:left w:val="nil"/>
              <w:bottom w:val="nil"/>
              <w:right w:val="nil"/>
            </w:tcBorders>
            <w:tcMar>
              <w:top w:w="50" w:type="dxa"/>
              <w:left w:w="70" w:type="dxa"/>
              <w:bottom w:w="50" w:type="dxa"/>
              <w:right w:w="70" w:type="dxa"/>
            </w:tcMar>
            <w:vAlign w:val="center"/>
          </w:tcPr>
          <w:p w14:paraId="5BBFAE38" w14:textId="77777777" w:rsidR="002D0A3C" w:rsidRDefault="003B6787">
            <w:pPr>
              <w:pStyle w:val="Compact"/>
              <w:spacing w:before="0" w:after="0" w:line="264" w:lineRule="auto"/>
              <w:ind w:firstLine="0"/>
              <w:rPr>
                <w:lang w:eastAsia="zh-CN"/>
              </w:rPr>
            </w:pPr>
            <w:r>
              <w:rPr>
                <w:sz w:val="21"/>
                <w:lang w:eastAsia="zh-CN"/>
              </w:rPr>
              <w:t>将仍存在的有限限制设为无约束</w:t>
            </w:r>
          </w:p>
        </w:tc>
        <w:tc>
          <w:tcPr>
            <w:tcW w:w="0" w:type="auto"/>
            <w:tcBorders>
              <w:top w:val="nil"/>
              <w:left w:val="nil"/>
              <w:bottom w:val="nil"/>
              <w:right w:val="nil"/>
            </w:tcBorders>
            <w:tcMar>
              <w:top w:w="50" w:type="dxa"/>
              <w:left w:w="70" w:type="dxa"/>
              <w:bottom w:w="50" w:type="dxa"/>
              <w:right w:w="70" w:type="dxa"/>
            </w:tcMar>
            <w:vAlign w:val="center"/>
          </w:tcPr>
          <w:p w14:paraId="638B84E4" w14:textId="77777777" w:rsidR="002D0A3C" w:rsidRDefault="003B6787">
            <w:pPr>
              <w:pStyle w:val="Compact"/>
              <w:spacing w:before="0" w:after="0" w:line="264" w:lineRule="auto"/>
              <w:ind w:firstLine="0"/>
              <w:rPr>
                <w:lang w:eastAsia="zh-CN"/>
              </w:rPr>
            </w:pPr>
            <w:r>
              <w:rPr>
                <w:sz w:val="21"/>
                <w:lang w:eastAsia="zh-CN"/>
              </w:rPr>
              <w:t>进一步自主开放的上限效应</w:t>
            </w:r>
          </w:p>
        </w:tc>
      </w:tr>
      <w:tr w:rsidR="002D0A3C" w14:paraId="47F800D3" w14:textId="77777777" w:rsidTr="002D0A3C">
        <w:trPr>
          <w:jc w:val="center"/>
        </w:trPr>
        <w:tc>
          <w:tcPr>
            <w:tcW w:w="0" w:type="auto"/>
            <w:tcBorders>
              <w:top w:val="nil"/>
              <w:left w:val="nil"/>
              <w:bottom w:val="single" w:sz="12" w:space="0" w:color="000000"/>
              <w:right w:val="nil"/>
            </w:tcBorders>
            <w:tcMar>
              <w:top w:w="50" w:type="dxa"/>
              <w:left w:w="70" w:type="dxa"/>
              <w:bottom w:w="50" w:type="dxa"/>
              <w:right w:w="70" w:type="dxa"/>
            </w:tcMar>
            <w:vAlign w:val="center"/>
          </w:tcPr>
          <w:p w14:paraId="1FF32EB1" w14:textId="77777777" w:rsidR="002D0A3C" w:rsidRDefault="003B6787">
            <w:pPr>
              <w:pStyle w:val="Compact"/>
              <w:spacing w:before="0" w:after="0" w:line="264" w:lineRule="auto"/>
              <w:ind w:firstLine="0"/>
            </w:pPr>
            <w:r>
              <w:rPr>
                <w:sz w:val="21"/>
              </w:rPr>
              <w:t xml:space="preserve">CF6 </w:t>
            </w:r>
            <w:r>
              <w:rPr>
                <w:sz w:val="21"/>
              </w:rPr>
              <w:t>禁止</w:t>
            </w:r>
            <w:r>
              <w:rPr>
                <w:sz w:val="21"/>
              </w:rPr>
              <w:t>→</w:t>
            </w:r>
            <w:r>
              <w:rPr>
                <w:sz w:val="21"/>
              </w:rPr>
              <w:t>允许</w:t>
            </w:r>
          </w:p>
        </w:tc>
        <w:tc>
          <w:tcPr>
            <w:tcW w:w="0" w:type="auto"/>
            <w:tcBorders>
              <w:top w:val="nil"/>
              <w:left w:val="nil"/>
              <w:bottom w:val="single" w:sz="12" w:space="0" w:color="000000"/>
              <w:right w:val="nil"/>
            </w:tcBorders>
            <w:tcMar>
              <w:top w:w="50" w:type="dxa"/>
              <w:left w:w="70" w:type="dxa"/>
              <w:bottom w:w="50" w:type="dxa"/>
              <w:right w:w="70" w:type="dxa"/>
            </w:tcMar>
            <w:vAlign w:val="center"/>
          </w:tcPr>
          <w:p w14:paraId="4F53123E" w14:textId="77777777" w:rsidR="002D0A3C" w:rsidRDefault="003B6787">
            <w:pPr>
              <w:pStyle w:val="Compact"/>
              <w:spacing w:before="0" w:after="0" w:line="264" w:lineRule="auto"/>
              <w:ind w:firstLine="0"/>
            </w:pPr>
            <w:r>
              <w:rPr>
                <w:sz w:val="21"/>
              </w:rPr>
              <w:t>改变可行生产地集合</w:t>
            </w:r>
          </w:p>
        </w:tc>
        <w:tc>
          <w:tcPr>
            <w:tcW w:w="0" w:type="auto"/>
            <w:tcBorders>
              <w:top w:val="nil"/>
              <w:left w:val="nil"/>
              <w:bottom w:val="single" w:sz="12" w:space="0" w:color="000000"/>
              <w:right w:val="nil"/>
            </w:tcBorders>
            <w:tcMar>
              <w:top w:w="50" w:type="dxa"/>
              <w:left w:w="70" w:type="dxa"/>
              <w:bottom w:w="50" w:type="dxa"/>
              <w:right w:w="70" w:type="dxa"/>
            </w:tcMar>
            <w:vAlign w:val="center"/>
          </w:tcPr>
          <w:p w14:paraId="40EFBB7A" w14:textId="77777777" w:rsidR="002D0A3C" w:rsidRDefault="003B6787">
            <w:pPr>
              <w:pStyle w:val="Compact"/>
              <w:spacing w:before="0" w:after="0" w:line="264" w:lineRule="auto"/>
              <w:ind w:firstLine="0"/>
            </w:pPr>
            <w:r>
              <w:rPr>
                <w:sz w:val="21"/>
              </w:rPr>
              <w:t>新进入的广延边际</w:t>
            </w:r>
          </w:p>
        </w:tc>
      </w:tr>
    </w:tbl>
    <w:p w14:paraId="10447FC3" w14:textId="77777777" w:rsidR="002D0A3C" w:rsidRDefault="003B6787">
      <w:pPr>
        <w:pStyle w:val="a0"/>
        <w:jc w:val="both"/>
        <w:rPr>
          <w:lang w:eastAsia="zh-CN"/>
        </w:rPr>
      </w:pPr>
      <w:r>
        <w:rPr>
          <w:lang w:eastAsia="zh-CN"/>
        </w:rPr>
        <w:t>基准经济年份与政策版本年份应分离。比如可以固定</w:t>
      </w:r>
      <w:r>
        <w:rPr>
          <w:lang w:eastAsia="zh-CN"/>
        </w:rPr>
        <w:t>2019</w:t>
      </w:r>
      <w:r>
        <w:rPr>
          <w:lang w:eastAsia="zh-CN"/>
        </w:rPr>
        <w:t>年的全球投入产出结构、工资、贸易与跨国生产份额，只把中国准入制度从较早版本替换为最新版本。此时反事实差异只来自政策制度，而不会把两个现实年份之间发生的技术进步、需求变化或全球贸易冲击混入政策效应。</w:t>
      </w:r>
    </w:p>
    <w:p w14:paraId="2EE61EE7" w14:textId="77777777" w:rsidR="002D0A3C" w:rsidRDefault="003B6787">
      <w:pPr>
        <w:pStyle w:val="3"/>
        <w:rPr>
          <w:lang w:eastAsia="zh-CN"/>
        </w:rPr>
      </w:pPr>
      <w:bookmarkStart w:id="14" w:name="a.6.3-结果变量与福利"/>
      <w:bookmarkEnd w:id="13"/>
      <w:r>
        <w:rPr>
          <w:rFonts w:ascii="Times New Roman" w:eastAsia="宋体" w:hAnsi="Times New Roman"/>
          <w:lang w:eastAsia="zh-CN"/>
        </w:rPr>
        <w:t>A.6.3</w:t>
      </w:r>
      <w:r>
        <w:rPr>
          <w:rFonts w:ascii="Times New Roman" w:eastAsia="宋体" w:hAnsi="Times New Roman"/>
          <w:lang w:eastAsia="zh-CN"/>
        </w:rPr>
        <w:t xml:space="preserve">　结果变量与福利</w:t>
      </w:r>
    </w:p>
    <w:p w14:paraId="4D3C4D33" w14:textId="77777777" w:rsidR="002D0A3C" w:rsidRDefault="003B6787" w:rsidP="0016713F">
      <w:pPr>
        <w:pStyle w:val="FirstParagraph"/>
        <w:spacing w:before="80" w:after="80" w:line="240" w:lineRule="auto"/>
        <w:rPr>
          <w:lang w:eastAsia="zh-CN"/>
        </w:rPr>
      </w:pPr>
      <w:r>
        <w:rPr>
          <w:lang w:eastAsia="zh-CN"/>
        </w:rPr>
        <w:t>至少报告四类结果。第一，外国母国在中国的跨国生产份额与产值变化；第二，中国各部门产出、价格和生产工资变化；第三，</w:t>
      </w:r>
      <m:oMath>
        <m:sSubSup>
          <m:sSubSupPr>
            <m:ctrlPr>
              <w:rPr>
                <w:rFonts w:ascii="Cambria Math" w:hAnsi="Cambria Math"/>
              </w:rPr>
            </m:ctrlPr>
          </m:sSubSupPr>
          <m:e>
            <m:r>
              <w:rPr>
                <w:rFonts w:ascii="Cambria Math" w:hAnsi="Cambria Math"/>
                <w:lang w:eastAsia="zh-CN"/>
              </w:rPr>
              <m:t>X</m:t>
            </m:r>
          </m:e>
          <m:sub>
            <m:r>
              <w:rPr>
                <w:rFonts w:ascii="Cambria Math" w:hAnsi="Cambria Math"/>
                <w:lang w:eastAsia="zh-CN"/>
              </w:rPr>
              <m:t>nCm</m:t>
            </m:r>
          </m:sub>
          <m:sup>
            <m:r>
              <w:rPr>
                <w:rFonts w:ascii="Cambria Math" w:hAnsi="Cambria Math"/>
                <w:lang w:eastAsia="zh-CN"/>
              </w:rPr>
              <m:t>j</m:t>
            </m:r>
          </m:sup>
        </m:sSubSup>
      </m:oMath>
      <w:r>
        <w:rPr>
          <w:lang w:eastAsia="zh-CN"/>
        </w:rPr>
        <w:t xml:space="preserve"> </w:t>
      </w:r>
      <w:r>
        <w:rPr>
          <w:lang w:eastAsia="zh-CN"/>
        </w:rPr>
        <w:t>所刻画的全球生产网络重排；第四，利润、研发劳动、新品种数量与福利变化。福利分解沿用第二篇文献的六个通道：产品种类效应、投入产出关联效应、离岸外包效应、创新效应、市场规模效应和劳动要素再配置效应。</w:t>
      </w:r>
    </w:p>
    <w:p w14:paraId="1D6A69BB" w14:textId="77777777" w:rsidR="002D0A3C" w:rsidRDefault="003B6787">
      <w:pPr>
        <w:pStyle w:val="a0"/>
        <w:jc w:val="both"/>
        <w:rPr>
          <w:lang w:eastAsia="zh-CN"/>
        </w:rPr>
      </w:pPr>
      <w:r>
        <w:rPr>
          <w:lang w:eastAsia="zh-CN"/>
        </w:rPr>
        <w:t>若进一步讨论</w:t>
      </w:r>
      <w:r>
        <w:rPr>
          <w:lang w:eastAsia="zh-CN"/>
        </w:rPr>
        <w:t>“</w:t>
      </w:r>
      <w:r>
        <w:rPr>
          <w:lang w:eastAsia="zh-CN"/>
        </w:rPr>
        <w:t>哪类负面清单改革贡献了福利改善</w:t>
      </w:r>
      <w:r>
        <w:rPr>
          <w:lang w:eastAsia="zh-CN"/>
        </w:rPr>
        <w:t>”</w:t>
      </w:r>
      <w:r>
        <w:rPr>
          <w:lang w:eastAsia="zh-CN"/>
        </w:rPr>
        <w:t>，应通过重复求解不同政策类型的反事实进行分解，而不是直接把单个回归系数解释为福利贡献。政策类型之间存在一般均衡交互时，可报告顺序分解，并以</w:t>
      </w:r>
      <w:r>
        <w:rPr>
          <w:lang w:eastAsia="zh-CN"/>
        </w:rPr>
        <w:t>Shapley</w:t>
      </w:r>
      <w:r>
        <w:rPr>
          <w:lang w:eastAsia="zh-CN"/>
        </w:rPr>
        <w:t>分解作为稳健性。</w:t>
      </w:r>
    </w:p>
    <w:p w14:paraId="1666FA5C" w14:textId="77777777" w:rsidR="002D0A3C" w:rsidRDefault="003B6787">
      <w:pPr>
        <w:pStyle w:val="2"/>
        <w:rPr>
          <w:lang w:eastAsia="zh-CN"/>
        </w:rPr>
      </w:pPr>
      <w:bookmarkStart w:id="15" w:name="a.7-识别边界与稳健性"/>
      <w:bookmarkEnd w:id="11"/>
      <w:bookmarkEnd w:id="14"/>
      <w:r>
        <w:rPr>
          <w:rFonts w:ascii="Times New Roman" w:eastAsia="宋体" w:hAnsi="Times New Roman"/>
          <w:lang w:eastAsia="zh-CN"/>
        </w:rPr>
        <w:t>A.7</w:t>
      </w:r>
      <w:r>
        <w:rPr>
          <w:rFonts w:ascii="Times New Roman" w:eastAsia="宋体" w:hAnsi="Times New Roman"/>
          <w:lang w:eastAsia="zh-CN"/>
        </w:rPr>
        <w:t xml:space="preserve">　识别边界与稳健性</w:t>
      </w:r>
    </w:p>
    <w:p w14:paraId="079F6395" w14:textId="77777777" w:rsidR="002D0A3C" w:rsidRDefault="003B6787">
      <w:pPr>
        <w:pStyle w:val="3"/>
        <w:rPr>
          <w:lang w:eastAsia="zh-CN"/>
        </w:rPr>
      </w:pPr>
      <w:bookmarkStart w:id="16" w:name="a.7.1-llm测量误差"/>
      <w:r>
        <w:rPr>
          <w:rFonts w:ascii="Times New Roman" w:eastAsia="宋体" w:hAnsi="Times New Roman"/>
          <w:lang w:eastAsia="zh-CN"/>
        </w:rPr>
        <w:t>A.7.1</w:t>
      </w:r>
      <w:r>
        <w:rPr>
          <w:rFonts w:ascii="Times New Roman" w:eastAsia="宋体" w:hAnsi="Times New Roman"/>
          <w:lang w:eastAsia="zh-CN"/>
        </w:rPr>
        <w:t xml:space="preserve">　</w:t>
      </w:r>
      <w:r>
        <w:rPr>
          <w:rFonts w:ascii="Times New Roman" w:eastAsia="宋体" w:hAnsi="Times New Roman"/>
          <w:lang w:eastAsia="zh-CN"/>
        </w:rPr>
        <w:t>LLM</w:t>
      </w:r>
      <w:r>
        <w:rPr>
          <w:rFonts w:ascii="Times New Roman" w:eastAsia="宋体" w:hAnsi="Times New Roman"/>
          <w:lang w:eastAsia="zh-CN"/>
        </w:rPr>
        <w:t>测量误差</w:t>
      </w:r>
    </w:p>
    <w:p w14:paraId="08BBFB89" w14:textId="77777777" w:rsidR="002D0A3C" w:rsidRDefault="003B6787" w:rsidP="0016713F">
      <w:pPr>
        <w:pStyle w:val="FirstParagraph"/>
        <w:ind w:firstLine="720"/>
        <w:rPr>
          <w:lang w:eastAsia="zh-CN"/>
        </w:rPr>
      </w:pPr>
      <w:r>
        <w:rPr>
          <w:lang w:eastAsia="zh-CN"/>
        </w:rPr>
        <w:t>LLM</w:t>
      </w:r>
      <w:r>
        <w:rPr>
          <w:lang w:eastAsia="zh-CN"/>
        </w:rPr>
        <w:t>可能遗漏限定词、误判例外或在一对多行业映射中选择过宽类别。基准结果至少应报告人工金标准准确度、不同模型或不同运行间的一致率、只保留</w:t>
      </w:r>
      <w:r>
        <w:rPr>
          <w:lang w:eastAsia="zh-CN"/>
        </w:rPr>
        <w:t xml:space="preserve"> exact/narrow </w:t>
      </w:r>
      <w:r>
        <w:rPr>
          <w:lang w:eastAsia="zh-CN"/>
        </w:rPr>
        <w:t>映射样本的结果，以及低置信度样本剔除结果。更重要的是，应将人工复核后的最终标签视为研究数据，保留原始输出只是为了审计，不应把</w:t>
      </w:r>
      <w:r>
        <w:rPr>
          <w:lang w:eastAsia="zh-CN"/>
        </w:rPr>
        <w:t>“</w:t>
      </w:r>
      <w:r>
        <w:rPr>
          <w:lang w:eastAsia="zh-CN"/>
        </w:rPr>
        <w:t>模型信心</w:t>
      </w:r>
      <w:r>
        <w:rPr>
          <w:lang w:eastAsia="zh-CN"/>
        </w:rPr>
        <w:t>”</w:t>
      </w:r>
      <w:r>
        <w:rPr>
          <w:lang w:eastAsia="zh-CN"/>
        </w:rPr>
        <w:t>当作统计权重。</w:t>
      </w:r>
    </w:p>
    <w:p w14:paraId="2EAD7749" w14:textId="77777777" w:rsidR="002D0A3C" w:rsidRDefault="003B6787">
      <w:pPr>
        <w:pStyle w:val="3"/>
        <w:rPr>
          <w:lang w:eastAsia="zh-CN"/>
        </w:rPr>
      </w:pPr>
      <w:bookmarkStart w:id="17" w:name="a.7.2-行业聚合误差"/>
      <w:bookmarkEnd w:id="16"/>
      <w:r>
        <w:rPr>
          <w:rFonts w:ascii="Times New Roman" w:eastAsia="宋体" w:hAnsi="Times New Roman"/>
          <w:lang w:eastAsia="zh-CN"/>
        </w:rPr>
        <w:t>A.7.2</w:t>
      </w:r>
      <w:r>
        <w:rPr>
          <w:rFonts w:ascii="Times New Roman" w:eastAsia="宋体" w:hAnsi="Times New Roman"/>
          <w:lang w:eastAsia="zh-CN"/>
        </w:rPr>
        <w:t xml:space="preserve">　行业聚合误差</w:t>
      </w:r>
    </w:p>
    <w:p w14:paraId="4FC5EE0E" w14:textId="77777777" w:rsidR="002D0A3C" w:rsidRDefault="003B6787" w:rsidP="0016713F">
      <w:pPr>
        <w:pStyle w:val="FirstParagraph"/>
        <w:spacing w:before="80" w:after="80" w:line="240" w:lineRule="auto"/>
        <w:ind w:firstLine="720"/>
        <w:rPr>
          <w:lang w:eastAsia="zh-CN"/>
        </w:rPr>
      </w:pPr>
      <w:r>
        <w:rPr>
          <w:lang w:eastAsia="zh-CN"/>
        </w:rPr>
        <w:t>行业聚合误差可能来自三个环节：政策原子与</w:t>
      </w:r>
      <w:r>
        <w:rPr>
          <w:lang w:eastAsia="zh-CN"/>
        </w:rPr>
        <w:t>GB</w:t>
      </w:r>
      <w:r>
        <w:rPr>
          <w:lang w:eastAsia="zh-CN"/>
        </w:rPr>
        <w:t>四位小类的语义匹配、</w:t>
      </w:r>
      <w:r>
        <w:rPr>
          <w:lang w:eastAsia="zh-CN"/>
        </w:rPr>
        <w:t>GB</w:t>
      </w:r>
      <w:r>
        <w:rPr>
          <w:lang w:eastAsia="zh-CN"/>
        </w:rPr>
        <w:t>四位小类与</w:t>
      </w:r>
      <w:r>
        <w:rPr>
          <w:lang w:eastAsia="zh-CN"/>
        </w:rPr>
        <w:t>ISIC</w:t>
      </w:r>
      <w:r>
        <w:rPr>
          <w:lang w:eastAsia="zh-CN"/>
        </w:rPr>
        <w:t>四位组的一对多转换，以及</w:t>
      </w:r>
      <w:r>
        <w:rPr>
          <w:lang w:eastAsia="zh-CN"/>
        </w:rPr>
        <w:t>ISIC</w:t>
      </w:r>
      <w:r>
        <w:rPr>
          <w:lang w:eastAsia="zh-CN"/>
        </w:rPr>
        <w:t>细行业向</w:t>
      </w:r>
      <w:r>
        <w:rPr>
          <w:lang w:eastAsia="zh-CN"/>
        </w:rPr>
        <w:t>OECD-AMNE</w:t>
      </w:r>
      <w:r>
        <w:rPr>
          <w:lang w:eastAsia="zh-CN"/>
        </w:rPr>
        <w:t>粗行业的加权聚合。基准结果应同时报告各</w:t>
      </w:r>
      <w:r>
        <w:rPr>
          <w:lang w:eastAsia="zh-CN"/>
        </w:rPr>
        <w:t>OECD-AMNE</w:t>
      </w:r>
      <w:r>
        <w:rPr>
          <w:lang w:eastAsia="zh-CN"/>
        </w:rPr>
        <w:t>行业中可可靠映射的基期经济规模覆盖率，并分别用基期产值或增加值、外资企业产值、就业权重和等权重复构造</w:t>
      </w:r>
      <w:r>
        <w:rPr>
          <w:lang w:eastAsia="zh-CN"/>
        </w:rPr>
        <w:t>Z_jt</w:t>
      </w:r>
      <w:r>
        <w:rPr>
          <w:lang w:eastAsia="zh-CN"/>
        </w:rPr>
        <w:t>。还应检验只保留</w:t>
      </w:r>
      <w:r>
        <w:rPr>
          <w:lang w:eastAsia="zh-CN"/>
        </w:rPr>
        <w:t>full</w:t>
      </w:r>
      <w:r>
        <w:rPr>
          <w:lang w:eastAsia="zh-CN"/>
        </w:rPr>
        <w:t>且</w:t>
      </w:r>
      <w:r>
        <w:rPr>
          <w:lang w:eastAsia="zh-CN"/>
        </w:rPr>
        <w:t>exact/narrow</w:t>
      </w:r>
      <w:r>
        <w:rPr>
          <w:lang w:eastAsia="zh-CN"/>
        </w:rPr>
        <w:t>映射、加入</w:t>
      </w:r>
      <w:r>
        <w:rPr>
          <w:lang w:eastAsia="zh-CN"/>
        </w:rPr>
        <w:t>partial</w:t>
      </w:r>
      <w:r>
        <w:rPr>
          <w:lang w:eastAsia="zh-CN"/>
        </w:rPr>
        <w:t>映射以及剔除</w:t>
      </w:r>
      <w:r>
        <w:rPr>
          <w:lang w:eastAsia="zh-CN"/>
        </w:rPr>
        <w:t>ambiguous</w:t>
      </w:r>
      <w:r>
        <w:rPr>
          <w:lang w:eastAsia="zh-CN"/>
        </w:rPr>
        <w:t>映射后的结果。尤其要保证聚合分母来自完整</w:t>
      </w:r>
      <w:r>
        <w:rPr>
          <w:lang w:eastAsia="zh-CN"/>
        </w:rPr>
        <w:t>ISIC</w:t>
      </w:r>
      <w:r>
        <w:rPr>
          <w:lang w:eastAsia="zh-CN"/>
        </w:rPr>
        <w:t>四位行业集合，而不是仅来自负面清单命中的行业；若某</w:t>
      </w:r>
      <w:r>
        <w:rPr>
          <w:lang w:eastAsia="zh-CN"/>
        </w:rPr>
        <w:t>OECD-AMNE</w:t>
      </w:r>
      <w:r>
        <w:rPr>
          <w:lang w:eastAsia="zh-CN"/>
        </w:rPr>
        <w:t>行业只有极小比例的经济活动能够被可靠映射，不应把该行业整体作为高强度政策冲击。</w:t>
      </w:r>
    </w:p>
    <w:p w14:paraId="774A7450" w14:textId="77777777" w:rsidR="002D0A3C" w:rsidRDefault="003B6787">
      <w:pPr>
        <w:pStyle w:val="3"/>
        <w:rPr>
          <w:lang w:eastAsia="zh-CN"/>
        </w:rPr>
      </w:pPr>
      <w:bookmarkStart w:id="18" w:name="a.7.3-政策内生性"/>
      <w:bookmarkEnd w:id="17"/>
      <w:r>
        <w:rPr>
          <w:rFonts w:ascii="Times New Roman" w:eastAsia="宋体" w:hAnsi="Times New Roman"/>
          <w:lang w:eastAsia="zh-CN"/>
        </w:rPr>
        <w:lastRenderedPageBreak/>
        <w:t>A.7.3</w:t>
      </w:r>
      <w:r>
        <w:rPr>
          <w:rFonts w:ascii="Times New Roman" w:eastAsia="宋体" w:hAnsi="Times New Roman"/>
          <w:lang w:eastAsia="zh-CN"/>
        </w:rPr>
        <w:t xml:space="preserve">　政策内生性</w:t>
      </w:r>
    </w:p>
    <w:p w14:paraId="7E5D0A1C" w14:textId="77777777" w:rsidR="002D0A3C" w:rsidRDefault="003B6787" w:rsidP="0016713F">
      <w:pPr>
        <w:pStyle w:val="FirstParagraph"/>
        <w:ind w:firstLine="720"/>
        <w:rPr>
          <w:lang w:eastAsia="zh-CN"/>
        </w:rPr>
      </w:pPr>
      <w:r>
        <w:rPr>
          <w:lang w:eastAsia="zh-CN"/>
        </w:rPr>
        <w:t>开放顺序可能与行业既有外资增长、技术水平或政策优先级相关。除式（</w:t>
      </w:r>
      <w:r>
        <w:rPr>
          <w:lang w:eastAsia="zh-CN"/>
        </w:rPr>
        <w:t>A4</w:t>
      </w:r>
      <w:r>
        <w:rPr>
          <w:lang w:eastAsia="zh-CN"/>
        </w:rPr>
        <w:t>）的固定效应外，应检验政策变化前的成本趋势和外资活动趋势；在数据允许时加入改革前行业增长、资本或研发密集度等预定变量。若无法提供足够强的外生性证据，正文表述应限定为</w:t>
      </w:r>
      <w:r>
        <w:rPr>
          <w:lang w:eastAsia="zh-CN"/>
        </w:rPr>
        <w:t>“</w:t>
      </w:r>
      <w:r>
        <w:rPr>
          <w:lang w:eastAsia="zh-CN"/>
        </w:rPr>
        <w:t>负面清单限制的成本等价映射</w:t>
      </w:r>
      <w:r>
        <w:rPr>
          <w:lang w:eastAsia="zh-CN"/>
        </w:rPr>
        <w:t>”</w:t>
      </w:r>
      <w:r>
        <w:rPr>
          <w:lang w:eastAsia="zh-CN"/>
        </w:rPr>
        <w:t>，而不是无条件称为因果效应。</w:t>
      </w:r>
    </w:p>
    <w:p w14:paraId="5259C77C" w14:textId="77777777" w:rsidR="002D0A3C" w:rsidRDefault="003B6787">
      <w:pPr>
        <w:pStyle w:val="3"/>
        <w:rPr>
          <w:lang w:eastAsia="zh-CN"/>
        </w:rPr>
      </w:pPr>
      <w:bookmarkStart w:id="19" w:name="a.7.4-生成成本与结构转换的不确定性"/>
      <w:bookmarkEnd w:id="18"/>
      <w:r>
        <w:rPr>
          <w:rFonts w:ascii="Times New Roman" w:eastAsia="宋体" w:hAnsi="Times New Roman"/>
          <w:lang w:eastAsia="zh-CN"/>
        </w:rPr>
        <w:t>A.7.4</w:t>
      </w:r>
      <w:r>
        <w:rPr>
          <w:rFonts w:ascii="Times New Roman" w:eastAsia="宋体" w:hAnsi="Times New Roman"/>
          <w:lang w:eastAsia="zh-CN"/>
        </w:rPr>
        <w:t xml:space="preserve">　生成成本与结构转换的不确定性</w:t>
      </w:r>
    </w:p>
    <w:p w14:paraId="5946CEDD" w14:textId="77777777" w:rsidR="002D0A3C" w:rsidRDefault="00791C5A" w:rsidP="0080610B">
      <w:pPr>
        <w:pStyle w:val="FirstParagraph"/>
        <w:spacing w:before="80" w:after="80" w:line="240" w:lineRule="auto"/>
        <w:ind w:firstLine="720"/>
        <w:rPr>
          <w:lang w:eastAsia="zh-CN"/>
        </w:rPr>
      </w:pPr>
      <m:oMath>
        <m:sSup>
          <m:sSupPr>
            <m:ctrlPr>
              <w:rPr>
                <w:rFonts w:ascii="Cambria Math" w:hAnsi="Cambria Math"/>
              </w:rPr>
            </m:ctrlPr>
          </m:sSupPr>
          <m:e>
            <m:r>
              <w:rPr>
                <w:rFonts w:ascii="Cambria Math" w:hAnsi="Cambria Math"/>
                <w:lang w:eastAsia="zh-CN"/>
              </w:rPr>
              <m:t>γ</m:t>
            </m:r>
          </m:e>
          <m:sup>
            <m:r>
              <m:rPr>
                <m:sty m:val="p"/>
              </m:rPr>
              <w:rPr>
                <w:rFonts w:ascii="Cambria Math" w:hAnsi="Cambria Math"/>
                <w:lang w:eastAsia="zh-CN"/>
              </w:rPr>
              <m:t>inst</m:t>
            </m:r>
          </m:sup>
        </m:sSup>
      </m:oMath>
      <w:r w:rsidR="003B6787">
        <w:rPr>
          <w:lang w:eastAsia="zh-CN"/>
        </w:rPr>
        <w:t xml:space="preserve"> </w:t>
      </w:r>
      <w:r w:rsidR="003B6787">
        <w:rPr>
          <w:lang w:eastAsia="zh-CN"/>
        </w:rPr>
        <w:t>本身来自跨国生产数据反演，是生成变量；</w:t>
      </w:r>
      <m:oMath>
        <m:sSub>
          <m:sSubPr>
            <m:ctrlPr>
              <w:rPr>
                <w:rFonts w:ascii="Cambria Math" w:hAnsi="Cambria Math"/>
              </w:rPr>
            </m:ctrlPr>
          </m:sSubPr>
          <m:e>
            <m:r>
              <w:rPr>
                <w:rFonts w:ascii="Cambria Math" w:hAnsi="Cambria Math"/>
                <w:lang w:eastAsia="zh-CN"/>
              </w:rPr>
              <m:t>ν</m:t>
            </m:r>
          </m:e>
          <m:sub>
            <m:r>
              <w:rPr>
                <w:rFonts w:ascii="Cambria Math" w:hAnsi="Cambria Math"/>
                <w:lang w:eastAsia="zh-CN"/>
              </w:rPr>
              <m:t>j</m:t>
            </m:r>
          </m:sub>
        </m:sSub>
      </m:oMath>
      <w:r w:rsidR="003B6787">
        <w:rPr>
          <w:lang w:eastAsia="zh-CN"/>
        </w:rPr>
        <w:t xml:space="preserve"> </w:t>
      </w:r>
      <w:r w:rsidR="003B6787">
        <w:rPr>
          <w:lang w:eastAsia="zh-CN"/>
        </w:rPr>
        <w:t>又决定经验成本向结构效率冲击的转换。标准误和福利区间因此不能只来自式（</w:t>
      </w:r>
      <w:r w:rsidR="003B6787">
        <w:rPr>
          <w:lang w:eastAsia="zh-CN"/>
        </w:rPr>
        <w:t>A4</w:t>
      </w:r>
      <w:r w:rsidR="003B6787">
        <w:rPr>
          <w:lang w:eastAsia="zh-CN"/>
        </w:rPr>
        <w:t>）的第二阶段回归。可采用分层</w:t>
      </w:r>
      <w:r w:rsidR="003B6787">
        <w:rPr>
          <w:lang w:eastAsia="zh-CN"/>
        </w:rPr>
        <w:t xml:space="preserve"> bootstrap</w:t>
      </w:r>
      <w:r w:rsidR="003B6787">
        <w:rPr>
          <w:lang w:eastAsia="zh-CN"/>
        </w:rPr>
        <w:t>：重新抽取或扰动</w:t>
      </w:r>
      <w:r w:rsidR="003B6787">
        <w:rPr>
          <w:lang w:eastAsia="zh-CN"/>
        </w:rPr>
        <w:t xml:space="preserve"> AMNE </w:t>
      </w:r>
      <w:r w:rsidR="003B6787">
        <w:rPr>
          <w:lang w:eastAsia="zh-CN"/>
        </w:rPr>
        <w:t>成本、重新估计</w:t>
      </w:r>
      <w:r w:rsidR="003B6787">
        <w:rPr>
          <w:lang w:eastAsia="zh-CN"/>
        </w:rPr>
        <w:t xml:space="preserve"> </w:t>
      </w:r>
      <m:oMath>
        <m:r>
          <w:rPr>
            <w:rFonts w:ascii="Cambria Math" w:hAnsi="Cambria Math"/>
            <w:lang w:eastAsia="zh-CN"/>
          </w:rPr>
          <m:t>κ</m:t>
        </m:r>
      </m:oMath>
      <w:r w:rsidR="003B6787">
        <w:rPr>
          <w:lang w:eastAsia="zh-CN"/>
        </w:rPr>
        <w:t>、重新生成</w:t>
      </w:r>
      <w:r w:rsidR="003B6787">
        <w:rPr>
          <w:lang w:eastAsia="zh-CN"/>
        </w:rPr>
        <w:t xml:space="preserve"> </w:t>
      </w:r>
      <m:oMath>
        <m:acc>
          <m:accPr>
            <m:ctrlPr>
              <w:rPr>
                <w:rFonts w:ascii="Cambria Math" w:hAnsi="Cambria Math"/>
              </w:rPr>
            </m:ctrlPr>
          </m:accPr>
          <m:e>
            <m:r>
              <w:rPr>
                <w:rFonts w:ascii="Cambria Math" w:hAnsi="Cambria Math"/>
                <w:lang w:eastAsia="zh-CN"/>
              </w:rPr>
              <m:t>γ</m:t>
            </m:r>
          </m:e>
        </m:acc>
      </m:oMath>
      <w:r w:rsidR="003B6787">
        <w:rPr>
          <w:lang w:eastAsia="zh-CN"/>
        </w:rPr>
        <w:t xml:space="preserve"> </w:t>
      </w:r>
      <w:r w:rsidR="003B6787">
        <w:rPr>
          <w:lang w:eastAsia="zh-CN"/>
        </w:rPr>
        <w:t>和</w:t>
      </w:r>
      <w:r w:rsidR="003B6787">
        <w:rPr>
          <w:lang w:eastAsia="zh-CN"/>
        </w:rPr>
        <w:t xml:space="preserve"> </w:t>
      </w:r>
      <m:oMath>
        <m:acc>
          <m:accPr>
            <m:ctrlPr>
              <w:rPr>
                <w:rFonts w:ascii="Cambria Math" w:hAnsi="Cambria Math"/>
              </w:rPr>
            </m:ctrlPr>
          </m:accPr>
          <m:e>
            <m:r>
              <w:rPr>
                <w:rFonts w:ascii="Cambria Math" w:hAnsi="Cambria Math"/>
                <w:lang w:eastAsia="zh-CN"/>
              </w:rPr>
              <m:t>ξ</m:t>
            </m:r>
          </m:e>
        </m:acc>
      </m:oMath>
      <w:r w:rsidR="003B6787">
        <w:rPr>
          <w:lang w:eastAsia="zh-CN"/>
        </w:rPr>
        <w:t>，再重复求解一般均衡，从而得到最终网络效应和福利效应的区间。对于</w:t>
      </w:r>
      <w:r w:rsidR="003B6787">
        <w:rPr>
          <w:lang w:eastAsia="zh-CN"/>
        </w:rPr>
        <w:t xml:space="preserve"> </w:t>
      </w:r>
      <m:oMath>
        <m:sSub>
          <m:sSubPr>
            <m:ctrlPr>
              <w:rPr>
                <w:rFonts w:ascii="Cambria Math" w:hAnsi="Cambria Math"/>
              </w:rPr>
            </m:ctrlPr>
          </m:sSubPr>
          <m:e>
            <m:r>
              <w:rPr>
                <w:rFonts w:ascii="Cambria Math" w:hAnsi="Cambria Math"/>
                <w:lang w:eastAsia="zh-CN"/>
              </w:rPr>
              <m:t>ν</m:t>
            </m:r>
          </m:e>
          <m:sub>
            <m:r>
              <w:rPr>
                <w:rFonts w:ascii="Cambria Math" w:hAnsi="Cambria Math"/>
                <w:lang w:eastAsia="zh-CN"/>
              </w:rPr>
              <m:t>j</m:t>
            </m:r>
          </m:sub>
        </m:sSub>
      </m:oMath>
      <w:r w:rsidR="003B6787">
        <w:rPr>
          <w:lang w:eastAsia="zh-CN"/>
        </w:rPr>
        <w:t>，至少报告基准归一化与基于生产份额匹配的校准结果。</w:t>
      </w:r>
    </w:p>
    <w:p w14:paraId="0C7AE6EE" w14:textId="77777777" w:rsidR="002D0A3C" w:rsidRDefault="003B6787">
      <w:pPr>
        <w:pStyle w:val="3"/>
        <w:rPr>
          <w:lang w:eastAsia="zh-CN"/>
        </w:rPr>
      </w:pPr>
      <w:bookmarkStart w:id="20" w:name="a.7.5-禁止准入的非连续性"/>
      <w:bookmarkEnd w:id="19"/>
      <w:r>
        <w:rPr>
          <w:rFonts w:ascii="Times New Roman" w:eastAsia="宋体" w:hAnsi="Times New Roman"/>
          <w:lang w:eastAsia="zh-CN"/>
        </w:rPr>
        <w:t>A.7.5</w:t>
      </w:r>
      <w:r>
        <w:rPr>
          <w:rFonts w:ascii="Times New Roman" w:eastAsia="宋体" w:hAnsi="Times New Roman"/>
          <w:lang w:eastAsia="zh-CN"/>
        </w:rPr>
        <w:t xml:space="preserve">　禁止准入的非连续性</w:t>
      </w:r>
    </w:p>
    <w:p w14:paraId="61F9E87D" w14:textId="77777777" w:rsidR="002D0A3C" w:rsidRDefault="003B6787">
      <w:pPr>
        <w:pStyle w:val="FirstParagraph"/>
        <w:jc w:val="both"/>
        <w:rPr>
          <w:lang w:eastAsia="zh-CN"/>
        </w:rPr>
      </w:pPr>
      <w:r>
        <w:rPr>
          <w:lang w:eastAsia="zh-CN"/>
        </w:rPr>
        <w:t>所有含</w:t>
      </w:r>
      <w:r>
        <w:rPr>
          <w:lang w:eastAsia="zh-CN"/>
        </w:rPr>
        <w:t>“</w:t>
      </w:r>
      <w:r>
        <w:rPr>
          <w:lang w:eastAsia="zh-CN"/>
        </w:rPr>
        <w:t>禁止</w:t>
      </w:r>
      <w:r>
        <w:rPr>
          <w:lang w:eastAsia="zh-CN"/>
        </w:rPr>
        <w:t>→</w:t>
      </w:r>
      <w:r>
        <w:rPr>
          <w:lang w:eastAsia="zh-CN"/>
        </w:rPr>
        <w:t>允许</w:t>
      </w:r>
      <w:r>
        <w:rPr>
          <w:lang w:eastAsia="zh-CN"/>
        </w:rPr>
        <w:t>”</w:t>
      </w:r>
      <w:r>
        <w:rPr>
          <w:lang w:eastAsia="zh-CN"/>
        </w:rPr>
        <w:t>的改革在基准连续成本结果中单独标记。若使用高成本近似，需要展示结果对该高成本上限是否敏感；若结果高度依赖近似值，则只能报告为模型扩展，不能与有限限制的基准估计合并解释。</w:t>
      </w:r>
    </w:p>
    <w:p w14:paraId="4B58EDCF" w14:textId="77777777" w:rsidR="002D0A3C" w:rsidRDefault="003B6787">
      <w:pPr>
        <w:pStyle w:val="2"/>
        <w:rPr>
          <w:lang w:eastAsia="zh-CN"/>
        </w:rPr>
      </w:pPr>
      <w:bookmarkStart w:id="21" w:name="a.8-可复现性与数据接口"/>
      <w:bookmarkEnd w:id="15"/>
      <w:bookmarkEnd w:id="20"/>
      <w:r>
        <w:rPr>
          <w:rFonts w:ascii="Times New Roman" w:eastAsia="宋体" w:hAnsi="Times New Roman"/>
          <w:lang w:eastAsia="zh-CN"/>
        </w:rPr>
        <w:t>A.8</w:t>
      </w:r>
      <w:r>
        <w:rPr>
          <w:rFonts w:ascii="Times New Roman" w:eastAsia="宋体" w:hAnsi="Times New Roman"/>
          <w:lang w:eastAsia="zh-CN"/>
        </w:rPr>
        <w:t xml:space="preserve">　可复现性与数据接口</w:t>
      </w:r>
    </w:p>
    <w:p w14:paraId="2DA7F558" w14:textId="77777777" w:rsidR="002D0A3C" w:rsidRDefault="003B6787">
      <w:pPr>
        <w:pStyle w:val="FirstParagraph"/>
        <w:jc w:val="both"/>
        <w:rPr>
          <w:lang w:eastAsia="zh-CN"/>
        </w:rPr>
      </w:pPr>
      <w:r>
        <w:rPr>
          <w:lang w:eastAsia="zh-CN"/>
        </w:rPr>
        <w:t>完整实证采用</w:t>
      </w:r>
      <w:r>
        <w:rPr>
          <w:lang w:eastAsia="zh-CN"/>
        </w:rPr>
        <w:t>“JSONL</w:t>
      </w:r>
      <w:r>
        <w:rPr>
          <w:lang w:eastAsia="zh-CN"/>
        </w:rPr>
        <w:t>主数据</w:t>
      </w:r>
      <w:r>
        <w:rPr>
          <w:lang w:eastAsia="zh-CN"/>
        </w:rPr>
        <w:t xml:space="preserve"> + CSV</w:t>
      </w:r>
      <w:r>
        <w:rPr>
          <w:lang w:eastAsia="zh-CN"/>
        </w:rPr>
        <w:t>分析数据</w:t>
      </w:r>
      <w:r>
        <w:rPr>
          <w:lang w:eastAsia="zh-CN"/>
        </w:rPr>
        <w:t>”</w:t>
      </w:r>
      <w:r>
        <w:rPr>
          <w:lang w:eastAsia="zh-CN"/>
        </w:rPr>
        <w:t>的双层结构。</w:t>
      </w:r>
      <w:r>
        <w:rPr>
          <w:lang w:eastAsia="zh-CN"/>
        </w:rPr>
        <w:t>A1</w:t>
      </w:r>
      <w:r>
        <w:rPr>
          <w:lang w:eastAsia="zh-CN"/>
        </w:rPr>
        <w:t>与</w:t>
      </w:r>
      <w:r>
        <w:rPr>
          <w:lang w:eastAsia="zh-CN"/>
        </w:rPr>
        <w:t>A2</w:t>
      </w:r>
      <w:r>
        <w:rPr>
          <w:lang w:eastAsia="zh-CN"/>
        </w:rPr>
        <w:t>在概念上分别对应文本事实和结构化限制，但在政策原子主数据中横向合并为同一条记录：一行（一个</w:t>
      </w:r>
      <w:r>
        <w:rPr>
          <w:lang w:eastAsia="zh-CN"/>
        </w:rPr>
        <w:t>JSON</w:t>
      </w:r>
      <w:r>
        <w:rPr>
          <w:lang w:eastAsia="zh-CN"/>
        </w:rPr>
        <w:t>对象）对应一个政策原子。</w:t>
      </w:r>
      <w:r>
        <w:rPr>
          <w:lang w:eastAsia="zh-CN"/>
        </w:rPr>
        <w:t>JSONL</w:t>
      </w:r>
      <w:r>
        <w:rPr>
          <w:lang w:eastAsia="zh-CN"/>
        </w:rPr>
        <w:t>用于保存权威主数据，便于逐条调用、断点续跑和审计；供</w:t>
      </w:r>
      <w:r>
        <w:rPr>
          <w:lang w:eastAsia="zh-CN"/>
        </w:rPr>
        <w:t>Stata</w:t>
      </w:r>
      <w:r>
        <w:rPr>
          <w:lang w:eastAsia="zh-CN"/>
        </w:rPr>
        <w:t>、</w:t>
      </w:r>
      <w:r>
        <w:rPr>
          <w:lang w:eastAsia="zh-CN"/>
        </w:rPr>
        <w:t>R</w:t>
      </w:r>
      <w:r>
        <w:rPr>
          <w:lang w:eastAsia="zh-CN"/>
        </w:rPr>
        <w:t>或</w:t>
      </w:r>
      <w:r>
        <w:rPr>
          <w:lang w:eastAsia="zh-CN"/>
        </w:rPr>
        <w:t>Python</w:t>
      </w:r>
      <w:r>
        <w:rPr>
          <w:lang w:eastAsia="zh-CN"/>
        </w:rPr>
        <w:t>分析的宽表</w:t>
      </w:r>
      <w:r>
        <w:rPr>
          <w:lang w:eastAsia="zh-CN"/>
        </w:rPr>
        <w:t>CSV</w:t>
      </w:r>
      <w:r>
        <w:rPr>
          <w:lang w:eastAsia="zh-CN"/>
        </w:rPr>
        <w:t>由</w:t>
      </w:r>
      <w:r>
        <w:rPr>
          <w:lang w:eastAsia="zh-CN"/>
        </w:rPr>
        <w:t>JSONL</w:t>
      </w:r>
      <w:r>
        <w:rPr>
          <w:lang w:eastAsia="zh-CN"/>
        </w:rPr>
        <w:t>自动展开生成，不人工维护第二套标签。政策原子到</w:t>
      </w:r>
      <w:r>
        <w:rPr>
          <w:lang w:eastAsia="zh-CN"/>
        </w:rPr>
        <w:t>GB</w:t>
      </w:r>
      <w:r>
        <w:rPr>
          <w:lang w:eastAsia="zh-CN"/>
        </w:rPr>
        <w:t>四位小类、</w:t>
      </w:r>
      <w:r>
        <w:rPr>
          <w:lang w:eastAsia="zh-CN"/>
        </w:rPr>
        <w:t>GB</w:t>
      </w:r>
      <w:r>
        <w:rPr>
          <w:lang w:eastAsia="zh-CN"/>
        </w:rPr>
        <w:t>四位小类到</w:t>
      </w:r>
      <w:r>
        <w:rPr>
          <w:lang w:eastAsia="zh-CN"/>
        </w:rPr>
        <w:t>ISIC</w:t>
      </w:r>
      <w:r>
        <w:rPr>
          <w:lang w:eastAsia="zh-CN"/>
        </w:rPr>
        <w:t>四位组、</w:t>
      </w:r>
      <w:r>
        <w:rPr>
          <w:lang w:eastAsia="zh-CN"/>
        </w:rPr>
        <w:t>ISIC</w:t>
      </w:r>
      <w:r>
        <w:rPr>
          <w:lang w:eastAsia="zh-CN"/>
        </w:rPr>
        <w:t>四位组到两位类以及两位类到</w:t>
      </w:r>
      <w:r>
        <w:rPr>
          <w:lang w:eastAsia="zh-CN"/>
        </w:rPr>
        <w:t>OECD-AMNE</w:t>
      </w:r>
      <w:r>
        <w:rPr>
          <w:lang w:eastAsia="zh-CN"/>
        </w:rPr>
        <w:t>行业的关系分层存储；固定基期权重、</w:t>
      </w:r>
      <w:r>
        <w:rPr>
          <w:lang w:eastAsia="zh-CN"/>
        </w:rPr>
        <w:t>ISIC</w:t>
      </w:r>
      <w:r>
        <w:rPr>
          <w:lang w:eastAsia="zh-CN"/>
        </w:rPr>
        <w:t>中间层政策暴露、</w:t>
      </w:r>
      <w:r>
        <w:rPr>
          <w:lang w:eastAsia="zh-CN"/>
        </w:rPr>
        <w:t>OECD-AMNE</w:t>
      </w:r>
      <w:r>
        <w:rPr>
          <w:lang w:eastAsia="zh-CN"/>
        </w:rPr>
        <w:t>最终政策暴露、成本估计和一般均衡结果分别保存，避免在一张表中混合不同观察单位。表</w:t>
      </w:r>
      <w:r>
        <w:rPr>
          <w:lang w:eastAsia="zh-CN"/>
        </w:rPr>
        <w:t>A4</w:t>
      </w:r>
      <w:r>
        <w:rPr>
          <w:lang w:eastAsia="zh-CN"/>
        </w:rPr>
        <w:t>给出推荐文件结构。</w:t>
      </w:r>
    </w:p>
    <w:p w14:paraId="1F7BEDF6" w14:textId="77777777" w:rsidR="002D0A3C" w:rsidRDefault="003B6787">
      <w:pPr>
        <w:pStyle w:val="a0"/>
        <w:keepNext/>
        <w:spacing w:before="100" w:after="60"/>
        <w:ind w:firstLine="0"/>
        <w:jc w:val="center"/>
        <w:rPr>
          <w:lang w:eastAsia="zh-CN"/>
        </w:rPr>
      </w:pPr>
      <w:r>
        <w:rPr>
          <w:b/>
          <w:bCs/>
          <w:sz w:val="22"/>
          <w:lang w:eastAsia="zh-CN"/>
        </w:rPr>
        <w:t>表</w:t>
      </w:r>
      <w:r>
        <w:rPr>
          <w:b/>
          <w:bCs/>
          <w:sz w:val="22"/>
          <w:lang w:eastAsia="zh-CN"/>
        </w:rPr>
        <w:t>A4</w:t>
      </w:r>
      <w:r>
        <w:rPr>
          <w:b/>
          <w:bCs/>
          <w:sz w:val="22"/>
          <w:lang w:eastAsia="zh-CN"/>
        </w:rPr>
        <w:t xml:space="preserve">　最终研究数据库的层级</w:t>
      </w:r>
    </w:p>
    <w:tbl>
      <w:tblPr>
        <w:tblStyle w:val="Table"/>
        <w:tblW w:w="5000" w:type="pct"/>
        <w:jc w:val="center"/>
        <w:tblLook w:val="0020" w:firstRow="1" w:lastRow="0" w:firstColumn="0" w:lastColumn="0" w:noHBand="0" w:noVBand="0"/>
      </w:tblPr>
      <w:tblGrid>
        <w:gridCol w:w="3058"/>
        <w:gridCol w:w="3058"/>
        <w:gridCol w:w="3058"/>
      </w:tblGrid>
      <w:tr w:rsidR="00C76E2E" w14:paraId="6E6E85A1" w14:textId="77777777" w:rsidTr="00C76E2E">
        <w:trPr>
          <w:cnfStyle w:val="100000000000" w:firstRow="1" w:lastRow="0" w:firstColumn="0" w:lastColumn="0" w:oddVBand="0" w:evenVBand="0" w:oddHBand="0" w:evenHBand="0" w:firstRowFirstColumn="0" w:firstRowLastColumn="0" w:lastRowFirstColumn="0" w:lastRowLastColumn="0"/>
          <w:jc w:val="center"/>
        </w:trPr>
        <w:tc>
          <w:tcPr>
            <w:tcW w:w="2986" w:type="dxa"/>
            <w:vAlign w:val="center"/>
          </w:tcPr>
          <w:p w14:paraId="7064CAA9" w14:textId="77777777" w:rsidR="00C76E2E" w:rsidRDefault="00791C5A">
            <w:pPr>
              <w:jc w:val="center"/>
            </w:pPr>
            <w:r>
              <w:rPr>
                <w:b/>
                <w:sz w:val="18"/>
              </w:rPr>
              <w:t>数据文件</w:t>
            </w:r>
          </w:p>
        </w:tc>
        <w:tc>
          <w:tcPr>
            <w:tcW w:w="2986" w:type="dxa"/>
            <w:vAlign w:val="center"/>
          </w:tcPr>
          <w:p w14:paraId="65BF9C7E" w14:textId="77777777" w:rsidR="00C76E2E" w:rsidRDefault="00791C5A">
            <w:pPr>
              <w:jc w:val="center"/>
            </w:pPr>
            <w:r>
              <w:rPr>
                <w:b/>
                <w:sz w:val="18"/>
              </w:rPr>
              <w:t>观测单位</w:t>
            </w:r>
          </w:p>
        </w:tc>
        <w:tc>
          <w:tcPr>
            <w:tcW w:w="2986" w:type="dxa"/>
            <w:vAlign w:val="center"/>
          </w:tcPr>
          <w:p w14:paraId="02E38B95" w14:textId="77777777" w:rsidR="00C76E2E" w:rsidRDefault="00791C5A">
            <w:pPr>
              <w:jc w:val="center"/>
            </w:pPr>
            <w:r>
              <w:rPr>
                <w:b/>
                <w:sz w:val="18"/>
              </w:rPr>
              <w:t>核心内容</w:t>
            </w:r>
          </w:p>
        </w:tc>
      </w:tr>
      <w:tr w:rsidR="00C76E2E" w14:paraId="51DE9D07" w14:textId="77777777" w:rsidTr="00C76E2E">
        <w:trPr>
          <w:jc w:val="center"/>
        </w:trPr>
        <w:tc>
          <w:tcPr>
            <w:tcW w:w="2986" w:type="dxa"/>
            <w:vAlign w:val="center"/>
          </w:tcPr>
          <w:p w14:paraId="21095BAB" w14:textId="77777777" w:rsidR="00C76E2E" w:rsidRDefault="00791C5A">
            <w:r>
              <w:rPr>
                <w:sz w:val="18"/>
              </w:rPr>
              <w:t>policy_atoms_master.jsonl</w:t>
            </w:r>
          </w:p>
        </w:tc>
        <w:tc>
          <w:tcPr>
            <w:tcW w:w="2986" w:type="dxa"/>
            <w:vAlign w:val="center"/>
          </w:tcPr>
          <w:p w14:paraId="7F0E61FE" w14:textId="77777777" w:rsidR="00C76E2E" w:rsidRDefault="00791C5A">
            <w:r>
              <w:rPr>
                <w:sz w:val="18"/>
              </w:rPr>
              <w:t>政策原子</w:t>
            </w:r>
            <w:r>
              <w:rPr>
                <w:sz w:val="18"/>
              </w:rPr>
              <w:t>×</w:t>
            </w:r>
            <w:r>
              <w:rPr>
                <w:sz w:val="18"/>
              </w:rPr>
              <w:t>版本</w:t>
            </w:r>
          </w:p>
        </w:tc>
        <w:tc>
          <w:tcPr>
            <w:tcW w:w="2986" w:type="dxa"/>
            <w:vAlign w:val="center"/>
          </w:tcPr>
          <w:p w14:paraId="65D25A49" w14:textId="77777777" w:rsidR="00C76E2E" w:rsidRDefault="00791C5A">
            <w:pPr>
              <w:rPr>
                <w:lang w:eastAsia="zh-CN"/>
              </w:rPr>
            </w:pPr>
            <w:r>
              <w:rPr>
                <w:sz w:val="18"/>
                <w:lang w:eastAsia="zh-CN"/>
              </w:rPr>
              <w:t>A1</w:t>
            </w:r>
            <w:r>
              <w:rPr>
                <w:sz w:val="18"/>
                <w:lang w:eastAsia="zh-CN"/>
              </w:rPr>
              <w:t>文本字段</w:t>
            </w:r>
            <w:r>
              <w:rPr>
                <w:sz w:val="18"/>
                <w:lang w:eastAsia="zh-CN"/>
              </w:rPr>
              <w:t xml:space="preserve"> + </w:t>
            </w:r>
            <w:r>
              <w:rPr>
                <w:sz w:val="18"/>
                <w:lang w:eastAsia="zh-CN"/>
              </w:rPr>
              <w:t>表</w:t>
            </w:r>
            <w:r>
              <w:rPr>
                <w:sz w:val="18"/>
                <w:lang w:eastAsia="zh-CN"/>
              </w:rPr>
              <w:t>A2</w:t>
            </w:r>
            <w:r>
              <w:rPr>
                <w:sz w:val="18"/>
                <w:lang w:eastAsia="zh-CN"/>
              </w:rPr>
              <w:t>压缩字段；权威主数据，一行一个</w:t>
            </w:r>
            <w:r>
              <w:rPr>
                <w:sz w:val="18"/>
                <w:lang w:eastAsia="zh-CN"/>
              </w:rPr>
              <w:t>JSON</w:t>
            </w:r>
            <w:r>
              <w:rPr>
                <w:sz w:val="18"/>
                <w:lang w:eastAsia="zh-CN"/>
              </w:rPr>
              <w:t>对象</w:t>
            </w:r>
          </w:p>
        </w:tc>
      </w:tr>
      <w:tr w:rsidR="00C76E2E" w14:paraId="1E6FA6B1" w14:textId="77777777" w:rsidTr="00C76E2E">
        <w:trPr>
          <w:jc w:val="center"/>
        </w:trPr>
        <w:tc>
          <w:tcPr>
            <w:tcW w:w="2986" w:type="dxa"/>
            <w:vAlign w:val="center"/>
          </w:tcPr>
          <w:p w14:paraId="643AEEB5" w14:textId="77777777" w:rsidR="00C76E2E" w:rsidRDefault="00791C5A">
            <w:r>
              <w:rPr>
                <w:sz w:val="18"/>
              </w:rPr>
              <w:t>policy_atoms_wide.csv</w:t>
            </w:r>
          </w:p>
        </w:tc>
        <w:tc>
          <w:tcPr>
            <w:tcW w:w="2986" w:type="dxa"/>
            <w:vAlign w:val="center"/>
          </w:tcPr>
          <w:p w14:paraId="43E47570" w14:textId="77777777" w:rsidR="00C76E2E" w:rsidRDefault="00791C5A">
            <w:r>
              <w:rPr>
                <w:sz w:val="18"/>
              </w:rPr>
              <w:t>政策原子</w:t>
            </w:r>
            <w:r>
              <w:rPr>
                <w:sz w:val="18"/>
              </w:rPr>
              <w:t>×</w:t>
            </w:r>
            <w:r>
              <w:rPr>
                <w:sz w:val="18"/>
              </w:rPr>
              <w:t>版本</w:t>
            </w:r>
          </w:p>
        </w:tc>
        <w:tc>
          <w:tcPr>
            <w:tcW w:w="2986" w:type="dxa"/>
            <w:vAlign w:val="center"/>
          </w:tcPr>
          <w:p w14:paraId="2E7A21CE" w14:textId="77777777" w:rsidR="00C76E2E" w:rsidRDefault="00791C5A">
            <w:r>
              <w:rPr>
                <w:sz w:val="18"/>
              </w:rPr>
              <w:t>由</w:t>
            </w:r>
            <w:r>
              <w:rPr>
                <w:sz w:val="18"/>
              </w:rPr>
              <w:t>master JSONL</w:t>
            </w:r>
            <w:r>
              <w:rPr>
                <w:sz w:val="18"/>
              </w:rPr>
              <w:t>自动展开的宽表，用于</w:t>
            </w:r>
            <w:r>
              <w:rPr>
                <w:sz w:val="18"/>
              </w:rPr>
              <w:t>Stata/Python/R</w:t>
            </w:r>
            <w:r>
              <w:rPr>
                <w:sz w:val="18"/>
              </w:rPr>
              <w:t>分析</w:t>
            </w:r>
          </w:p>
        </w:tc>
      </w:tr>
      <w:tr w:rsidR="00C76E2E" w14:paraId="0217FA24" w14:textId="77777777" w:rsidTr="00C76E2E">
        <w:trPr>
          <w:jc w:val="center"/>
        </w:trPr>
        <w:tc>
          <w:tcPr>
            <w:tcW w:w="2986" w:type="dxa"/>
            <w:vAlign w:val="center"/>
          </w:tcPr>
          <w:p w14:paraId="3C5A9963" w14:textId="77777777" w:rsidR="00C76E2E" w:rsidRDefault="00791C5A">
            <w:r>
              <w:rPr>
                <w:sz w:val="18"/>
              </w:rPr>
              <w:t>llm_audit.jsonl</w:t>
            </w:r>
          </w:p>
        </w:tc>
        <w:tc>
          <w:tcPr>
            <w:tcW w:w="2986" w:type="dxa"/>
            <w:vAlign w:val="center"/>
          </w:tcPr>
          <w:p w14:paraId="7ABB3092" w14:textId="77777777" w:rsidR="00C76E2E" w:rsidRDefault="00791C5A">
            <w:r>
              <w:rPr>
                <w:sz w:val="18"/>
              </w:rPr>
              <w:t>政策原子</w:t>
            </w:r>
            <w:r>
              <w:rPr>
                <w:sz w:val="18"/>
              </w:rPr>
              <w:t>×</w:t>
            </w:r>
            <w:r>
              <w:rPr>
                <w:sz w:val="18"/>
              </w:rPr>
              <w:t>模型运行</w:t>
            </w:r>
          </w:p>
        </w:tc>
        <w:tc>
          <w:tcPr>
            <w:tcW w:w="2986" w:type="dxa"/>
            <w:vAlign w:val="center"/>
          </w:tcPr>
          <w:p w14:paraId="7A43476C" w14:textId="77777777" w:rsidR="00C76E2E" w:rsidRDefault="00791C5A">
            <w:r>
              <w:rPr>
                <w:sz w:val="18"/>
              </w:rPr>
              <w:t>原始模型输出、</w:t>
            </w:r>
            <w:r>
              <w:rPr>
                <w:sz w:val="18"/>
              </w:rPr>
              <w:t>evidence_span</w:t>
            </w:r>
            <w:r>
              <w:rPr>
                <w:sz w:val="18"/>
              </w:rPr>
              <w:t>、置信度、表</w:t>
            </w:r>
            <w:r>
              <w:rPr>
                <w:sz w:val="18"/>
              </w:rPr>
              <w:t>A2a</w:t>
            </w:r>
            <w:r>
              <w:rPr>
                <w:sz w:val="18"/>
              </w:rPr>
              <w:t>未压缩字段和人工修改日志</w:t>
            </w:r>
          </w:p>
        </w:tc>
      </w:tr>
      <w:tr w:rsidR="00C76E2E" w14:paraId="6DE91F1A" w14:textId="77777777" w:rsidTr="00C76E2E">
        <w:trPr>
          <w:jc w:val="center"/>
        </w:trPr>
        <w:tc>
          <w:tcPr>
            <w:tcW w:w="2986" w:type="dxa"/>
            <w:vAlign w:val="center"/>
          </w:tcPr>
          <w:p w14:paraId="6CE3ECF3" w14:textId="77777777" w:rsidR="00C76E2E" w:rsidRDefault="00791C5A">
            <w:r>
              <w:rPr>
                <w:sz w:val="18"/>
              </w:rPr>
              <w:t>industry_crosswalk.csv</w:t>
            </w:r>
          </w:p>
        </w:tc>
        <w:tc>
          <w:tcPr>
            <w:tcW w:w="2986" w:type="dxa"/>
            <w:vAlign w:val="center"/>
          </w:tcPr>
          <w:p w14:paraId="7F06171E" w14:textId="77777777" w:rsidR="00C76E2E" w:rsidRDefault="00791C5A">
            <w:r>
              <w:rPr>
                <w:sz w:val="18"/>
              </w:rPr>
              <w:t>政策原子</w:t>
            </w:r>
            <w:r>
              <w:rPr>
                <w:sz w:val="18"/>
              </w:rPr>
              <w:t>×GB4×ISIC4</w:t>
            </w:r>
          </w:p>
        </w:tc>
        <w:tc>
          <w:tcPr>
            <w:tcW w:w="2986" w:type="dxa"/>
            <w:vAlign w:val="center"/>
          </w:tcPr>
          <w:p w14:paraId="27B1DFF2" w14:textId="77777777" w:rsidR="00C76E2E" w:rsidRDefault="00791C5A">
            <w:r>
              <w:rPr>
                <w:sz w:val="18"/>
              </w:rPr>
              <w:t>GB</w:t>
            </w:r>
            <w:r>
              <w:rPr>
                <w:sz w:val="18"/>
              </w:rPr>
              <w:t>四位与</w:t>
            </w:r>
            <w:r>
              <w:rPr>
                <w:sz w:val="18"/>
              </w:rPr>
              <w:t>ISIC</w:t>
            </w:r>
            <w:r>
              <w:rPr>
                <w:sz w:val="18"/>
              </w:rPr>
              <w:t>四位代码、</w:t>
            </w:r>
            <w:r>
              <w:rPr>
                <w:sz w:val="18"/>
              </w:rPr>
              <w:t>ISIC</w:t>
            </w:r>
            <w:r>
              <w:rPr>
                <w:sz w:val="18"/>
              </w:rPr>
              <w:t>两位类、</w:t>
            </w:r>
            <w:r>
              <w:rPr>
                <w:sz w:val="18"/>
              </w:rPr>
              <w:t>OECD-AMNE</w:t>
            </w:r>
            <w:r>
              <w:rPr>
                <w:sz w:val="18"/>
              </w:rPr>
              <w:t>行业、</w:t>
            </w:r>
            <w:r>
              <w:rPr>
                <w:sz w:val="18"/>
              </w:rPr>
              <w:t>match_type</w:t>
            </w:r>
            <w:r>
              <w:rPr>
                <w:sz w:val="18"/>
              </w:rPr>
              <w:t>、</w:t>
            </w:r>
            <w:r>
              <w:rPr>
                <w:sz w:val="18"/>
              </w:rPr>
              <w:t>coverage_type</w:t>
            </w:r>
            <w:r>
              <w:rPr>
                <w:sz w:val="18"/>
              </w:rPr>
              <w:t>、证据与人工裁决</w:t>
            </w:r>
          </w:p>
        </w:tc>
      </w:tr>
      <w:tr w:rsidR="00C76E2E" w14:paraId="26A3314C" w14:textId="77777777" w:rsidTr="00C76E2E">
        <w:trPr>
          <w:jc w:val="center"/>
        </w:trPr>
        <w:tc>
          <w:tcPr>
            <w:tcW w:w="2986" w:type="dxa"/>
            <w:vAlign w:val="center"/>
          </w:tcPr>
          <w:p w14:paraId="235B20A2" w14:textId="77777777" w:rsidR="00C76E2E" w:rsidRDefault="00791C5A">
            <w:r>
              <w:rPr>
                <w:sz w:val="18"/>
              </w:rPr>
              <w:lastRenderedPageBreak/>
              <w:t>industry_weights.csv</w:t>
            </w:r>
          </w:p>
        </w:tc>
        <w:tc>
          <w:tcPr>
            <w:tcW w:w="2986" w:type="dxa"/>
            <w:vAlign w:val="center"/>
          </w:tcPr>
          <w:p w14:paraId="79FFA7D0" w14:textId="77777777" w:rsidR="00C76E2E" w:rsidRDefault="00791C5A">
            <w:r>
              <w:rPr>
                <w:sz w:val="18"/>
              </w:rPr>
              <w:t>ISIC4×</w:t>
            </w:r>
            <w:r>
              <w:rPr>
                <w:sz w:val="18"/>
              </w:rPr>
              <w:t>基期</w:t>
            </w:r>
          </w:p>
        </w:tc>
        <w:tc>
          <w:tcPr>
            <w:tcW w:w="2986" w:type="dxa"/>
            <w:vAlign w:val="center"/>
          </w:tcPr>
          <w:p w14:paraId="5FD5C2E8" w14:textId="77777777" w:rsidR="00C76E2E" w:rsidRDefault="00791C5A">
            <w:r>
              <w:rPr>
                <w:sz w:val="18"/>
              </w:rPr>
              <w:t>基期产值</w:t>
            </w:r>
            <w:r>
              <w:rPr>
                <w:sz w:val="18"/>
              </w:rPr>
              <w:t>/</w:t>
            </w:r>
            <w:r>
              <w:rPr>
                <w:sz w:val="18"/>
              </w:rPr>
              <w:t>增加值、外资产值或就业及其</w:t>
            </w:r>
            <w:r>
              <w:rPr>
                <w:sz w:val="18"/>
              </w:rPr>
              <w:t>ISIC4→ISIC2</w:t>
            </w:r>
            <w:r>
              <w:rPr>
                <w:sz w:val="18"/>
              </w:rPr>
              <w:t>、</w:t>
            </w:r>
            <w:r>
              <w:rPr>
                <w:sz w:val="18"/>
              </w:rPr>
              <w:t>ISIC2→OECD-AMNE</w:t>
            </w:r>
            <w:r>
              <w:rPr>
                <w:sz w:val="18"/>
              </w:rPr>
              <w:t>固定权重</w:t>
            </w:r>
          </w:p>
        </w:tc>
      </w:tr>
      <w:tr w:rsidR="00C76E2E" w14:paraId="78AA24FC" w14:textId="77777777" w:rsidTr="00C76E2E">
        <w:trPr>
          <w:jc w:val="center"/>
        </w:trPr>
        <w:tc>
          <w:tcPr>
            <w:tcW w:w="2986" w:type="dxa"/>
            <w:vAlign w:val="center"/>
          </w:tcPr>
          <w:p w14:paraId="5DA7037B" w14:textId="77777777" w:rsidR="00C76E2E" w:rsidRDefault="00791C5A">
            <w:r>
              <w:rPr>
                <w:sz w:val="18"/>
              </w:rPr>
              <w:t>isic4_policy.csv</w:t>
            </w:r>
          </w:p>
        </w:tc>
        <w:tc>
          <w:tcPr>
            <w:tcW w:w="2986" w:type="dxa"/>
            <w:vAlign w:val="center"/>
          </w:tcPr>
          <w:p w14:paraId="6B3D5B79" w14:textId="77777777" w:rsidR="00C76E2E" w:rsidRDefault="00791C5A">
            <w:r>
              <w:rPr>
                <w:sz w:val="18"/>
              </w:rPr>
              <w:t>ISIC4×</w:t>
            </w:r>
            <w:r>
              <w:rPr>
                <w:sz w:val="18"/>
              </w:rPr>
              <w:t>年份</w:t>
            </w:r>
          </w:p>
        </w:tc>
        <w:tc>
          <w:tcPr>
            <w:tcW w:w="2986" w:type="dxa"/>
            <w:vAlign w:val="center"/>
          </w:tcPr>
          <w:p w14:paraId="2BEB3056" w14:textId="77777777" w:rsidR="00C76E2E" w:rsidRDefault="00791C5A">
            <w:r>
              <w:rPr>
                <w:sz w:val="18"/>
              </w:rPr>
              <w:t>映射后的各类细行业准入限制、禁止指标、</w:t>
            </w:r>
            <w:r>
              <w:rPr>
                <w:sz w:val="18"/>
              </w:rPr>
              <w:t>coverage_type</w:t>
            </w:r>
            <w:r>
              <w:rPr>
                <w:sz w:val="18"/>
              </w:rPr>
              <w:t>与有效覆盖状态</w:t>
            </w:r>
          </w:p>
        </w:tc>
      </w:tr>
      <w:tr w:rsidR="00C76E2E" w14:paraId="513887C5" w14:textId="77777777" w:rsidTr="00C76E2E">
        <w:trPr>
          <w:jc w:val="center"/>
        </w:trPr>
        <w:tc>
          <w:tcPr>
            <w:tcW w:w="2986" w:type="dxa"/>
            <w:vAlign w:val="center"/>
          </w:tcPr>
          <w:p w14:paraId="3259DE45" w14:textId="77777777" w:rsidR="00C76E2E" w:rsidRDefault="00791C5A">
            <w:r>
              <w:rPr>
                <w:sz w:val="18"/>
              </w:rPr>
              <w:t>isic2_policy.csv</w:t>
            </w:r>
          </w:p>
        </w:tc>
        <w:tc>
          <w:tcPr>
            <w:tcW w:w="2986" w:type="dxa"/>
            <w:vAlign w:val="center"/>
          </w:tcPr>
          <w:p w14:paraId="3CB0C752" w14:textId="77777777" w:rsidR="00C76E2E" w:rsidRDefault="00791C5A">
            <w:r>
              <w:rPr>
                <w:sz w:val="18"/>
              </w:rPr>
              <w:t>ISIC2×</w:t>
            </w:r>
            <w:r>
              <w:rPr>
                <w:sz w:val="18"/>
              </w:rPr>
              <w:t>年份</w:t>
            </w:r>
          </w:p>
        </w:tc>
        <w:tc>
          <w:tcPr>
            <w:tcW w:w="2986" w:type="dxa"/>
            <w:vAlign w:val="center"/>
          </w:tcPr>
          <w:p w14:paraId="64DB6EDA" w14:textId="77777777" w:rsidR="00C76E2E" w:rsidRDefault="00791C5A">
            <w:pPr>
              <w:rPr>
                <w:lang w:eastAsia="zh-CN"/>
              </w:rPr>
            </w:pPr>
            <w:r>
              <w:rPr>
                <w:sz w:val="18"/>
                <w:lang w:eastAsia="zh-CN"/>
              </w:rPr>
              <w:t>由完整</w:t>
            </w:r>
            <w:r>
              <w:rPr>
                <w:sz w:val="18"/>
                <w:lang w:eastAsia="zh-CN"/>
              </w:rPr>
              <w:t>ISIC</w:t>
            </w:r>
            <w:r>
              <w:rPr>
                <w:sz w:val="18"/>
                <w:lang w:eastAsia="zh-CN"/>
              </w:rPr>
              <w:t>四位行业集合按固定基期权重聚合得到的中间层政策暴露</w:t>
            </w:r>
          </w:p>
        </w:tc>
      </w:tr>
      <w:tr w:rsidR="00C76E2E" w14:paraId="4D607046" w14:textId="77777777" w:rsidTr="00C76E2E">
        <w:trPr>
          <w:jc w:val="center"/>
        </w:trPr>
        <w:tc>
          <w:tcPr>
            <w:tcW w:w="2986" w:type="dxa"/>
            <w:vAlign w:val="center"/>
          </w:tcPr>
          <w:p w14:paraId="00BD83F6" w14:textId="77777777" w:rsidR="00C76E2E" w:rsidRDefault="00791C5A">
            <w:r>
              <w:rPr>
                <w:sz w:val="18"/>
              </w:rPr>
              <w:t>sector_policy.csv</w:t>
            </w:r>
          </w:p>
        </w:tc>
        <w:tc>
          <w:tcPr>
            <w:tcW w:w="2986" w:type="dxa"/>
            <w:vAlign w:val="center"/>
          </w:tcPr>
          <w:p w14:paraId="017C1D5B" w14:textId="77777777" w:rsidR="00C76E2E" w:rsidRDefault="00791C5A">
            <w:r>
              <w:rPr>
                <w:sz w:val="18"/>
              </w:rPr>
              <w:t>OECD-AMNE</w:t>
            </w:r>
            <w:r>
              <w:rPr>
                <w:sz w:val="18"/>
              </w:rPr>
              <w:t>行业</w:t>
            </w:r>
            <w:r>
              <w:rPr>
                <w:sz w:val="18"/>
              </w:rPr>
              <w:t>×</w:t>
            </w:r>
            <w:r>
              <w:rPr>
                <w:sz w:val="18"/>
              </w:rPr>
              <w:t>年份</w:t>
            </w:r>
          </w:p>
        </w:tc>
        <w:tc>
          <w:tcPr>
            <w:tcW w:w="2986" w:type="dxa"/>
            <w:vAlign w:val="center"/>
          </w:tcPr>
          <w:p w14:paraId="117EED40" w14:textId="77777777" w:rsidR="00C76E2E" w:rsidRDefault="00791C5A">
            <w:pPr>
              <w:rPr>
                <w:lang w:eastAsia="zh-CN"/>
              </w:rPr>
            </w:pPr>
            <w:r>
              <w:rPr>
                <w:sz w:val="18"/>
                <w:lang w:eastAsia="zh-CN"/>
              </w:rPr>
              <w:t>最终各类政策暴露、禁止份额、有效覆盖率及所用固定权重口径</w:t>
            </w:r>
          </w:p>
        </w:tc>
      </w:tr>
      <w:tr w:rsidR="00C76E2E" w14:paraId="714180A0" w14:textId="77777777" w:rsidTr="00C76E2E">
        <w:trPr>
          <w:jc w:val="center"/>
        </w:trPr>
        <w:tc>
          <w:tcPr>
            <w:tcW w:w="2986" w:type="dxa"/>
            <w:vAlign w:val="center"/>
          </w:tcPr>
          <w:p w14:paraId="07C00B95" w14:textId="77777777" w:rsidR="00C76E2E" w:rsidRDefault="00791C5A">
            <w:r>
              <w:rPr>
                <w:sz w:val="18"/>
              </w:rPr>
              <w:t>mp_cost.csv / parquet</w:t>
            </w:r>
          </w:p>
        </w:tc>
        <w:tc>
          <w:tcPr>
            <w:tcW w:w="2986" w:type="dxa"/>
            <w:vAlign w:val="center"/>
          </w:tcPr>
          <w:p w14:paraId="6D88FC56" w14:textId="77777777" w:rsidR="00C76E2E" w:rsidRDefault="00791C5A">
            <w:pPr>
              <w:rPr>
                <w:lang w:eastAsia="zh-CN"/>
              </w:rPr>
            </w:pPr>
            <w:r>
              <w:rPr>
                <w:sz w:val="18"/>
                <w:lang w:eastAsia="zh-CN"/>
              </w:rPr>
              <w:t>母国</w:t>
            </w:r>
            <w:r>
              <w:rPr>
                <w:sz w:val="18"/>
                <w:lang w:eastAsia="zh-CN"/>
              </w:rPr>
              <w:t>×</w:t>
            </w:r>
            <w:r>
              <w:rPr>
                <w:sz w:val="18"/>
                <w:lang w:eastAsia="zh-CN"/>
              </w:rPr>
              <w:t>中国</w:t>
            </w:r>
            <w:r>
              <w:rPr>
                <w:sz w:val="18"/>
                <w:lang w:eastAsia="zh-CN"/>
              </w:rPr>
              <w:t>×</w:t>
            </w:r>
            <w:r>
              <w:rPr>
                <w:sz w:val="18"/>
                <w:lang w:eastAsia="zh-CN"/>
              </w:rPr>
              <w:t>部门</w:t>
            </w:r>
            <w:r>
              <w:rPr>
                <w:sz w:val="18"/>
                <w:lang w:eastAsia="zh-CN"/>
              </w:rPr>
              <w:t>×</w:t>
            </w:r>
            <w:r>
              <w:rPr>
                <w:sz w:val="18"/>
                <w:lang w:eastAsia="zh-CN"/>
              </w:rPr>
              <w:t>年份</w:t>
            </w:r>
          </w:p>
        </w:tc>
        <w:tc>
          <w:tcPr>
            <w:tcW w:w="2986" w:type="dxa"/>
            <w:vAlign w:val="center"/>
          </w:tcPr>
          <w:p w14:paraId="3B456BB3" w14:textId="77777777" w:rsidR="00C76E2E" w:rsidRDefault="00791C5A">
            <w:pPr>
              <w:rPr>
                <w:lang w:eastAsia="zh-CN"/>
              </w:rPr>
            </w:pPr>
            <w:r>
              <w:rPr>
                <w:sz w:val="18"/>
                <w:lang w:eastAsia="zh-CN"/>
              </w:rPr>
              <w:t>经验总</w:t>
            </w:r>
            <w:r>
              <w:rPr>
                <w:sz w:val="18"/>
                <w:lang w:eastAsia="zh-CN"/>
              </w:rPr>
              <w:t>MP</w:t>
            </w:r>
            <w:r>
              <w:rPr>
                <w:sz w:val="18"/>
                <w:lang w:eastAsia="zh-CN"/>
              </w:rPr>
              <w:t>成本与制度型</w:t>
            </w:r>
            <w:r>
              <w:rPr>
                <w:sz w:val="18"/>
                <w:lang w:eastAsia="zh-CN"/>
              </w:rPr>
              <w:t>MP</w:t>
            </w:r>
            <w:r>
              <w:rPr>
                <w:sz w:val="18"/>
                <w:lang w:eastAsia="zh-CN"/>
              </w:rPr>
              <w:t>成本</w:t>
            </w:r>
          </w:p>
        </w:tc>
      </w:tr>
      <w:tr w:rsidR="00C76E2E" w14:paraId="4EA27F76" w14:textId="77777777" w:rsidTr="00C76E2E">
        <w:trPr>
          <w:jc w:val="center"/>
        </w:trPr>
        <w:tc>
          <w:tcPr>
            <w:tcW w:w="2986" w:type="dxa"/>
            <w:vAlign w:val="center"/>
          </w:tcPr>
          <w:p w14:paraId="78F068B7" w14:textId="77777777" w:rsidR="00C76E2E" w:rsidRDefault="00791C5A">
            <w:r>
              <w:rPr>
                <w:sz w:val="18"/>
              </w:rPr>
              <w:t>policy_cost_est.csv</w:t>
            </w:r>
          </w:p>
        </w:tc>
        <w:tc>
          <w:tcPr>
            <w:tcW w:w="2986" w:type="dxa"/>
            <w:vAlign w:val="center"/>
          </w:tcPr>
          <w:p w14:paraId="39EE3894" w14:textId="77777777" w:rsidR="00C76E2E" w:rsidRDefault="00791C5A">
            <w:r>
              <w:rPr>
                <w:sz w:val="18"/>
              </w:rPr>
              <w:t>规格</w:t>
            </w:r>
            <w:r>
              <w:rPr>
                <w:sz w:val="18"/>
              </w:rPr>
              <w:t>×</w:t>
            </w:r>
            <w:r>
              <w:rPr>
                <w:sz w:val="18"/>
              </w:rPr>
              <w:t>限制类型</w:t>
            </w:r>
          </w:p>
        </w:tc>
        <w:tc>
          <w:tcPr>
            <w:tcW w:w="2986" w:type="dxa"/>
            <w:vAlign w:val="center"/>
          </w:tcPr>
          <w:p w14:paraId="02FD689A" w14:textId="77777777" w:rsidR="00C76E2E" w:rsidRDefault="00791C5A">
            <w:pPr>
              <w:rPr>
                <w:lang w:eastAsia="zh-CN"/>
              </w:rPr>
            </w:pPr>
            <w:r>
              <w:rPr>
                <w:sz w:val="18"/>
                <w:lang w:eastAsia="zh-CN"/>
              </w:rPr>
              <w:t>系数、标准误、样本与固定效应</w:t>
            </w:r>
          </w:p>
        </w:tc>
      </w:tr>
      <w:tr w:rsidR="00C76E2E" w14:paraId="38DDA4DC" w14:textId="77777777" w:rsidTr="00C76E2E">
        <w:trPr>
          <w:jc w:val="center"/>
        </w:trPr>
        <w:tc>
          <w:tcPr>
            <w:tcW w:w="2986" w:type="dxa"/>
            <w:vAlign w:val="center"/>
          </w:tcPr>
          <w:p w14:paraId="4B00AF74" w14:textId="77777777" w:rsidR="00C76E2E" w:rsidRDefault="00791C5A">
            <w:r>
              <w:rPr>
                <w:sz w:val="18"/>
              </w:rPr>
              <w:t>ge_shock.csv</w:t>
            </w:r>
          </w:p>
        </w:tc>
        <w:tc>
          <w:tcPr>
            <w:tcW w:w="2986" w:type="dxa"/>
            <w:vAlign w:val="center"/>
          </w:tcPr>
          <w:p w14:paraId="7457E0F6" w14:textId="77777777" w:rsidR="00C76E2E" w:rsidRDefault="00791C5A">
            <w:r>
              <w:rPr>
                <w:sz w:val="18"/>
              </w:rPr>
              <w:t>母国</w:t>
            </w:r>
            <w:r>
              <w:rPr>
                <w:sz w:val="18"/>
              </w:rPr>
              <w:t>×</w:t>
            </w:r>
            <w:r>
              <w:rPr>
                <w:sz w:val="18"/>
              </w:rPr>
              <w:t>生产国</w:t>
            </w:r>
            <w:r>
              <w:rPr>
                <w:sz w:val="18"/>
              </w:rPr>
              <w:t>×</w:t>
            </w:r>
            <w:r>
              <w:rPr>
                <w:sz w:val="18"/>
              </w:rPr>
              <w:t>部门</w:t>
            </w:r>
          </w:p>
        </w:tc>
        <w:tc>
          <w:tcPr>
            <w:tcW w:w="2986" w:type="dxa"/>
            <w:vAlign w:val="center"/>
          </w:tcPr>
          <w:p w14:paraId="6A5E25D1" w14:textId="77777777" w:rsidR="00C76E2E" w:rsidRDefault="00791C5A">
            <w:pPr>
              <w:rPr>
                <w:lang w:eastAsia="zh-CN"/>
              </w:rPr>
            </w:pPr>
            <w:r>
              <w:rPr>
                <w:sz w:val="18"/>
                <w:lang w:eastAsia="zh-CN"/>
              </w:rPr>
              <w:t>结构成本</w:t>
            </w:r>
            <w:r>
              <w:rPr>
                <w:sz w:val="18"/>
                <w:lang w:eastAsia="zh-CN"/>
              </w:rPr>
              <w:t>/</w:t>
            </w:r>
            <w:r>
              <w:rPr>
                <w:sz w:val="18"/>
                <w:lang w:eastAsia="zh-CN"/>
              </w:rPr>
              <w:t>效率冲击及情景编号</w:t>
            </w:r>
          </w:p>
        </w:tc>
      </w:tr>
      <w:tr w:rsidR="00C76E2E" w14:paraId="5DAF0290" w14:textId="77777777" w:rsidTr="00C76E2E">
        <w:trPr>
          <w:jc w:val="center"/>
        </w:trPr>
        <w:tc>
          <w:tcPr>
            <w:tcW w:w="2986" w:type="dxa"/>
            <w:vAlign w:val="center"/>
          </w:tcPr>
          <w:p w14:paraId="2A0A4EE9" w14:textId="77777777" w:rsidR="00C76E2E" w:rsidRDefault="00791C5A">
            <w:r>
              <w:rPr>
                <w:sz w:val="18"/>
              </w:rPr>
              <w:t>ge_results.csv</w:t>
            </w:r>
          </w:p>
        </w:tc>
        <w:tc>
          <w:tcPr>
            <w:tcW w:w="2986" w:type="dxa"/>
            <w:vAlign w:val="center"/>
          </w:tcPr>
          <w:p w14:paraId="688202F4" w14:textId="77777777" w:rsidR="00C76E2E" w:rsidRDefault="00791C5A">
            <w:pPr>
              <w:rPr>
                <w:lang w:eastAsia="zh-CN"/>
              </w:rPr>
            </w:pPr>
            <w:r>
              <w:rPr>
                <w:sz w:val="18"/>
                <w:lang w:eastAsia="zh-CN"/>
              </w:rPr>
              <w:t>国家或三边流</w:t>
            </w:r>
            <w:r>
              <w:rPr>
                <w:sz w:val="18"/>
                <w:lang w:eastAsia="zh-CN"/>
              </w:rPr>
              <w:t>×</w:t>
            </w:r>
            <w:r>
              <w:rPr>
                <w:sz w:val="18"/>
                <w:lang w:eastAsia="zh-CN"/>
              </w:rPr>
              <w:t>部门</w:t>
            </w:r>
            <w:r>
              <w:rPr>
                <w:sz w:val="18"/>
                <w:lang w:eastAsia="zh-CN"/>
              </w:rPr>
              <w:t>×</w:t>
            </w:r>
            <w:r>
              <w:rPr>
                <w:sz w:val="18"/>
                <w:lang w:eastAsia="zh-CN"/>
              </w:rPr>
              <w:t>情景</w:t>
            </w:r>
          </w:p>
        </w:tc>
        <w:tc>
          <w:tcPr>
            <w:tcW w:w="2986" w:type="dxa"/>
            <w:vAlign w:val="center"/>
          </w:tcPr>
          <w:p w14:paraId="5EB84153" w14:textId="77777777" w:rsidR="00C76E2E" w:rsidRDefault="00791C5A">
            <w:pPr>
              <w:rPr>
                <w:lang w:eastAsia="zh-CN"/>
              </w:rPr>
            </w:pPr>
            <w:r>
              <w:rPr>
                <w:sz w:val="18"/>
                <w:lang w:eastAsia="zh-CN"/>
              </w:rPr>
              <w:t>产出、份额、价格、工资、创新与福利</w:t>
            </w:r>
          </w:p>
        </w:tc>
      </w:tr>
    </w:tbl>
    <w:p w14:paraId="1E02405B" w14:textId="77777777" w:rsidR="002D0A3C" w:rsidRDefault="003B6787">
      <w:pPr>
        <w:pStyle w:val="a0"/>
        <w:jc w:val="both"/>
        <w:rPr>
          <w:lang w:eastAsia="zh-CN"/>
        </w:rPr>
      </w:pPr>
      <w:r>
        <w:t>master JSONL</w:t>
      </w:r>
      <w:r>
        <w:t>是政策标签的单一真源。任何人工修订先写回该文件，再由脚本重新生成</w:t>
      </w:r>
      <w:r>
        <w:t xml:space="preserve"> policy_atoms_wide.csv</w:t>
      </w:r>
      <w:r>
        <w:t>；不得分别手工修改</w:t>
      </w:r>
      <w:r>
        <w:t>JSONL</w:t>
      </w:r>
      <w:r>
        <w:t>和</w:t>
      </w:r>
      <w:r>
        <w:t>CSV</w:t>
      </w:r>
      <w:r>
        <w:t>。</w:t>
      </w:r>
      <w:r>
        <w:t>LLM</w:t>
      </w:r>
      <w:r>
        <w:t>部分固定模型版本、系统提示词、</w:t>
      </w:r>
      <w:r>
        <w:t>temperature</w:t>
      </w:r>
      <w:r>
        <w:t>、输出</w:t>
      </w:r>
      <w:r>
        <w:t>schema</w:t>
      </w:r>
      <w:r>
        <w:t>和代码版本，并将每次调用的输入、原始输出、规则校验和人工修改留在</w:t>
      </w:r>
      <w:r>
        <w:t xml:space="preserve"> llm_audit.jsonl</w:t>
      </w:r>
      <w:r>
        <w:t>。</w:t>
      </w:r>
      <w:r>
        <w:t>GB—ISIC concordance</w:t>
      </w:r>
      <w:r>
        <w:t>、</w:t>
      </w:r>
      <w:r>
        <w:t>ISIC</w:t>
      </w:r>
      <w:r>
        <w:t>两位类与</w:t>
      </w:r>
      <w:r>
        <w:t>OECD-AMNE</w:t>
      </w:r>
      <w:r>
        <w:t>行业对照以及基期权重同样版本化，并记录其来源、版本与生成脚本。</w:t>
      </w:r>
      <w:r>
        <w:t>industry_crosswalk.csv</w:t>
      </w:r>
      <w:r>
        <w:t>只保存映射关系，不承担经济权重；</w:t>
      </w:r>
      <w:r>
        <w:t>industry_weights.csv</w:t>
      </w:r>
      <w:r>
        <w:t>统一提供聚合权重；</w:t>
      </w:r>
      <w:r>
        <w:t>isic4_policy.csv</w:t>
      </w:r>
      <w:r>
        <w:t>、</w:t>
      </w:r>
      <w:r>
        <w:t>isic2_policy.csv</w:t>
      </w:r>
      <w:r>
        <w:t>和</w:t>
      </w:r>
      <w:r>
        <w:t>sector_policy.csv</w:t>
      </w:r>
      <w:r>
        <w:t>分别对应三个不同观察层级。</w:t>
      </w:r>
      <w:r>
        <w:rPr>
          <w:lang w:eastAsia="zh-CN"/>
        </w:rPr>
        <w:t>正文或主附录只报告必要的方法与验证结果，完整提示词、</w:t>
      </w:r>
      <w:r>
        <w:rPr>
          <w:lang w:eastAsia="zh-CN"/>
        </w:rPr>
        <w:t>JSON schema</w:t>
      </w:r>
      <w:r>
        <w:rPr>
          <w:lang w:eastAsia="zh-CN"/>
        </w:rPr>
        <w:t>、逐条映射、权重表和审计记录可进入在线附录或复现包。</w:t>
      </w:r>
    </w:p>
    <w:p w14:paraId="576BA811" w14:textId="77777777" w:rsidR="002D0A3C" w:rsidRDefault="003B6787">
      <w:pPr>
        <w:spacing w:before="80" w:after="80" w:line="240" w:lineRule="auto"/>
        <w:rPr>
          <w:lang w:eastAsia="zh-CN"/>
        </w:rPr>
      </w:pPr>
      <w:r>
        <w:rPr>
          <w:lang w:eastAsia="zh-CN"/>
        </w:rPr>
        <w:t>例</w:t>
      </w:r>
      <w:r>
        <w:rPr>
          <w:lang w:eastAsia="zh-CN"/>
        </w:rPr>
        <w:t>A6</w:t>
      </w:r>
      <w:r>
        <w:rPr>
          <w:lang w:eastAsia="zh-CN"/>
        </w:rPr>
        <w:t>（最终主数据的一条记录）。以</w:t>
      </w:r>
      <w:r>
        <w:rPr>
          <w:lang w:eastAsia="zh-CN"/>
        </w:rPr>
        <w:t>2024</w:t>
      </w:r>
      <w:r>
        <w:rPr>
          <w:lang w:eastAsia="zh-CN"/>
        </w:rPr>
        <w:t>年版第</w:t>
      </w:r>
      <w:r>
        <w:rPr>
          <w:lang w:eastAsia="zh-CN"/>
        </w:rPr>
        <w:t>9</w:t>
      </w:r>
      <w:r>
        <w:rPr>
          <w:lang w:eastAsia="zh-CN"/>
        </w:rPr>
        <w:t>项</w:t>
      </w:r>
      <w:r>
        <w:rPr>
          <w:lang w:eastAsia="zh-CN"/>
        </w:rPr>
        <w:t>“</w:t>
      </w:r>
      <w:r>
        <w:rPr>
          <w:lang w:eastAsia="zh-CN"/>
        </w:rPr>
        <w:t>公共航空运输公司</w:t>
      </w:r>
      <w:r>
        <w:rPr>
          <w:lang w:eastAsia="zh-CN"/>
        </w:rPr>
        <w:t>”</w:t>
      </w:r>
      <w:r>
        <w:rPr>
          <w:lang w:eastAsia="zh-CN"/>
        </w:rPr>
        <w:t>为例，</w:t>
      </w:r>
      <w:r>
        <w:rPr>
          <w:lang w:eastAsia="zh-CN"/>
        </w:rPr>
        <w:t>A1</w:t>
      </w:r>
      <w:r>
        <w:rPr>
          <w:lang w:eastAsia="zh-CN"/>
        </w:rPr>
        <w:t>与</w:t>
      </w:r>
      <w:r>
        <w:rPr>
          <w:lang w:eastAsia="zh-CN"/>
        </w:rPr>
        <w:t>A2</w:t>
      </w:r>
      <w:r>
        <w:rPr>
          <w:lang w:eastAsia="zh-CN"/>
        </w:rPr>
        <w:t>不是两张需要分别维护的数据表，而是在</w:t>
      </w:r>
      <w:r>
        <w:rPr>
          <w:lang w:eastAsia="zh-CN"/>
        </w:rPr>
        <w:t>master JSONL</w:t>
      </w:r>
      <w:r>
        <w:rPr>
          <w:lang w:eastAsia="zh-CN"/>
        </w:rPr>
        <w:t>中合并为同一个政策原子。示意记录如下：</w:t>
      </w:r>
    </w:p>
    <w:p w14:paraId="581B792E" w14:textId="77777777" w:rsidR="002D0A3C" w:rsidRDefault="003B6787">
      <w:pPr>
        <w:spacing w:before="60" w:after="100" w:line="240" w:lineRule="auto"/>
        <w:ind w:left="360" w:right="360"/>
        <w:rPr>
          <w:lang w:eastAsia="zh-CN"/>
        </w:rPr>
      </w:pPr>
      <w:r>
        <w:rPr>
          <w:rFonts w:ascii="Courier New" w:hAnsi="Courier New"/>
          <w:sz w:val="17"/>
          <w:lang w:eastAsia="zh-CN"/>
        </w:rPr>
        <w:t>{"policy_year":2024,"measure_no":9,"atom_id":"CN_NL_2024_009_A",</w:t>
      </w:r>
      <w:r>
        <w:rPr>
          <w:rFonts w:ascii="Courier New" w:hAnsi="Courier New"/>
          <w:sz w:val="17"/>
          <w:lang w:eastAsia="zh-CN"/>
        </w:rPr>
        <w:br/>
        <w:t xml:space="preserve"> "sector_heading":"</w:t>
      </w:r>
      <w:r>
        <w:rPr>
          <w:rFonts w:ascii="Courier New" w:hAnsi="Courier New"/>
          <w:sz w:val="17"/>
          <w:lang w:eastAsia="zh-CN"/>
        </w:rPr>
        <w:t>交通运输、仓储和邮政业</w:t>
      </w:r>
      <w:r>
        <w:rPr>
          <w:rFonts w:ascii="Courier New" w:hAnsi="Courier New"/>
          <w:sz w:val="17"/>
          <w:lang w:eastAsia="zh-CN"/>
        </w:rPr>
        <w:t>",</w:t>
      </w:r>
      <w:r>
        <w:rPr>
          <w:rFonts w:ascii="Courier New" w:hAnsi="Courier New"/>
          <w:sz w:val="17"/>
          <w:lang w:eastAsia="zh-CN"/>
        </w:rPr>
        <w:br/>
        <w:t xml:space="preserve"> "activity_text":"</w:t>
      </w:r>
      <w:r>
        <w:rPr>
          <w:rFonts w:ascii="Courier New" w:hAnsi="Courier New"/>
          <w:sz w:val="17"/>
          <w:lang w:eastAsia="zh-CN"/>
        </w:rPr>
        <w:t>公共航空运输公司</w:t>
      </w:r>
      <w:r>
        <w:rPr>
          <w:rFonts w:ascii="Courier New" w:hAnsi="Courier New"/>
          <w:sz w:val="17"/>
          <w:lang w:eastAsia="zh-CN"/>
        </w:rPr>
        <w:t>",</w:t>
      </w:r>
      <w:r>
        <w:rPr>
          <w:rFonts w:ascii="Courier New" w:hAnsi="Courier New"/>
          <w:sz w:val="17"/>
          <w:lang w:eastAsia="zh-CN"/>
        </w:rPr>
        <w:br/>
        <w:t xml:space="preserve"> "restriction_text":"</w:t>
      </w:r>
      <w:r>
        <w:rPr>
          <w:rFonts w:ascii="Courier New" w:hAnsi="Courier New"/>
          <w:sz w:val="17"/>
          <w:lang w:eastAsia="zh-CN"/>
        </w:rPr>
        <w:t>须由中方控股，且一家外商及其关联企业投资比例不得超过</w:t>
      </w:r>
      <w:r>
        <w:rPr>
          <w:rFonts w:ascii="Courier New" w:hAnsi="Courier New"/>
          <w:sz w:val="17"/>
          <w:lang w:eastAsia="zh-CN"/>
        </w:rPr>
        <w:t>25%</w:t>
      </w:r>
      <w:r>
        <w:rPr>
          <w:rFonts w:ascii="Courier New" w:hAnsi="Courier New"/>
          <w:sz w:val="17"/>
          <w:lang w:eastAsia="zh-CN"/>
        </w:rPr>
        <w:t>，</w:t>
      </w:r>
      <w:r>
        <w:rPr>
          <w:rFonts w:ascii="Courier New" w:hAnsi="Courier New"/>
          <w:sz w:val="17"/>
          <w:lang w:eastAsia="zh-CN"/>
        </w:rPr>
        <w:br/>
        <w:t xml:space="preserve"> </w:t>
      </w:r>
      <w:r>
        <w:rPr>
          <w:rFonts w:ascii="Courier New" w:hAnsi="Courier New"/>
          <w:sz w:val="17"/>
          <w:lang w:eastAsia="zh-CN"/>
        </w:rPr>
        <w:t>法定代表人须由中国籍公民担任</w:t>
      </w:r>
      <w:r>
        <w:rPr>
          <w:rFonts w:ascii="Courier New" w:hAnsi="Courier New"/>
          <w:sz w:val="17"/>
          <w:lang w:eastAsia="zh-CN"/>
        </w:rPr>
        <w:t>",</w:t>
      </w:r>
      <w:r>
        <w:rPr>
          <w:rFonts w:ascii="Courier New" w:hAnsi="Courier New"/>
          <w:sz w:val="17"/>
          <w:lang w:eastAsia="zh-CN"/>
        </w:rPr>
        <w:br/>
        <w:t xml:space="preserve"> "exception_text":null,"scope_text":"</w:t>
      </w:r>
      <w:r>
        <w:rPr>
          <w:rFonts w:ascii="Courier New" w:hAnsi="Courier New"/>
          <w:sz w:val="17"/>
          <w:lang w:eastAsia="zh-CN"/>
        </w:rPr>
        <w:t>全国</w:t>
      </w:r>
      <w:r>
        <w:rPr>
          <w:rFonts w:ascii="Courier New" w:hAnsi="Courier New"/>
          <w:sz w:val="17"/>
          <w:lang w:eastAsia="zh-CN"/>
        </w:rPr>
        <w:t>",</w:t>
      </w:r>
      <w:r>
        <w:rPr>
          <w:rFonts w:ascii="Courier New" w:hAnsi="Courier New"/>
          <w:sz w:val="17"/>
          <w:lang w:eastAsia="zh-CN"/>
        </w:rPr>
        <w:br/>
        <w:t xml:space="preserve"> "effective_from":"2024-11-01","access_status":"conditional",</w:t>
      </w:r>
      <w:r>
        <w:rPr>
          <w:rFonts w:ascii="Courier New" w:hAnsi="Courier New"/>
          <w:sz w:val="17"/>
          <w:lang w:eastAsia="zh-CN"/>
        </w:rPr>
        <w:br/>
        <w:t xml:space="preserve"> "foreign_equity_cap":null,"chinese_control":1,</w:t>
      </w:r>
      <w:r>
        <w:rPr>
          <w:rFonts w:ascii="Courier New" w:hAnsi="Courier New"/>
          <w:sz w:val="17"/>
          <w:lang w:eastAsia="zh-CN"/>
        </w:rPr>
        <w:br/>
        <w:t xml:space="preserve"> "organization_restriction":0,"governance_restriction":1,</w:t>
      </w:r>
      <w:r>
        <w:rPr>
          <w:rFonts w:ascii="Courier New" w:hAnsi="Courier New"/>
          <w:sz w:val="17"/>
          <w:lang w:eastAsia="zh-CN"/>
        </w:rPr>
        <w:br/>
        <w:t xml:space="preserve"> "other_access_restriction":1}</w:t>
      </w:r>
    </w:p>
    <w:p w14:paraId="3104ADDB" w14:textId="77777777" w:rsidR="002D0A3C" w:rsidRDefault="003B6787">
      <w:pPr>
        <w:pStyle w:val="2"/>
        <w:rPr>
          <w:lang w:eastAsia="zh-CN"/>
        </w:rPr>
      </w:pPr>
      <w:bookmarkStart w:id="22" w:name="a.9-与两篇参考文献的关系"/>
      <w:bookmarkEnd w:id="21"/>
      <w:r>
        <w:rPr>
          <w:rFonts w:ascii="Times New Roman" w:eastAsia="宋体" w:hAnsi="Times New Roman"/>
          <w:lang w:eastAsia="zh-CN"/>
        </w:rPr>
        <w:lastRenderedPageBreak/>
        <w:t>A.9</w:t>
      </w:r>
      <w:r>
        <w:rPr>
          <w:rFonts w:ascii="Times New Roman" w:eastAsia="宋体" w:hAnsi="Times New Roman"/>
          <w:lang w:eastAsia="zh-CN"/>
        </w:rPr>
        <w:t xml:space="preserve">　与两篇参考文献的关系</w:t>
      </w:r>
    </w:p>
    <w:p w14:paraId="1B8E83BA" w14:textId="77777777" w:rsidR="002D0A3C" w:rsidRDefault="003B6787">
      <w:pPr>
        <w:pStyle w:val="FirstParagraph"/>
        <w:jc w:val="both"/>
        <w:rPr>
          <w:lang w:eastAsia="zh-CN"/>
        </w:rPr>
      </w:pPr>
      <w:r>
        <w:rPr>
          <w:lang w:eastAsia="zh-CN"/>
        </w:rPr>
        <w:t>本研究对</w:t>
      </w:r>
      <w:r>
        <w:rPr>
          <w:lang w:eastAsia="zh-CN"/>
        </w:rPr>
        <w:t xml:space="preserve"> Eppinger and Ma</w:t>
      </w:r>
      <w:r>
        <w:rPr>
          <w:lang w:eastAsia="zh-CN"/>
        </w:rPr>
        <w:t>（</w:t>
      </w:r>
      <w:r>
        <w:rPr>
          <w:lang w:eastAsia="zh-CN"/>
        </w:rPr>
        <w:t>2023</w:t>
      </w:r>
      <w:r>
        <w:rPr>
          <w:lang w:eastAsia="zh-CN"/>
        </w:rPr>
        <w:t>）的借鉴限于政策测量原则和微观验证逻辑：政策应尽可能匹配到窄经济活动，文本算法结果需要人工校验，所有权限制应与一般行业标签分开识别。本文并不把其企业产出或</w:t>
      </w:r>
      <w:r>
        <w:rPr>
          <w:lang w:eastAsia="zh-CN"/>
        </w:rPr>
        <w:t>TFP</w:t>
      </w:r>
      <w:r>
        <w:rPr>
          <w:lang w:eastAsia="zh-CN"/>
        </w:rPr>
        <w:t>估计值移植为结构成本参数。</w:t>
      </w:r>
    </w:p>
    <w:p w14:paraId="45602FE4" w14:textId="77777777" w:rsidR="002D0A3C" w:rsidRDefault="003B6787">
      <w:pPr>
        <w:pStyle w:val="a0"/>
        <w:spacing w:before="80" w:after="80" w:line="240" w:lineRule="auto"/>
        <w:ind w:firstLine="0"/>
        <w:jc w:val="center"/>
        <w:rPr>
          <w:lang w:eastAsia="zh-CN"/>
        </w:rPr>
      </w:pPr>
      <w:r>
        <w:rPr>
          <w:lang w:eastAsia="zh-CN"/>
        </w:rPr>
        <w:t>对《中国高水平制度型开放与全球产业链网络重塑》的借鉴则集中在跨国生产成本、生产地选择和精确帽子代数系统。本文保留原文</w:t>
      </w:r>
      <w:r>
        <w:rPr>
          <w:lang w:eastAsia="zh-CN"/>
        </w:rPr>
        <w:t xml:space="preserve"> </w:t>
      </w:r>
      <m:oMath>
        <m:sSubSup>
          <m:sSubSupPr>
            <m:ctrlPr>
              <w:rPr>
                <w:rFonts w:ascii="Cambria Math" w:hAnsi="Cambria Math"/>
              </w:rPr>
            </m:ctrlPr>
          </m:sSubSupPr>
          <m:e>
            <m:r>
              <w:rPr>
                <w:rFonts w:ascii="Cambria Math" w:hAnsi="Cambria Math"/>
                <w:lang w:eastAsia="zh-CN"/>
              </w:rPr>
              <m:t>ξ</m:t>
            </m:r>
          </m:e>
          <m:sub>
            <m:r>
              <w:rPr>
                <w:rFonts w:ascii="Cambria Math" w:hAnsi="Cambria Math"/>
                <w:lang w:eastAsia="zh-CN"/>
              </w:rPr>
              <m:t>im</m:t>
            </m:r>
          </m:sub>
          <m:sup>
            <m:r>
              <w:rPr>
                <w:rFonts w:ascii="Cambria Math" w:hAnsi="Cambria Math"/>
                <w:lang w:eastAsia="zh-CN"/>
              </w:rPr>
              <m:t>j</m:t>
            </m:r>
          </m:sup>
        </m:sSubSup>
      </m:oMath>
      <w:r>
        <w:rPr>
          <w:lang w:eastAsia="zh-CN"/>
        </w:rPr>
        <w:t>、</w:t>
      </w:r>
      <m:oMath>
        <m:sSubSup>
          <m:sSubSupPr>
            <m:ctrlPr>
              <w:rPr>
                <w:rFonts w:ascii="Cambria Math" w:hAnsi="Cambria Math"/>
              </w:rPr>
            </m:ctrlPr>
          </m:sSubSupPr>
          <m:e>
            <m:r>
              <w:rPr>
                <w:rFonts w:ascii="Cambria Math" w:hAnsi="Cambria Math"/>
                <w:lang w:eastAsia="zh-CN"/>
              </w:rPr>
              <m:t>ψ</m:t>
            </m:r>
          </m:e>
          <m:sub>
            <m:r>
              <w:rPr>
                <w:rFonts w:ascii="Cambria Math" w:hAnsi="Cambria Math"/>
                <w:lang w:eastAsia="zh-CN"/>
              </w:rPr>
              <m:t>nlm</m:t>
            </m:r>
          </m:sub>
          <m:sup>
            <m:r>
              <w:rPr>
                <w:rFonts w:ascii="Cambria Math" w:hAnsi="Cambria Math"/>
                <w:lang w:eastAsia="zh-CN"/>
              </w:rPr>
              <m:t>j</m:t>
            </m:r>
          </m:sup>
        </m:sSubSup>
      </m:oMath>
      <w:r>
        <w:rPr>
          <w:lang w:eastAsia="zh-CN"/>
        </w:rPr>
        <w:t xml:space="preserve"> </w:t>
      </w:r>
      <w:r>
        <w:rPr>
          <w:lang w:eastAsia="zh-CN"/>
        </w:rPr>
        <w:t>和三边销售流量的经济含义，但把原文基于总成本残差得到的制度型开放冲击进一步约束到可观察的负面清单法律变化。由此，原文</w:t>
      </w:r>
      <w:r>
        <w:rPr>
          <w:lang w:eastAsia="zh-CN"/>
        </w:rPr>
        <w:t>“</w:t>
      </w:r>
      <w:r>
        <w:rPr>
          <w:lang w:eastAsia="zh-CN"/>
        </w:rPr>
        <w:t>制度型成本下降</w:t>
      </w:r>
      <w:r>
        <w:rPr>
          <w:lang w:eastAsia="zh-CN"/>
        </w:rPr>
        <w:t>”</w:t>
      </w:r>
      <w:r>
        <w:rPr>
          <w:lang w:eastAsia="zh-CN"/>
        </w:rPr>
        <w:t>的宏观反事实被分解为可追溯到具体政策条款、限制类型和模型行业的微观制度冲击。</w:t>
      </w:r>
    </w:p>
    <w:p w14:paraId="161A15F2" w14:textId="77777777" w:rsidR="002D0A3C" w:rsidRDefault="003B6787">
      <w:pPr>
        <w:pStyle w:val="a0"/>
        <w:spacing w:before="80" w:after="80" w:line="240" w:lineRule="auto"/>
        <w:ind w:firstLine="0"/>
        <w:jc w:val="center"/>
        <w:rPr>
          <w:lang w:eastAsia="zh-CN"/>
        </w:rPr>
      </w:pPr>
      <w:r>
        <w:rPr>
          <w:lang w:eastAsia="zh-CN"/>
        </w:rPr>
        <w:t>归纳而言，本附录的识别对象不是一个抽象的</w:t>
      </w:r>
      <w:r>
        <w:rPr>
          <w:lang w:eastAsia="zh-CN"/>
        </w:rPr>
        <w:t>“</w:t>
      </w:r>
      <w:r>
        <w:rPr>
          <w:lang w:eastAsia="zh-CN"/>
        </w:rPr>
        <w:t>外资开放指数</w:t>
      </w:r>
      <w:r>
        <w:rPr>
          <w:lang w:eastAsia="zh-CN"/>
        </w:rPr>
        <w:t>”</w:t>
      </w:r>
      <w:r>
        <w:rPr>
          <w:lang w:eastAsia="zh-CN"/>
        </w:rPr>
        <w:t>，而是负面清单改革所对应的跨国生产成本等价。只有在</w:t>
      </w:r>
      <w:r>
        <w:rPr>
          <w:lang w:eastAsia="zh-CN"/>
        </w:rPr>
        <w:t xml:space="preserve"> </w:t>
      </w:r>
      <m:oMath>
        <m:sSub>
          <m:sSubPr>
            <m:ctrlPr>
              <w:rPr>
                <w:rFonts w:ascii="Cambria Math" w:hAnsi="Cambria Math"/>
              </w:rPr>
            </m:ctrlPr>
          </m:sSubPr>
          <m:e>
            <m:r>
              <m:rPr>
                <m:scr m:val="script"/>
                <m:sty m:val="p"/>
              </m:rPr>
              <w:rPr>
                <w:rFonts w:ascii="Cambria Math" w:hAnsi="Cambria Math"/>
                <w:lang w:eastAsia="zh-CN"/>
              </w:rPr>
              <m:t>P</m:t>
            </m:r>
          </m:e>
          <m:sub>
            <m:r>
              <w:rPr>
                <w:rFonts w:ascii="Cambria Math" w:hAnsi="Cambria Math"/>
                <w:lang w:eastAsia="zh-CN"/>
              </w:rPr>
              <m:t>gt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gt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Z</m:t>
            </m:r>
          </m:e>
          <m:sub>
            <m:r>
              <w:rPr>
                <w:rFonts w:ascii="Cambria Math" w:hAnsi="Cambria Math"/>
                <w:lang w:eastAsia="zh-CN"/>
              </w:rPr>
              <m:t>jt</m:t>
            </m:r>
          </m:sub>
        </m:sSub>
      </m:oMath>
      <w:r>
        <w:rPr>
          <w:lang w:eastAsia="zh-CN"/>
        </w:rPr>
        <w:t xml:space="preserve"> </w:t>
      </w:r>
      <w:r>
        <w:rPr>
          <w:lang w:eastAsia="zh-CN"/>
        </w:rPr>
        <w:t>的政策测量、</w:t>
      </w: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jt</m:t>
            </m:r>
          </m:sub>
        </m:sSub>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γ</m:t>
            </m:r>
          </m:e>
          <m:sup>
            <m:r>
              <m:rPr>
                <m:sty m:val="p"/>
              </m:rPr>
              <w:rPr>
                <w:rFonts w:ascii="Cambria Math" w:hAnsi="Cambria Math"/>
                <w:lang w:eastAsia="zh-CN"/>
              </w:rPr>
              <m:t>inst</m:t>
            </m:r>
          </m:sup>
        </m:sSup>
      </m:oMath>
      <w:r>
        <w:rPr>
          <w:lang w:eastAsia="zh-CN"/>
        </w:rPr>
        <w:t xml:space="preserve"> </w:t>
      </w:r>
      <w:r>
        <w:rPr>
          <w:lang w:eastAsia="zh-CN"/>
        </w:rPr>
        <w:t>的成本识别以及</w:t>
      </w:r>
      <w:r>
        <w:rPr>
          <w:lang w:eastAsia="zh-CN"/>
        </w:rPr>
        <w:t xml:space="preserve"> </w:t>
      </w:r>
      <m:oMath>
        <m:sSup>
          <m:sSupPr>
            <m:ctrlPr>
              <w:rPr>
                <w:rFonts w:ascii="Cambria Math" w:hAnsi="Cambria Math"/>
              </w:rPr>
            </m:ctrlPr>
          </m:sSupPr>
          <m:e>
            <m:r>
              <w:rPr>
                <w:rFonts w:ascii="Cambria Math" w:hAnsi="Cambria Math"/>
                <w:lang w:eastAsia="zh-CN"/>
              </w:rPr>
              <m:t>γ</m:t>
            </m:r>
          </m:e>
          <m:sup>
            <m:r>
              <m:rPr>
                <m:sty m:val="p"/>
              </m:rPr>
              <w:rPr>
                <w:rFonts w:ascii="Cambria Math" w:hAnsi="Cambria Math"/>
                <w:lang w:eastAsia="zh-CN"/>
              </w:rPr>
              <m:t>inst</m:t>
            </m:r>
          </m:sup>
        </m:sSup>
        <m:r>
          <m:rPr>
            <m:sty m:val="p"/>
          </m:rPr>
          <w:rPr>
            <w:rFonts w:ascii="Cambria Math" w:hAnsi="Cambria Math"/>
            <w:lang w:eastAsia="zh-CN"/>
          </w:rPr>
          <m:t>→</m:t>
        </m:r>
        <m:r>
          <w:rPr>
            <w:rFonts w:ascii="Cambria Math" w:hAnsi="Cambria Math"/>
            <w:lang w:eastAsia="zh-CN"/>
          </w:rPr>
          <m:t>ξ</m:t>
        </m:r>
      </m:oMath>
      <w:r>
        <w:rPr>
          <w:lang w:eastAsia="zh-CN"/>
        </w:rPr>
        <w:t xml:space="preserve"> </w:t>
      </w:r>
      <w:r>
        <w:rPr>
          <w:lang w:eastAsia="zh-CN"/>
        </w:rPr>
        <w:t>的结构转换三步均能够被单独复核时，后续一般均衡结果才具有清晰的政策含义。</w:t>
      </w:r>
    </w:p>
    <w:p w14:paraId="01C8AFC6" w14:textId="77777777" w:rsidR="002D0A3C" w:rsidRDefault="003B6787">
      <w:pPr>
        <w:pStyle w:val="2"/>
      </w:pPr>
      <w:bookmarkStart w:id="23" w:name="参考文献"/>
      <w:bookmarkEnd w:id="22"/>
      <w:r>
        <w:rPr>
          <w:rFonts w:ascii="Times New Roman" w:eastAsia="宋体" w:hAnsi="Times New Roman"/>
        </w:rPr>
        <w:t>参考文献</w:t>
      </w:r>
    </w:p>
    <w:p w14:paraId="0B0BDDA7" w14:textId="77777777" w:rsidR="002D0A3C" w:rsidRDefault="003B6787">
      <w:pPr>
        <w:pStyle w:val="FirstParagraph"/>
        <w:ind w:left="360" w:hanging="360"/>
        <w:jc w:val="both"/>
      </w:pPr>
      <w:r>
        <w:rPr>
          <w:sz w:val="22"/>
        </w:rPr>
        <w:t>Eppinger, P., and H. Ma. 2023. “Optimal Ownership and Firm Performance: An Analysis of China’s FDI Liberalization.” CESifo Working Paper No. 10551.</w:t>
      </w:r>
    </w:p>
    <w:p w14:paraId="61431547" w14:textId="77777777" w:rsidR="002D0A3C" w:rsidRDefault="003B6787">
      <w:pPr>
        <w:pStyle w:val="a0"/>
        <w:jc w:val="both"/>
        <w:rPr>
          <w:lang w:eastAsia="zh-CN"/>
        </w:rPr>
      </w:pPr>
      <w:r>
        <w:rPr>
          <w:lang w:eastAsia="zh-CN"/>
        </w:rPr>
        <w:t>《中国高水平制度型开放与全球产业链网络重塑》，研究稿。</w:t>
      </w:r>
    </w:p>
    <w:bookmarkEnd w:id="0"/>
    <w:bookmarkEnd w:id="23"/>
    <w:p w14:paraId="65942BCF" w14:textId="77777777" w:rsidR="002D0A3C" w:rsidRDefault="003B6787">
      <w:pPr>
        <w:pStyle w:val="a0"/>
        <w:jc w:val="both"/>
        <w:rPr>
          <w:lang w:eastAsia="zh-CN"/>
        </w:rPr>
      </w:pPr>
      <w:r>
        <w:rPr>
          <w:lang w:eastAsia="zh-CN"/>
        </w:rPr>
        <w:t>国家发展改革委、商务部，</w:t>
      </w:r>
      <w:r>
        <w:rPr>
          <w:lang w:eastAsia="zh-CN"/>
        </w:rPr>
        <w:t>2024</w:t>
      </w:r>
      <w:r>
        <w:rPr>
          <w:lang w:eastAsia="zh-CN"/>
        </w:rPr>
        <w:t>，《外商投资准入特别管理措施（负面清单）（</w:t>
      </w:r>
      <w:r>
        <w:rPr>
          <w:lang w:eastAsia="zh-CN"/>
        </w:rPr>
        <w:t>2024</w:t>
      </w:r>
      <w:r>
        <w:rPr>
          <w:lang w:eastAsia="zh-CN"/>
        </w:rPr>
        <w:t>年版）》。</w:t>
      </w:r>
    </w:p>
    <w:sectPr w:rsidR="002D0A3C">
      <w:footerReference w:type="default" r:id="rId7"/>
      <w:pgSz w:w="11906" w:h="16838"/>
      <w:pgMar w:top="1361" w:right="1474" w:bottom="1361" w:left="1474" w:header="680"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E21EA" w14:textId="77777777" w:rsidR="00791C5A" w:rsidRDefault="00791C5A">
      <w:pPr>
        <w:spacing w:line="240" w:lineRule="auto"/>
      </w:pPr>
      <w:r>
        <w:separator/>
      </w:r>
    </w:p>
  </w:endnote>
  <w:endnote w:type="continuationSeparator" w:id="0">
    <w:p w14:paraId="0352779C" w14:textId="77777777" w:rsidR="00791C5A" w:rsidRDefault="00791C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C1837" w14:textId="77777777" w:rsidR="002D0A3C" w:rsidRDefault="003B6787">
    <w:pPr>
      <w:ind w:firstLine="0"/>
      <w:jc w:val="center"/>
    </w:pPr>
    <w:r>
      <w:rPr>
        <w:sz w:val="21"/>
      </w:rPr>
      <w:fldChar w:fldCharType="begin"/>
    </w:r>
    <w:r>
      <w:rPr>
        <w:sz w:val="21"/>
      </w:rPr>
      <w:instrText xml:space="preserve"> PAGE </w:instrText>
    </w:r>
    <w:r>
      <w:rPr>
        <w:sz w:val="21"/>
      </w:rPr>
      <w:fldChar w:fldCharType="separate"/>
    </w:r>
    <w:r w:rsidR="005A5AC6">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A3C11" w14:textId="77777777" w:rsidR="00791C5A" w:rsidRDefault="00791C5A">
      <w:r>
        <w:separator/>
      </w:r>
    </w:p>
  </w:footnote>
  <w:footnote w:type="continuationSeparator" w:id="0">
    <w:p w14:paraId="6877647F" w14:textId="77777777" w:rsidR="00791C5A" w:rsidRDefault="00791C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BCC69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413426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D0A3C"/>
    <w:rsid w:val="0016713F"/>
    <w:rsid w:val="002D0A3C"/>
    <w:rsid w:val="00305E6F"/>
    <w:rsid w:val="003B6787"/>
    <w:rsid w:val="005A3CB3"/>
    <w:rsid w:val="005A5AC6"/>
    <w:rsid w:val="005F5C72"/>
    <w:rsid w:val="0069358A"/>
    <w:rsid w:val="006C5C23"/>
    <w:rsid w:val="00791C5A"/>
    <w:rsid w:val="0080610B"/>
    <w:rsid w:val="009B3479"/>
    <w:rsid w:val="00BC142D"/>
    <w:rsid w:val="00BC662F"/>
    <w:rsid w:val="00C51E76"/>
    <w:rsid w:val="00C70984"/>
    <w:rsid w:val="00C76E2E"/>
    <w:rsid w:val="00C875C1"/>
    <w:rsid w:val="00D12DAA"/>
    <w:rsid w:val="00DE302E"/>
    <w:rsid w:val="00E4343D"/>
    <w:rsid w:val="00FC2A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1D98"/>
  <w15:docId w15:val="{727FA8BE-D5E2-4B50-93C3-3E4B7A000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300" w:lineRule="auto"/>
      <w:ind w:firstLine="480"/>
    </w:pPr>
    <w:rPr>
      <w:rFonts w:ascii="Times New Roman" w:eastAsia="宋体" w:hAnsi="Times New Roman"/>
    </w:rPr>
  </w:style>
  <w:style w:type="paragraph" w:styleId="1">
    <w:name w:val="heading 1"/>
    <w:basedOn w:val="a"/>
    <w:next w:val="a0"/>
    <w:uiPriority w:val="9"/>
    <w:qFormat/>
    <w:pPr>
      <w:keepNext/>
      <w:keepLines/>
      <w:spacing w:after="200" w:line="288" w:lineRule="auto"/>
      <w:jc w:val="center"/>
      <w:outlineLvl w:val="0"/>
    </w:pPr>
    <w:rPr>
      <w:rFonts w:asciiTheme="majorHAnsi" w:eastAsiaTheme="majorEastAsia" w:hAnsiTheme="majorHAnsi" w:cstheme="majorBidi"/>
      <w:b/>
      <w:bCs/>
      <w:color w:val="000000"/>
      <w:sz w:val="26"/>
      <w:szCs w:val="32"/>
    </w:rPr>
  </w:style>
  <w:style w:type="paragraph" w:styleId="2">
    <w:name w:val="heading 2"/>
    <w:basedOn w:val="a"/>
    <w:next w:val="a0"/>
    <w:uiPriority w:val="9"/>
    <w:unhideWhenUsed/>
    <w:qFormat/>
    <w:pPr>
      <w:keepNext/>
      <w:keepLines/>
      <w:spacing w:before="200" w:after="80" w:line="288" w:lineRule="auto"/>
      <w:ind w:firstLine="0"/>
      <w:outlineLvl w:val="1"/>
    </w:pPr>
    <w:rPr>
      <w:rFonts w:asciiTheme="majorHAnsi" w:eastAsiaTheme="majorEastAsia" w:hAnsiTheme="majorHAnsi" w:cstheme="majorBidi"/>
      <w:b/>
      <w:bCs/>
      <w:color w:val="000000"/>
      <w:szCs w:val="28"/>
    </w:rPr>
  </w:style>
  <w:style w:type="paragraph" w:styleId="3">
    <w:name w:val="heading 3"/>
    <w:basedOn w:val="a"/>
    <w:next w:val="a0"/>
    <w:uiPriority w:val="9"/>
    <w:unhideWhenUsed/>
    <w:qFormat/>
    <w:pPr>
      <w:keepNext/>
      <w:keepLines/>
      <w:spacing w:before="140" w:after="40" w:line="288" w:lineRule="auto"/>
      <w:ind w:firstLine="0"/>
      <w:outlineLvl w:val="2"/>
    </w:pPr>
    <w:rPr>
      <w:rFonts w:asciiTheme="majorHAnsi" w:eastAsiaTheme="majorEastAsia" w:hAnsiTheme="majorHAnsi" w:cstheme="majorBidi"/>
      <w:b/>
      <w:bCs/>
      <w:color w:val="000000"/>
    </w:rPr>
  </w:style>
  <w:style w:type="paragraph" w:styleId="4">
    <w:name w:val="heading 4"/>
    <w:basedOn w:val="a"/>
    <w:next w:val="a0"/>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Title">
    <w:name w:val="Abstract Title"/>
    <w:basedOn w:val="a"/>
    <w:next w:val="Abstract"/>
    <w:qFormat/>
    <w:pPr>
      <w:keepNext/>
      <w:keepLines/>
      <w:spacing w:before="300"/>
      <w:jc w:val="center"/>
    </w:pPr>
    <w:rPr>
      <w:b/>
      <w:color w:val="345A8A"/>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firstLine="0"/>
    </w:pPr>
  </w:style>
  <w:style w:type="paragraph" w:styleId="a9">
    <w:name w:val="footnote text"/>
    <w:basedOn w:val="a"/>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customStyle="1" w:styleId="SectionNumber">
    <w:name w:val="Section Number"/>
    <w:basedOn w:val="ab"/>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12</Pages>
  <Words>2235</Words>
  <Characters>12740</Characters>
  <Application>Microsoft Office Word</Application>
  <DocSecurity>0</DocSecurity>
  <Lines>106</Lines>
  <Paragraphs>29</Paragraphs>
  <ScaleCrop>false</ScaleCrop>
  <Company/>
  <LinksUpToDate>false</LinksUpToDate>
  <CharactersWithSpaces>14946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基于外资准入负面清单的政策测度、跨国投资成本识别与一般均衡反事实</dc:title>
  <dc:subject>研究附录</dc:subject>
  <dc:creator/>
  <cp:keywords/>
  <cp:lastModifiedBy>镇宇 杨</cp:lastModifiedBy>
  <cp:revision>14</cp:revision>
  <dcterms:created xsi:type="dcterms:W3CDTF">2026-08-29T02:15:00Z</dcterms:created>
  <dcterms:modified xsi:type="dcterms:W3CDTF">2026-08-29T11:02:00Z</dcterms:modified>
</cp:coreProperties>
</file>