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6B84"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pPr>
        <w:pStyle w:val="FirstParagraph"/>
      </w:pPr>
      <w:r>
        <w:t xml:space="preserve">本附录构建从中国外资准入规则到跨国生产一般均衡冲击的测度与识别链条。研究对象限定为外国投资者进入中国的直接投资活动，即东道国固定为中国。Eppinger and Ma（2023）用于借鉴细活动层面的政策匹配及企业所有权反应，《中国高水平制度型开放与全球产业链网络重塑》用于刻画跨国生产摩擦、生产地选择与一般均衡传导。负面清单只提供法律约束，因此政策文本与结构模型之间仍需经过“企业政策暴露—跨国投资行为—成本等价”的经验识别，而不能由 LLM 直接指定成本参数。</w:t>
      </w:r>
    </w:p>
    <w:p>
      <w:pPr>
        <w:pStyle w:val="a0"/>
      </w:pPr>
      <w:r>
        <w:t xml:space="preserve">设</w:t>
      </w:r>
      <w:r>
        <w:t xml:space="preserve"> </w:t>
      </w:r>
      <m:oMath>
        <m:r>
          <m:t>m</m:t>
        </m:r>
      </m:oMath>
      <w:r>
        <w:t xml:space="preserve"> </w:t>
      </w:r>
      <w:r>
        <w:t xml:space="preserve">表示跨国公司母国（亦为创新来源国），</w:t>
      </w:r>
      <m:oMath>
        <m:r>
          <m:t>i</m:t>
        </m:r>
      </m:oMath>
      <w:r>
        <w:t xml:space="preserve"> </w:t>
      </w:r>
      <w:r>
        <w:t xml:space="preserve">表示候选生产国，</w:t>
      </w:r>
      <m:oMath>
        <m:r>
          <m:t>n</m:t>
        </m:r>
      </m:oMath>
      <w:r>
        <w:t xml:space="preserve"> </w:t>
      </w:r>
      <w:r>
        <w:t xml:space="preserve">表示最终消费国，</w:t>
      </w:r>
      <m:oMath>
        <m:r>
          <m:t>j</m:t>
        </m:r>
      </m:oMath>
      <w:r>
        <w:t xml:space="preserve"> </w:t>
      </w:r>
      <w:r>
        <w:t xml:space="preserve">表示结构模型部门，</w:t>
      </w:r>
      <m:oMath>
        <m:r>
          <m:t>g</m:t>
        </m:r>
      </m:oMath>
      <w:r>
        <w:t xml:space="preserve"> </w:t>
      </w:r>
      <w:r>
        <w:t xml:space="preserve">表示负面清单中的细分经济活动，</w:t>
      </w:r>
      <m:oMath>
        <m:r>
          <m:t>f</m:t>
        </m:r>
      </m:oMath>
      <w:r>
        <w:t xml:space="preserve"> </w:t>
      </w:r>
      <w:r>
        <w:t xml:space="preserve">表示企业，</w:t>
      </w:r>
      <m:oMath>
        <m:r>
          <m:t>t</m:t>
        </m:r>
      </m:oMath>
      <w:r>
        <w:t xml:space="preserve"> </w:t>
      </w:r>
      <w:r>
        <w:t xml:space="preserve">表示政策年份。以下以</w:t>
      </w:r>
      <w:r>
        <w:t xml:space="preserve"> </w:t>
      </w:r>
      <m:oMath>
        <m:r>
          <m:t>C</m:t>
        </m:r>
      </m:oMath>
      <w:r>
        <w:t xml:space="preserve"> </w:t>
      </w:r>
      <w:r>
        <w:t xml:space="preserve">表示中国。整个识别链条可以写为：</w:t>
      </w:r>
    </w:p>
    <w:p>
      <w:pPr>
        <w:pStyle w:val="a0"/>
      </w:pPr>
      <m:oMathPara>
        <m:oMathParaPr>
          <m:jc m:val="center"/>
        </m:oMathParaPr>
        <m:oMath>
          <m:sSub>
            <m:e>
              <m:r>
                <m:t>P</m:t>
              </m:r>
            </m:e>
            <m:sub>
              <m:r>
                <m:t>g</m:t>
              </m:r>
              <m:r>
                <m:t>t</m:t>
              </m:r>
            </m:sub>
          </m:sSub>
          <m:r>
            <m:rPr>
              <m:sty m:val="p"/>
            </m:rPr>
            <m:t>→</m:t>
          </m:r>
          <m:sSub>
            <m:e>
              <m:r>
                <m:t>z</m:t>
              </m:r>
            </m:e>
            <m:sub>
              <m:r>
                <m:t>g</m:t>
              </m:r>
              <m:r>
                <m:t>t</m:t>
              </m:r>
            </m:sub>
          </m:sSub>
          <m:r>
            <m:rPr>
              <m:sty m:val="p"/>
            </m:rPr>
            <m:t>→</m:t>
          </m:r>
          <m:d>
            <m:dPr>
              <m:begChr m:val="{"/>
              <m:endChr m:val=""/>
              <m:sepChr m:val=""/>
              <m:grow/>
            </m:dPr>
            <m:e>
              <m:m>
                <m:mPr>
                  <m:baseJc m:val="center"/>
                  <m:plcHide m:val="on"/>
                  <m:mcs>
                    <m:mc>
                      <m:mcPr>
                        <m:mcJc m:val="left"/>
                        <m:count m:val="1"/>
                      </m:mcPr>
                    </m:mc>
                  </m:mcs>
                </m:mPr>
                <m:mr>
                  <m:e>
                    <m:r>
                      <m:rPr>
                        <m:nor/>
                        <m:sty m:val="p"/>
                      </m:rPr>
                      <m:t>GB4/ISIC4 mapping</m:t>
                    </m:r>
                    <m:r>
                      <m:rPr>
                        <m:sty m:val="p"/>
                      </m:rPr>
                      <m:t>→</m:t>
                    </m:r>
                    <m:sSubSup>
                      <m:e>
                        <m:r>
                          <m:t>Z</m:t>
                        </m:r>
                      </m:e>
                      <m:sub>
                        <m:r>
                          <m:t>j</m:t>
                        </m:r>
                        <m:r>
                          <m:t>t</m:t>
                        </m:r>
                      </m:sub>
                      <m:sup>
                        <m:r>
                          <m:t>a</m:t>
                        </m:r>
                        <m:r>
                          <m:t>g</m:t>
                        </m:r>
                        <m:r>
                          <m:t>g</m:t>
                        </m:r>
                      </m:sup>
                    </m:sSubSup>
                    <m:r>
                      <m:rPr>
                        <m:sty m:val="p"/>
                      </m:rPr>
                      <m:t>,</m:t>
                    </m:r>
                  </m:e>
                </m:mr>
                <m:mr>
                  <m:e>
                    <m:r>
                      <m:rPr>
                        <m:nor/>
                        <m:sty m:val="p"/>
                      </m:rPr>
                      <m:t>firm–atom matching</m:t>
                    </m:r>
                    <m:r>
                      <m:rPr>
                        <m:sty m:val="p"/>
                      </m:rPr>
                      <m:t>→</m:t>
                    </m:r>
                    <m:sSub>
                      <m:e>
                        <m:r>
                          <m:t>Z</m:t>
                        </m:r>
                      </m:e>
                      <m:sub>
                        <m:r>
                          <m:t>f</m:t>
                        </m:r>
                        <m:r>
                          <m:t>t</m:t>
                        </m:r>
                      </m:sub>
                    </m:sSub>
                    <m:r>
                      <m:rPr>
                        <m:sty m:val="p"/>
                      </m:rPr>
                      <m:t>→</m:t>
                    </m:r>
                    <m:sSub>
                      <m:e>
                        <m:r>
                          <m:t>Y</m:t>
                        </m:r>
                      </m:e>
                      <m:sub>
                        <m:r>
                          <m:t>f</m:t>
                        </m:r>
                        <m:r>
                          <m:t>t</m:t>
                        </m:r>
                      </m:sub>
                    </m:sSub>
                  </m:e>
                </m:mr>
              </m:m>
            </m:e>
          </m:d>
          <m:r>
            <m:rPr>
              <m:sty m:val="p"/>
            </m:rPr>
            <m:t>→</m:t>
          </m:r>
          <m:r>
            <m:t>Δ</m:t>
          </m:r>
          <m:r>
            <m:rPr>
              <m:sty m:val="p"/>
            </m:rPr>
            <m:t>ln</m:t>
          </m:r>
          <m:sSubSup>
            <m:e>
              <m:r>
                <m:t>γ</m:t>
              </m:r>
            </m:e>
            <m:sub>
              <m:r>
                <m:t>C</m:t>
              </m:r>
              <m:r>
                <m:t>j</m:t>
              </m:r>
              <m:r>
                <m:t>t</m:t>
              </m:r>
            </m:sub>
            <m:sup>
              <m:r>
                <m:t>i</m:t>
              </m:r>
              <m:r>
                <m:t>n</m:t>
              </m:r>
              <m:r>
                <m:t>s</m:t>
              </m:r>
              <m:r>
                <m:t>t</m:t>
              </m:r>
            </m:sup>
          </m:sSubSup>
          <m:r>
            <m:rPr>
              <m:sty m:val="p"/>
            </m:rPr>
            <m:t>→</m:t>
          </m:r>
          <m:sSub>
            <m:e>
              <m:r>
                <m:t>ξ</m:t>
              </m:r>
            </m:e>
            <m:sub>
              <m:r>
                <m:t>C</m:t>
              </m:r>
              <m:r>
                <m:t>m</m:t>
              </m:r>
              <m:r>
                <m:t>j</m:t>
              </m:r>
            </m:sub>
          </m:sSub>
          <m:r>
            <m:rPr>
              <m:sty m:val="p"/>
            </m:rPr>
            <m:t>→</m:t>
          </m:r>
          <m:r>
            <m:rPr>
              <m:sty m:val="p"/>
            </m:rPr>
            <m:t>{</m:t>
          </m:r>
          <m:sSubSup>
            <m:e>
              <m:r>
                <m:t>ψ</m:t>
              </m:r>
            </m:e>
            <m:sub>
              <m:r>
                <m:t>n</m:t>
              </m:r>
              <m:r>
                <m:t>C</m:t>
              </m:r>
              <m:r>
                <m:t>m</m:t>
              </m:r>
            </m:sub>
            <m:sup>
              <m:r>
                <m:t>j</m:t>
              </m:r>
            </m:sup>
          </m:sSubSup>
          <m:r>
            <m:rPr>
              <m:sty m:val="p"/>
            </m:rPr>
            <m:t>,</m:t>
          </m:r>
          <m:sSubSup>
            <m:e>
              <m:r>
                <m:t>X</m:t>
              </m:r>
            </m:e>
            <m:sub>
              <m:r>
                <m:t>n</m:t>
              </m:r>
              <m:r>
                <m:t>C</m:t>
              </m:r>
              <m:r>
                <m:t>m</m:t>
              </m:r>
            </m:sub>
            <m:sup>
              <m:r>
                <m:t>j</m:t>
              </m:r>
            </m:sup>
          </m:sSubSup>
          <m:r>
            <m:rPr>
              <m:sty m:val="p"/>
            </m:rPr>
            <m:t>,</m:t>
          </m:r>
          <m:r>
            <m:t>P</m:t>
          </m:r>
          <m:r>
            <m:rPr>
              <m:sty m:val="p"/>
            </m:rPr>
            <m:t>,</m:t>
          </m:r>
          <m:r>
            <m:t>w</m:t>
          </m:r>
          <m:r>
            <m:rPr>
              <m:sty m:val="p"/>
            </m:rPr>
            <m:t>,</m:t>
          </m:r>
          <m:r>
            <m:t>N</m:t>
          </m:r>
          <m:r>
            <m:rPr>
              <m:sty m:val="p"/>
            </m:rPr>
            <m:t>,</m:t>
          </m:r>
          <m:r>
            <m:t>W</m:t>
          </m:r>
          <m:r>
            <m:rPr>
              <m:sty m:val="p"/>
            </m:rPr>
            <m:t>}</m:t>
          </m:r>
          <m:r>
            <m:rPr>
              <m:sty m:val="p"/>
            </m:rPr>
            <m:t>.</m:t>
          </m:r>
          <m:r>
            <m:t>  </m:t>
          </m:r>
          <m:r>
            <m:rPr>
              <m:nor/>
              <m:sty m:val="p"/>
            </m:rPr>
            <m:t>(A1)</m:t>
          </m:r>
        </m:oMath>
      </m:oMathPara>
    </w:p>
    <w:p>
      <w:pPr>
        <w:pStyle w:val="FirstParagraph"/>
      </w:pPr>
      <w:r>
        <w:t xml:space="preserve">其中，</w:t>
      </w:r>
      <m:oMath>
        <m:sSub>
          <m:e>
            <m:r>
              <m:t>P</m:t>
            </m:r>
          </m:e>
          <m:sub>
            <m:r>
              <m:t>g</m:t>
            </m:r>
            <m:r>
              <m:t>t</m:t>
            </m:r>
          </m:sub>
        </m:sSub>
      </m:oMath>
      <w:r>
        <w:t xml:space="preserve"> </w:t>
      </w:r>
      <w:r>
        <w:t xml:space="preserve">为原始政策文本，</w:t>
      </w:r>
      <m:oMath>
        <m:sSub>
          <m:e>
            <m:r>
              <m:t>z</m:t>
            </m:r>
          </m:e>
          <m:sub>
            <m:r>
              <m:t>g</m:t>
            </m:r>
            <m:r>
              <m:t>t</m:t>
            </m:r>
          </m:sub>
        </m:sSub>
      </m:oMath>
      <w:r>
        <w:t xml:space="preserve"> </w:t>
      </w:r>
      <w:r>
        <w:t xml:space="preserve">为细活动层面的结构化限制；</w:t>
      </w:r>
      <m:oMath>
        <m:sSub>
          <m:e>
            <m:r>
              <m:t>Z</m:t>
            </m:r>
          </m:e>
          <m:sub>
            <m:r>
              <m:t>f</m:t>
            </m:r>
            <m:r>
              <m:t>t</m:t>
            </m:r>
          </m:sub>
        </m:sSub>
      </m:oMath>
      <w:r>
        <w:t xml:space="preserve"> </w:t>
      </w:r>
      <w:r>
        <w:t xml:space="preserve">为由企业核心产品与政策原子匹配得到的企业政策暴露，</w:t>
      </w:r>
      <m:oMath>
        <m:sSub>
          <m:e>
            <m:r>
              <m:t>Y</m:t>
            </m:r>
          </m:e>
          <m:sub>
            <m:r>
              <m:t>f</m:t>
            </m:r>
            <m:r>
              <m:t>t</m:t>
            </m:r>
          </m:sub>
        </m:sSub>
      </m:oMath>
      <w:r>
        <w:t xml:space="preserve"> </w:t>
      </w:r>
      <w:r>
        <w:t xml:space="preserve">为企业层面的外资所有权、外资进入或跨国生产行为；</w:t>
      </w:r>
      <m:oMath>
        <m:sSubSup>
          <m:e>
            <m:r>
              <m:t>Z</m:t>
            </m:r>
          </m:e>
          <m:sub>
            <m:r>
              <m:t>j</m:t>
            </m:r>
            <m:r>
              <m:t>t</m:t>
            </m:r>
          </m:sub>
          <m:sup>
            <m:r>
              <m:t>a</m:t>
            </m:r>
            <m:r>
              <m:t>g</m:t>
            </m:r>
            <m:r>
              <m:t>g</m:t>
            </m:r>
          </m:sup>
        </m:sSubSup>
      </m:oMath>
      <w:r>
        <w:t xml:space="preserve"> </w:t>
      </w:r>
      <w:r>
        <w:t xml:space="preserve">为按“GB/T 4754 四位小类—ISIC Rev.4 四位组—ISIC Rev.4 两位类—OECD-AMNE 行业”固定权重聚合得到的行业政策暴露。基准识别使用企业层面的政策异质性估计政策对跨国投资行为的影响，再将其转换为 OECD-AMNE 行业层面的成本等价；行业聚合政策与 AMNE 反演成本主要用于宏观一致性检验。LLM 仅用于政策抽取及必要的语义匹配，不直接生成聚合权重、回归系数或结构成本参数。</w:t>
      </w:r>
    </w:p>
    <w:p w14:paraId="44722B6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AF8A66C" w14:textId="77777777" w:rsidR="002D0A3C" w:rsidRDefault="003B6787">
      <w:pPr>
        <w:pStyle w:val="3"/>
        <w:rPr>
          <w:lang w:eastAsia="zh-CN"/>
        </w:rPr>
      </w:pPr>
      <w:bookmarkStart w:id="1" w:name="a.1.1-政策版本与最小政策单元"/>
      <w:r>
        <w:rPr>
          <w:rFonts w:ascii="Times New Roman" w:eastAsia="宋体" w:hAnsi="Times New Roman"/>
          <w:lang w:eastAsia="zh-CN"/>
        </w:rPr>
        <w:t>A.1.1</w:t>
      </w:r>
      <w:r>
        <w:rPr>
          <w:rFonts w:ascii="Times New Roman" w:eastAsia="宋体" w:hAnsi="Times New Roman"/>
          <w:lang w:eastAsia="zh-CN"/>
        </w:rPr>
        <w:t xml:space="preserve">　政策版本与最小政策单元</w:t>
      </w:r>
    </w:p>
    <w:p w14:paraId="6015756B" w14:textId="77777777" w:rsidR="002D0A3C" w:rsidRDefault="003B6787">
      <w:pPr>
        <w:pStyle w:val="FirstParagraph"/>
        <w:ind w:firstLineChars="200"/>
        <w:rPr>
          <w:lang w:eastAsia="zh-CN"/>
        </w:rPr>
      </w:pPr>
      <w:r>
        <w:rPr>
          <w:lang w:eastAsia="zh-CN"/>
        </w:rPr>
        <w:t>政策数据库以正式生效的全国外资准入规则为版本单位；负面清单制度实施前，可用《外商投资产业指导目录》等连续政策文件衔接。文件名称、下载地址等作为文件级元数据单独保存，政策原子只保留识别年份、官方条目、细活动、限制内容、例外、适用范围和生效日期所需字段。</w:t>
      </w:r>
    </w:p>
    <w:p w14:paraId="32467133" w14:textId="77777777" w:rsidR="002D0A3C" w:rsidRDefault="003B6787">
      <w:pPr>
        <w:pStyle w:val="a0"/>
        <w:ind w:firstLineChars="200"/>
        <w:rPr>
          <w:lang w:eastAsia="zh-CN"/>
        </w:rPr>
      </w:pPr>
      <w:r>
        <w:rPr>
          <w:lang w:eastAsia="zh-CN"/>
        </w:rPr>
        <w:t>编码单位为最小可执行政策单元，而非官方序号。若同一序号包含多个经济活动或不同股比、治理条件，应拆分为多个原子记录，并以</w:t>
      </w:r>
      <w:r>
        <w:rPr>
          <w:lang w:eastAsia="zh-CN"/>
        </w:rPr>
        <w:t>measure_no</w:t>
      </w:r>
      <w:r>
        <w:rPr>
          <w:lang w:eastAsia="zh-CN"/>
        </w:rPr>
        <w:t>保留原序号。每行只对应一个经济活动及其约束集合，便于跨版本比较、行业映射和人工回溯。</w:t>
      </w:r>
    </w:p>
    <w:p w14:paraId="53717782" w14:textId="77777777" w:rsidR="002D0A3C" w:rsidRDefault="003B6787">
      <w:pPr>
        <w:pStyle w:val="a0"/>
        <w:keepNext/>
        <w:spacing w:before="100" w:after="60"/>
        <w:rPr>
          <w:lang w:eastAsia="zh-CN"/>
        </w:rPr>
      </w:pPr>
      <w:r>
        <w:rPr>
          <w:b/>
          <w:bCs/>
          <w:sz w:val="22"/>
          <w:lang w:eastAsia="zh-CN"/>
        </w:rPr>
        <w:t>表</w:t>
      </w:r>
      <w:r>
        <w:rPr>
          <w:b/>
          <w:bCs/>
          <w:sz w:val="22"/>
          <w:lang w:eastAsia="zh-CN"/>
        </w:rPr>
        <w:t>A1</w:t>
      </w:r>
      <w:r>
        <w:rPr>
          <w:b/>
          <w:bCs/>
          <w:sz w:val="22"/>
          <w:lang w:eastAsia="zh-CN"/>
        </w:rPr>
        <w:t xml:space="preserve">　政策原子记录的最小字段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7D5AF7A7"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302A917" w14:textId="77777777" w:rsidR="002D0A3C" w:rsidRDefault="003B6787">
            <w:r>
              <w:rPr>
                <w:rFonts w:ascii="Times New Roman" w:hAnsi="Times New Roman" w:eastAsia="宋体"/>
                <w:b/>
                <w:sz w:val="24"/>
              </w:rPr>
              <w:t>字段</w:t>
            </w:r>
          </w:p>
        </w:tc>
        <w:tc>
          <w:tcPr>
            <w:tcW w:w="2640" w:type="dxa"/>
            <w:vAlign w:val="center"/>
          </w:tcPr>
          <w:p w14:paraId="581DC2A7" w14:textId="77777777" w:rsidR="002D0A3C" w:rsidRDefault="003B6787">
            <w:r>
              <w:rPr>
                <w:rFonts w:ascii="Times New Roman" w:hAnsi="Times New Roman" w:eastAsia="宋体"/>
                <w:b/>
                <w:sz w:val="24"/>
              </w:rPr>
              <w:t>定义</w:t>
            </w:r>
          </w:p>
        </w:tc>
        <w:tc>
          <w:tcPr>
            <w:tcW w:w="2640" w:type="dxa"/>
            <w:vAlign w:val="center"/>
          </w:tcPr>
          <w:p w14:paraId="08C15EB5" w14:textId="77777777" w:rsidR="002D0A3C" w:rsidRDefault="003B6787">
            <w:r>
              <w:rPr>
                <w:rFonts w:ascii="Times New Roman" w:hAnsi="Times New Roman" w:eastAsia="宋体"/>
                <w:b/>
                <w:sz w:val="24"/>
              </w:rPr>
              <w:t>编码原则</w:t>
            </w:r>
          </w:p>
        </w:tc>
      </w:tr>
      <w:tr w:rsidR="002D0A3C" w14:paraId="41D54402" w14:textId="77777777" w:rsidTr="002D0A3C">
        <w:trPr>
          <w:cantSplit/>
          <w:jc w:val="center"/>
        </w:trPr>
        <w:tc>
          <w:tcPr>
            <w:tcW w:w="2640" w:type="dxa"/>
            <w:vAlign w:val="center"/>
          </w:tcPr>
          <w:p w14:paraId="25DBC0D3" w14:textId="77777777" w:rsidR="002D0A3C" w:rsidRDefault="003B6787">
            <w:r>
              <w:rPr>
                <w:rFonts w:ascii="Times New Roman" w:hAnsi="Times New Roman" w:eastAsia="宋体"/>
                <w:sz w:val="24"/>
              </w:rPr>
              <w:t>policy_year</w:t>
            </w:r>
          </w:p>
        </w:tc>
        <w:tc>
          <w:tcPr>
            <w:tcW w:w="2640" w:type="dxa"/>
            <w:vAlign w:val="center"/>
          </w:tcPr>
          <w:p w14:paraId="7A811B91" w14:textId="77777777" w:rsidR="002D0A3C" w:rsidRDefault="003B6787">
            <w:r>
              <w:rPr>
                <w:rFonts w:ascii="Times New Roman" w:hAnsi="Times New Roman" w:eastAsia="宋体"/>
                <w:sz w:val="24"/>
              </w:rPr>
              <w:t>政策版本年份</w:t>
            </w:r>
          </w:p>
        </w:tc>
        <w:tc>
          <w:tcPr>
            <w:tcW w:w="2640" w:type="dxa"/>
            <w:vAlign w:val="center"/>
          </w:tcPr>
          <w:p w14:paraId="460B7D5D" w14:textId="77777777" w:rsidR="002D0A3C" w:rsidRDefault="003B6787">
            <w:pPr>
              <w:rPr>
                <w:lang w:eastAsia="zh-CN"/>
              </w:rPr>
            </w:pPr>
            <w:r>
              <w:rPr>
                <w:rFonts w:ascii="Times New Roman" w:hAnsi="Times New Roman" w:eastAsia="宋体"/>
                <w:sz w:val="24"/>
                <w:lang w:eastAsia="zh-CN"/>
              </w:rPr>
              <w:t>按正式版本年份记录，如</w:t>
            </w:r>
            <w:r>
              <w:rPr>
                <w:rFonts w:ascii="Times New Roman" w:hAnsi="Times New Roman" w:eastAsia="宋体"/>
                <w:sz w:val="24"/>
                <w:lang w:eastAsia="zh-CN"/>
              </w:rPr>
              <w:t>2024</w:t>
            </w:r>
          </w:p>
        </w:tc>
      </w:tr>
      <w:tr w:rsidR="002D0A3C" w14:paraId="4C8430EE" w14:textId="77777777" w:rsidTr="002D0A3C">
        <w:trPr>
          <w:cantSplit/>
          <w:jc w:val="center"/>
        </w:trPr>
        <w:tc>
          <w:tcPr>
            <w:tcW w:w="2640" w:type="dxa"/>
            <w:vAlign w:val="center"/>
          </w:tcPr>
          <w:p w14:paraId="2D9ED7CB" w14:textId="77777777" w:rsidR="002D0A3C" w:rsidRDefault="003B6787">
            <w:r>
              <w:rPr>
                <w:rFonts w:ascii="Times New Roman" w:hAnsi="Times New Roman" w:eastAsia="宋体"/>
                <w:sz w:val="24"/>
              </w:rPr>
              <w:t>measure_no</w:t>
            </w:r>
          </w:p>
        </w:tc>
        <w:tc>
          <w:tcPr>
            <w:tcW w:w="2640" w:type="dxa"/>
            <w:vAlign w:val="center"/>
          </w:tcPr>
          <w:p w14:paraId="41C96322" w14:textId="77777777" w:rsidR="002D0A3C" w:rsidRDefault="003B6787">
            <w:r>
              <w:rPr>
                <w:rFonts w:ascii="Times New Roman" w:hAnsi="Times New Roman" w:eastAsia="宋体"/>
                <w:sz w:val="24"/>
              </w:rPr>
              <w:t>官方负面清单序号</w:t>
            </w:r>
          </w:p>
        </w:tc>
        <w:tc>
          <w:tcPr>
            <w:tcW w:w="2640" w:type="dxa"/>
            <w:vAlign w:val="center"/>
          </w:tcPr>
          <w:p w14:paraId="65ECE7C4" w14:textId="77777777" w:rsidR="002D0A3C" w:rsidRDefault="003B6787">
            <w:pPr>
              <w:rPr>
                <w:lang w:eastAsia="zh-CN"/>
              </w:rPr>
            </w:pPr>
            <w:r>
              <w:rPr>
                <w:rFonts w:ascii="Times New Roman" w:hAnsi="Times New Roman" w:eastAsia="宋体"/>
                <w:sz w:val="24"/>
                <w:lang w:eastAsia="zh-CN"/>
              </w:rPr>
              <w:t>保留与原文件序号的对应关系</w:t>
            </w:r>
          </w:p>
        </w:tc>
      </w:tr>
      <w:tr w:rsidR="002D0A3C" w14:paraId="45A6DC25" w14:textId="77777777" w:rsidTr="002D0A3C">
        <w:trPr>
          <w:cantSplit/>
          <w:jc w:val="center"/>
        </w:trPr>
        <w:tc>
          <w:tcPr>
            <w:tcW w:w="2640" w:type="dxa"/>
            <w:vAlign w:val="center"/>
          </w:tcPr>
          <w:p w14:paraId="0655F56D" w14:textId="77777777" w:rsidR="002D0A3C" w:rsidRDefault="003B6787">
            <w:r>
              <w:rPr>
                <w:rFonts w:ascii="Times New Roman" w:hAnsi="Times New Roman" w:eastAsia="宋体"/>
                <w:sz w:val="24"/>
              </w:rPr>
              <w:t>atom_id</w:t>
            </w:r>
          </w:p>
        </w:tc>
        <w:tc>
          <w:tcPr>
            <w:tcW w:w="2640" w:type="dxa"/>
            <w:vAlign w:val="center"/>
          </w:tcPr>
          <w:p w14:paraId="2AB51DB5" w14:textId="77777777" w:rsidR="002D0A3C" w:rsidRDefault="003B6787">
            <w:r>
              <w:rPr>
                <w:rFonts w:ascii="Times New Roman" w:hAnsi="Times New Roman" w:eastAsia="宋体"/>
                <w:sz w:val="24"/>
              </w:rPr>
              <w:t>政策原子唯一编号</w:t>
            </w:r>
          </w:p>
        </w:tc>
        <w:tc>
          <w:tcPr>
            <w:tcW w:w="2640" w:type="dxa"/>
            <w:vAlign w:val="center"/>
          </w:tcPr>
          <w:p w14:paraId="01416AB2" w14:textId="77777777" w:rsidR="002D0A3C" w:rsidRDefault="003B6787">
            <w:pPr>
              <w:rPr>
                <w:lang w:eastAsia="zh-CN"/>
              </w:rPr>
            </w:pPr>
            <w:r>
              <w:rPr>
                <w:rFonts w:ascii="Times New Roman" w:hAnsi="Times New Roman" w:eastAsia="宋体"/>
                <w:sz w:val="24"/>
                <w:lang w:eastAsia="zh-CN"/>
              </w:rPr>
              <w:t>同一序号拆分后以</w:t>
            </w:r>
            <w:r>
              <w:rPr>
                <w:rFonts w:ascii="Times New Roman" w:hAnsi="Times New Roman" w:eastAsia="宋体"/>
                <w:sz w:val="24"/>
                <w:lang w:eastAsia="zh-CN"/>
              </w:rPr>
              <w:t>A</w:t>
            </w:r>
            <w:r>
              <w:rPr>
                <w:rFonts w:ascii="Times New Roman" w:hAnsi="Times New Roman" w:eastAsia="宋体"/>
                <w:sz w:val="24"/>
                <w:lang w:eastAsia="zh-CN"/>
              </w:rPr>
              <w:t>、</w:t>
            </w:r>
            <w:r>
              <w:rPr>
                <w:rFonts w:ascii="Times New Roman" w:hAnsi="Times New Roman" w:eastAsia="宋体"/>
                <w:sz w:val="24"/>
                <w:lang w:eastAsia="zh-CN"/>
              </w:rPr>
              <w:t>B</w:t>
            </w:r>
            <w:r>
              <w:rPr>
                <w:rFonts w:ascii="Times New Roman" w:hAnsi="Times New Roman" w:eastAsia="宋体"/>
                <w:sz w:val="24"/>
                <w:lang w:eastAsia="zh-CN"/>
              </w:rPr>
              <w:t>、</w:t>
            </w:r>
            <w:r>
              <w:rPr>
                <w:rFonts w:ascii="Times New Roman" w:hAnsi="Times New Roman" w:eastAsia="宋体"/>
                <w:sz w:val="24"/>
                <w:lang w:eastAsia="zh-CN"/>
              </w:rPr>
              <w:t>C</w:t>
            </w:r>
            <w:r>
              <w:rPr>
                <w:rFonts w:ascii="Times New Roman" w:hAnsi="Times New Roman" w:eastAsia="宋体"/>
                <w:sz w:val="24"/>
                <w:lang w:eastAsia="zh-CN"/>
              </w:rPr>
              <w:t>等区分</w:t>
            </w:r>
          </w:p>
        </w:tc>
      </w:tr>
      <w:tr w:rsidR="002D0A3C" w14:paraId="2EE165D7" w14:textId="77777777" w:rsidTr="002D0A3C">
        <w:trPr>
          <w:cantSplit/>
          <w:jc w:val="center"/>
        </w:trPr>
        <w:tc>
          <w:tcPr>
            <w:tcW w:w="2640" w:type="dxa"/>
            <w:vAlign w:val="center"/>
          </w:tcPr>
          <w:p w14:paraId="2D585B19" w14:textId="77777777" w:rsidR="002D0A3C" w:rsidRDefault="003B6787">
            <w:r>
              <w:rPr>
                <w:rFonts w:ascii="Times New Roman" w:hAnsi="Times New Roman" w:eastAsia="宋体"/>
                <w:sz w:val="24"/>
              </w:rPr>
              <w:t>sector_heading</w:t>
            </w:r>
          </w:p>
        </w:tc>
        <w:tc>
          <w:tcPr>
            <w:tcW w:w="2640" w:type="dxa"/>
            <w:vAlign w:val="center"/>
          </w:tcPr>
          <w:p w14:paraId="31ABA35A" w14:textId="77777777" w:rsidR="002D0A3C" w:rsidRDefault="003B6787">
            <w:r>
              <w:rPr>
                <w:rFonts w:ascii="Times New Roman" w:hAnsi="Times New Roman" w:eastAsia="宋体"/>
                <w:sz w:val="24"/>
              </w:rPr>
              <w:t>负面清单行业大类</w:t>
            </w:r>
          </w:p>
        </w:tc>
        <w:tc>
          <w:tcPr>
            <w:tcW w:w="2640" w:type="dxa"/>
            <w:vAlign w:val="center"/>
          </w:tcPr>
          <w:p w14:paraId="20A6824C" w14:textId="77777777" w:rsidR="002D0A3C" w:rsidRDefault="003B6787">
            <w:pPr>
              <w:rPr>
                <w:lang w:eastAsia="zh-CN"/>
              </w:rPr>
            </w:pPr>
            <w:r>
              <w:rPr>
                <w:rFonts w:ascii="Times New Roman" w:hAnsi="Times New Roman" w:eastAsia="宋体"/>
                <w:sz w:val="24"/>
                <w:lang w:eastAsia="zh-CN"/>
              </w:rPr>
              <w:t>保留原文件中的行业标题</w:t>
            </w:r>
          </w:p>
        </w:tc>
      </w:tr>
      <w:tr w:rsidR="002D0A3C" w14:paraId="77B064DE" w14:textId="77777777" w:rsidTr="002D0A3C">
        <w:trPr>
          <w:cantSplit/>
          <w:jc w:val="center"/>
        </w:trPr>
        <w:tc>
          <w:tcPr>
            <w:tcW w:w="2640" w:type="dxa"/>
            <w:vAlign w:val="center"/>
          </w:tcPr>
          <w:p w14:paraId="180CC6D8" w14:textId="77777777" w:rsidR="002D0A3C" w:rsidRDefault="003B6787">
            <w:r>
              <w:rPr>
                <w:rFonts w:ascii="Times New Roman" w:hAnsi="Times New Roman" w:eastAsia="宋体"/>
                <w:sz w:val="24"/>
              </w:rPr>
              <w:t>activity_text</w:t>
            </w:r>
          </w:p>
        </w:tc>
        <w:tc>
          <w:tcPr>
            <w:tcW w:w="2640" w:type="dxa"/>
            <w:vAlign w:val="center"/>
          </w:tcPr>
          <w:p w14:paraId="3D3508DD" w14:textId="77777777" w:rsidR="002D0A3C" w:rsidRDefault="003B6787">
            <w:r>
              <w:rPr>
                <w:rFonts w:ascii="Times New Roman" w:hAnsi="Times New Roman" w:eastAsia="宋体"/>
                <w:sz w:val="24"/>
              </w:rPr>
              <w:t>最小细分经济活动</w:t>
            </w:r>
          </w:p>
        </w:tc>
        <w:tc>
          <w:tcPr>
            <w:tcW w:w="2640" w:type="dxa"/>
            <w:vAlign w:val="center"/>
          </w:tcPr>
          <w:p w14:paraId="36A1C932" w14:textId="77777777" w:rsidR="002D0A3C" w:rsidRDefault="003B6787">
            <w:pPr>
              <w:rPr>
                <w:lang w:eastAsia="zh-CN"/>
              </w:rPr>
            </w:pPr>
            <w:r>
              <w:rPr>
                <w:rFonts w:ascii="Times New Roman" w:hAnsi="Times New Roman" w:eastAsia="宋体"/>
                <w:sz w:val="24"/>
                <w:lang w:eastAsia="zh-CN"/>
              </w:rPr>
              <w:t>尽量沿用原文，不用</w:t>
            </w:r>
            <w:r>
              <w:rPr>
                <w:rFonts w:ascii="Times New Roman" w:hAnsi="Times New Roman" w:eastAsia="宋体"/>
                <w:sz w:val="24"/>
                <w:lang w:eastAsia="zh-CN"/>
              </w:rPr>
              <w:t>LLM</w:t>
            </w:r>
            <w:r>
              <w:rPr>
                <w:rFonts w:ascii="Times New Roman" w:hAnsi="Times New Roman" w:eastAsia="宋体"/>
                <w:sz w:val="24"/>
                <w:lang w:eastAsia="zh-CN"/>
              </w:rPr>
              <w:t>改写替代</w:t>
            </w:r>
          </w:p>
        </w:tc>
      </w:tr>
      <w:tr w:rsidR="002D0A3C" w14:paraId="2B9A6327" w14:textId="77777777" w:rsidTr="002D0A3C">
        <w:trPr>
          <w:cantSplit/>
          <w:jc w:val="center"/>
        </w:trPr>
        <w:tc>
          <w:tcPr>
            <w:tcW w:w="2640" w:type="dxa"/>
            <w:vAlign w:val="center"/>
          </w:tcPr>
          <w:p w14:paraId="451A9375" w14:textId="77777777" w:rsidR="002D0A3C" w:rsidRDefault="003B6787">
            <w:r>
              <w:rPr>
                <w:rFonts w:ascii="Times New Roman" w:hAnsi="Times New Roman" w:eastAsia="宋体"/>
                <w:sz w:val="24"/>
              </w:rPr>
              <w:t>restriction_text</w:t>
            </w:r>
          </w:p>
        </w:tc>
        <w:tc>
          <w:tcPr>
            <w:tcW w:w="2640" w:type="dxa"/>
            <w:vAlign w:val="center"/>
          </w:tcPr>
          <w:p w14:paraId="2797BE41" w14:textId="77777777" w:rsidR="002D0A3C" w:rsidRDefault="003B6787">
            <w:pPr>
              <w:rPr>
                <w:lang w:eastAsia="zh-CN"/>
              </w:rPr>
            </w:pPr>
            <w:r>
              <w:rPr>
                <w:rFonts w:ascii="Times New Roman" w:hAnsi="Times New Roman" w:eastAsia="宋体"/>
                <w:sz w:val="24"/>
                <w:lang w:eastAsia="zh-CN"/>
              </w:rPr>
              <w:t>该活动适用的限制原文</w:t>
            </w:r>
          </w:p>
        </w:tc>
        <w:tc>
          <w:tcPr>
            <w:tcW w:w="2640" w:type="dxa"/>
            <w:vAlign w:val="center"/>
          </w:tcPr>
          <w:p w14:paraId="036A99C9" w14:textId="77777777" w:rsidR="002D0A3C" w:rsidRDefault="003B6787">
            <w:pPr>
              <w:rPr>
                <w:lang w:eastAsia="zh-CN"/>
              </w:rPr>
            </w:pPr>
            <w:r>
              <w:rPr>
                <w:rFonts w:ascii="Times New Roman" w:hAnsi="Times New Roman" w:eastAsia="宋体"/>
                <w:sz w:val="24"/>
                <w:lang w:eastAsia="zh-CN"/>
              </w:rPr>
              <w:t>保留股比、控制、组织形式、治理等限定词</w:t>
            </w:r>
          </w:p>
        </w:tc>
      </w:tr>
      <w:tr w:rsidR="002D0A3C" w14:paraId="6FF61AFA" w14:textId="77777777" w:rsidTr="002D0A3C">
        <w:trPr>
          <w:cantSplit/>
          <w:jc w:val="center"/>
        </w:trPr>
        <w:tc>
          <w:tcPr>
            <w:tcW w:w="2640" w:type="dxa"/>
            <w:vAlign w:val="center"/>
          </w:tcPr>
          <w:p w14:paraId="5CDA8C4F" w14:textId="77777777" w:rsidR="002D0A3C" w:rsidRDefault="003B6787">
            <w:r>
              <w:rPr>
                <w:rFonts w:ascii="Times New Roman" w:hAnsi="Times New Roman" w:eastAsia="宋体"/>
                <w:sz w:val="24"/>
              </w:rPr>
              <w:lastRenderedPageBreak/>
              <w:t>exception_text</w:t>
            </w:r>
          </w:p>
        </w:tc>
        <w:tc>
          <w:tcPr>
            <w:tcW w:w="2640" w:type="dxa"/>
            <w:vAlign w:val="center"/>
          </w:tcPr>
          <w:p w14:paraId="474594EE" w14:textId="77777777" w:rsidR="002D0A3C" w:rsidRDefault="003B6787">
            <w:r>
              <w:rPr>
                <w:rFonts w:ascii="Times New Roman" w:hAnsi="Times New Roman" w:eastAsia="宋体"/>
                <w:sz w:val="24"/>
              </w:rPr>
              <w:t>明确的例外内容</w:t>
            </w:r>
          </w:p>
        </w:tc>
        <w:tc>
          <w:tcPr>
            <w:tcW w:w="2640" w:type="dxa"/>
            <w:vAlign w:val="center"/>
          </w:tcPr>
          <w:p w14:paraId="536F4D52" w14:textId="77777777" w:rsidR="002D0A3C" w:rsidRDefault="003B6787">
            <w:r>
              <w:rPr>
                <w:rFonts w:ascii="Times New Roman" w:hAnsi="Times New Roman" w:eastAsia="宋体"/>
                <w:sz w:val="24"/>
              </w:rPr>
              <w:t>无例外时为空</w:t>
            </w:r>
          </w:p>
        </w:tc>
      </w:tr>
      <w:tr w:rsidR="002D0A3C" w14:paraId="7893F32B" w14:textId="77777777" w:rsidTr="002D0A3C">
        <w:trPr>
          <w:cantSplit/>
          <w:jc w:val="center"/>
        </w:trPr>
        <w:tc>
          <w:tcPr>
            <w:tcW w:w="2640" w:type="dxa"/>
            <w:vAlign w:val="center"/>
          </w:tcPr>
          <w:p w14:paraId="4F75E101" w14:textId="77777777" w:rsidR="002D0A3C" w:rsidRDefault="003B6787">
            <w:r>
              <w:rPr>
                <w:rFonts w:ascii="Times New Roman" w:hAnsi="Times New Roman" w:eastAsia="宋体"/>
                <w:sz w:val="24"/>
              </w:rPr>
              <w:t>scope_text</w:t>
            </w:r>
          </w:p>
        </w:tc>
        <w:tc>
          <w:tcPr>
            <w:tcW w:w="2640" w:type="dxa"/>
            <w:vAlign w:val="center"/>
          </w:tcPr>
          <w:p w14:paraId="7845CAB0" w14:textId="77777777" w:rsidR="002D0A3C" w:rsidRDefault="003B6787">
            <w:r>
              <w:rPr>
                <w:rFonts w:ascii="Times New Roman" w:hAnsi="Times New Roman" w:eastAsia="宋体"/>
                <w:sz w:val="24"/>
              </w:rPr>
              <w:t>特殊适用范围或前提</w:t>
            </w:r>
          </w:p>
        </w:tc>
        <w:tc>
          <w:tcPr>
            <w:tcW w:w="2640" w:type="dxa"/>
            <w:vAlign w:val="center"/>
          </w:tcPr>
          <w:p w14:paraId="287DAE49" w14:textId="77777777" w:rsidR="002D0A3C" w:rsidRDefault="003B6787">
            <w:pPr>
              <w:rPr>
                <w:lang w:eastAsia="zh-CN"/>
              </w:rPr>
            </w:pPr>
            <w:r>
              <w:rPr>
                <w:rFonts w:ascii="Times New Roman" w:hAnsi="Times New Roman" w:eastAsia="宋体"/>
                <w:sz w:val="24"/>
                <w:lang w:eastAsia="zh-CN"/>
              </w:rPr>
              <w:t>如</w:t>
            </w:r>
            <w:r>
              <w:rPr>
                <w:rFonts w:ascii="Times New Roman" w:hAnsi="Times New Roman" w:eastAsia="宋体"/>
                <w:sz w:val="24"/>
                <w:lang w:eastAsia="zh-CN"/>
              </w:rPr>
              <w:t>“</w:t>
            </w:r>
            <w:r>
              <w:rPr>
                <w:rFonts w:ascii="Times New Roman" w:hAnsi="Times New Roman" w:eastAsia="宋体"/>
                <w:sz w:val="24"/>
                <w:lang w:eastAsia="zh-CN"/>
              </w:rPr>
              <w:t>限于中国入世承诺开放的电信业务</w:t>
            </w:r>
            <w:r>
              <w:rPr>
                <w:rFonts w:ascii="Times New Roman" w:hAnsi="Times New Roman" w:eastAsia="宋体"/>
                <w:sz w:val="24"/>
                <w:lang w:eastAsia="zh-CN"/>
              </w:rPr>
              <w:t>”</w:t>
            </w:r>
          </w:p>
        </w:tc>
      </w:tr>
      <w:tr w:rsidR="002D0A3C" w14:paraId="44C660A5" w14:textId="77777777" w:rsidTr="002D0A3C">
        <w:trPr>
          <w:cantSplit/>
          <w:jc w:val="center"/>
        </w:trPr>
        <w:tc>
          <w:tcPr>
            <w:tcW w:w="2640" w:type="dxa"/>
            <w:vAlign w:val="center"/>
          </w:tcPr>
          <w:p w14:paraId="5EE4B1DB" w14:textId="77777777" w:rsidR="002D0A3C" w:rsidRDefault="003B6787">
            <w:r>
              <w:rPr>
                <w:rFonts w:ascii="Times New Roman" w:hAnsi="Times New Roman" w:eastAsia="宋体"/>
                <w:sz w:val="24"/>
              </w:rPr>
              <w:t>effective_from</w:t>
            </w:r>
          </w:p>
        </w:tc>
        <w:tc>
          <w:tcPr>
            <w:tcW w:w="2640" w:type="dxa"/>
            <w:vAlign w:val="center"/>
          </w:tcPr>
          <w:p w14:paraId="0687F481" w14:textId="77777777" w:rsidR="002D0A3C" w:rsidRDefault="003B6787">
            <w:r>
              <w:rPr>
                <w:rFonts w:ascii="Times New Roman" w:hAnsi="Times New Roman" w:eastAsia="宋体"/>
                <w:sz w:val="24"/>
              </w:rPr>
              <w:t>实际生效日期</w:t>
            </w:r>
          </w:p>
        </w:tc>
        <w:tc>
          <w:tcPr>
            <w:tcW w:w="2640" w:type="dxa"/>
            <w:vAlign w:val="center"/>
          </w:tcPr>
          <w:p w14:paraId="28BBB974" w14:textId="77777777" w:rsidR="002D0A3C" w:rsidRDefault="003B6787">
            <w:pPr>
              <w:rPr>
                <w:lang w:eastAsia="zh-CN"/>
              </w:rPr>
            </w:pPr>
            <w:r>
              <w:rPr>
                <w:rFonts w:ascii="Times New Roman" w:hAnsi="Times New Roman" w:eastAsia="宋体"/>
                <w:sz w:val="24"/>
                <w:lang w:eastAsia="zh-CN"/>
              </w:rPr>
              <w:t>用于把政策版本准确归入年度</w:t>
            </w:r>
          </w:p>
        </w:tc>
      </w:tr>
    </w:tbl>
    <w:p w14:paraId="09767B0D" w14:textId="77777777" w:rsidR="002D0A3C" w:rsidRDefault="003B6787">
      <w:pPr>
        <w:pStyle w:val="3"/>
        <w:rPr>
          <w:lang w:eastAsia="zh-CN"/>
        </w:rPr>
      </w:pPr>
      <w:bookmarkStart w:id="2" w:name="a.1.2-限制变量的定义"/>
      <w:bookmarkEnd w:id="1"/>
      <w:r>
        <w:rPr>
          <w:rFonts w:ascii="Times New Roman" w:eastAsia="宋体" w:hAnsi="Times New Roman"/>
          <w:lang w:eastAsia="zh-CN"/>
        </w:rPr>
        <w:t>A.1.2</w:t>
      </w:r>
      <w:r>
        <w:rPr>
          <w:rFonts w:ascii="Times New Roman" w:eastAsia="宋体" w:hAnsi="Times New Roman"/>
          <w:lang w:eastAsia="zh-CN"/>
        </w:rPr>
        <w:t xml:space="preserve">　限制变量的定义</w:t>
      </w:r>
    </w:p>
    <w:p w14:paraId="215B64C9" w14:textId="6A71E9C1" w:rsidR="002D0A3C" w:rsidRDefault="003B6787">
      <w:pPr>
        <w:pStyle w:val="FirstParagraph"/>
        <w:spacing w:before="80" w:after="80" w:line="240" w:lineRule="auto"/>
        <w:ind w:firstLineChars="200"/>
        <w:rPr>
          <w:lang w:eastAsia="zh-CN"/>
        </w:rPr>
      </w:pPr>
      <w:r>
        <w:rPr>
          <w:lang w:eastAsia="zh-CN"/>
        </w:rPr>
        <w:t>LLM</w:t>
      </w:r>
      <w:r>
        <w:rPr>
          <w:lang w:eastAsia="zh-CN"/>
        </w:rPr>
        <w:t>的第一项任务是从原文中抽取可核验的法律事实，对每个细活动</w:t>
      </w:r>
      <w:r>
        <w:rPr>
          <w:lang w:eastAsia="zh-CN"/>
        </w:rPr>
        <w:t xml:space="preserve"> </w:t>
      </w:r>
      <m:oMath>
        <m:r>
          <w:rPr>
            <w:rFonts w:ascii="Cambria Math" w:hAnsi="Cambria Math"/>
            <w:lang w:eastAsia="zh-CN"/>
          </w:rPr>
          <m:t>g</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4A363C4D" w14:textId="77777777" w:rsidR="002D0A3C" w:rsidRDefault="008D4006">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1DB4222D"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表示其他准入限制。数据库字段及编码见表</w:t>
      </w:r>
      <w:r>
        <w:rPr>
          <w:lang w:eastAsia="zh-CN"/>
        </w:rPr>
        <w:t>A2</w:t>
      </w:r>
      <w:r>
        <w:rPr>
          <w:lang w:eastAsia="zh-CN"/>
        </w:rPr>
        <w:t>。</w:t>
      </w:r>
    </w:p>
    <w:p w14:paraId="228FE7C6"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06F5679A"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05BB5F17" w14:textId="77777777" w:rsidR="002D0A3C" w:rsidRDefault="003B6787">
            <w:r>
              <w:rPr>
                <w:rFonts w:ascii="Times New Roman" w:hAnsi="Times New Roman" w:eastAsia="宋体"/>
                <w:b/>
                <w:sz w:val="24"/>
              </w:rPr>
              <w:t>字段</w:t>
            </w:r>
          </w:p>
        </w:tc>
        <w:tc>
          <w:tcPr>
            <w:tcW w:w="2640" w:type="dxa"/>
            <w:vAlign w:val="center"/>
          </w:tcPr>
          <w:p w14:paraId="003BA5C3" w14:textId="77777777" w:rsidR="002D0A3C" w:rsidRDefault="003B6787">
            <w:r>
              <w:rPr>
                <w:rFonts w:ascii="Times New Roman" w:hAnsi="Times New Roman" w:eastAsia="宋体"/>
                <w:b/>
                <w:sz w:val="24"/>
              </w:rPr>
              <w:t>经济含义</w:t>
            </w:r>
          </w:p>
        </w:tc>
        <w:tc>
          <w:tcPr>
            <w:tcW w:w="2640" w:type="dxa"/>
            <w:vAlign w:val="center"/>
          </w:tcPr>
          <w:p w14:paraId="0B52EA5B" w14:textId="77777777" w:rsidR="002D0A3C" w:rsidRDefault="003B6787">
            <w:r>
              <w:rPr>
                <w:rFonts w:ascii="Times New Roman" w:hAnsi="Times New Roman" w:eastAsia="宋体"/>
                <w:b/>
                <w:sz w:val="24"/>
              </w:rPr>
              <w:t>基准编码</w:t>
            </w:r>
          </w:p>
        </w:tc>
      </w:tr>
      <w:tr w:rsidR="002D0A3C" w14:paraId="0FFCC79B" w14:textId="77777777" w:rsidTr="002D0A3C">
        <w:trPr>
          <w:cantSplit/>
          <w:jc w:val="center"/>
        </w:trPr>
        <w:tc>
          <w:tcPr>
            <w:tcW w:w="2640" w:type="dxa"/>
            <w:vAlign w:val="center"/>
          </w:tcPr>
          <w:p w14:paraId="0F9425D4" w14:textId="77777777" w:rsidR="002D0A3C" w:rsidRDefault="003B6787">
            <w:r>
              <w:rPr>
                <w:rFonts w:ascii="Times New Roman" w:hAnsi="Times New Roman" w:eastAsia="宋体"/>
                <w:sz w:val="24"/>
              </w:rPr>
              <w:t>access_status</w:t>
            </w:r>
          </w:p>
        </w:tc>
        <w:tc>
          <w:tcPr>
            <w:tcW w:w="2640" w:type="dxa"/>
            <w:vAlign w:val="center"/>
          </w:tcPr>
          <w:p w14:paraId="417BE4A6" w14:textId="77777777" w:rsidR="002D0A3C" w:rsidRDefault="003B6787">
            <w:pPr>
              <w:rPr>
                <w:lang w:eastAsia="zh-CN"/>
              </w:rPr>
            </w:pPr>
            <w:r>
              <w:rPr>
                <w:rFonts w:ascii="Times New Roman" w:hAnsi="Times New Roman" w:eastAsia="宋体"/>
                <w:sz w:val="24"/>
                <w:lang w:eastAsia="zh-CN"/>
              </w:rPr>
              <w:t>完全禁止或有条件准入</w:t>
            </w:r>
          </w:p>
        </w:tc>
        <w:tc>
          <w:tcPr>
            <w:tcW w:w="2640" w:type="dxa"/>
            <w:vAlign w:val="center"/>
          </w:tcPr>
          <w:p w14:paraId="48FF94D0" w14:textId="77777777" w:rsidR="002D0A3C" w:rsidRDefault="003B6787">
            <w:r>
              <w:rPr>
                <w:rFonts w:ascii="Times New Roman" w:hAnsi="Times New Roman" w:eastAsia="宋体"/>
                <w:sz w:val="24"/>
              </w:rPr>
              <w:t>prohibited / conditional</w:t>
            </w:r>
            <w:r>
              <w:rPr>
                <w:rFonts w:ascii="Times New Roman" w:hAnsi="Times New Roman" w:eastAsia="宋体"/>
                <w:sz w:val="24"/>
              </w:rPr>
              <w:t>；后续由此生成禁止指标</w:t>
            </w:r>
            <w:r>
              <w:rPr>
                <w:rFonts w:ascii="Times New Roman" w:hAnsi="Times New Roman" w:eastAsia="宋体"/>
                <w:sz w:val="24"/>
              </w:rPr>
              <w:t xml:space="preserve"> </w:t>
            </w:r>
            <m:oMath>
              <m:r>
                <w:rPr>
                  <w:rFonts w:ascii="Cambria Math" w:hAnsi="Cambria Math"/>
                  <w:lang w:eastAsia="zh-CN"/>
                </w:rPr>
                <m:t>P</m:t>
              </m:r>
            </m:oMath>
          </w:p>
        </w:tc>
      </w:tr>
      <w:tr w:rsidR="002D0A3C" w14:paraId="4C0BDBE1" w14:textId="77777777" w:rsidTr="002D0A3C">
        <w:trPr>
          <w:cantSplit/>
          <w:jc w:val="center"/>
        </w:trPr>
        <w:tc>
          <w:tcPr>
            <w:tcW w:w="2640" w:type="dxa"/>
            <w:vAlign w:val="center"/>
          </w:tcPr>
          <w:p w14:paraId="6F824931" w14:textId="77777777" w:rsidR="002D0A3C" w:rsidRDefault="003B6787">
            <w:r>
              <w:rPr>
                <w:rFonts w:ascii="Times New Roman" w:hAnsi="Times New Roman" w:eastAsia="宋体"/>
                <w:sz w:val="24"/>
              </w:rPr>
              <w:t>foreign_equity_cap</w:t>
            </w:r>
          </w:p>
        </w:tc>
        <w:tc>
          <w:tcPr>
            <w:tcW w:w="2640" w:type="dxa"/>
            <w:vAlign w:val="center"/>
          </w:tcPr>
          <w:p w14:paraId="743ECC5E" w14:textId="77777777" w:rsidR="002D0A3C" w:rsidRDefault="003B6787">
            <w:pPr>
              <w:rPr>
                <w:lang w:eastAsia="zh-CN"/>
              </w:rPr>
            </w:pPr>
            <w:r>
              <w:rPr>
                <w:rFonts w:ascii="Times New Roman" w:hAnsi="Times New Roman" w:eastAsia="宋体"/>
                <w:sz w:val="24"/>
                <w:lang w:eastAsia="zh-CN"/>
              </w:rPr>
              <w:t>有效外资最高持股比例</w:t>
            </w:r>
          </w:p>
        </w:tc>
        <w:tc>
          <w:tcPr>
            <w:tcW w:w="2640" w:type="dxa"/>
            <w:vAlign w:val="center"/>
          </w:tcPr>
          <w:p w14:paraId="28331DD2" w14:textId="77777777" w:rsidR="002D0A3C" w:rsidRDefault="003B6787">
            <w:pPr>
              <w:rPr>
                <w:lang w:eastAsia="zh-CN"/>
              </w:rPr>
            </w:pPr>
            <w:r>
              <w:rPr>
                <w:rFonts w:ascii="Times New Roman" w:hAnsi="Times New Roman" w:eastAsia="宋体"/>
                <w:sz w:val="24"/>
                <w:lang w:eastAsia="zh-CN"/>
              </w:rPr>
              <w:t>0—1</w:t>
            </w:r>
            <w:r>
              <w:rPr>
                <w:rFonts w:ascii="Times New Roman" w:hAnsi="Times New Roman" w:eastAsia="宋体"/>
                <w:sz w:val="24"/>
                <w:lang w:eastAsia="zh-CN"/>
              </w:rPr>
              <w:t>；有明确数值依据时记录，无明确阈值为缺失</w:t>
            </w:r>
          </w:p>
        </w:tc>
      </w:tr>
      <w:tr w:rsidR="002D0A3C" w14:paraId="4A17C533" w14:textId="77777777" w:rsidTr="002D0A3C">
        <w:trPr>
          <w:cantSplit/>
          <w:jc w:val="center"/>
        </w:trPr>
        <w:tc>
          <w:tcPr>
            <w:tcW w:w="2640" w:type="dxa"/>
            <w:vAlign w:val="center"/>
          </w:tcPr>
          <w:p w14:paraId="7DFF115D" w14:textId="77777777" w:rsidR="002D0A3C" w:rsidRDefault="003B6787">
            <w:r>
              <w:rPr>
                <w:rFonts w:ascii="Times New Roman" w:hAnsi="Times New Roman" w:eastAsia="宋体"/>
                <w:sz w:val="24"/>
              </w:rPr>
              <w:t>chinese_control</w:t>
            </w:r>
          </w:p>
        </w:tc>
        <w:tc>
          <w:tcPr>
            <w:tcW w:w="2640" w:type="dxa"/>
            <w:vAlign w:val="center"/>
          </w:tcPr>
          <w:p w14:paraId="3D4A19B1" w14:textId="77777777" w:rsidR="002D0A3C" w:rsidRDefault="003B6787">
            <w:r>
              <w:rPr>
                <w:rFonts w:ascii="Times New Roman" w:hAnsi="Times New Roman" w:eastAsia="宋体"/>
                <w:sz w:val="24"/>
              </w:rPr>
              <w:t>中方控制要求</w:t>
            </w:r>
          </w:p>
        </w:tc>
        <w:tc>
          <w:tcPr>
            <w:tcW w:w="2640" w:type="dxa"/>
            <w:vAlign w:val="center"/>
          </w:tcPr>
          <w:p w14:paraId="5EC86D59" w14:textId="77777777" w:rsidR="002D0A3C" w:rsidRDefault="003B6787">
            <w:pPr>
              <w:rPr>
                <w:lang w:eastAsia="zh-CN"/>
              </w:rPr>
            </w:pPr>
            <w:r>
              <w:rPr>
                <w:rFonts w:ascii="Times New Roman" w:hAnsi="Times New Roman" w:eastAsia="宋体"/>
                <w:sz w:val="24"/>
                <w:lang w:eastAsia="zh-CN"/>
              </w:rPr>
              <w:t>“</w:t>
            </w:r>
            <w:r>
              <w:rPr>
                <w:rFonts w:ascii="Times New Roman" w:hAnsi="Times New Roman" w:eastAsia="宋体"/>
                <w:sz w:val="24"/>
                <w:lang w:eastAsia="zh-CN"/>
              </w:rPr>
              <w:t>中方控股</w:t>
            </w:r>
            <w:r>
              <w:rPr>
                <w:rFonts w:ascii="Times New Roman" w:hAnsi="Times New Roman" w:eastAsia="宋体"/>
                <w:sz w:val="24"/>
                <w:lang w:eastAsia="zh-CN"/>
              </w:rPr>
              <w:t>”“</w:t>
            </w:r>
            <w:r>
              <w:rPr>
                <w:rFonts w:ascii="Times New Roman" w:hAnsi="Times New Roman" w:eastAsia="宋体"/>
                <w:sz w:val="24"/>
                <w:lang w:eastAsia="zh-CN"/>
              </w:rPr>
              <w:t>中方相对控股</w:t>
            </w:r>
            <w:r>
              <w:rPr>
                <w:rFonts w:ascii="Times New Roman" w:hAnsi="Times New Roman" w:eastAsia="宋体"/>
                <w:sz w:val="24"/>
                <w:lang w:eastAsia="zh-CN"/>
              </w:rPr>
              <w:t>”“</w:t>
            </w:r>
            <w:r>
              <w:rPr>
                <w:rFonts w:ascii="Times New Roman" w:hAnsi="Times New Roman" w:eastAsia="宋体"/>
                <w:sz w:val="24"/>
                <w:lang w:eastAsia="zh-CN"/>
              </w:rPr>
              <w:t>中方主导</w:t>
            </w:r>
            <w:r>
              <w:rPr>
                <w:rFonts w:ascii="Times New Roman" w:hAnsi="Times New Roman" w:eastAsia="宋体"/>
                <w:sz w:val="24"/>
                <w:lang w:eastAsia="zh-CN"/>
              </w:rPr>
              <w:t>”</w:t>
            </w:r>
            <w:r>
              <w:rPr>
                <w:rFonts w:ascii="Times New Roman" w:hAnsi="Times New Roman" w:eastAsia="宋体"/>
                <w:sz w:val="24"/>
                <w:lang w:eastAsia="zh-CN"/>
              </w:rPr>
              <w:t>等统一为</w:t>
            </w:r>
            <w:r>
              <w:rPr>
                <w:rFonts w:ascii="Times New Roman" w:hAnsi="Times New Roman" w:eastAsia="宋体"/>
                <w:sz w:val="24"/>
                <w:lang w:eastAsia="zh-CN"/>
              </w:rPr>
              <w:t>1</w:t>
            </w:r>
          </w:p>
        </w:tc>
      </w:tr>
      <w:tr w:rsidR="002D0A3C" w14:paraId="2BE3A911" w14:textId="77777777" w:rsidTr="002D0A3C">
        <w:trPr>
          <w:cantSplit/>
          <w:jc w:val="center"/>
        </w:trPr>
        <w:tc>
          <w:tcPr>
            <w:tcW w:w="2640" w:type="dxa"/>
            <w:vAlign w:val="center"/>
          </w:tcPr>
          <w:p w14:paraId="0CF51584" w14:textId="77777777" w:rsidR="002D0A3C" w:rsidRDefault="003B6787">
            <w:r>
              <w:rPr>
                <w:rFonts w:ascii="Times New Roman" w:hAnsi="Times New Roman" w:eastAsia="宋体"/>
                <w:sz w:val="24"/>
              </w:rPr>
              <w:t>organization_restriction</w:t>
            </w:r>
          </w:p>
        </w:tc>
        <w:tc>
          <w:tcPr>
            <w:tcW w:w="2640" w:type="dxa"/>
            <w:vAlign w:val="center"/>
          </w:tcPr>
          <w:p w14:paraId="31471037" w14:textId="77777777" w:rsidR="002D0A3C" w:rsidRDefault="003B6787">
            <w:r>
              <w:rPr>
                <w:rFonts w:ascii="Times New Roman" w:hAnsi="Times New Roman" w:eastAsia="宋体"/>
                <w:sz w:val="24"/>
              </w:rPr>
              <w:t>组织形式限制</w:t>
            </w:r>
          </w:p>
        </w:tc>
        <w:tc>
          <w:tcPr>
            <w:tcW w:w="2640" w:type="dxa"/>
            <w:vAlign w:val="center"/>
          </w:tcPr>
          <w:p w14:paraId="0E45EEB7" w14:textId="77777777" w:rsidR="002D0A3C" w:rsidRDefault="003B6787">
            <w:pPr>
              <w:rPr>
                <w:lang w:eastAsia="zh-CN"/>
              </w:rPr>
            </w:pPr>
            <w:r>
              <w:rPr>
                <w:rFonts w:ascii="Times New Roman" w:hAnsi="Times New Roman" w:eastAsia="宋体"/>
                <w:sz w:val="24"/>
                <w:lang w:eastAsia="zh-CN"/>
              </w:rPr>
              <w:t>限于合资、中外合作等为</w:t>
            </w:r>
            <w:r>
              <w:rPr>
                <w:rFonts w:ascii="Times New Roman" w:hAnsi="Times New Roman" w:eastAsia="宋体"/>
                <w:sz w:val="24"/>
                <w:lang w:eastAsia="zh-CN"/>
              </w:rPr>
              <w:t>1</w:t>
            </w:r>
          </w:p>
        </w:tc>
      </w:tr>
      <w:tr w:rsidR="002D0A3C" w14:paraId="51CDD5CF" w14:textId="77777777" w:rsidTr="002D0A3C">
        <w:trPr>
          <w:cantSplit/>
          <w:jc w:val="center"/>
        </w:trPr>
        <w:tc>
          <w:tcPr>
            <w:tcW w:w="2640" w:type="dxa"/>
            <w:vAlign w:val="center"/>
          </w:tcPr>
          <w:p w14:paraId="57D9A8B2" w14:textId="77777777" w:rsidR="002D0A3C" w:rsidRDefault="003B6787">
            <w:r>
              <w:rPr>
                <w:rFonts w:ascii="Times New Roman" w:hAnsi="Times New Roman" w:eastAsia="宋体"/>
                <w:sz w:val="24"/>
              </w:rPr>
              <w:t>governance_restriction</w:t>
            </w:r>
          </w:p>
        </w:tc>
        <w:tc>
          <w:tcPr>
            <w:tcW w:w="2640" w:type="dxa"/>
            <w:vAlign w:val="center"/>
          </w:tcPr>
          <w:p w14:paraId="5429A55B" w14:textId="77777777" w:rsidR="002D0A3C" w:rsidRDefault="003B6787">
            <w:r>
              <w:rPr>
                <w:rFonts w:ascii="Times New Roman" w:hAnsi="Times New Roman" w:eastAsia="宋体"/>
                <w:sz w:val="24"/>
              </w:rPr>
              <w:t>治理结构限制</w:t>
            </w:r>
          </w:p>
        </w:tc>
        <w:tc>
          <w:tcPr>
            <w:tcW w:w="2640" w:type="dxa"/>
            <w:vAlign w:val="center"/>
          </w:tcPr>
          <w:p w14:paraId="5CB97517" w14:textId="77777777" w:rsidR="002D0A3C" w:rsidRDefault="003B6787">
            <w:pPr>
              <w:rPr>
                <w:lang w:eastAsia="zh-CN"/>
              </w:rPr>
            </w:pPr>
            <w:r>
              <w:rPr>
                <w:rFonts w:ascii="Times New Roman" w:hAnsi="Times New Roman" w:eastAsia="宋体"/>
                <w:sz w:val="24"/>
                <w:lang w:eastAsia="zh-CN"/>
              </w:rPr>
              <w:t>法定代表人、高管、董事会等存在中方要求为</w:t>
            </w:r>
            <w:r>
              <w:rPr>
                <w:rFonts w:ascii="Times New Roman" w:hAnsi="Times New Roman" w:eastAsia="宋体"/>
                <w:sz w:val="24"/>
                <w:lang w:eastAsia="zh-CN"/>
              </w:rPr>
              <w:t>1</w:t>
            </w:r>
          </w:p>
        </w:tc>
      </w:tr>
      <w:tr w:rsidR="002D0A3C" w14:paraId="2068B1F4" w14:textId="77777777" w:rsidTr="002D0A3C">
        <w:trPr>
          <w:cantSplit/>
          <w:jc w:val="center"/>
        </w:trPr>
        <w:tc>
          <w:tcPr>
            <w:tcW w:w="2640" w:type="dxa"/>
            <w:vAlign w:val="center"/>
          </w:tcPr>
          <w:p w14:paraId="609059F6" w14:textId="77777777" w:rsidR="002D0A3C" w:rsidRDefault="003B6787">
            <w:r>
              <w:rPr>
                <w:rFonts w:ascii="Times New Roman" w:hAnsi="Times New Roman" w:eastAsia="宋体"/>
                <w:sz w:val="24"/>
              </w:rPr>
              <w:t>other_access_restriction</w:t>
            </w:r>
          </w:p>
        </w:tc>
        <w:tc>
          <w:tcPr>
            <w:tcW w:w="2640" w:type="dxa"/>
            <w:vAlign w:val="center"/>
          </w:tcPr>
          <w:p w14:paraId="1CD8248F" w14:textId="77777777" w:rsidR="002D0A3C" w:rsidRDefault="003B6787">
            <w:r>
              <w:rPr>
                <w:rFonts w:ascii="Times New Roman" w:hAnsi="Times New Roman" w:eastAsia="宋体"/>
                <w:sz w:val="24"/>
              </w:rPr>
              <w:t>其他准入限制</w:t>
            </w:r>
          </w:p>
        </w:tc>
        <w:tc>
          <w:tcPr>
            <w:tcW w:w="2640" w:type="dxa"/>
            <w:vAlign w:val="center"/>
          </w:tcPr>
          <w:p w14:paraId="2AFF54E5" w14:textId="77777777" w:rsidR="002D0A3C" w:rsidRDefault="003B6787">
            <w:pPr>
              <w:rPr>
                <w:lang w:eastAsia="zh-CN"/>
              </w:rPr>
            </w:pPr>
            <w:r>
              <w:rPr>
                <w:rFonts w:ascii="Times New Roman" w:hAnsi="Times New Roman" w:eastAsia="宋体"/>
                <w:sz w:val="24"/>
                <w:lang w:eastAsia="zh-CN"/>
              </w:rPr>
              <w:t>数量、业务范围、地域、单一外商持股上限等其他限制为</w:t>
            </w:r>
            <w:r>
              <w:rPr>
                <w:rFonts w:ascii="Times New Roman" w:hAnsi="Times New Roman" w:eastAsia="宋体"/>
                <w:sz w:val="24"/>
                <w:lang w:eastAsia="zh-CN"/>
              </w:rPr>
              <w:t>1</w:t>
            </w:r>
          </w:p>
        </w:tc>
      </w:tr>
    </w:tbl>
    <w:p w14:paraId="6B7FB288" w14:textId="77777777" w:rsidR="002D0A3C" w:rsidRDefault="003B6787">
      <w:pPr>
        <w:pStyle w:val="a0"/>
        <w:keepNext/>
        <w:spacing w:before="100" w:after="60"/>
        <w:rPr>
          <w:lang w:eastAsia="zh-CN"/>
        </w:rPr>
      </w:pPr>
      <w:r>
        <w:rPr>
          <w:b/>
          <w:sz w:val="22"/>
          <w:lang w:eastAsia="zh-CN"/>
        </w:rPr>
        <w:t>表</w:t>
      </w:r>
      <w:r>
        <w:rPr>
          <w:b/>
          <w:sz w:val="22"/>
          <w:lang w:eastAsia="zh-CN"/>
        </w:rPr>
        <w:t>A2a</w:t>
      </w:r>
      <w:r>
        <w:rPr>
          <w:b/>
          <w:sz w:val="22"/>
          <w:lang w:eastAsia="zh-CN"/>
        </w:rPr>
        <w:t xml:space="preserve">　细活动层面的外资准入限制变量（</w:t>
      </w:r>
      <w:r w:rsidR="005A5AC6">
        <w:rPr>
          <w:rFonts w:hint="eastAsia"/>
          <w:b/>
          <w:sz w:val="22"/>
          <w:lang w:eastAsia="zh-CN"/>
        </w:rPr>
        <w:t>更全面的</w:t>
      </w:r>
      <w:r>
        <w:rPr>
          <w:b/>
          <w:sz w:val="22"/>
          <w:lang w:eastAsia="zh-CN"/>
        </w:rPr>
        <w:t>备选字段，仅供审计）</w:t>
      </w:r>
    </w:p>
    <w:tbl>
      <w:tblPr>
        <w:tblStyle w:val="Table"/>
        <w:tblW w:w="0" w:type="auto"/>
        <w:tblLook w:val="04A0" w:firstRow="1" w:lastRow="0" w:firstColumn="1" w:lastColumn="0" w:noHBand="0" w:noVBand="1"/>
      </w:tblPr>
      <w:tblGrid>
        <w:gridCol w:w="4479"/>
        <w:gridCol w:w="4479"/>
      </w:tblGrid>
      <w:tr w:rsidR="002D0A3C" w14:paraId="5BB83B9E" w14:textId="77777777" w:rsidTr="002D0A3C">
        <w:trPr>
          <w:cnfStyle w:val="100000000000" w:firstRow="1" w:lastRow="0" w:firstColumn="0" w:lastColumn="0" w:oddVBand="0" w:evenVBand="0" w:oddHBand="0" w:evenHBand="0" w:firstRowFirstColumn="0" w:firstRowLastColumn="0" w:lastRowFirstColumn="0" w:lastRowLastColumn="0"/>
          <w:cantSplit/>
          <w:tblHeader/>
        </w:trPr>
        <w:tc>
          <w:tcPr>
            <w:tcW w:w="4479" w:type="dxa"/>
            <w:vAlign w:val="center"/>
          </w:tcPr>
          <w:p w14:paraId="1CF103E5" w14:textId="77777777" w:rsidR="002D0A3C" w:rsidRDefault="003B6787">
            <w:r>
              <w:rPr>
                <w:rFonts w:ascii="Times New Roman" w:hAnsi="Times New Roman" w:eastAsia="宋体"/>
                <w:b/>
                <w:sz w:val="24"/>
              </w:rPr>
              <w:t>扩展字段</w:t>
            </w:r>
          </w:p>
        </w:tc>
        <w:tc>
          <w:tcPr>
            <w:tcW w:w="4479" w:type="dxa"/>
            <w:vAlign w:val="center"/>
          </w:tcPr>
          <w:p w14:paraId="652F1EAA" w14:textId="77777777" w:rsidR="002D0A3C" w:rsidRDefault="003B6787">
            <w:r>
              <w:rPr>
                <w:rFonts w:ascii="Times New Roman" w:hAnsi="Times New Roman" w:eastAsia="宋体"/>
                <w:b/>
                <w:sz w:val="24"/>
              </w:rPr>
              <w:t>含义</w:t>
            </w:r>
          </w:p>
        </w:tc>
      </w:tr>
      <w:tr w:rsidR="002D0A3C" w14:paraId="0BED5911" w14:textId="77777777" w:rsidTr="002D0A3C">
        <w:trPr>
          <w:cantSplit/>
        </w:trPr>
        <w:tc>
          <w:tcPr>
            <w:tcW w:w="4479" w:type="dxa"/>
            <w:vAlign w:val="center"/>
          </w:tcPr>
          <w:p w14:paraId="45D410C3" w14:textId="77777777" w:rsidR="002D0A3C" w:rsidRDefault="003B6787">
            <w:r>
              <w:rPr>
                <w:rFonts w:ascii="Times New Roman" w:hAnsi="Times New Roman" w:eastAsia="宋体"/>
                <w:sz w:val="24"/>
              </w:rPr>
              <w:t>access_status</w:t>
            </w:r>
          </w:p>
        </w:tc>
        <w:tc>
          <w:tcPr>
            <w:tcW w:w="4479" w:type="dxa"/>
            <w:vAlign w:val="center"/>
          </w:tcPr>
          <w:p w14:paraId="7393E60C" w14:textId="77777777" w:rsidR="002D0A3C" w:rsidRDefault="003B6787">
            <w:pPr>
              <w:rPr>
                <w:lang w:eastAsia="zh-CN"/>
              </w:rPr>
            </w:pPr>
            <w:r>
              <w:rPr>
                <w:rFonts w:ascii="Times New Roman" w:hAnsi="Times New Roman" w:eastAsia="宋体"/>
                <w:sz w:val="24"/>
                <w:lang w:eastAsia="zh-CN"/>
              </w:rPr>
              <w:t>禁止投资或附条件准入</w:t>
            </w:r>
          </w:p>
        </w:tc>
      </w:tr>
      <w:tr w:rsidR="002D0A3C" w14:paraId="1190A640" w14:textId="77777777" w:rsidTr="002D0A3C">
        <w:trPr>
          <w:cantSplit/>
        </w:trPr>
        <w:tc>
          <w:tcPr>
            <w:tcW w:w="4479" w:type="dxa"/>
            <w:vAlign w:val="center"/>
          </w:tcPr>
          <w:p w14:paraId="2B7E9AA6" w14:textId="77777777" w:rsidR="002D0A3C" w:rsidRDefault="003B6787">
            <w:r>
              <w:rPr>
                <w:rFonts w:ascii="Times New Roman" w:hAnsi="Times New Roman" w:eastAsia="宋体"/>
                <w:sz w:val="24"/>
              </w:rPr>
              <w:t>prohibited</w:t>
            </w:r>
          </w:p>
        </w:tc>
        <w:tc>
          <w:tcPr>
            <w:tcW w:w="4479" w:type="dxa"/>
            <w:vAlign w:val="center"/>
          </w:tcPr>
          <w:p w14:paraId="32FF91FF" w14:textId="77777777" w:rsidR="002D0A3C" w:rsidRDefault="003B6787">
            <w:pPr>
              <w:rPr>
                <w:lang w:eastAsia="zh-CN"/>
              </w:rPr>
            </w:pPr>
            <w:r>
              <w:rPr>
                <w:rFonts w:ascii="Times New Roman" w:hAnsi="Times New Roman" w:eastAsia="宋体"/>
                <w:sz w:val="24"/>
                <w:lang w:eastAsia="zh-CN"/>
              </w:rPr>
              <w:t>是否明确禁止外资进入</w:t>
            </w:r>
          </w:p>
        </w:tc>
      </w:tr>
      <w:tr w:rsidR="002D0A3C" w14:paraId="272D2034" w14:textId="77777777" w:rsidTr="002D0A3C">
        <w:trPr>
          <w:cantSplit/>
        </w:trPr>
        <w:tc>
          <w:tcPr>
            <w:tcW w:w="4479" w:type="dxa"/>
            <w:vAlign w:val="center"/>
          </w:tcPr>
          <w:p w14:paraId="7546AB15" w14:textId="77777777" w:rsidR="002D0A3C" w:rsidRDefault="003B6787">
            <w:r>
              <w:rPr>
                <w:rFonts w:ascii="Times New Roman" w:hAnsi="Times New Roman" w:eastAsia="宋体"/>
                <w:sz w:val="24"/>
              </w:rPr>
              <w:t>chinese_equity_min</w:t>
            </w:r>
          </w:p>
        </w:tc>
        <w:tc>
          <w:tcPr>
            <w:tcW w:w="4479" w:type="dxa"/>
            <w:vAlign w:val="center"/>
          </w:tcPr>
          <w:p w14:paraId="331E298F" w14:textId="77777777" w:rsidR="002D0A3C" w:rsidRDefault="003B6787">
            <w:pPr>
              <w:rPr>
                <w:lang w:eastAsia="zh-CN"/>
              </w:rPr>
            </w:pPr>
            <w:r>
              <w:rPr>
                <w:rFonts w:ascii="Times New Roman" w:hAnsi="Times New Roman" w:eastAsia="宋体"/>
                <w:sz w:val="24"/>
                <w:lang w:eastAsia="zh-CN"/>
              </w:rPr>
              <w:t>明确规定的最低中方股比</w:t>
            </w:r>
          </w:p>
        </w:tc>
      </w:tr>
      <w:tr w:rsidR="002D0A3C" w14:paraId="1D76497C" w14:textId="77777777" w:rsidTr="002D0A3C">
        <w:trPr>
          <w:cantSplit/>
        </w:trPr>
        <w:tc>
          <w:tcPr>
            <w:tcW w:w="4479" w:type="dxa"/>
            <w:vAlign w:val="center"/>
          </w:tcPr>
          <w:p w14:paraId="093928C9" w14:textId="77777777" w:rsidR="002D0A3C" w:rsidRDefault="003B6787">
            <w:r>
              <w:rPr>
                <w:rFonts w:ascii="Times New Roman" w:hAnsi="Times New Roman" w:eastAsia="宋体"/>
                <w:sz w:val="24"/>
              </w:rPr>
              <w:t>foreign_equity_cap</w:t>
            </w:r>
          </w:p>
        </w:tc>
        <w:tc>
          <w:tcPr>
            <w:tcW w:w="4479" w:type="dxa"/>
            <w:vAlign w:val="center"/>
          </w:tcPr>
          <w:p w14:paraId="70DE5BD7" w14:textId="77777777" w:rsidR="002D0A3C" w:rsidRDefault="003B6787">
            <w:pPr>
              <w:rPr>
                <w:lang w:eastAsia="zh-CN"/>
              </w:rPr>
            </w:pPr>
            <w:r>
              <w:rPr>
                <w:rFonts w:ascii="Times New Roman" w:hAnsi="Times New Roman" w:eastAsia="宋体"/>
                <w:sz w:val="24"/>
                <w:lang w:eastAsia="zh-CN"/>
              </w:rPr>
              <w:t>明确规定或可机械推出的外资总股比上限</w:t>
            </w:r>
          </w:p>
        </w:tc>
      </w:tr>
      <w:tr w:rsidR="002D0A3C" w14:paraId="2AF46E06" w14:textId="77777777" w:rsidTr="002D0A3C">
        <w:trPr>
          <w:cantSplit/>
        </w:trPr>
        <w:tc>
          <w:tcPr>
            <w:tcW w:w="4479" w:type="dxa"/>
            <w:vAlign w:val="center"/>
          </w:tcPr>
          <w:p w14:paraId="5DEDCF9E" w14:textId="77777777" w:rsidR="002D0A3C" w:rsidRDefault="003B6787">
            <w:r>
              <w:rPr>
                <w:rFonts w:ascii="Times New Roman" w:hAnsi="Times New Roman" w:eastAsia="宋体"/>
                <w:sz w:val="24"/>
              </w:rPr>
              <w:t>single_foreign_investor_cap</w:t>
            </w:r>
          </w:p>
        </w:tc>
        <w:tc>
          <w:tcPr>
            <w:tcW w:w="4479" w:type="dxa"/>
            <w:vAlign w:val="center"/>
          </w:tcPr>
          <w:p w14:paraId="0742DBBC" w14:textId="77777777" w:rsidR="002D0A3C" w:rsidRDefault="003B6787">
            <w:pPr>
              <w:rPr>
                <w:lang w:eastAsia="zh-CN"/>
              </w:rPr>
            </w:pPr>
            <w:r>
              <w:rPr>
                <w:rFonts w:ascii="Times New Roman" w:hAnsi="Times New Roman" w:eastAsia="宋体"/>
                <w:sz w:val="24"/>
                <w:lang w:eastAsia="zh-CN"/>
              </w:rPr>
              <w:t>单一外商及关联方持股上限</w:t>
            </w:r>
          </w:p>
        </w:tc>
      </w:tr>
      <w:tr w:rsidR="002D0A3C" w14:paraId="17B4F384" w14:textId="77777777" w:rsidTr="002D0A3C">
        <w:trPr>
          <w:cantSplit/>
        </w:trPr>
        <w:tc>
          <w:tcPr>
            <w:tcW w:w="4479" w:type="dxa"/>
            <w:vAlign w:val="center"/>
          </w:tcPr>
          <w:p w14:paraId="7E2DB4E4" w14:textId="77777777" w:rsidR="002D0A3C" w:rsidRDefault="003B6787">
            <w:r>
              <w:rPr>
                <w:rFonts w:ascii="Times New Roman" w:hAnsi="Times New Roman" w:eastAsia="宋体"/>
                <w:sz w:val="24"/>
              </w:rPr>
              <w:t>chinese_control_required</w:t>
            </w:r>
          </w:p>
        </w:tc>
        <w:tc>
          <w:tcPr>
            <w:tcW w:w="4479" w:type="dxa"/>
            <w:vAlign w:val="center"/>
          </w:tcPr>
          <w:p w14:paraId="3A81916E" w14:textId="77777777" w:rsidR="002D0A3C" w:rsidRDefault="003B6787">
            <w:r>
              <w:rPr>
                <w:rFonts w:ascii="Times New Roman" w:hAnsi="Times New Roman" w:eastAsia="宋体"/>
                <w:sz w:val="24"/>
              </w:rPr>
              <w:t>是否要求中方控股或控制</w:t>
            </w:r>
          </w:p>
        </w:tc>
      </w:tr>
      <w:tr w:rsidR="002D0A3C" w14:paraId="010D883E" w14:textId="77777777" w:rsidTr="002D0A3C">
        <w:trPr>
          <w:cantSplit/>
        </w:trPr>
        <w:tc>
          <w:tcPr>
            <w:tcW w:w="4479" w:type="dxa"/>
            <w:vAlign w:val="center"/>
          </w:tcPr>
          <w:p w14:paraId="13EEDE88" w14:textId="77777777" w:rsidR="002D0A3C" w:rsidRDefault="003B6787">
            <w:r>
              <w:rPr>
                <w:rFonts w:ascii="Times New Roman" w:hAnsi="Times New Roman" w:eastAsia="宋体"/>
                <w:sz w:val="24"/>
              </w:rPr>
              <w:t>chinese_relative_control_required</w:t>
            </w:r>
          </w:p>
        </w:tc>
        <w:tc>
          <w:tcPr>
            <w:tcW w:w="4479" w:type="dxa"/>
            <w:vAlign w:val="center"/>
          </w:tcPr>
          <w:p w14:paraId="4DDBB723" w14:textId="77777777" w:rsidR="002D0A3C" w:rsidRDefault="003B6787">
            <w:pPr>
              <w:rPr>
                <w:lang w:eastAsia="zh-CN"/>
              </w:rPr>
            </w:pPr>
            <w:r>
              <w:rPr>
                <w:rFonts w:ascii="Times New Roman" w:hAnsi="Times New Roman" w:eastAsia="宋体"/>
                <w:sz w:val="24"/>
                <w:lang w:eastAsia="zh-CN"/>
              </w:rPr>
              <w:t>是否要求中方相对控股</w:t>
            </w:r>
          </w:p>
        </w:tc>
      </w:tr>
      <w:tr w:rsidR="002D0A3C" w14:paraId="4ABECA4B" w14:textId="77777777" w:rsidTr="002D0A3C">
        <w:trPr>
          <w:cantSplit/>
        </w:trPr>
        <w:tc>
          <w:tcPr>
            <w:tcW w:w="4479" w:type="dxa"/>
            <w:vAlign w:val="center"/>
          </w:tcPr>
          <w:p w14:paraId="7F3073C8" w14:textId="77777777" w:rsidR="002D0A3C" w:rsidRDefault="003B6787">
            <w:r>
              <w:rPr>
                <w:rFonts w:ascii="Times New Roman" w:hAnsi="Times New Roman" w:eastAsia="宋体"/>
                <w:sz w:val="24"/>
              </w:rPr>
              <w:t>joint_venture_required</w:t>
            </w:r>
          </w:p>
        </w:tc>
        <w:tc>
          <w:tcPr>
            <w:tcW w:w="4479" w:type="dxa"/>
            <w:vAlign w:val="center"/>
          </w:tcPr>
          <w:p w14:paraId="00D6C7E2" w14:textId="77777777" w:rsidR="002D0A3C" w:rsidRDefault="003B6787">
            <w:r>
              <w:rPr>
                <w:rFonts w:ascii="Times New Roman" w:hAnsi="Times New Roman" w:eastAsia="宋体"/>
                <w:sz w:val="24"/>
              </w:rPr>
              <w:t>是否明确限于合资</w:t>
            </w:r>
          </w:p>
        </w:tc>
      </w:tr>
      <w:tr w:rsidR="002D0A3C" w14:paraId="0332853C" w14:textId="77777777" w:rsidTr="002D0A3C">
        <w:trPr>
          <w:cantSplit/>
        </w:trPr>
        <w:tc>
          <w:tcPr>
            <w:tcW w:w="4479" w:type="dxa"/>
            <w:vAlign w:val="center"/>
          </w:tcPr>
          <w:p w14:paraId="14638AFF" w14:textId="77777777" w:rsidR="002D0A3C" w:rsidRDefault="003B6787">
            <w:r>
              <w:rPr>
                <w:rFonts w:ascii="Times New Roman" w:hAnsi="Times New Roman" w:eastAsia="宋体"/>
                <w:sz w:val="24"/>
              </w:rPr>
              <w:t>cooperative_operation_required</w:t>
            </w:r>
          </w:p>
        </w:tc>
        <w:tc>
          <w:tcPr>
            <w:tcW w:w="4479" w:type="dxa"/>
            <w:vAlign w:val="center"/>
          </w:tcPr>
          <w:p w14:paraId="49D81F38" w14:textId="77777777" w:rsidR="002D0A3C" w:rsidRDefault="003B6787">
            <w:pPr>
              <w:rPr>
                <w:lang w:eastAsia="zh-CN"/>
              </w:rPr>
            </w:pPr>
            <w:r>
              <w:rPr>
                <w:rFonts w:ascii="Times New Roman" w:hAnsi="Times New Roman" w:eastAsia="宋体"/>
                <w:sz w:val="24"/>
                <w:lang w:eastAsia="zh-CN"/>
              </w:rPr>
              <w:t>是否要求中外合作等其他组织形式</w:t>
            </w:r>
          </w:p>
        </w:tc>
      </w:tr>
      <w:tr w:rsidR="002D0A3C" w14:paraId="3AEC7B79" w14:textId="77777777" w:rsidTr="002D0A3C">
        <w:trPr>
          <w:cantSplit/>
        </w:trPr>
        <w:tc>
          <w:tcPr>
            <w:tcW w:w="4479" w:type="dxa"/>
            <w:vAlign w:val="center"/>
          </w:tcPr>
          <w:p w14:paraId="442DF2C3" w14:textId="77777777" w:rsidR="002D0A3C" w:rsidRDefault="003B6787">
            <w:r>
              <w:rPr>
                <w:rFonts w:ascii="Times New Roman" w:hAnsi="Times New Roman" w:eastAsia="宋体"/>
                <w:sz w:val="24"/>
              </w:rPr>
              <w:t>legal_representative_cn_required</w:t>
            </w:r>
          </w:p>
        </w:tc>
        <w:tc>
          <w:tcPr>
            <w:tcW w:w="4479" w:type="dxa"/>
            <w:vAlign w:val="center"/>
          </w:tcPr>
          <w:p w14:paraId="31C703E0" w14:textId="77777777" w:rsidR="002D0A3C" w:rsidRDefault="003B6787">
            <w:pPr>
              <w:rPr>
                <w:lang w:eastAsia="zh-CN"/>
              </w:rPr>
            </w:pPr>
            <w:r>
              <w:rPr>
                <w:rFonts w:ascii="Times New Roman" w:hAnsi="Times New Roman" w:eastAsia="宋体"/>
                <w:sz w:val="24"/>
                <w:lang w:eastAsia="zh-CN"/>
              </w:rPr>
              <w:t>法定代表人是否须为中国籍</w:t>
            </w:r>
          </w:p>
        </w:tc>
      </w:tr>
      <w:tr w:rsidR="002D0A3C" w14:paraId="01078C6E" w14:textId="77777777" w:rsidTr="002D0A3C">
        <w:trPr>
          <w:cantSplit/>
        </w:trPr>
        <w:tc>
          <w:tcPr>
            <w:tcW w:w="4479" w:type="dxa"/>
            <w:vAlign w:val="center"/>
          </w:tcPr>
          <w:p w14:paraId="1D49954B" w14:textId="77777777" w:rsidR="002D0A3C" w:rsidRDefault="003B6787">
            <w:r>
              <w:rPr>
                <w:rFonts w:ascii="Times New Roman" w:hAnsi="Times New Roman" w:eastAsia="宋体"/>
                <w:sz w:val="24"/>
              </w:rPr>
              <w:t>senior_manager_cn_required</w:t>
            </w:r>
          </w:p>
        </w:tc>
        <w:tc>
          <w:tcPr>
            <w:tcW w:w="4479" w:type="dxa"/>
            <w:vAlign w:val="center"/>
          </w:tcPr>
          <w:p w14:paraId="2AF12AE6" w14:textId="77777777" w:rsidR="002D0A3C" w:rsidRDefault="003B6787">
            <w:pPr>
              <w:rPr>
                <w:lang w:eastAsia="zh-CN"/>
              </w:rPr>
            </w:pPr>
            <w:r>
              <w:rPr>
                <w:rFonts w:ascii="Times New Roman" w:hAnsi="Times New Roman" w:eastAsia="宋体"/>
                <w:sz w:val="24"/>
                <w:lang w:eastAsia="zh-CN"/>
              </w:rPr>
              <w:t>校长、主要负责人等是否须为中国籍</w:t>
            </w:r>
          </w:p>
        </w:tc>
      </w:tr>
      <w:tr w:rsidR="002D0A3C" w14:paraId="4BFFED37" w14:textId="77777777" w:rsidTr="002D0A3C">
        <w:trPr>
          <w:cantSplit/>
        </w:trPr>
        <w:tc>
          <w:tcPr>
            <w:tcW w:w="4479" w:type="dxa"/>
            <w:vAlign w:val="center"/>
          </w:tcPr>
          <w:p w14:paraId="19A30765" w14:textId="77777777" w:rsidR="002D0A3C" w:rsidRDefault="003B6787">
            <w:r>
              <w:rPr>
                <w:rFonts w:ascii="Times New Roman" w:hAnsi="Times New Roman" w:eastAsia="宋体"/>
                <w:sz w:val="24"/>
              </w:rPr>
              <w:t>board_chinese_share_min</w:t>
            </w:r>
          </w:p>
        </w:tc>
        <w:tc>
          <w:tcPr>
            <w:tcW w:w="4479" w:type="dxa"/>
            <w:vAlign w:val="center"/>
          </w:tcPr>
          <w:p w14:paraId="1E5F6059" w14:textId="77777777" w:rsidR="002D0A3C" w:rsidRDefault="003B6787">
            <w:pPr>
              <w:rPr>
                <w:lang w:eastAsia="zh-CN"/>
              </w:rPr>
            </w:pPr>
            <w:r>
              <w:rPr>
                <w:rFonts w:ascii="Times New Roman" w:hAnsi="Times New Roman" w:eastAsia="宋体"/>
                <w:sz w:val="24"/>
                <w:lang w:eastAsia="zh-CN"/>
              </w:rPr>
              <w:t>董事会或联合管理机构中方成员最低比例</w:t>
            </w:r>
          </w:p>
        </w:tc>
      </w:tr>
      <w:tr w:rsidR="002D0A3C" w14:paraId="008255F0" w14:textId="77777777" w:rsidTr="002D0A3C">
        <w:trPr>
          <w:cantSplit/>
        </w:trPr>
        <w:tc>
          <w:tcPr>
            <w:tcW w:w="4479" w:type="dxa"/>
            <w:vAlign w:val="center"/>
          </w:tcPr>
          <w:p w14:paraId="343C45FD" w14:textId="77777777" w:rsidR="002D0A3C" w:rsidRDefault="003B6787">
            <w:r>
              <w:rPr>
                <w:rFonts w:ascii="Times New Roman" w:hAnsi="Times New Roman" w:eastAsia="宋体"/>
                <w:sz w:val="24"/>
              </w:rPr>
              <w:t>quantity_limit</w:t>
            </w:r>
          </w:p>
        </w:tc>
        <w:tc>
          <w:tcPr>
            <w:tcW w:w="4479" w:type="dxa"/>
            <w:vAlign w:val="center"/>
          </w:tcPr>
          <w:p w14:paraId="0755C565" w14:textId="77777777" w:rsidR="002D0A3C" w:rsidRDefault="003B6787">
            <w:pPr>
              <w:rPr>
                <w:lang w:eastAsia="zh-CN"/>
              </w:rPr>
            </w:pPr>
            <w:r>
              <w:rPr>
                <w:rFonts w:ascii="Times New Roman" w:hAnsi="Times New Roman" w:eastAsia="宋体"/>
                <w:sz w:val="24"/>
                <w:lang w:eastAsia="zh-CN"/>
              </w:rPr>
              <w:t>机构数、网点数、项目数等数量限制</w:t>
            </w:r>
          </w:p>
        </w:tc>
      </w:tr>
      <w:tr w:rsidR="002D0A3C" w14:paraId="4F33D44E" w14:textId="77777777" w:rsidTr="002D0A3C">
        <w:trPr>
          <w:cantSplit/>
        </w:trPr>
        <w:tc>
          <w:tcPr>
            <w:tcW w:w="4479" w:type="dxa"/>
            <w:vAlign w:val="center"/>
          </w:tcPr>
          <w:p w14:paraId="23278C0A" w14:textId="77777777" w:rsidR="002D0A3C" w:rsidRDefault="003B6787">
            <w:r>
              <w:rPr>
                <w:rFonts w:ascii="Times New Roman" w:hAnsi="Times New Roman" w:eastAsia="宋体"/>
                <w:sz w:val="24"/>
              </w:rPr>
              <w:t>license_qualification_explicit</w:t>
            </w:r>
          </w:p>
        </w:tc>
        <w:tc>
          <w:tcPr>
            <w:tcW w:w="4479" w:type="dxa"/>
            <w:vAlign w:val="center"/>
          </w:tcPr>
          <w:p w14:paraId="3F3429C9" w14:textId="77777777" w:rsidR="002D0A3C" w:rsidRDefault="003B6787">
            <w:pPr>
              <w:rPr>
                <w:lang w:eastAsia="zh-CN"/>
              </w:rPr>
            </w:pPr>
            <w:r>
              <w:rPr>
                <w:rFonts w:ascii="Times New Roman" w:hAnsi="Times New Roman" w:eastAsia="宋体"/>
                <w:sz w:val="24"/>
                <w:lang w:eastAsia="zh-CN"/>
              </w:rPr>
              <w:t>条文是否明确设置额外许可或资质要求</w:t>
            </w:r>
          </w:p>
        </w:tc>
      </w:tr>
      <w:tr w:rsidR="002D0A3C" w14:paraId="78334A19" w14:textId="77777777" w:rsidTr="002D0A3C">
        <w:trPr>
          <w:cantSplit/>
        </w:trPr>
        <w:tc>
          <w:tcPr>
            <w:tcW w:w="4479" w:type="dxa"/>
            <w:vAlign w:val="center"/>
          </w:tcPr>
          <w:p w14:paraId="1264930C" w14:textId="77777777" w:rsidR="002D0A3C" w:rsidRDefault="003B6787">
            <w:r>
              <w:rPr>
                <w:rFonts w:ascii="Times New Roman" w:hAnsi="Times New Roman" w:eastAsia="宋体"/>
                <w:sz w:val="24"/>
              </w:rPr>
              <w:t>regional_restriction</w:t>
            </w:r>
          </w:p>
        </w:tc>
        <w:tc>
          <w:tcPr>
            <w:tcW w:w="4479" w:type="dxa"/>
            <w:vAlign w:val="center"/>
          </w:tcPr>
          <w:p w14:paraId="3769FD9D" w14:textId="77777777" w:rsidR="002D0A3C" w:rsidRDefault="003B6787">
            <w:pPr>
              <w:rPr>
                <w:lang w:eastAsia="zh-CN"/>
              </w:rPr>
            </w:pPr>
            <w:r>
              <w:rPr>
                <w:rFonts w:ascii="Times New Roman" w:hAnsi="Times New Roman" w:eastAsia="宋体"/>
                <w:sz w:val="24"/>
                <w:lang w:eastAsia="zh-CN"/>
              </w:rPr>
              <w:t>是否存在特定地域范围限制</w:t>
            </w:r>
          </w:p>
        </w:tc>
      </w:tr>
      <w:tr w:rsidR="002D0A3C" w14:paraId="2E6C7D75" w14:textId="77777777" w:rsidTr="002D0A3C">
        <w:trPr>
          <w:cantSplit/>
        </w:trPr>
        <w:tc>
          <w:tcPr>
            <w:tcW w:w="4479" w:type="dxa"/>
            <w:vAlign w:val="center"/>
          </w:tcPr>
          <w:p w14:paraId="62AE87A8" w14:textId="77777777" w:rsidR="002D0A3C" w:rsidRDefault="003B6787">
            <w:r>
              <w:rPr>
                <w:rFonts w:ascii="Times New Roman" w:hAnsi="Times New Roman" w:eastAsia="宋体"/>
                <w:sz w:val="24"/>
              </w:rPr>
              <w:lastRenderedPageBreak/>
              <w:t>has_exception</w:t>
            </w:r>
          </w:p>
        </w:tc>
        <w:tc>
          <w:tcPr>
            <w:tcW w:w="4479" w:type="dxa"/>
            <w:vAlign w:val="center"/>
          </w:tcPr>
          <w:p w14:paraId="5C972B7F" w14:textId="77777777" w:rsidR="002D0A3C" w:rsidRDefault="003B6787">
            <w:pPr>
              <w:rPr>
                <w:lang w:eastAsia="zh-CN"/>
              </w:rPr>
            </w:pPr>
            <w:r>
              <w:rPr>
                <w:rFonts w:ascii="Times New Roman" w:hAnsi="Times New Roman" w:eastAsia="宋体"/>
                <w:sz w:val="24"/>
                <w:lang w:eastAsia="zh-CN"/>
              </w:rPr>
              <w:t>条文是否明确列出例外事项</w:t>
            </w:r>
          </w:p>
        </w:tc>
      </w:tr>
      <w:tr w:rsidR="002D0A3C" w14:paraId="6E1A56F3" w14:textId="77777777" w:rsidTr="002D0A3C">
        <w:trPr>
          <w:cantSplit/>
        </w:trPr>
        <w:tc>
          <w:tcPr>
            <w:tcW w:w="4479" w:type="dxa"/>
            <w:vAlign w:val="center"/>
          </w:tcPr>
          <w:p w14:paraId="1315AE93" w14:textId="77777777" w:rsidR="002D0A3C" w:rsidRDefault="003B6787">
            <w:r>
              <w:rPr>
                <w:rFonts w:ascii="Times New Roman" w:hAnsi="Times New Roman" w:eastAsia="宋体"/>
                <w:sz w:val="24"/>
              </w:rPr>
              <w:t>access_condition_text</w:t>
            </w:r>
          </w:p>
        </w:tc>
        <w:tc>
          <w:tcPr>
            <w:tcW w:w="4479" w:type="dxa"/>
            <w:vAlign w:val="center"/>
          </w:tcPr>
          <w:p w14:paraId="41D6F24D" w14:textId="77777777" w:rsidR="002D0A3C" w:rsidRDefault="003B6787">
            <w:pPr>
              <w:rPr>
                <w:lang w:eastAsia="zh-CN"/>
              </w:rPr>
            </w:pPr>
            <w:r>
              <w:rPr>
                <w:rFonts w:ascii="Times New Roman" w:hAnsi="Times New Roman" w:eastAsia="宋体"/>
                <w:sz w:val="24"/>
                <w:lang w:eastAsia="zh-CN"/>
              </w:rPr>
              <w:t>无法安全压缩为数值的其他适用条件</w:t>
            </w:r>
          </w:p>
        </w:tc>
      </w:tr>
    </w:tbl>
    <w:p w14:paraId="0386A676" w14:textId="77777777" w:rsidR="002D0A3C" w:rsidRDefault="003B6787">
      <w:pPr>
        <w:pStyle w:val="a0"/>
        <w:spacing w:before="80" w:after="80" w:line="240" w:lineRule="auto"/>
        <w:rPr>
          <w:lang w:eastAsia="zh-CN"/>
        </w:rPr>
      </w:pPr>
      <w:r>
        <w:rPr>
          <w:lang w:eastAsia="zh-CN"/>
        </w:rPr>
        <w:t>表</w:t>
      </w:r>
      <w:r>
        <w:rPr>
          <w:lang w:eastAsia="zh-CN"/>
        </w:rPr>
        <w:t>A2a</w:t>
      </w:r>
      <w:r>
        <w:rPr>
          <w:lang w:eastAsia="zh-CN"/>
        </w:rPr>
        <w:t>仅用于展示更细的法律信息拆分，不作为基准政策向量。基准分析使用表</w:t>
      </w:r>
      <w:r>
        <w:rPr>
          <w:lang w:eastAsia="zh-CN"/>
        </w:rPr>
        <w:t>A2</w:t>
      </w:r>
      <w:r>
        <w:rPr>
          <w:lang w:eastAsia="zh-CN"/>
        </w:rPr>
        <w:t>的压缩字段，以减少小样本下的稀疏和共线性；更细字段仅保留在审计文件中，用于人工核验和稳健性扩展。</w:t>
      </w:r>
    </w:p>
    <w:p w14:paraId="5FACABD8"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w:t>
      </w:r>
      <w:r>
        <w:rPr>
          <w:lang w:eastAsia="zh-CN"/>
        </w:rPr>
        <w:t>chinese_control=1</w:t>
      </w:r>
      <w:r>
        <w:rPr>
          <w:lang w:eastAsia="zh-CN"/>
        </w:rPr>
        <w:t>，不人为转换为</w:t>
      </w:r>
      <w:r>
        <w:rPr>
          <w:lang w:eastAsia="zh-CN"/>
        </w:rPr>
        <w:t>49%</w:t>
      </w:r>
      <w:r>
        <w:rPr>
          <w:lang w:eastAsia="zh-CN"/>
        </w:rPr>
        <w:t>等阈值；单一外商持股上限则归入</w:t>
      </w:r>
      <w:r>
        <w:rPr>
          <w:lang w:eastAsia="zh-CN"/>
        </w:rPr>
        <w:t>other_access_restriction</w:t>
      </w:r>
      <w:r>
        <w:rPr>
          <w:lang w:eastAsia="zh-CN"/>
        </w:rPr>
        <w:t>，不误填为外资总股比上限。</w:t>
      </w:r>
    </w:p>
    <w:bookmarkEnd w:id="2"/>
    <w:p w14:paraId="7E497966"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抽取与人工审计</w:t>
      </w:r>
    </w:p>
    <w:p w14:paraId="63C32887" w14:textId="77777777" w:rsidR="002D0A3C" w:rsidRDefault="003B6787">
      <w:pPr>
        <w:pStyle w:val="FirstParagraph"/>
        <w:spacing w:line="240" w:lineRule="auto"/>
        <w:ind w:firstLineChars="200"/>
        <w:rPr>
          <w:lang w:eastAsia="zh-CN"/>
        </w:rPr>
      </w:pPr>
      <w:r>
        <w:rPr>
          <w:lang w:eastAsia="zh-CN"/>
        </w:rPr>
        <w:t>每个政策原子采用封闭式结构化输出。模型返回表</w:t>
      </w:r>
      <w:r>
        <w:rPr>
          <w:lang w:eastAsia="zh-CN"/>
        </w:rPr>
        <w:t>A2</w:t>
      </w:r>
      <w:r>
        <w:rPr>
          <w:lang w:eastAsia="zh-CN"/>
        </w:rPr>
        <w:t>字段及原文证据</w:t>
      </w:r>
      <w:r>
        <w:rPr>
          <w:lang w:eastAsia="zh-CN"/>
        </w:rPr>
        <w:t>evidence_span</w:t>
      </w:r>
      <w:r>
        <w:rPr>
          <w:lang w:eastAsia="zh-CN"/>
        </w:rPr>
        <w:t>；原文未提供的信息记为</w:t>
      </w:r>
      <w:r>
        <w:rPr>
          <w:lang w:eastAsia="zh-CN"/>
        </w:rPr>
        <w:t>unknown</w:t>
      </w:r>
      <w:r>
        <w:rPr>
          <w:lang w:eastAsia="zh-CN"/>
        </w:rPr>
        <w:t>。表</w:t>
      </w:r>
      <w:r>
        <w:rPr>
          <w:lang w:eastAsia="zh-CN"/>
        </w:rPr>
        <w:t>A2a</w:t>
      </w:r>
      <w:r>
        <w:rPr>
          <w:lang w:eastAsia="zh-CN"/>
        </w:rPr>
        <w:t>字段仅用于审计，模型置信度只用于安排人工复核。最终通过复核的</w:t>
      </w:r>
      <w:r>
        <w:rPr>
          <w:lang w:eastAsia="zh-CN"/>
        </w:rPr>
        <w:t>A1</w:t>
      </w:r>
      <w:r>
        <w:rPr>
          <w:lang w:eastAsia="zh-CN"/>
        </w:rPr>
        <w:t>文本字段与</w:t>
      </w:r>
      <w:r>
        <w:rPr>
          <w:lang w:eastAsia="zh-CN"/>
        </w:rPr>
        <w:t>A2</w:t>
      </w:r>
      <w:r>
        <w:rPr>
          <w:lang w:eastAsia="zh-CN"/>
        </w:rPr>
        <w:t>压缩字段合并进入政策原子主数据，原始模型输出和审计信息另存。</w:t>
      </w:r>
    </w:p>
    <w:p w14:paraId="50F6A13A" w14:textId="77777777" w:rsidR="002D0A3C" w:rsidRDefault="003B6787">
      <w:pPr>
        <w:pStyle w:val="a0"/>
        <w:spacing w:before="80" w:after="80" w:line="240" w:lineRule="auto"/>
        <w:ind w:firstLineChars="200"/>
        <w:rPr>
          <w:lang w:eastAsia="zh-CN"/>
        </w:rPr>
      </w:pPr>
      <w:r>
        <w:rPr>
          <w:lang w:eastAsia="zh-CN"/>
        </w:rPr>
        <w:t>抽取流程采用</w:t>
      </w:r>
      <w:r>
        <w:rPr>
          <w:lang w:eastAsia="zh-CN"/>
        </w:rPr>
        <w:t>“</w:t>
      </w:r>
      <w:r>
        <w:rPr>
          <w:lang w:eastAsia="zh-CN"/>
        </w:rPr>
        <w:t>模型抽取</w:t>
      </w:r>
      <w:r>
        <w:rPr>
          <w:lang w:eastAsia="zh-CN"/>
        </w:rPr>
        <w:t>—</w:t>
      </w:r>
      <w:r>
        <w:rPr>
          <w:lang w:eastAsia="zh-CN"/>
        </w:rPr>
        <w:t>规则检查</w:t>
      </w:r>
      <w:r>
        <w:rPr>
          <w:lang w:eastAsia="zh-CN"/>
        </w:rPr>
        <w:t>—</w:t>
      </w:r>
      <w:r>
        <w:rPr>
          <w:lang w:eastAsia="zh-CN"/>
        </w:rPr>
        <w:t>人工复核</w:t>
      </w:r>
      <w:r>
        <w:rPr>
          <w:lang w:eastAsia="zh-CN"/>
        </w:rPr>
        <w:t>”</w:t>
      </w:r>
      <w:r>
        <w:rPr>
          <w:lang w:eastAsia="zh-CN"/>
        </w:rPr>
        <w:t>。规则检查识别内部矛盾；人工复核优先覆盖低置信度、跨次结果不一致以及含</w:t>
      </w:r>
      <w:r>
        <w:rPr>
          <w:lang w:eastAsia="zh-CN"/>
        </w:rPr>
        <w:t>“</w:t>
      </w:r>
      <w:r>
        <w:rPr>
          <w:lang w:eastAsia="zh-CN"/>
        </w:rPr>
        <w:t>除</w:t>
      </w:r>
      <w:r>
        <w:rPr>
          <w:lang w:eastAsia="zh-CN"/>
        </w:rPr>
        <w:t>……</w:t>
      </w:r>
      <w:r>
        <w:rPr>
          <w:lang w:eastAsia="zh-CN"/>
        </w:rPr>
        <w:t>外</w:t>
      </w:r>
      <w:r>
        <w:rPr>
          <w:lang w:eastAsia="zh-CN"/>
        </w:rPr>
        <w:t>”“</w:t>
      </w:r>
      <w:r>
        <w:rPr>
          <w:lang w:eastAsia="zh-CN"/>
        </w:rPr>
        <w:t>仅限于</w:t>
      </w:r>
      <w:r>
        <w:rPr>
          <w:lang w:eastAsia="zh-CN"/>
        </w:rPr>
        <w:t>”“</w:t>
      </w:r>
      <w:r>
        <w:rPr>
          <w:lang w:eastAsia="zh-CN"/>
        </w:rPr>
        <w:t>不得超过</w:t>
      </w:r>
      <w:r>
        <w:rPr>
          <w:lang w:eastAsia="zh-CN"/>
        </w:rPr>
        <w:t>”“</w:t>
      </w:r>
      <w:r>
        <w:rPr>
          <w:lang w:eastAsia="zh-CN"/>
        </w:rPr>
        <w:t>相对控股</w:t>
      </w:r>
      <w:r>
        <w:rPr>
          <w:lang w:eastAsia="zh-CN"/>
        </w:rPr>
        <w:t>”</w:t>
      </w:r>
      <w:r>
        <w:rPr>
          <w:lang w:eastAsia="zh-CN"/>
        </w:rPr>
        <w:t>等复杂限定词的记录。</w:t>
      </w:r>
    </w:p>
    <w:p w14:paraId="20941446" w14:textId="77777777" w:rsidR="002D0A3C" w:rsidRDefault="003B6787">
      <w:pPr>
        <w:pStyle w:val="a0"/>
        <w:ind w:firstLineChars="200"/>
        <w:rPr>
          <w:lang w:eastAsia="zh-CN"/>
        </w:rPr>
      </w:pPr>
      <w:r>
        <w:t>正式运行前应建立人工金标准，逐字段报告</w:t>
      </w:r>
      <w:r>
        <w:t>precision</w:t>
      </w:r>
      <w:r>
        <w:t>、</w:t>
      </w:r>
      <w:r>
        <w:t>recall</w:t>
      </w:r>
      <w:r>
        <w:t>和</w:t>
      </w:r>
      <w:r>
        <w:t>F1</w:t>
      </w:r>
      <w:r>
        <w:t>。</w:t>
      </w:r>
      <w:r>
        <w:t>Eppinger and Ma</w:t>
      </w:r>
      <w:r>
        <w:t>（</w:t>
      </w:r>
      <w:r>
        <w:t>2023</w:t>
      </w:r>
      <w:r>
        <w:t>）的文本匹配同样依赖人工核验；本文延续其窄口径匹配与人工审计原则，仅将语义识别工具扩展为</w:t>
      </w:r>
      <w:r>
        <w:t>LLM</w:t>
      </w:r>
      <w:r>
        <w:t>。</w:t>
      </w:r>
    </w:p>
    <w:bookmarkStart w:id="25" w:name="a.2-从政策原子到企业政策暴露及模型部门"/>
    <w:p>
      <w:pPr>
        <w:pStyle w:val="2"/>
      </w:pPr>
      <w:r>
        <w:t xml:space="preserve">A.2　从政策原子到企业政策暴露及模型部门</w:t>
      </w:r>
    </w:p>
    <w:bookmarkStart w:id="20" w:name="a.2.1-负面清单经济活动与-gbt-4754-四位小类匹配"/>
    <w:p>
      <w:pPr>
        <w:pStyle w:val="3"/>
      </w:pPr>
      <w:r>
        <w:t xml:space="preserve">A.2.1　负面清单经济活动与 GB/T 4754 四位小类匹配</w:t>
      </w:r>
    </w:p>
    <w:p>
      <w:pPr>
        <w:pStyle w:val="FirstParagraph"/>
      </w:pPr>
      <w:r>
        <w:t xml:space="preserve">《国民经济行业分类》分为门类、大类、中类和小类，四位代码为最细小类。负面清单虽按该行业框架编制，但特别管理措施针对具体经济活动，因此政策原子首先匹配到 GB/T 4754 四位小类，而不是直接进入 OECD-AMNE 粗行业。</w:t>
      </w:r>
    </w:p>
    <w:p>
      <w:pPr>
        <w:pStyle w:val="a0"/>
      </w:pPr>
      <w:r>
        <w:t xml:space="preserve">该环节仍是行业映射中主要需要语义判断的一步。LLM 结合 activity_text、restriction_text、exception_text 及 GB/T 4754 小类名称和说明，给出“最细可确认”的四位代码。一个政策原子可对应多个 GB 四位小类；若只覆盖小类中的部分活动，则记 coverage_type=partial。每条关系保存 match_type、coverage_type、证据与人工复核状态；缺乏可核验细分权重时，不由 LLM 主观指定 0—1 覆盖比例。</w:t>
      </w:r>
    </w:p>
    <w:p>
      <w:pPr>
        <w:pStyle w:val="a0"/>
      </w:pPr>
      <w:r>
        <w:t xml:space="preserve">例如，2024 年负面清单第 9 项同时涉及公共航空运输和多类通用航空公司，且限制条件不同，应先拆成最小政策原子，再分别匹配相应 GB 四位小类。一个政策原子可以对应一个或多个四位小类，但不同限制条件不能因为处于同一官方序号而合并。</w:t>
      </w:r>
    </w:p>
    <w:bookmarkEnd w:id="20"/>
    <w:bookmarkStart w:id="21" w:name="a.2.2-gbt-4754-四位小类到-isic-rev.4-四位组"/>
    <w:p>
      <w:pPr>
        <w:pStyle w:val="3"/>
      </w:pPr>
      <w:r>
        <w:t xml:space="preserve">A.2.2　GB/T 4754 四位小类到 ISIC Rev.4 四位组</w:t>
      </w:r>
    </w:p>
    <w:p>
      <w:pPr>
        <w:pStyle w:val="FirstParagraph"/>
      </w:pPr>
      <w:r>
        <w:t xml:space="preserve">GB/T 4754—2017 参考 ISIC Rev.4 编制，但二者非等效。得到 GB 四位小类后，依据《国民经济行业分类》附录中的 GB—ISIC 对照关系映射到 ISIC Rev.4 四位组。该步骤原则上采用官方或可复核的 concordance 机械转换。</w:t>
      </w:r>
    </w:p>
    <w:p>
      <w:pPr>
        <w:pStyle w:val="a0"/>
      </w:pPr>
      <w:r>
        <w:t xml:space="preserve">一对一关系直接转换；一对多关系保留全部候选，并仅在政策上下文足以裁决时使用 LLM 进一步缩窄。无法可靠裁决的记录保留 ambiguous。由此，每个政策原子同时保留其法律限制向量与 GB4、ISIC4、ISIC2、OECD-AMNE 归属，为后续企业匹配和行业聚合提供共同底表。</w:t>
      </w:r>
    </w:p>
    <w:bookmarkEnd w:id="21"/>
    <w:bookmarkStart w:id="22" w:name="a.2.3-企业核心产品与政策原子的语义匹配"/>
    <w:p>
      <w:pPr>
        <w:pStyle w:val="3"/>
      </w:pPr>
      <w:r>
        <w:t xml:space="preserve">A.2.3　企业核心产品与政策原子的语义匹配</w:t>
      </w:r>
    </w:p>
    <w:p>
      <w:pPr>
        <w:pStyle w:val="FirstParagraph"/>
      </w:pPr>
      <w:r>
        <w:t xml:space="preserve">基准识别不再先把全部政策信息压缩到 OECD-AMNE 行业—年份后再估计，而是在细活动层面把政策原子与企业主营业务连接。设</w:t>
      </w:r>
      <w:r>
        <w:t xml:space="preserve"> </w:t>
      </w:r>
      <m:oMath>
        <m:sSub>
          <m:e>
            <m:r>
              <m:t>q</m:t>
            </m:r>
          </m:e>
          <m:sub>
            <m:r>
              <m:t>f</m:t>
            </m:r>
          </m:sub>
        </m:sSub>
      </m:oMath>
      <w:r>
        <w:t xml:space="preserve"> </w:t>
      </w:r>
      <w:r>
        <w:t xml:space="preserve">为企业</w:t>
      </w:r>
      <w:r>
        <w:t xml:space="preserve"> </w:t>
      </w:r>
      <m:oMath>
        <m:r>
          <m:t>f</m:t>
        </m:r>
      </m:oMath>
      <w:r>
        <w:t xml:space="preserve"> </w:t>
      </w:r>
      <w:r>
        <w:t xml:space="preserve">的最核心产品或主营业务描述。为避免在全体政策原子中进行无约束匹配，先依据企业已有 GB4、ISIC4 或其他可核验行业信息构造候选政策活动集合</w:t>
      </w:r>
      <w:r>
        <w:t xml:space="preserve"> </w:t>
      </w:r>
      <m:oMath>
        <m:sSub>
          <m:e>
            <m:r>
              <m:rPr>
                <m:sty m:val="p"/>
                <m:scr m:val="script"/>
              </m:rPr>
              <m:t>A</m:t>
            </m:r>
          </m:e>
          <m:sub>
            <m:r>
              <m:t>f</m:t>
            </m:r>
          </m:sub>
        </m:sSub>
      </m:oMath>
      <w:r>
        <w:t xml:space="preserve">；只有映射到相同或可兼容细行业的政策活动进入候选集。若企业缺乏可靠细行业代码，则允许使用较宽候选集，但单独标记并进入人工复核。</w:t>
      </w:r>
    </w:p>
    <w:p>
      <w:pPr>
        <w:pStyle w:val="a0"/>
      </w:pPr>
      <w:r>
        <w:t xml:space="preserve">跨政策版本应先把文字表述不同但经济活动相同的政策原子对齐到稳定的 policy_activity_id。版本特定的 atom_id 仍用于回溯原文，policy_activity_id 只承担跨期连接作用。企业只需与稳定活动匹配一次，随后从各年份相应政策版本读取该活动的六类限制状态。</w:t>
      </w:r>
    </w:p>
    <w:p>
      <w:pPr>
        <w:pStyle w:val="a0"/>
      </w:pPr>
      <w:r>
        <w:t xml:space="preserve">设</w:t>
      </w:r>
      <w:r>
        <w:t xml:space="preserve"> </w:t>
      </w:r>
      <m:oMath>
        <m:r>
          <m:t>e</m:t>
        </m:r>
        <m:d>
          <m:dPr>
            <m:begChr m:val="("/>
            <m:endChr m:val=")"/>
            <m:sepChr m:val=""/>
            <m:grow/>
          </m:dPr>
          <m:e>
            <m:r>
              <m:rPr>
                <m:sty m:val="p"/>
              </m:rPr>
              <m:t>⋅</m:t>
            </m:r>
          </m:e>
        </m:d>
      </m:oMath>
      <w:r>
        <w:t xml:space="preserve"> </w:t>
      </w:r>
      <w:r>
        <w:t xml:space="preserve">为固定的文本嵌入函数，定义企业核心产品与候选政策活动的语义相似度，并选取相似度最高的政策活动：</w:t>
      </w:r>
    </w:p>
    <w:p>
      <w:pPr>
        <w:pStyle w:val="a0"/>
      </w:pPr>
      <m:oMathPara>
        <m:oMathParaPr>
          <m:jc m:val="center"/>
        </m:oMathParaPr>
        <m:oMath>
          <m:sSub>
            <m:e>
              <m:r>
                <m:t>s</m:t>
              </m:r>
            </m:e>
            <m:sub>
              <m:r>
                <m:t>f</m:t>
              </m:r>
              <m:r>
                <m:t>a</m:t>
              </m:r>
            </m:sub>
          </m:sSub>
          <m:r>
            <m:rPr>
              <m:sty m:val="p"/>
            </m:rPr>
            <m:t>=</m:t>
          </m:r>
          <m:r>
            <m:rPr>
              <m:sty m:val="p"/>
            </m:rPr>
            <m:t>cos</m:t>
          </m:r>
          <m:r>
            <m:t>​</m:t>
          </m:r>
          <m:d>
            <m:dPr>
              <m:begChr m:val="["/>
              <m:endChr m:val="]"/>
              <m:sepChr m:val=""/>
              <m:grow/>
            </m:dPr>
            <m:e>
              <m:r>
                <m:t>e</m:t>
              </m:r>
              <m:d>
                <m:dPr>
                  <m:begChr m:val="("/>
                  <m:endChr m:val=")"/>
                  <m:sepChr m:val=""/>
                  <m:grow/>
                </m:dPr>
                <m:e>
                  <m:sSub>
                    <m:e>
                      <m:r>
                        <m:t>q</m:t>
                      </m:r>
                    </m:e>
                    <m:sub>
                      <m:r>
                        <m:t>f</m:t>
                      </m:r>
                    </m:sub>
                  </m:sSub>
                </m:e>
              </m:d>
              <m:r>
                <m:rPr>
                  <m:sty m:val="p"/>
                </m:rPr>
                <m:t>,</m:t>
              </m:r>
              <m:r>
                <m:t>e</m:t>
              </m:r>
              <m:d>
                <m:dPr>
                  <m:begChr m:val="("/>
                  <m:endChr m:val=")"/>
                  <m:sepChr m:val=""/>
                  <m:grow/>
                </m:dPr>
                <m:e>
                  <m:r>
                    <m:t>a</m:t>
                  </m:r>
                </m:e>
              </m:d>
            </m:e>
          </m:d>
          <m:r>
            <m:rPr>
              <m:sty m:val="p"/>
            </m:rPr>
            <m:t>,</m:t>
          </m:r>
          <m:r>
            <m:t>  </m:t>
          </m:r>
          <m:sSubSup>
            <m:e>
              <m:r>
                <m:t>a</m:t>
              </m:r>
            </m:e>
            <m:sub>
              <m:r>
                <m:t>f</m:t>
              </m:r>
            </m:sub>
            <m:sup>
              <m:r>
                <m:rPr>
                  <m:sty m:val="p"/>
                </m:rPr>
                <m:t>*</m:t>
              </m:r>
            </m:sup>
          </m:sSubSup>
          <m:r>
            <m:rPr>
              <m:sty m:val="p"/>
            </m:rPr>
            <m:t>=</m:t>
          </m:r>
          <m:r>
            <m:rPr>
              <m:sty m:val="p"/>
            </m:rPr>
            <m:t>arg</m:t>
          </m:r>
          <m:limLow>
            <m:e>
              <m:r>
                <m:rPr>
                  <m:sty m:val="p"/>
                </m:rPr>
                <m:t>max</m:t>
              </m:r>
            </m:e>
            <m:lim>
              <m:r>
                <m:t>a</m:t>
              </m:r>
              <m:r>
                <m:rPr>
                  <m:sty m:val="p"/>
                </m:rPr>
                <m:t>∈</m:t>
              </m:r>
              <m:sSub>
                <m:e>
                  <m:r>
                    <m:rPr>
                      <m:sty m:val="p"/>
                      <m:scr m:val="script"/>
                    </m:rPr>
                    <m:t>A</m:t>
                  </m:r>
                </m:e>
                <m:sub>
                  <m:r>
                    <m:t>f</m:t>
                  </m:r>
                </m:sub>
              </m:sSub>
            </m:lim>
          </m:limLow>
          <m:sSub>
            <m:e>
              <m:r>
                <m:t>s</m:t>
              </m:r>
            </m:e>
            <m:sub>
              <m:r>
                <m:t>f</m:t>
              </m:r>
              <m:r>
                <m:t>a</m:t>
              </m:r>
            </m:sub>
          </m:sSub>
          <m:r>
            <m:rPr>
              <m:sty m:val="p"/>
            </m:rPr>
            <m:t>,</m:t>
          </m:r>
          <m:r>
            <m:t>  </m:t>
          </m:r>
          <m:limLow>
            <m:e>
              <m:r>
                <m:rPr>
                  <m:sty m:val="p"/>
                </m:rPr>
                <m:t>max</m:t>
              </m:r>
            </m:e>
            <m:lim>
              <m:r>
                <m:t>a</m:t>
              </m:r>
              <m:r>
                <m:rPr>
                  <m:sty m:val="p"/>
                </m:rPr>
                <m:t>∈</m:t>
              </m:r>
              <m:sSub>
                <m:e>
                  <m:r>
                    <m:rPr>
                      <m:sty m:val="p"/>
                      <m:scr m:val="script"/>
                    </m:rPr>
                    <m:t>A</m:t>
                  </m:r>
                </m:e>
                <m:sub>
                  <m:r>
                    <m:t>f</m:t>
                  </m:r>
                </m:sub>
              </m:sSub>
            </m:lim>
          </m:limLow>
          <m:sSub>
            <m:e>
              <m:r>
                <m:t>s</m:t>
              </m:r>
            </m:e>
            <m:sub>
              <m:r>
                <m:t>f</m:t>
              </m:r>
              <m:r>
                <m:t>a</m:t>
              </m:r>
            </m:sub>
          </m:sSub>
          <m:r>
            <m:rPr>
              <m:sty m:val="p"/>
            </m:rPr>
            <m:t>≥</m:t>
          </m:r>
          <m:acc>
            <m:accPr>
              <m:chr m:val="‾"/>
            </m:accPr>
            <m:e>
              <m:r>
                <m:t>s</m:t>
              </m:r>
            </m:e>
          </m:acc>
          <m:r>
            <m:rPr>
              <m:sty m:val="p"/>
            </m:rPr>
            <m:t>.</m:t>
          </m:r>
          <m:r>
            <m:t>  </m:t>
          </m:r>
          <m:r>
            <m:rPr>
              <m:nor/>
              <m:sty m:val="p"/>
            </m:rPr>
            <m:t>(A2)</m:t>
          </m:r>
        </m:oMath>
      </m:oMathPara>
    </w:p>
    <w:p>
      <w:pPr>
        <w:pStyle w:val="FirstParagraph"/>
      </w:pPr>
      <w:r>
        <w:t xml:space="preserve">基准口径将满足阈值</w:t>
      </w:r>
      <w:r>
        <w:t xml:space="preserve"> </w:t>
      </w:r>
      <m:oMath>
        <m:acc>
          <m:accPr>
            <m:chr m:val="‾"/>
          </m:accPr>
          <m:e>
            <m:r>
              <m:t>s</m:t>
            </m:r>
          </m:e>
        </m:acc>
      </m:oMath>
      <w:r>
        <w:t xml:space="preserve"> </w:t>
      </w:r>
      <w:r>
        <w:t xml:space="preserve">的最高相似政策活动视为企业与负面清单对应的最核心经济活动。若最高相似度低于阈值，则该企业记为 unmatched，而不是把政策暴露机械记为 0；若前两名相似度过于接近、候选活动跨越多个细行业或存在例外条款，则进入人工复核。稳健性检验改变阈值、使用 top-</w:t>
      </w:r>
      <m:oMath>
        <m:r>
          <m:t>K</m:t>
        </m:r>
      </m:oMath>
      <w:r>
        <w:t xml:space="preserve"> </w:t>
      </w:r>
      <w:r>
        <w:t xml:space="preserve">候选及人工确认样本，检验结论是否依赖单一匹配规则。</w:t>
      </w:r>
    </w:p>
    <w:bookmarkEnd w:id="22"/>
    <w:bookmarkStart w:id="23" w:name="a.2.4-企业层面的六类政策暴露"/>
    <w:p>
      <w:pPr>
        <w:pStyle w:val="3"/>
      </w:pPr>
      <w:r>
        <w:t xml:space="preserve">A.2.4　企业层面的六类政策暴露</w:t>
      </w:r>
    </w:p>
    <w:p>
      <w:pPr>
        <w:pStyle w:val="FirstParagraph"/>
      </w:pPr>
      <w:r>
        <w:t xml:space="preserve">设</w:t>
      </w:r>
      <w:r>
        <w:t xml:space="preserve"> </w:t>
      </w:r>
      <m:oMath>
        <m:sSubSup>
          <m:e>
            <m:r>
              <m:t>z</m:t>
            </m:r>
          </m:e>
          <m:sub>
            <m:r>
              <m:t>a</m:t>
            </m:r>
            <m:r>
              <m:t>t</m:t>
            </m:r>
          </m:sub>
          <m:sup>
            <m:r>
              <m:t>k</m:t>
            </m:r>
          </m:sup>
        </m:sSubSup>
      </m:oMath>
      <w:r>
        <w:t xml:space="preserve"> </w:t>
      </w:r>
      <w:r>
        <w:t xml:space="preserve">为稳定政策活动</w:t>
      </w:r>
      <w:r>
        <w:t xml:space="preserve"> </w:t>
      </w:r>
      <m:oMath>
        <m:r>
          <m:t>a</m:t>
        </m:r>
      </m:oMath>
      <w:r>
        <w:t xml:space="preserve"> </w:t>
      </w:r>
      <w:r>
        <w:t xml:space="preserve">在年份</w:t>
      </w:r>
      <w:r>
        <w:t xml:space="preserve"> </w:t>
      </w:r>
      <m:oMath>
        <m:r>
          <m:t>t</m:t>
        </m:r>
      </m:oMath>
      <w:r>
        <w:t xml:space="preserve"> </w:t>
      </w:r>
      <w:r>
        <w:t xml:space="preserve">的第</w:t>
      </w:r>
      <w:r>
        <w:t xml:space="preserve"> </w:t>
      </w:r>
      <m:oMath>
        <m:r>
          <m:t>k</m:t>
        </m:r>
      </m:oMath>
      <w:r>
        <w:t xml:space="preserve"> </w:t>
      </w:r>
      <w:r>
        <w:t xml:space="preserve">类限制，其中</w:t>
      </w:r>
      <w:r>
        <w:t xml:space="preserve"> </w:t>
      </w:r>
      <m:oMath>
        <m:r>
          <m:t>k</m:t>
        </m:r>
        <m:r>
          <m:rPr>
            <m:sty m:val="p"/>
          </m:rPr>
          <m:t>∈</m:t>
        </m:r>
        <m:r>
          <m:rPr>
            <m:sty m:val="p"/>
            <m:scr m:val="script"/>
          </m:rPr>
          <m:t>K</m:t>
        </m:r>
        <m:r>
          <m:rPr>
            <m:sty m:val="p"/>
          </m:rPr>
          <m:t>=</m:t>
        </m:r>
        <m:r>
          <m:rPr>
            <m:sty m:val="p"/>
          </m:rPr>
          <m:t>{</m:t>
        </m:r>
        <m:r>
          <m:t>P</m:t>
        </m:r>
        <m:r>
          <m:rPr>
            <m:sty m:val="p"/>
          </m:rPr>
          <m:t>,</m:t>
        </m:r>
        <m:r>
          <m:t>E</m:t>
        </m:r>
        <m:r>
          <m:rPr>
            <m:sty m:val="p"/>
          </m:rPr>
          <m:t>,</m:t>
        </m:r>
        <m:r>
          <m:t>C</m:t>
        </m:r>
        <m:r>
          <m:rPr>
            <m:sty m:val="p"/>
          </m:rPr>
          <m:t>,</m:t>
        </m:r>
        <m:r>
          <m:t>O</m:t>
        </m:r>
        <m:r>
          <m:rPr>
            <m:sty m:val="p"/>
          </m:rPr>
          <m:t>,</m:t>
        </m:r>
        <m:r>
          <m:t>G</m:t>
        </m:r>
        <m:r>
          <m:rPr>
            <m:sty m:val="p"/>
          </m:rPr>
          <m:t>,</m:t>
        </m:r>
        <m:r>
          <m:t>R</m:t>
        </m:r>
        <m:r>
          <m:rPr>
            <m:sty m:val="p"/>
          </m:rPr>
          <m:t>}</m:t>
        </m:r>
      </m:oMath>
      <w:r>
        <w:t xml:space="preserve"> </w:t>
      </w:r>
      <w:r>
        <w:t xml:space="preserve">分别表示禁止准入、股权限制、中方控制、组织形式、治理和其他准入限制。企业匹配完成后，其政策暴露直接继承匹配活动在相应年份的法律状态：</w:t>
      </w:r>
    </w:p>
    <w:p>
      <w:pPr>
        <w:pStyle w:val="a0"/>
      </w:pPr>
      <m:oMathPara>
        <m:oMathParaPr>
          <m:jc m:val="center"/>
        </m:oMathParaPr>
        <m:oMath>
          <m:sSubSup>
            <m:e>
              <m:r>
                <m:t>Z</m:t>
              </m:r>
            </m:e>
            <m:sub>
              <m:r>
                <m:t>f</m:t>
              </m:r>
              <m:r>
                <m:t>t</m:t>
              </m:r>
            </m:sub>
            <m:sup>
              <m:r>
                <m:t>k</m:t>
              </m:r>
            </m:sup>
          </m:sSubSup>
          <m:r>
            <m:rPr>
              <m:sty m:val="p"/>
            </m:rPr>
            <m:t>=</m:t>
          </m:r>
          <m:sSubSup>
            <m:e>
              <m:r>
                <m:t>z</m:t>
              </m:r>
            </m:e>
            <m:sub>
              <m:sSubSup>
                <m:e>
                  <m:r>
                    <m:t>a</m:t>
                  </m:r>
                </m:e>
                <m:sub>
                  <m:r>
                    <m:t>f</m:t>
                  </m:r>
                </m:sub>
                <m:sup>
                  <m:r>
                    <m:rPr>
                      <m:sty m:val="p"/>
                    </m:rPr>
                    <m:t>*</m:t>
                  </m:r>
                </m:sup>
              </m:sSubSup>
              <m:r>
                <m:t>t</m:t>
              </m:r>
            </m:sub>
            <m:sup>
              <m:r>
                <m:t>k</m:t>
              </m:r>
            </m:sup>
          </m:sSubSup>
          <m:r>
            <m:rPr>
              <m:sty m:val="p"/>
            </m:rPr>
            <m:t>,</m:t>
          </m:r>
          <m:r>
            <m:t>  </m:t>
          </m:r>
          <m:r>
            <m:t>k</m:t>
          </m:r>
          <m:r>
            <m:rPr>
              <m:sty m:val="p"/>
            </m:rPr>
            <m:t>∈</m:t>
          </m:r>
          <m:r>
            <m:rPr>
              <m:sty m:val="p"/>
              <m:scr m:val="script"/>
            </m:rPr>
            <m:t>K</m:t>
          </m:r>
          <m:r>
            <m:rPr>
              <m:sty m:val="p"/>
            </m:rPr>
            <m:t>.</m:t>
          </m:r>
          <m:r>
            <m:t>  </m:t>
          </m:r>
          <m:r>
            <m:rPr>
              <m:nor/>
              <m:sty m:val="p"/>
            </m:rPr>
            <m:t>(A3)</m:t>
          </m:r>
        </m:oMath>
      </m:oMathPara>
    </w:p>
    <w:p>
      <w:pPr>
        <w:pStyle w:val="FirstParagraph"/>
      </w:pPr>
      <w:r>
        <w:t xml:space="preserve">只有在企业活动已被可靠识别、且该活动在相应政策版本中确实不存在限制时，才能把</w:t>
      </w:r>
      <w:r>
        <w:t xml:space="preserve"> </w:t>
      </w:r>
      <m:oMath>
        <m:sSubSup>
          <m:e>
            <m:r>
              <m:t>Z</m:t>
            </m:r>
          </m:e>
          <m:sub>
            <m:r>
              <m:t>f</m:t>
            </m:r>
            <m:r>
              <m:t>t</m:t>
            </m:r>
          </m:sub>
          <m:sup>
            <m:r>
              <m:t>k</m:t>
            </m:r>
          </m:sup>
        </m:sSubSup>
      </m:oMath>
      <w:r>
        <w:t xml:space="preserve"> </w:t>
      </w:r>
      <w:r>
        <w:t xml:space="preserve">记为 0。因文本不足、行业信息不足或跨版本活动无法对齐造成的缺失均保留为缺失，不与“政策上无约束”混同。企业层面的横截面异质性因此来自企业主营活动不同，而不是把同一行业政策值复制给所有企业。</w:t>
      </w:r>
    </w:p>
    <w:p>
      <w:pPr>
        <w:pStyle w:val="a0"/>
      </w:pPr>
      <w:r>
        <w:t xml:space="preserve">这一设计的识别意义在于：即使两家企业最终都属于同一 OECD-AMNE 粗行业，只要其核心产品对应不同政策原子，便可能有</w:t>
      </w:r>
      <w:r>
        <w:t xml:space="preserve"> </w:t>
      </w:r>
      <m:oMath>
        <m:sSubSup>
          <m:e>
            <m:r>
              <m:t>Z</m:t>
            </m:r>
          </m:e>
          <m:sub>
            <m:r>
              <m:t>f</m:t>
            </m:r>
            <m:r>
              <m:t>t</m:t>
            </m:r>
          </m:sub>
          <m:sup>
            <m:r>
              <m:t>k</m:t>
            </m:r>
          </m:sup>
        </m:sSubSup>
        <m:r>
          <m:rPr>
            <m:sty m:val="p"/>
          </m:rPr>
          <m:t>≠</m:t>
        </m:r>
        <m:sSubSup>
          <m:e>
            <m:r>
              <m:t>Z</m:t>
            </m:r>
          </m:e>
          <m:sub>
            <m:r>
              <m:t>f</m:t>
            </m:r>
            <m:r>
              <m:rPr>
                <m:sty m:val="p"/>
              </m:rPr>
              <m:t>′</m:t>
            </m:r>
            <m:r>
              <m:t>t</m:t>
            </m:r>
          </m:sub>
          <m:sup>
            <m:r>
              <m:t>k</m:t>
            </m:r>
          </m:sup>
        </m:sSubSup>
      </m:oMath>
      <w:r>
        <w:t xml:space="preserve">。企业层面由此恢复了粗行业聚合时被压缩掉的细活动政策差异。企业数量本身并不创造独立政策冲击；真正增加的是可用于识别的“政策活动×改革年份”变化及其在企业中的不同暴露。</w:t>
      </w:r>
    </w:p>
    <w:bookmarkEnd w:id="23"/>
    <w:bookmarkStart w:id="24" w:name="a.2.5-isic-细行业到-oecd-amne-的聚合支路"/>
    <w:p>
      <w:pPr>
        <w:pStyle w:val="3"/>
      </w:pPr>
      <w:r>
        <w:t xml:space="preserve">A.2.5　ISIC 细行业到 OECD-AMNE 的聚合支路</w:t>
      </w:r>
    </w:p>
    <w:p>
      <w:pPr>
        <w:pStyle w:val="FirstParagraph"/>
      </w:pPr>
      <w:r>
        <w:t xml:space="preserve">原有行业聚合链条仍然保留，但其角色由“基准估计前的必要压缩”调整为“结构模型接口与宏观一致性检验”。设</w:t>
      </w:r>
      <w:r>
        <w:t xml:space="preserve"> </w:t>
      </w:r>
      <m:oMath>
        <m:r>
          <m:t>h</m:t>
        </m:r>
      </m:oMath>
      <w:r>
        <w:t xml:space="preserve"> </w:t>
      </w:r>
      <w:r>
        <w:t xml:space="preserve">为 ISIC 四位组，</w:t>
      </w:r>
      <m:oMath>
        <m:r>
          <m:t>d</m:t>
        </m:r>
      </m:oMath>
      <w:r>
        <w:t xml:space="preserve"> </w:t>
      </w:r>
      <w:r>
        <w:t xml:space="preserve">为 ISIC 两位类，</w:t>
      </w:r>
      <m:oMath>
        <m:r>
          <m:t>j</m:t>
        </m:r>
      </m:oMath>
      <w:r>
        <w:t xml:space="preserve"> </w:t>
      </w:r>
      <w:r>
        <w:t xml:space="preserve">为 OECD-AMNE 行业，</w:t>
      </w:r>
      <m:oMath>
        <m:sSub>
          <m:e>
            <m:r>
              <m:t>Y</m:t>
            </m:r>
          </m:e>
          <m:sub>
            <m:r>
              <m:t>h</m:t>
            </m:r>
            <m:r>
              <m:t>0</m:t>
            </m:r>
          </m:sub>
        </m:sSub>
      </m:oMath>
      <w:r>
        <w:t xml:space="preserve"> </w:t>
      </w:r>
      <w:r>
        <w:t xml:space="preserve">为统一基期经济规模。四位组到两位类、两位类到 OECD-AMNE 均使用固定基期权重；未被负面清单命中的完整细行业仍进入分母并记为 0。</w:t>
      </w:r>
    </w:p>
    <w:p>
      <w:pPr>
        <w:pStyle w:val="a0"/>
      </w:pPr>
      <w:r>
        <w:t xml:space="preserve">设</w:t>
      </w:r>
      <w:r>
        <w:t xml:space="preserve"> </w:t>
      </w:r>
      <m:oMath>
        <m:sSub>
          <m:e>
            <m:r>
              <m:rPr>
                <m:sty m:val="p"/>
                <m:scr m:val="script"/>
              </m:rPr>
              <m:t>H</m:t>
            </m:r>
          </m:e>
          <m:sub>
            <m:r>
              <m:t>j</m:t>
            </m:r>
          </m:sub>
        </m:sSub>
      </m:oMath>
      <w:r>
        <w:t xml:space="preserve"> </w:t>
      </w:r>
      <w:r>
        <w:t xml:space="preserve">为 OECD-AMNE 行业</w:t>
      </w:r>
      <w:r>
        <w:t xml:space="preserve"> </w:t>
      </w:r>
      <m:oMath>
        <m:r>
          <m:t>j</m:t>
        </m:r>
      </m:oMath>
      <w:r>
        <w:t xml:space="preserve"> </w:t>
      </w:r>
      <w:r>
        <w:t xml:space="preserve">所包含的全部 ISIC 四位组，定义</w:t>
      </w:r>
    </w:p>
    <w:p>
      <w:pPr>
        <w:pStyle w:val="a0"/>
      </w:pPr>
      <m:oMathPara>
        <m:oMathParaPr>
          <m:jc m:val="center"/>
        </m:oMathParaPr>
        <m:oMath>
          <m:sSub>
            <m:e>
              <m:r>
                <m:t>ω</m:t>
              </m:r>
            </m:e>
            <m:sub>
              <m:r>
                <m:t>h</m:t>
              </m:r>
              <m:r>
                <m:t>j</m:t>
              </m:r>
              <m:r>
                <m:rPr>
                  <m:sty m:val="p"/>
                </m:rPr>
                <m:t>,</m:t>
              </m:r>
              <m:r>
                <m:t>0</m:t>
              </m:r>
            </m:sub>
          </m:sSub>
          <m:r>
            <m:rPr>
              <m:sty m:val="p"/>
            </m:rPr>
            <m:t>=</m:t>
          </m:r>
          <m:f>
            <m:fPr>
              <m:type m:val="bar"/>
            </m:fPr>
            <m:num>
              <m:sSub>
                <m:e>
                  <m:r>
                    <m:t>Y</m:t>
                  </m:r>
                </m:e>
                <m:sub>
                  <m:r>
                    <m:t>h</m:t>
                  </m:r>
                  <m:r>
                    <m:t>0</m:t>
                  </m:r>
                </m:sub>
              </m:sSub>
            </m:num>
            <m:den>
              <m:nary>
                <m:naryPr>
                  <m:chr m:val="∑"/>
                  <m:limLoc m:val="undOvr"/>
                  <m:subHide m:val="off"/>
                  <m:supHide m:val="on"/>
                </m:naryPr>
                <m:sub>
                  <m:r>
                    <m:t>h</m:t>
                  </m:r>
                  <m:r>
                    <m:rPr>
                      <m:sty m:val="p"/>
                    </m:rPr>
                    <m:t>′</m:t>
                  </m:r>
                  <m:r>
                    <m:rPr>
                      <m:sty m:val="p"/>
                    </m:rPr>
                    <m:t>∈</m:t>
                  </m:r>
                  <m:sSub>
                    <m:e>
                      <m:r>
                        <m:rPr>
                          <m:sty m:val="p"/>
                          <m:scr m:val="script"/>
                        </m:rPr>
                        <m:t>H</m:t>
                      </m:r>
                    </m:e>
                    <m:sub>
                      <m:r>
                        <m:t>j</m:t>
                      </m:r>
                    </m:sub>
                  </m:sSub>
                </m:sub>
                <m:sup>
                  <m:r>
                    <m:t>​</m:t>
                  </m:r>
                </m:sup>
                <m:e>
                  <m:sSub>
                    <m:e>
                      <m:r>
                        <m:t>Y</m:t>
                      </m:r>
                    </m:e>
                    <m:sub>
                      <m:r>
                        <m:t>h</m:t>
                      </m:r>
                      <m:r>
                        <m:rPr>
                          <m:sty m:val="p"/>
                        </m:rPr>
                        <m:t>′</m:t>
                      </m:r>
                      <m:r>
                        <m:t>0</m:t>
                      </m:r>
                    </m:sub>
                  </m:sSub>
                </m:e>
              </m:nary>
            </m:den>
          </m:f>
          <m:r>
            <m:rPr>
              <m:sty m:val="p"/>
            </m:rPr>
            <m:t>,</m:t>
          </m:r>
          <m:r>
            <m:t>  </m:t>
          </m:r>
          <m:sSubSup>
            <m:e>
              <m:r>
                <m:t>Z</m:t>
              </m:r>
            </m:e>
            <m:sub>
              <m:r>
                <m:t>j</m:t>
              </m:r>
              <m:r>
                <m:t>t</m:t>
              </m:r>
            </m:sub>
            <m:sup>
              <m:r>
                <m:t>k</m:t>
              </m:r>
              <m:r>
                <m:rPr>
                  <m:sty m:val="p"/>
                </m:rPr>
                <m:t>,</m:t>
              </m:r>
              <m:r>
                <m:t>a</m:t>
              </m:r>
              <m:r>
                <m:t>g</m:t>
              </m:r>
              <m:r>
                <m:t>g</m:t>
              </m:r>
            </m:sup>
          </m:sSubSup>
          <m:r>
            <m:rPr>
              <m:sty m:val="p"/>
            </m:rPr>
            <m:t>=</m:t>
          </m:r>
          <m:nary>
            <m:naryPr>
              <m:chr m:val="∑"/>
              <m:limLoc m:val="undOvr"/>
              <m:subHide m:val="off"/>
              <m:supHide m:val="on"/>
            </m:naryPr>
            <m:sub>
              <m:r>
                <m:t>h</m:t>
              </m:r>
              <m:r>
                <m:rPr>
                  <m:sty m:val="p"/>
                </m:rPr>
                <m:t>∈</m:t>
              </m:r>
              <m:sSub>
                <m:e>
                  <m:r>
                    <m:rPr>
                      <m:sty m:val="p"/>
                      <m:scr m:val="script"/>
                    </m:rPr>
                    <m:t>H</m:t>
                  </m:r>
                </m:e>
                <m:sub>
                  <m:r>
                    <m:t>j</m:t>
                  </m:r>
                </m:sub>
              </m:sSub>
            </m:sub>
            <m:sup>
              <m:r>
                <m:t>​</m:t>
              </m:r>
            </m:sup>
            <m:e>
              <m:sSub>
                <m:e>
                  <m:r>
                    <m:t>ω</m:t>
                  </m:r>
                </m:e>
                <m:sub>
                  <m:r>
                    <m:t>h</m:t>
                  </m:r>
                  <m:r>
                    <m:t>j</m:t>
                  </m:r>
                  <m:r>
                    <m:rPr>
                      <m:sty m:val="p"/>
                    </m:rPr>
                    <m:t>,</m:t>
                  </m:r>
                  <m:r>
                    <m:t>0</m:t>
                  </m:r>
                </m:sub>
              </m:sSub>
            </m:e>
          </m:nary>
          <m:sSubSup>
            <m:e>
              <m:r>
                <m:t>z</m:t>
              </m:r>
            </m:e>
            <m:sub>
              <m:r>
                <m:t>h</m:t>
              </m:r>
              <m:r>
                <m:t>t</m:t>
              </m:r>
            </m:sub>
            <m:sup>
              <m:r>
                <m:t>k</m:t>
              </m:r>
            </m:sup>
          </m:sSubSup>
          <m:r>
            <m:rPr>
              <m:sty m:val="p"/>
            </m:rPr>
            <m:t>.</m:t>
          </m:r>
          <m:r>
            <m:t>  </m:t>
          </m:r>
          <m:r>
            <m:rPr>
              <m:nor/>
              <m:sty m:val="p"/>
            </m:rPr>
            <m:t>(A3a)</m:t>
          </m:r>
        </m:oMath>
      </m:oMathPara>
    </w:p>
    <w:p>
      <w:pPr>
        <w:pStyle w:val="FirstParagraph"/>
      </w:pPr>
      <w:r>
        <w:t xml:space="preserve">实际数据仍保留 ISIC4→ISIC2→OECD-AMNE 两级中间表，式（A3a）只是其直接聚合写法。使用同一基期规模变量且行业集合完整时，分步聚合与直接聚合在数学上等价。禁止准入份额与五类有限限制仍分开保存，不把禁止状态线性并入连续成本指数。</w:t>
      </w:r>
    </w:p>
    <w:bookmarkEnd w:id="24"/>
    <w:bookmarkEnd w:id="25"/>
    <w:bookmarkStart w:id="30" w:name="a.3-企业微观层面的基准识别与-mp-成本等价"/>
    <w:p>
      <w:pPr>
        <w:pStyle w:val="2"/>
      </w:pPr>
      <w:r>
        <w:t xml:space="preserve">A.3　企业微观层面的基准识别与 MP 成本等价</w:t>
      </w:r>
    </w:p>
    <w:bookmarkStart w:id="26" w:name="a.3.1-基准识别层级"/>
    <w:p>
      <w:pPr>
        <w:pStyle w:val="3"/>
      </w:pPr>
      <w:r>
        <w:t xml:space="preserve">A.3.1　基准识别层级</w:t>
      </w:r>
    </w:p>
    <w:p>
      <w:pPr>
        <w:pStyle w:val="FirstParagraph"/>
      </w:pPr>
      <w:r>
        <w:t xml:space="preserve">原行业层面规格的主要约束不是回归数据表中的观测行数，而是独立政策变化有限。对同一中国行业—年份，负面清单限制对所有外国母国相同，因此增加母国只能提高经验 MP cost 的测量信息，不能形成新的政策冲击；若先聚合到 OECD-AMNE，再分别估计六类限制，真正用于识别的行业—年份改革次数较少。</w:t>
      </w:r>
    </w:p>
    <w:p>
      <w:pPr>
        <w:pStyle w:val="a0"/>
      </w:pPr>
      <w:r>
        <w:t xml:space="preserve">新版基准样本改为企业—年份。企业固定效应控制企业长期不变的产品、技术和所有制特征；粗行业×年份固定效应吸收同一模型行业在同一年共同面对的需求、技术和宏观冲击。由于企业的核心产品对应不同政策活动，同一 OECD-AMNE 行业—年份内部仍可存在不同的</w:t>
      </w:r>
      <w:r>
        <w:t xml:space="preserve"> </w:t>
      </w:r>
      <m:oMath>
        <m:sSubSup>
          <m:e>
            <m:r>
              <m:t>Z</m:t>
            </m:r>
          </m:e>
          <m:sub>
            <m:r>
              <m:t>f</m:t>
            </m:r>
            <m:r>
              <m:t>t</m:t>
            </m:r>
          </m:sub>
          <m:sup>
            <m:r>
              <m:t>k</m:t>
            </m:r>
          </m:sup>
        </m:sSubSup>
      </m:oMath>
      <w:r>
        <w:t xml:space="preserve">，从而保留细活动层面的政策差异。数据允许时，可将粗行业×年份固定效应进一步收紧为 ISIC 两位类×年份固定效应。</w:t>
      </w:r>
    </w:p>
    <w:p>
      <w:pPr>
        <w:pStyle w:val="a0"/>
      </w:pPr>
      <w:r>
        <w:t xml:space="preserve">基准结果变量优先选择最接近跨国投资决策的企业行为，包括是否存在外资参与、外资持股比例、是否转为全外资以及新出现的外资进入。产出、就业和 TFP 等经营结果用于行为后果和外部效度检验，不直接解释为 MP 成本本身。</w:t>
      </w:r>
    </w:p>
    <w:bookmarkEnd w:id="26"/>
    <w:bookmarkStart w:id="27" w:name="a.3.2-六类政策限制企业跨国投资行为方程"/>
    <w:p>
      <w:pPr>
        <w:pStyle w:val="3"/>
      </w:pPr>
      <w:r>
        <w:t xml:space="preserve">A.3.2　六类政策限制—企业跨国投资行为方程</w:t>
      </w:r>
    </w:p>
    <w:p>
      <w:pPr>
        <w:pStyle w:val="FirstParagraph"/>
      </w:pPr>
      <w:r>
        <w:t xml:space="preserve">为保持六类限制的经济含义并避免小样本下同时放入多个高度同步的政策变量，基准仍采用六个单项方程。设</w:t>
      </w:r>
      <w:r>
        <w:t xml:space="preserve"> </w:t>
      </w:r>
      <m:oMath>
        <m:r>
          <m:t>j</m:t>
        </m:r>
        <m:d>
          <m:dPr>
            <m:begChr m:val="("/>
            <m:endChr m:val=")"/>
            <m:sepChr m:val=""/>
            <m:grow/>
          </m:dPr>
          <m:e>
            <m:r>
              <m:t>f</m:t>
            </m:r>
          </m:e>
        </m:d>
      </m:oMath>
      <w:r>
        <w:t xml:space="preserve"> </w:t>
      </w:r>
      <w:r>
        <w:t xml:space="preserve">为企业所属 OECD-AMNE 模型行业，</w:t>
      </w:r>
      <m:oMath>
        <m:sSub>
          <m:e>
            <m:r>
              <m:t>X</m:t>
            </m:r>
          </m:e>
          <m:sub>
            <m:r>
              <m:t>f</m:t>
            </m:r>
            <m:r>
              <m:t>t</m:t>
            </m:r>
          </m:sub>
        </m:sSub>
      </m:oMath>
      <w:r>
        <w:t xml:space="preserve"> </w:t>
      </w:r>
      <w:r>
        <w:t xml:space="preserve">为预定企业控制变量，则：</w:t>
      </w:r>
    </w:p>
    <w:p>
      <w:pPr>
        <w:pStyle w:val="a0"/>
      </w:pPr>
      <m:oMathPara>
        <m:oMathParaPr>
          <m:jc m:val="center"/>
        </m:oMathParaPr>
        <m:oMath>
          <m:sSub>
            <m:e>
              <m:r>
                <m:t>Y</m:t>
              </m:r>
            </m:e>
            <m:sub>
              <m:r>
                <m:t>f</m:t>
              </m:r>
              <m:r>
                <m:t>t</m:t>
              </m:r>
            </m:sub>
          </m:sSub>
          <m:r>
            <m:rPr>
              <m:sty m:val="p"/>
            </m:rPr>
            <m:t>=</m:t>
          </m:r>
          <m:sSub>
            <m:e>
              <m:r>
                <m:t>β</m:t>
              </m:r>
            </m:e>
            <m:sub>
              <m:r>
                <m:t>P</m:t>
              </m:r>
            </m:sub>
          </m:sSub>
          <m:sSubSup>
            <m:e>
              <m:r>
                <m:t>Z</m:t>
              </m:r>
            </m:e>
            <m:sub>
              <m:r>
                <m:t>f</m:t>
              </m:r>
              <m:r>
                <m:t>t</m:t>
              </m:r>
            </m:sub>
            <m:sup>
              <m:r>
                <m:t>P</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P</m:t>
              </m:r>
            </m:sup>
          </m:sSubSup>
          <m:r>
            <m:rPr>
              <m:sty m:val="p"/>
            </m:rPr>
            <m:t>.</m:t>
          </m:r>
          <m:r>
            <m:t>  </m:t>
          </m:r>
          <m:r>
            <m:rPr>
              <m:nor/>
              <m:sty m:val="p"/>
            </m:rPr>
            <m:t>(A4a)</m:t>
          </m:r>
        </m:oMath>
      </m:oMathPara>
    </w:p>
    <w:p>
      <w:pPr>
        <w:pStyle w:val="FirstParagraph"/>
      </w:pPr>
      <m:oMathPara>
        <m:oMathParaPr>
          <m:jc m:val="center"/>
        </m:oMathParaPr>
        <m:oMath>
          <m:sSub>
            <m:e>
              <m:r>
                <m:t>Y</m:t>
              </m:r>
            </m:e>
            <m:sub>
              <m:r>
                <m:t>f</m:t>
              </m:r>
              <m:r>
                <m:t>t</m:t>
              </m:r>
            </m:sub>
          </m:sSub>
          <m:r>
            <m:rPr>
              <m:sty m:val="p"/>
            </m:rPr>
            <m:t>=</m:t>
          </m:r>
          <m:sSub>
            <m:e>
              <m:r>
                <m:t>β</m:t>
              </m:r>
            </m:e>
            <m:sub>
              <m:r>
                <m:t>E</m:t>
              </m:r>
            </m:sub>
          </m:sSub>
          <m:sSubSup>
            <m:e>
              <m:r>
                <m:t>Z</m:t>
              </m:r>
            </m:e>
            <m:sub>
              <m:r>
                <m:t>f</m:t>
              </m:r>
              <m:r>
                <m:t>t</m:t>
              </m:r>
            </m:sub>
            <m:sup>
              <m:r>
                <m:t>E</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E</m:t>
              </m:r>
            </m:sup>
          </m:sSubSup>
          <m:r>
            <m:rPr>
              <m:sty m:val="p"/>
            </m:rPr>
            <m:t>.</m:t>
          </m:r>
          <m:r>
            <m:t>  </m:t>
          </m:r>
          <m:r>
            <m:rPr>
              <m:nor/>
              <m:sty m:val="p"/>
            </m:rPr>
            <m:t>(A4b)</m:t>
          </m:r>
        </m:oMath>
      </m:oMathPara>
    </w:p>
    <w:p>
      <w:pPr>
        <w:pStyle w:val="FirstParagraph"/>
      </w:pPr>
      <m:oMathPara>
        <m:oMathParaPr>
          <m:jc m:val="center"/>
        </m:oMathParaPr>
        <m:oMath>
          <m:sSub>
            <m:e>
              <m:r>
                <m:t>Y</m:t>
              </m:r>
            </m:e>
            <m:sub>
              <m:r>
                <m:t>f</m:t>
              </m:r>
              <m:r>
                <m:t>t</m:t>
              </m:r>
            </m:sub>
          </m:sSub>
          <m:r>
            <m:rPr>
              <m:sty m:val="p"/>
            </m:rPr>
            <m:t>=</m:t>
          </m:r>
          <m:sSub>
            <m:e>
              <m:r>
                <m:t>β</m:t>
              </m:r>
            </m:e>
            <m:sub>
              <m:r>
                <m:t>C</m:t>
              </m:r>
            </m:sub>
          </m:sSub>
          <m:sSubSup>
            <m:e>
              <m:r>
                <m:t>Z</m:t>
              </m:r>
            </m:e>
            <m:sub>
              <m:r>
                <m:t>f</m:t>
              </m:r>
              <m:r>
                <m:t>t</m:t>
              </m:r>
            </m:sub>
            <m:sup>
              <m:r>
                <m:t>C</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C</m:t>
              </m:r>
            </m:sup>
          </m:sSubSup>
          <m:r>
            <m:rPr>
              <m:sty m:val="p"/>
            </m:rPr>
            <m:t>.</m:t>
          </m:r>
          <m:r>
            <m:t>  </m:t>
          </m:r>
          <m:r>
            <m:rPr>
              <m:nor/>
              <m:sty m:val="p"/>
            </m:rPr>
            <m:t>(A4c)</m:t>
          </m:r>
        </m:oMath>
      </m:oMathPara>
    </w:p>
    <w:p>
      <w:pPr>
        <w:pStyle w:val="FirstParagraph"/>
      </w:pPr>
      <m:oMathPara>
        <m:oMathParaPr>
          <m:jc m:val="center"/>
        </m:oMathParaPr>
        <m:oMath>
          <m:sSub>
            <m:e>
              <m:r>
                <m:t>Y</m:t>
              </m:r>
            </m:e>
            <m:sub>
              <m:r>
                <m:t>f</m:t>
              </m:r>
              <m:r>
                <m:t>t</m:t>
              </m:r>
            </m:sub>
          </m:sSub>
          <m:r>
            <m:rPr>
              <m:sty m:val="p"/>
            </m:rPr>
            <m:t>=</m:t>
          </m:r>
          <m:sSub>
            <m:e>
              <m:r>
                <m:t>β</m:t>
              </m:r>
            </m:e>
            <m:sub>
              <m:r>
                <m:t>O</m:t>
              </m:r>
            </m:sub>
          </m:sSub>
          <m:sSubSup>
            <m:e>
              <m:r>
                <m:t>Z</m:t>
              </m:r>
            </m:e>
            <m:sub>
              <m:r>
                <m:t>f</m:t>
              </m:r>
              <m:r>
                <m:t>t</m:t>
              </m:r>
            </m:sub>
            <m:sup>
              <m:r>
                <m:t>O</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O</m:t>
              </m:r>
            </m:sup>
          </m:sSubSup>
          <m:r>
            <m:rPr>
              <m:sty m:val="p"/>
            </m:rPr>
            <m:t>.</m:t>
          </m:r>
          <m:r>
            <m:t>  </m:t>
          </m:r>
          <m:r>
            <m:rPr>
              <m:nor/>
              <m:sty m:val="p"/>
            </m:rPr>
            <m:t>(A4d)</m:t>
          </m:r>
        </m:oMath>
      </m:oMathPara>
    </w:p>
    <w:p>
      <w:pPr>
        <w:pStyle w:val="FirstParagraph"/>
      </w:pPr>
      <m:oMathPara>
        <m:oMathParaPr>
          <m:jc m:val="center"/>
        </m:oMathParaPr>
        <m:oMath>
          <m:sSub>
            <m:e>
              <m:r>
                <m:t>Y</m:t>
              </m:r>
            </m:e>
            <m:sub>
              <m:r>
                <m:t>f</m:t>
              </m:r>
              <m:r>
                <m:t>t</m:t>
              </m:r>
            </m:sub>
          </m:sSub>
          <m:r>
            <m:rPr>
              <m:sty m:val="p"/>
            </m:rPr>
            <m:t>=</m:t>
          </m:r>
          <m:sSub>
            <m:e>
              <m:r>
                <m:t>β</m:t>
              </m:r>
            </m:e>
            <m:sub>
              <m:r>
                <m:t>G</m:t>
              </m:r>
            </m:sub>
          </m:sSub>
          <m:sSubSup>
            <m:e>
              <m:r>
                <m:t>Z</m:t>
              </m:r>
            </m:e>
            <m:sub>
              <m:r>
                <m:t>f</m:t>
              </m:r>
              <m:r>
                <m:t>t</m:t>
              </m:r>
            </m:sub>
            <m:sup>
              <m:r>
                <m:t>G</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G</m:t>
              </m:r>
            </m:sup>
          </m:sSubSup>
          <m:r>
            <m:rPr>
              <m:sty m:val="p"/>
            </m:rPr>
            <m:t>.</m:t>
          </m:r>
          <m:r>
            <m:t>  </m:t>
          </m:r>
          <m:r>
            <m:rPr>
              <m:nor/>
              <m:sty m:val="p"/>
            </m:rPr>
            <m:t>(A4e)</m:t>
          </m:r>
        </m:oMath>
      </m:oMathPara>
    </w:p>
    <w:p>
      <w:pPr>
        <w:pStyle w:val="FirstParagraph"/>
      </w:pPr>
      <m:oMathPara>
        <m:oMathParaPr>
          <m:jc m:val="center"/>
        </m:oMathParaPr>
        <m:oMath>
          <m:sSub>
            <m:e>
              <m:r>
                <m:t>Y</m:t>
              </m:r>
            </m:e>
            <m:sub>
              <m:r>
                <m:t>f</m:t>
              </m:r>
              <m:r>
                <m:t>t</m:t>
              </m:r>
            </m:sub>
          </m:sSub>
          <m:r>
            <m:rPr>
              <m:sty m:val="p"/>
            </m:rPr>
            <m:t>=</m:t>
          </m:r>
          <m:sSub>
            <m:e>
              <m:r>
                <m:t>β</m:t>
              </m:r>
            </m:e>
            <m:sub>
              <m:r>
                <m:t>R</m:t>
              </m:r>
            </m:sub>
          </m:sSub>
          <m:sSubSup>
            <m:e>
              <m:r>
                <m:t>Z</m:t>
              </m:r>
            </m:e>
            <m:sub>
              <m:r>
                <m:t>f</m:t>
              </m:r>
              <m:r>
                <m:t>t</m:t>
              </m:r>
            </m:sub>
            <m:sup>
              <m:r>
                <m:t>R</m:t>
              </m:r>
            </m:sup>
          </m:sSubSup>
          <m:r>
            <m:rPr>
              <m:sty m:val="p"/>
            </m:rPr>
            <m:t>+</m:t>
          </m:r>
          <m:sSub>
            <m:e>
              <m:r>
                <m:t>μ</m:t>
              </m:r>
            </m:e>
            <m:sub>
              <m:r>
                <m:t>f</m:t>
              </m:r>
            </m:sub>
          </m:sSub>
          <m:r>
            <m:rPr>
              <m:sty m:val="p"/>
            </m:rPr>
            <m:t>+</m:t>
          </m:r>
          <m:sSub>
            <m:e>
              <m:r>
                <m:t>λ</m:t>
              </m:r>
            </m:e>
            <m:sub>
              <m:r>
                <m:t>j</m:t>
              </m:r>
              <m:d>
                <m:dPr>
                  <m:begChr m:val="("/>
                  <m:endChr m:val=")"/>
                  <m:sepChr m:val=""/>
                  <m:grow/>
                </m:dPr>
                <m:e>
                  <m:r>
                    <m:t>f</m:t>
                  </m:r>
                </m:e>
              </m:d>
              <m:r>
                <m:t>t</m:t>
              </m:r>
            </m:sub>
          </m:sSub>
          <m:r>
            <m:rPr>
              <m:sty m:val="p"/>
            </m:rPr>
            <m:t>+</m:t>
          </m:r>
          <m:sSub>
            <m:e>
              <m:r>
                <m:t>X</m:t>
              </m:r>
            </m:e>
            <m:sub>
              <m:r>
                <m:t>f</m:t>
              </m:r>
              <m:r>
                <m:t>t</m:t>
              </m:r>
            </m:sub>
          </m:sSub>
          <m:r>
            <m:rPr>
              <m:sty m:val="p"/>
            </m:rPr>
            <m:t>′</m:t>
          </m:r>
          <m:r>
            <m:t>θ</m:t>
          </m:r>
          <m:r>
            <m:rPr>
              <m:sty m:val="p"/>
            </m:rPr>
            <m:t>+</m:t>
          </m:r>
          <m:sSubSup>
            <m:e>
              <m:r>
                <m:t>ε</m:t>
              </m:r>
            </m:e>
            <m:sub>
              <m:r>
                <m:t>f</m:t>
              </m:r>
              <m:r>
                <m:t>t</m:t>
              </m:r>
            </m:sub>
            <m:sup>
              <m:r>
                <m:t>R</m:t>
              </m:r>
            </m:sup>
          </m:sSubSup>
          <m:r>
            <m:rPr>
              <m:sty m:val="p"/>
            </m:rPr>
            <m:t>.</m:t>
          </m:r>
          <m:r>
            <m:t>  </m:t>
          </m:r>
          <m:r>
            <m:rPr>
              <m:nor/>
              <m:sty m:val="p"/>
            </m:rPr>
            <m:t>(A4f)</m:t>
          </m:r>
        </m:oMath>
      </m:oMathPara>
    </w:p>
    <w:p>
      <w:pPr>
        <w:pStyle w:val="FirstParagraph"/>
      </w:pPr>
      <w:r>
        <w:t xml:space="preserve">若限制变量取值越大表示准入越严格，则对“外资参与程度越高”的结果变量通常预期</w:t>
      </w:r>
      <w:r>
        <w:t xml:space="preserve"> </w:t>
      </w:r>
      <m:oMath>
        <m:sSub>
          <m:e>
            <m:r>
              <m:t>β</m:t>
            </m:r>
          </m:e>
          <m:sub>
            <m:r>
              <m:t>k</m:t>
            </m:r>
          </m:sub>
        </m:sSub>
        <m:r>
          <m:rPr>
            <m:sty m:val="p"/>
          </m:rPr>
          <m:t>&lt;</m:t>
        </m:r>
        <m:r>
          <m:t>0</m:t>
        </m:r>
      </m:oMath>
      <w:r>
        <w:t xml:space="preserve">。这里的</w:t>
      </w:r>
      <w:r>
        <w:t xml:space="preserve"> </w:t>
      </w:r>
      <m:oMath>
        <m:sSub>
          <m:e>
            <m:r>
              <m:t>β</m:t>
            </m:r>
          </m:e>
          <m:sub>
            <m:r>
              <m:t>k</m:t>
            </m:r>
          </m:sub>
        </m:sSub>
      </m:oMath>
      <w:r>
        <w:t xml:space="preserve"> </w:t>
      </w:r>
      <w:r>
        <w:t xml:space="preserve">是政策限制对企业跨国投资行为的约化式效应，不直接等于结构 MP 成本弹性。若多类限制在同一次改革中同步调整，单项系数仍可能吸收相关政策变化，因此六变量联合规格仅在政策变化和样本支持时作为稳健性检验。</w:t>
      </w:r>
    </w:p>
    <w:p>
      <w:pPr>
        <w:pStyle w:val="a0"/>
      </w:pPr>
      <w:r>
        <w:t xml:space="preserve">式（A4a）—（A4f）的关键识别来自同一粗行业—年份内部，不同企业因核心产品对应不同政策活动而形成的政策暴露差异。标准误不能按企业层面独立处理，因为匹配到同一 policy_activity_id 的企业共享同一政策冲击；基准至少在政策活动或相应细行业层面聚类。有效政策簇较少时，使用 wild cluster bootstrap，并报告独立政策活动数、实际改革活动数和企业观测数，避免把微观大</w:t>
      </w:r>
      <w:r>
        <w:t xml:space="preserve"> </w:t>
      </w:r>
      <m:oMath>
        <m:r>
          <m:t>N</m:t>
        </m:r>
      </m:oMath>
      <w:r>
        <w:t xml:space="preserve"> </w:t>
      </w:r>
      <w:r>
        <w:t xml:space="preserve">误解为大量独立改革。</w:t>
      </w:r>
    </w:p>
    <w:bookmarkEnd w:id="27"/>
    <w:bookmarkStart w:id="28" w:name="a.3.3-由企业行为效应得到行业-mp-成本等价"/>
    <w:p>
      <w:pPr>
        <w:pStyle w:val="3"/>
      </w:pPr>
      <w:r>
        <w:t xml:space="preserve">A.3.3　由企业行为效应得到行业 MP 成本等价</w:t>
      </w:r>
    </w:p>
    <w:p>
      <w:pPr>
        <w:pStyle w:val="FirstParagraph"/>
      </w:pPr>
      <w:r>
        <w:t xml:space="preserve">企业层面的回归解决“政策变化如何改变真实跨国投资行为”的识别问题，但结构模型需要的是 OECD-AMNE 行业层面的 MP 成本冲击。因此，第二步不把</w:t>
      </w:r>
      <w:r>
        <w:t xml:space="preserve"> </w:t>
      </w:r>
      <m:oMath>
        <m:sSub>
          <m:e>
            <m:acc>
              <m:accPr>
                <m:chr m:val="̂"/>
              </m:accPr>
              <m:e>
                <m:r>
                  <m:t>β</m:t>
                </m:r>
              </m:e>
            </m:acc>
          </m:e>
          <m:sub>
            <m:r>
              <m:t>k</m:t>
            </m:r>
          </m:sub>
        </m:sSub>
      </m:oMath>
      <w:r>
        <w:t xml:space="preserve"> </w:t>
      </w:r>
      <w:r>
        <w:t xml:space="preserve">直接当作成本，而是先构造政策诱发的微观行为矩，再利用结构模型对该行为矩进行反演。</w:t>
      </w:r>
    </w:p>
    <w:p>
      <w:pPr>
        <w:pStyle w:val="a0"/>
      </w:pPr>
      <w:r>
        <w:t xml:space="preserve">对任意两个政策版本</w:t>
      </w:r>
      <w:r>
        <w:t xml:space="preserve"> </w:t>
      </w:r>
      <m:oMath>
        <m:sSub>
          <m:e>
            <m:r>
              <m:t>t</m:t>
            </m:r>
          </m:e>
          <m:sub>
            <m:r>
              <m:t>0</m:t>
            </m:r>
          </m:sub>
        </m:sSub>
      </m:oMath>
      <w:r>
        <w:t xml:space="preserve"> </w:t>
      </w:r>
      <w:r>
        <w:t xml:space="preserve">和</w:t>
      </w:r>
      <w:r>
        <w:t xml:space="preserve"> </w:t>
      </w:r>
      <m:oMath>
        <m:sSub>
          <m:e>
            <m:r>
              <m:t>t</m:t>
            </m:r>
          </m:e>
          <m:sub>
            <m:r>
              <m:t>1</m:t>
            </m:r>
          </m:sub>
        </m:sSub>
      </m:oMath>
      <w:r>
        <w:t xml:space="preserve">，第</w:t>
      </w:r>
      <w:r>
        <w:t xml:space="preserve"> </w:t>
      </w:r>
      <m:oMath>
        <m:r>
          <m:t>k</m:t>
        </m:r>
      </m:oMath>
      <w:r>
        <w:t xml:space="preserve"> </w:t>
      </w:r>
      <w:r>
        <w:t xml:space="preserve">类有限限制对企业行为的预测变化为</w:t>
      </w:r>
      <w:r>
        <w:t xml:space="preserve"> </w:t>
      </w:r>
      <m:oMath>
        <m:sSubSup>
          <m:e>
            <m:acc>
              <m:accPr>
                <m:chr m:val="̂"/>
              </m:accPr>
              <m:e>
                <m:r>
                  <m:t>Δ</m:t>
                </m:r>
                <m:r>
                  <m:t>Y</m:t>
                </m:r>
              </m:e>
            </m:acc>
          </m:e>
          <m:sub>
            <m:r>
              <m:t>f</m:t>
            </m:r>
            <m:r>
              <m:t>t</m:t>
            </m:r>
          </m:sub>
          <m:sup>
            <m:r>
              <m:t>k</m:t>
            </m:r>
          </m:sup>
        </m:sSubSup>
        <m:r>
          <m:rPr>
            <m:sty m:val="p"/>
          </m:rPr>
          <m:t>=</m:t>
        </m:r>
        <m:sSub>
          <m:e>
            <m:acc>
              <m:accPr>
                <m:chr m:val="̂"/>
              </m:accPr>
              <m:e>
                <m:r>
                  <m:t>β</m:t>
                </m:r>
              </m:e>
            </m:acc>
          </m:e>
          <m:sub>
            <m:r>
              <m:t>k</m:t>
            </m:r>
          </m:sub>
        </m:sSub>
        <m:d>
          <m:dPr>
            <m:begChr m:val="("/>
            <m:endChr m:val=")"/>
            <m:sepChr m:val=""/>
            <m:grow/>
          </m:dPr>
          <m:e>
            <m:sSubSup>
              <m:e>
                <m:r>
                  <m:t>Z</m:t>
                </m:r>
              </m:e>
              <m:sub>
                <m:r>
                  <m:t>f</m:t>
                </m:r>
                <m:r>
                  <m:rPr>
                    <m:sty m:val="p"/>
                  </m:rPr>
                  <m:t>,</m:t>
                </m:r>
                <m:sSub>
                  <m:e>
                    <m:r>
                      <m:t>t</m:t>
                    </m:r>
                  </m:e>
                  <m:sub>
                    <m:r>
                      <m:t>1</m:t>
                    </m:r>
                  </m:sub>
                </m:sSub>
              </m:sub>
              <m:sup>
                <m:r>
                  <m:t>k</m:t>
                </m:r>
              </m:sup>
            </m:sSubSup>
            <m:r>
              <m:rPr>
                <m:sty m:val="p"/>
              </m:rPr>
              <m:t>−</m:t>
            </m:r>
            <m:sSubSup>
              <m:e>
                <m:r>
                  <m:t>Z</m:t>
                </m:r>
              </m:e>
              <m:sub>
                <m:r>
                  <m:t>f</m:t>
                </m:r>
                <m:r>
                  <m:rPr>
                    <m:sty m:val="p"/>
                  </m:rPr>
                  <m:t>,</m:t>
                </m:r>
                <m:sSub>
                  <m:e>
                    <m:r>
                      <m:t>t</m:t>
                    </m:r>
                  </m:e>
                  <m:sub>
                    <m:r>
                      <m:t>0</m:t>
                    </m:r>
                  </m:sub>
                </m:sSub>
              </m:sub>
              <m:sup>
                <m:r>
                  <m:t>k</m:t>
                </m:r>
              </m:sup>
            </m:sSubSup>
          </m:e>
        </m:d>
      </m:oMath>
      <w:r>
        <w:t xml:space="preserve">。在模型行业</w:t>
      </w:r>
      <w:r>
        <w:t xml:space="preserve"> </w:t>
      </w:r>
      <m:oMath>
        <m:r>
          <m:t>j</m:t>
        </m:r>
      </m:oMath>
      <w:r>
        <w:t xml:space="preserve"> </w:t>
      </w:r>
      <w:r>
        <w:t xml:space="preserve">内，以统一基期企业规模</w:t>
      </w:r>
      <w:r>
        <w:t xml:space="preserve"> </w:t>
      </w:r>
      <m:oMath>
        <m:sSub>
          <m:e>
            <m:r>
              <m:t>S</m:t>
            </m:r>
          </m:e>
          <m:sub>
            <m:r>
              <m:t>f</m:t>
            </m:r>
            <m:r>
              <m:t>0</m:t>
            </m:r>
          </m:sub>
        </m:sSub>
      </m:oMath>
      <w:r>
        <w:t xml:space="preserve"> </w:t>
      </w:r>
      <w:r>
        <w:t xml:space="preserve">构造固定权重，将企业效应聚合为与结构模型可比的目标矩</w:t>
      </w:r>
      <w:r>
        <w:t xml:space="preserve"> </w:t>
      </w:r>
      <m:oMath>
        <m:sSubSup>
          <m:e>
            <m:acc>
              <m:accPr>
                <m:chr m:val="̂"/>
              </m:accPr>
              <m:e>
                <m:r>
                  <m:t>Δ</m:t>
                </m:r>
                <m:r>
                  <m:t>M</m:t>
                </m:r>
              </m:e>
            </m:acc>
          </m:e>
          <m:sub>
            <m:r>
              <m:t>j</m:t>
            </m:r>
            <m:r>
              <m:t>t</m:t>
            </m:r>
          </m:sub>
          <m:sup>
            <m:r>
              <m:t>k</m:t>
            </m:r>
          </m:sup>
        </m:sSubSup>
      </m:oMath>
      <w:r>
        <w:t xml:space="preserve">。目标矩优先选择外国企业生产份额、外资参与率或能够与跨国生产份额直接对应的统计量；其他企业结果作为辅助矩。</w:t>
      </w:r>
    </w:p>
    <w:p>
      <w:pPr>
        <w:pStyle w:val="a0"/>
      </w:pPr>
      <w:r>
        <w:t xml:space="preserve">设</w:t>
      </w:r>
      <w:r>
        <w:t xml:space="preserve"> </w:t>
      </w:r>
      <m:oMath>
        <m:r>
          <m:t>Δ</m:t>
        </m:r>
        <m:sSubSup>
          <m:e>
            <m:r>
              <m:t>M</m:t>
            </m:r>
          </m:e>
          <m:sub>
            <m:r>
              <m:t>j</m:t>
            </m:r>
          </m:sub>
          <m:sup>
            <m:r>
              <m:t>m</m:t>
            </m:r>
            <m:r>
              <m:t>o</m:t>
            </m:r>
            <m:r>
              <m:t>d</m:t>
            </m:r>
            <m:r>
              <m:t>e</m:t>
            </m:r>
            <m:r>
              <m:t>l</m:t>
            </m:r>
          </m:sup>
        </m:sSubSup>
        <m:d>
          <m:dPr>
            <m:begChr m:val="("/>
            <m:endChr m:val=")"/>
            <m:sepChr m:val=""/>
            <m:grow/>
          </m:dPr>
          <m:e>
            <m:r>
              <m:t>δ</m:t>
            </m:r>
          </m:e>
        </m:d>
      </m:oMath>
      <w:r>
        <w:t xml:space="preserve"> </w:t>
      </w:r>
      <w:r>
        <w:t xml:space="preserve">表示在结构模型中把中国行业</w:t>
      </w:r>
      <w:r>
        <w:t xml:space="preserve"> </w:t>
      </w:r>
      <m:oMath>
        <m:r>
          <m:t>j</m:t>
        </m:r>
      </m:oMath>
      <w:r>
        <w:t xml:space="preserve"> </w:t>
      </w:r>
      <w:r>
        <w:t xml:space="preserve">的制度型 MP 成本改变</w:t>
      </w:r>
      <w:r>
        <w:t xml:space="preserve"> </w:t>
      </w:r>
      <m:oMath>
        <m:r>
          <m:t>δ</m:t>
        </m:r>
      </m:oMath>
      <w:r>
        <w:t xml:space="preserve"> </w:t>
      </w:r>
      <w:r>
        <w:t xml:space="preserve">后产生的同口径行为矩变化。对五类有限准入限制</w:t>
      </w:r>
      <w:r>
        <w:t xml:space="preserve"> </w:t>
      </w:r>
      <m:oMath>
        <m:r>
          <m:t>k</m:t>
        </m:r>
        <m:r>
          <m:rPr>
            <m:sty m:val="p"/>
          </m:rPr>
          <m:t>∈</m:t>
        </m:r>
        <m:r>
          <m:rPr>
            <m:sty m:val="p"/>
          </m:rPr>
          <m:t>{</m:t>
        </m:r>
        <m:r>
          <m:t>E</m:t>
        </m:r>
        <m:r>
          <m:rPr>
            <m:sty m:val="p"/>
          </m:rPr>
          <m:t>,</m:t>
        </m:r>
        <m:r>
          <m:t>C</m:t>
        </m:r>
        <m:r>
          <m:rPr>
            <m:sty m:val="p"/>
          </m:rPr>
          <m:t>,</m:t>
        </m:r>
        <m:r>
          <m:t>O</m:t>
        </m:r>
        <m:r>
          <m:rPr>
            <m:sty m:val="p"/>
          </m:rPr>
          <m:t>,</m:t>
        </m:r>
        <m:r>
          <m:t>G</m:t>
        </m:r>
        <m:r>
          <m:rPr>
            <m:sty m:val="p"/>
          </m:rPr>
          <m:t>,</m:t>
        </m:r>
        <m:r>
          <m:t>R</m:t>
        </m:r>
        <m:r>
          <m:rPr>
            <m:sty m:val="p"/>
          </m:rPr>
          <m:t>}</m:t>
        </m:r>
      </m:oMath>
      <w:r>
        <w:t xml:space="preserve">，定义成本等价为</w:t>
      </w:r>
    </w:p>
    <w:p>
      <w:pPr>
        <w:pStyle w:val="a0"/>
      </w:pPr>
      <m:oMathPara>
        <m:oMathParaPr>
          <m:jc m:val="center"/>
        </m:oMathParaPr>
        <m:oMath>
          <m:sSubSup>
            <m:e>
              <m:acc>
                <m:accPr>
                  <m:chr m:val="̂"/>
                </m:accPr>
                <m:e>
                  <m:r>
                    <m:t>Δ</m:t>
                  </m:r>
                  <m:r>
                    <m:rPr>
                      <m:sty m:val="p"/>
                    </m:rPr>
                    <m:t>ln</m:t>
                  </m:r>
                  <m:r>
                    <m:t>γ</m:t>
                  </m:r>
                </m:e>
              </m:acc>
            </m:e>
            <m:sub>
              <m:r>
                <m:t>C</m:t>
              </m:r>
              <m:r>
                <m:t>j</m:t>
              </m:r>
              <m:r>
                <m:t>t</m:t>
              </m:r>
            </m:sub>
            <m:sup>
              <m:r>
                <m:t>i</m:t>
              </m:r>
              <m:r>
                <m:t>n</m:t>
              </m:r>
              <m:r>
                <m:t>s</m:t>
              </m:r>
              <m:r>
                <m:t>t</m:t>
              </m:r>
              <m:r>
                <m:rPr>
                  <m:sty m:val="p"/>
                </m:rPr>
                <m:t>,</m:t>
              </m:r>
              <m:r>
                <m:t>k</m:t>
              </m:r>
            </m:sup>
          </m:sSubSup>
          <m:r>
            <m:rPr>
              <m:sty m:val="p"/>
            </m:rPr>
            <m:t>=</m:t>
          </m:r>
          <m:r>
            <m:rPr>
              <m:sty m:val="p"/>
            </m:rPr>
            <m:t>arg</m:t>
          </m:r>
          <m:limLow>
            <m:e>
              <m:r>
                <m:rPr>
                  <m:sty m:val="p"/>
                </m:rPr>
                <m:t>min</m:t>
              </m:r>
            </m:e>
            <m:lim>
              <m:r>
                <m:t>δ</m:t>
              </m:r>
            </m:lim>
          </m:limLow>
          <m:d>
            <m:dPr>
              <m:begChr m:val="["/>
              <m:endChr m:val="]"/>
              <m:sepChr m:val=""/>
              <m:grow/>
            </m:dPr>
            <m:e>
              <m:sSubSup>
                <m:e>
                  <m:acc>
                    <m:accPr>
                      <m:chr m:val="̂"/>
                    </m:accPr>
                    <m:e>
                      <m:r>
                        <m:t>Δ</m:t>
                      </m:r>
                      <m:r>
                        <m:t>M</m:t>
                      </m:r>
                    </m:e>
                  </m:acc>
                </m:e>
                <m:sub>
                  <m:r>
                    <m:t>j</m:t>
                  </m:r>
                  <m:r>
                    <m:t>t</m:t>
                  </m:r>
                </m:sub>
                <m:sup>
                  <m:r>
                    <m:t>k</m:t>
                  </m:r>
                </m:sup>
              </m:sSubSup>
              <m:r>
                <m:rPr>
                  <m:sty m:val="p"/>
                </m:rPr>
                <m:t>−</m:t>
              </m:r>
              <m:r>
                <m:t>Δ</m:t>
              </m:r>
              <m:sSubSup>
                <m:e>
                  <m:r>
                    <m:t>M</m:t>
                  </m:r>
                </m:e>
                <m:sub>
                  <m:r>
                    <m:t>j</m:t>
                  </m:r>
                </m:sub>
                <m:sup>
                  <m:r>
                    <m:t>m</m:t>
                  </m:r>
                  <m:r>
                    <m:t>o</m:t>
                  </m:r>
                  <m:r>
                    <m:t>d</m:t>
                  </m:r>
                  <m:r>
                    <m:t>e</m:t>
                  </m:r>
                  <m:r>
                    <m:t>l</m:t>
                  </m:r>
                </m:sup>
              </m:sSubSup>
              <m:d>
                <m:dPr>
                  <m:begChr m:val="("/>
                  <m:endChr m:val=")"/>
                  <m:sepChr m:val=""/>
                  <m:grow/>
                </m:dPr>
                <m:e>
                  <m:r>
                    <m:t>δ</m:t>
                  </m:r>
                </m:e>
              </m:d>
            </m:e>
          </m:d>
          <m:r>
            <m:rPr>
              <m:sty m:val="p"/>
            </m:rPr>
            <m:t>′</m:t>
          </m:r>
          <m:sSub>
            <m:e>
              <m:r>
                <m:t>W</m:t>
              </m:r>
            </m:e>
            <m:sub>
              <m:r>
                <m:t>j</m:t>
              </m:r>
            </m:sub>
          </m:sSub>
          <m:d>
            <m:dPr>
              <m:begChr m:val="["/>
              <m:endChr m:val="]"/>
              <m:sepChr m:val=""/>
              <m:grow/>
            </m:dPr>
            <m:e>
              <m:sSubSup>
                <m:e>
                  <m:acc>
                    <m:accPr>
                      <m:chr m:val="̂"/>
                    </m:accPr>
                    <m:e>
                      <m:r>
                        <m:t>Δ</m:t>
                      </m:r>
                      <m:r>
                        <m:t>M</m:t>
                      </m:r>
                    </m:e>
                  </m:acc>
                </m:e>
                <m:sub>
                  <m:r>
                    <m:t>j</m:t>
                  </m:r>
                  <m:r>
                    <m:t>t</m:t>
                  </m:r>
                </m:sub>
                <m:sup>
                  <m:r>
                    <m:t>k</m:t>
                  </m:r>
                </m:sup>
              </m:sSubSup>
              <m:r>
                <m:rPr>
                  <m:sty m:val="p"/>
                </m:rPr>
                <m:t>−</m:t>
              </m:r>
              <m:r>
                <m:t>Δ</m:t>
              </m:r>
              <m:sSubSup>
                <m:e>
                  <m:r>
                    <m:t>M</m:t>
                  </m:r>
                </m:e>
                <m:sub>
                  <m:r>
                    <m:t>j</m:t>
                  </m:r>
                </m:sub>
                <m:sup>
                  <m:r>
                    <m:t>m</m:t>
                  </m:r>
                  <m:r>
                    <m:t>o</m:t>
                  </m:r>
                  <m:r>
                    <m:t>d</m:t>
                  </m:r>
                  <m:r>
                    <m:t>e</m:t>
                  </m:r>
                  <m:r>
                    <m:t>l</m:t>
                  </m:r>
                </m:sup>
              </m:sSubSup>
              <m:d>
                <m:dPr>
                  <m:begChr m:val="("/>
                  <m:endChr m:val=")"/>
                  <m:sepChr m:val=""/>
                  <m:grow/>
                </m:dPr>
                <m:e>
                  <m:r>
                    <m:t>δ</m:t>
                  </m:r>
                </m:e>
              </m:d>
            </m:e>
          </m:d>
          <m:r>
            <m:rPr>
              <m:sty m:val="p"/>
            </m:rPr>
            <m:t>.</m:t>
          </m:r>
          <m:r>
            <m:t>  </m:t>
          </m:r>
          <m:r>
            <m:rPr>
              <m:nor/>
              <m:sty m:val="p"/>
            </m:rPr>
            <m:t>(A5)</m:t>
          </m:r>
        </m:oMath>
      </m:oMathPara>
    </w:p>
    <w:p>
      <w:pPr>
        <w:pStyle w:val="FirstParagraph"/>
      </w:pPr>
      <m:oMath>
        <m:sSub>
          <m:e>
            <m:r>
              <m:t>W</m:t>
            </m:r>
          </m:e>
          <m:sub>
            <m:r>
              <m:t>j</m:t>
            </m:r>
          </m:sub>
        </m:sSub>
      </m:oMath>
      <w:r>
        <w:t xml:space="preserve"> </w:t>
      </w:r>
      <w:r>
        <w:t xml:space="preserve">为预先设定或由矩估计精度构造的权重矩阵。若只使用一个与模型生产份额直接对应的目标矩，式（A5）退化为一维反演。由此得到的</w:t>
      </w:r>
      <w:r>
        <w:t xml:space="preserve"> </w:t>
      </w:r>
      <m:oMath>
        <m:sSubSup>
          <m:e>
            <m:acc>
              <m:accPr>
                <m:chr m:val="̂"/>
              </m:accPr>
              <m:e>
                <m:r>
                  <m:t>Δ</m:t>
                </m:r>
                <m:r>
                  <m:rPr>
                    <m:sty m:val="p"/>
                  </m:rPr>
                  <m:t>ln</m:t>
                </m:r>
                <m:r>
                  <m:t>γ</m:t>
                </m:r>
              </m:e>
            </m:acc>
          </m:e>
          <m:sub>
            <m:r>
              <m:t>C</m:t>
            </m:r>
            <m:r>
              <m:t>j</m:t>
            </m:r>
            <m:r>
              <m:t>t</m:t>
            </m:r>
          </m:sub>
          <m:sup>
            <m:r>
              <m:t>i</m:t>
            </m:r>
            <m:r>
              <m:t>n</m:t>
            </m:r>
            <m:r>
              <m:t>s</m:t>
            </m:r>
            <m:r>
              <m:t>t</m:t>
            </m:r>
            <m:r>
              <m:rPr>
                <m:sty m:val="p"/>
              </m:rPr>
              <m:t>,</m:t>
            </m:r>
            <m:r>
              <m:t>k</m:t>
            </m:r>
          </m:sup>
        </m:sSubSup>
      </m:oMath>
      <w:r>
        <w:t xml:space="preserve"> </w:t>
      </w:r>
      <w:r>
        <w:t xml:space="preserve">才是进入后续结构转换的“成本等价”；它由真实企业行为约束，而不是由 LLM 分数或企业回归系数机械替代。</w:t>
      </w:r>
    </w:p>
    <w:p>
      <w:pPr>
        <w:pStyle w:val="a0"/>
      </w:pPr>
      <w:r>
        <w:t xml:space="preserve">当多类有限限制同时变化时，基准分别报告单项反事实，不机械相加六个单项系数。若联合规格稳定，可把联合预测的企业行为矩整体代入式（A5），生成一次综合制度型成本冲击。禁止准入不使用有限成本反演，而按 A.4 的可行集合变化单独处理。</w:t>
      </w:r>
    </w:p>
    <w:bookmarkEnd w:id="28"/>
    <w:bookmarkStart w:id="29" w:name="a.3.4-oecd-amne-行业层面的宏观一致性检验"/>
    <w:p>
      <w:pPr>
        <w:pStyle w:val="3"/>
      </w:pPr>
      <w:r>
        <w:t xml:space="preserve">A.3.4　OECD-AMNE 行业层面的宏观一致性检验</w:t>
      </w:r>
    </w:p>
    <w:p>
      <w:pPr>
        <w:pStyle w:val="FirstParagraph"/>
      </w:pPr>
      <w:r>
        <w:t xml:space="preserve">《中国高水平制度型开放与全球产业链网络重塑》利用 OECD-AMNE 跨国企业活动数据反推双边跨国投资成本，并剥离距离等客观因素得到制度型成本。本文仍可在所有权国—中国—行业—年份单元上尽可能复现该反演，并记得到的经验制度型成本为</w:t>
      </w:r>
      <w:r>
        <w:t xml:space="preserve"> </w:t>
      </w:r>
      <m:oMath>
        <m:sSubSup>
          <m:e>
            <m:acc>
              <m:accPr>
                <m:chr m:val="̃"/>
              </m:accPr>
              <m:e>
                <m:r>
                  <m:t>γ</m:t>
                </m:r>
              </m:e>
            </m:acc>
          </m:e>
          <m:sub>
            <m:r>
              <m:t>m</m:t>
            </m:r>
            <m:r>
              <m:t>C</m:t>
            </m:r>
            <m:r>
              <m:t>j</m:t>
            </m:r>
            <m:r>
              <m:t>t</m:t>
            </m:r>
          </m:sub>
          <m:sup>
            <m:r>
              <m:t>i</m:t>
            </m:r>
            <m:r>
              <m:t>n</m:t>
            </m:r>
            <m:r>
              <m:t>s</m:t>
            </m:r>
            <m:r>
              <m:t>t</m:t>
            </m:r>
          </m:sup>
        </m:sSubSup>
      </m:oMath>
      <w:r>
        <w:t xml:space="preserve">。但由于负面清单政策在同一中国行业—年份对各母国相同，行业层面的政策—成本回归不再作为基准识别，而作为对企业微观结果的宏观一致性检验。</w:t>
      </w:r>
    </w:p>
    <w:p>
      <w:pPr>
        <w:pStyle w:val="a0"/>
      </w:pPr>
      <w:r>
        <w:t xml:space="preserve">对第</w:t>
      </w:r>
      <w:r>
        <w:t xml:space="preserve"> </w:t>
      </w:r>
      <m:oMath>
        <m:r>
          <m:t>k</m:t>
        </m:r>
      </m:oMath>
      <w:r>
        <w:t xml:space="preserve"> </w:t>
      </w:r>
      <w:r>
        <w:t xml:space="preserve">类限制，可估计</w:t>
      </w:r>
    </w:p>
    <w:p>
      <w:pPr>
        <w:pStyle w:val="a0"/>
      </w:pPr>
      <m:oMathPara>
        <m:oMathParaPr>
          <m:jc m:val="center"/>
        </m:oMathParaPr>
        <m:oMath>
          <m:r>
            <m:rPr>
              <m:sty m:val="p"/>
            </m:rPr>
            <m:t>ln</m:t>
          </m:r>
          <m:sSubSup>
            <m:e>
              <m:acc>
                <m:accPr>
                  <m:chr m:val="̃"/>
                </m:accPr>
                <m:e>
                  <m:r>
                    <m:t>γ</m:t>
                  </m:r>
                </m:e>
              </m:acc>
            </m:e>
            <m:sub>
              <m:r>
                <m:t>m</m:t>
              </m:r>
              <m:r>
                <m:t>C</m:t>
              </m:r>
              <m:r>
                <m:t>j</m:t>
              </m:r>
              <m:r>
                <m:t>t</m:t>
              </m:r>
            </m:sub>
            <m:sup>
              <m:r>
                <m:t>i</m:t>
              </m:r>
              <m:r>
                <m:t>n</m:t>
              </m:r>
              <m:r>
                <m:t>s</m:t>
              </m:r>
              <m:r>
                <m:t>t</m:t>
              </m:r>
            </m:sup>
          </m:sSubSup>
          <m:r>
            <m:rPr>
              <m:sty m:val="p"/>
            </m:rPr>
            <m:t>=</m:t>
          </m:r>
          <m:sSub>
            <m:e>
              <m:r>
                <m:t>ρ</m:t>
              </m:r>
            </m:e>
            <m:sub>
              <m:r>
                <m:t>k</m:t>
              </m:r>
            </m:sub>
          </m:sSub>
          <m:sSubSup>
            <m:e>
              <m:r>
                <m:t>Z</m:t>
              </m:r>
            </m:e>
            <m:sub>
              <m:r>
                <m:t>j</m:t>
              </m:r>
              <m:r>
                <m:t>t</m:t>
              </m:r>
            </m:sub>
            <m:sup>
              <m:r>
                <m:t>k</m:t>
              </m:r>
              <m:r>
                <m:rPr>
                  <m:sty m:val="p"/>
                </m:rPr>
                <m:t>,</m:t>
              </m:r>
              <m:r>
                <m:t>a</m:t>
              </m:r>
              <m:r>
                <m:t>g</m:t>
              </m:r>
              <m:r>
                <m:t>g</m:t>
              </m:r>
            </m:sup>
          </m:sSubSup>
          <m:r>
            <m:rPr>
              <m:sty m:val="p"/>
            </m:rPr>
            <m:t>+</m:t>
          </m:r>
          <m:sSub>
            <m:e>
              <m:r>
                <m:t>α</m:t>
              </m:r>
            </m:e>
            <m:sub>
              <m:r>
                <m:t>m</m:t>
              </m:r>
              <m:r>
                <m:t>j</m:t>
              </m:r>
            </m:sub>
          </m:sSub>
          <m:r>
            <m:rPr>
              <m:sty m:val="p"/>
            </m:rPr>
            <m:t>+</m:t>
          </m:r>
          <m:sSub>
            <m:e>
              <m:r>
                <m:t>λ</m:t>
              </m:r>
            </m:e>
            <m:sub>
              <m:r>
                <m:t>m</m:t>
              </m:r>
              <m:r>
                <m:t>t</m:t>
              </m:r>
            </m:sub>
          </m:sSub>
          <m:r>
            <m:rPr>
              <m:sty m:val="p"/>
            </m:rPr>
            <m:t>+</m:t>
          </m:r>
          <m:sSubSup>
            <m:e>
              <m:r>
                <m:t>u</m:t>
              </m:r>
            </m:e>
            <m:sub>
              <m:r>
                <m:t>m</m:t>
              </m:r>
              <m:r>
                <m:t>j</m:t>
              </m:r>
              <m:r>
                <m:t>t</m:t>
              </m:r>
            </m:sub>
            <m:sup>
              <m:r>
                <m:t>k</m:t>
              </m:r>
            </m:sup>
          </m:sSubSup>
          <m:r>
            <m:rPr>
              <m:sty m:val="p"/>
            </m:rPr>
            <m:t>,</m:t>
          </m:r>
          <m:r>
            <m:t>  </m:t>
          </m:r>
          <m:r>
            <m:t>k</m:t>
          </m:r>
          <m:r>
            <m:rPr>
              <m:sty m:val="p"/>
            </m:rPr>
            <m:t>∈</m:t>
          </m:r>
          <m:r>
            <m:rPr>
              <m:sty m:val="p"/>
              <m:scr m:val="script"/>
            </m:rPr>
            <m:t>K</m:t>
          </m:r>
          <m:r>
            <m:rPr>
              <m:sty m:val="p"/>
            </m:rPr>
            <m:t>.</m:t>
          </m:r>
          <m:r>
            <m:t>  </m:t>
          </m:r>
          <m:r>
            <m:rPr>
              <m:nor/>
              <m:sty m:val="p"/>
            </m:rPr>
            <m:t>(A5b)</m:t>
          </m:r>
        </m:oMath>
      </m:oMathPara>
    </w:p>
    <w:p>
      <w:pPr>
        <w:pStyle w:val="FirstParagraph"/>
      </w:pPr>
      <m:oMath>
        <m:sSub>
          <m:e>
            <m:r>
              <m:t>α</m:t>
            </m:r>
          </m:e>
          <m:sub>
            <m:r>
              <m:t>m</m:t>
            </m:r>
            <m:r>
              <m:t>j</m:t>
            </m:r>
          </m:sub>
        </m:sSub>
      </m:oMath>
      <w:r>
        <w:t xml:space="preserve"> </w:t>
      </w:r>
      <w:r>
        <w:t xml:space="preserve">吸收母国—部门长期不变的跨国生产摩擦，</w:t>
      </w:r>
      <m:oMath>
        <m:sSub>
          <m:e>
            <m:r>
              <m:t>λ</m:t>
            </m:r>
          </m:e>
          <m:sub>
            <m:r>
              <m:t>m</m:t>
            </m:r>
            <m:r>
              <m:t>t</m:t>
            </m:r>
          </m:sub>
        </m:sSub>
      </m:oMath>
      <w:r>
        <w:t xml:space="preserve"> </w:t>
      </w:r>
      <w:r>
        <w:t xml:space="preserve">吸收母国在年份</w:t>
      </w:r>
      <w:r>
        <w:t xml:space="preserve"> </w:t>
      </w:r>
      <m:oMath>
        <m:r>
          <m:t>t</m:t>
        </m:r>
      </m:oMath>
      <w:r>
        <w:t xml:space="preserve"> </w:t>
      </w:r>
      <w:r>
        <w:t xml:space="preserve">面向中国投资的共同冲击。该规格主要检查微观识别生成的成本方向、行业排序和数量级是否与 AMNE 反演成本相容。由于真正独立的政策变化仍发生在中国行业—年份层面，不能把母国维度产生的观测行数解释为独立政策样本；部门数较少时仍需在政策发生层级聚类并使用小簇稳健推断。</w:t>
      </w:r>
    </w:p>
    <w:p>
      <w:pPr>
        <w:pStyle w:val="a0"/>
      </w:pPr>
      <w:r>
        <w:t xml:space="preserve">此外，政策时间维度应尽可能向负面清单制度实施前延伸，利用可连续衔接的《外商投资产业指导目录》等正式政策版本增加改革事件。该扩展能够增加真实政策变化，而不是通过复制母国或企业观测形成表面样本量。</w:t>
      </w:r>
    </w:p>
    <w:bookmarkEnd w:id="29"/>
    <w:bookmarkEnd w:id="30"/>
    <w:bookmarkStart w:id="31" w:name="a.4-禁止准入的广延边际"/>
    <w:p>
      <w:pPr>
        <w:pStyle w:val="2"/>
      </w:pPr>
      <w:r>
        <w:t xml:space="preserve">A.4　禁止准入的广延边际</w:t>
      </w:r>
    </w:p>
    <w:p>
      <w:pPr>
        <w:pStyle w:val="FirstParagraph"/>
      </w:pPr>
      <w:r>
        <w:t xml:space="preserve">禁止准入与股比、控制、组织形式、治理和其他有限限制不能视为同一连续成本的不同取值。企业层面的</w:t>
      </w:r>
      <w:r>
        <w:t xml:space="preserve"> </w:t>
      </w:r>
      <m:oMath>
        <m:sSubSup>
          <m:e>
            <m:r>
              <m:t>Z</m:t>
            </m:r>
          </m:e>
          <m:sub>
            <m:r>
              <m:t>f</m:t>
            </m:r>
            <m:r>
              <m:t>t</m:t>
            </m:r>
          </m:sub>
          <m:sup>
            <m:r>
              <m:t>P</m:t>
            </m:r>
          </m:sup>
        </m:sSubSup>
      </m:oMath>
      <w:r>
        <w:t xml:space="preserve"> </w:t>
      </w:r>
      <w:r>
        <w:t xml:space="preserve">可用于检验禁止状态是否显著降低外资参与、外资进入或全外资概率，但该系数只具有广延边际行为含义，不把“禁止”转换为某个有限的</w:t>
      </w:r>
      <w:r>
        <w:t xml:space="preserve"> </w:t>
      </w:r>
      <m:oMath>
        <m:sSup>
          <m:e>
            <m:r>
              <m:t>γ</m:t>
            </m:r>
          </m:e>
          <m:sup>
            <m:r>
              <m:t>i</m:t>
            </m:r>
            <m:r>
              <m:t>n</m:t>
            </m:r>
            <m:r>
              <m:t>s</m:t>
            </m:r>
            <m:r>
              <m:t>t</m:t>
            </m:r>
          </m:sup>
        </m:sSup>
      </m:oMath>
      <w:r>
        <w:t xml:space="preserve">。</w:t>
      </w:r>
    </w:p>
    <w:p>
      <w:pPr>
        <w:pStyle w:val="a0"/>
      </w:pPr>
      <w:r>
        <w:t xml:space="preserve">当政策从“禁止”变为“允许”时，结构模型中的自然处理是把中国加入相应活动的可行生产地点集合。若企业活动在禁止时期存在历史存量、过渡安排或明确例外，必须根据 exception_text 和 effective_from 单独编码，不能机械把观察到的存量企业解释为政策测量错误。</w:t>
      </w:r>
    </w:p>
    <w:p>
      <w:pPr>
        <w:pStyle w:val="a0"/>
      </w:pPr>
      <w:r>
        <w:t xml:space="preserve">因此，A.3 的有限成本反演主要针对</w:t>
      </w:r>
      <w:r>
        <w:t xml:space="preserve"> </w:t>
      </w:r>
      <m:oMath>
        <m:r>
          <m:t>E</m:t>
        </m:r>
      </m:oMath>
      <w:r>
        <w:t xml:space="preserve">、</w:t>
      </w:r>
      <m:oMath>
        <m:r>
          <m:t>C</m:t>
        </m:r>
      </m:oMath>
      <w:r>
        <w:t xml:space="preserve">、</w:t>
      </w:r>
      <m:oMath>
        <m:r>
          <m:t>O</m:t>
        </m:r>
      </m:oMath>
      <w:r>
        <w:t xml:space="preserve">、</w:t>
      </w:r>
      <m:oMath>
        <m:r>
          <m:t>G</m:t>
        </m:r>
      </m:oMath>
      <w:r>
        <w:t xml:space="preserve">、</w:t>
      </w:r>
      <m:oMath>
        <m:r>
          <m:t>R</m:t>
        </m:r>
      </m:oMath>
      <w:r>
        <w:t xml:space="preserve"> </w:t>
      </w:r>
      <w:r>
        <w:t xml:space="preserve">五类限制；</w:t>
      </w:r>
      <m:oMath>
        <m:r>
          <m:t>P</m:t>
        </m:r>
      </m:oMath>
      <w:r>
        <w:t xml:space="preserve"> </w:t>
      </w:r>
      <w:r>
        <w:t xml:space="preserve">用于企业广延边际识别和“禁止→允许”的结构反事实。若现有数值代码只能通过极高成本近似禁止，可将其作为扩展反事实，并对高成本上限进行敏感性分析；基准结果仍优先使用可行生产地集合变化。</w:t>
      </w:r>
    </w:p>
    <w:bookmarkEnd w:id="31"/>
    <w:p w14:paraId="2C991372" w14:textId="77777777" w:rsidR="002D0A3C" w:rsidRDefault="003B6787">
      <w:pPr>
        <w:pStyle w:val="2"/>
        <w:rPr>
          <w:lang w:eastAsia="zh-CN"/>
        </w:rPr>
      </w:pPr>
      <w:bookmarkStart w:id="6" w:name="a.5-从经验mp成本到结构模型冲击"/>
      <w:bookmarkEnd w:id="5"/>
      <w:r>
        <w:rPr>
          <w:rFonts w:ascii="Times New Roman" w:eastAsia="宋体" w:hAnsi="Times New Roman"/>
          <w:lang w:eastAsia="zh-CN"/>
        </w:rPr>
        <w:t>A.5</w:t>
      </w:r>
      <w:r>
        <w:rPr>
          <w:rFonts w:ascii="Times New Roman" w:eastAsia="宋体" w:hAnsi="Times New Roman"/>
          <w:lang w:eastAsia="zh-CN"/>
        </w:rPr>
        <w:t xml:space="preserve">　从经验</w:t>
      </w:r>
      <w:r>
        <w:rPr>
          <w:rFonts w:ascii="Times New Roman" w:eastAsia="宋体" w:hAnsi="Times New Roman"/>
          <w:lang w:eastAsia="zh-CN"/>
        </w:rPr>
        <w:t>MP</w:t>
      </w:r>
      <w:r>
        <w:rPr>
          <w:rFonts w:ascii="Times New Roman" w:eastAsia="宋体" w:hAnsi="Times New Roman"/>
          <w:lang w:eastAsia="zh-CN"/>
        </w:rPr>
        <w:t>成本到结构模型冲击</w:t>
      </w:r>
    </w:p>
    <w:p w14:paraId="078BC759" w14:textId="77777777" w:rsidR="002D0A3C" w:rsidRDefault="003B6787">
      <w:pPr>
        <w:pStyle w:val="3"/>
        <w:rPr>
          <w:lang w:eastAsia="zh-CN"/>
        </w:rPr>
      </w:pPr>
      <w:bookmarkStart w:id="7" w:name="a.5.1-结构变量的方向"/>
      <w:r>
        <w:rPr>
          <w:rFonts w:ascii="Times New Roman" w:eastAsia="宋体" w:hAnsi="Times New Roman"/>
          <w:lang w:eastAsia="zh-CN"/>
        </w:rPr>
        <w:t>A.5.1</w:t>
      </w:r>
      <w:r>
        <w:rPr>
          <w:rFonts w:ascii="Times New Roman" w:eastAsia="宋体" w:hAnsi="Times New Roman"/>
          <w:lang w:eastAsia="zh-CN"/>
        </w:rPr>
        <w:t xml:space="preserve">　结构变量的方向</w:t>
      </w:r>
    </w:p>
    <w:p w14:paraId="186B4706" w14:textId="77777777" w:rsidR="002D0A3C" w:rsidRDefault="003B6787" w:rsidP="00305E6F">
      <w:pPr>
        <w:pStyle w:val="FirstParagraph"/>
        <w:spacing w:before="80" w:after="80" w:line="240" w:lineRule="auto"/>
        <w:ind w:firstLineChars="200"/>
        <w:rPr>
          <w:lang w:eastAsia="zh-CN"/>
        </w:rPr>
      </w:pPr>
      <w:r>
        <w:rPr>
          <w:lang w:eastAsia="zh-CN"/>
        </w:rPr>
        <w:t>第二篇文献用</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表示跨国生产效率项，其中</w:t>
      </w:r>
      <w:r>
        <w:rPr>
          <w:lang w:eastAsia="zh-CN"/>
        </w:rPr>
        <w:t xml:space="preserve"> </w:t>
      </w:r>
      <m:oMath>
        <m:r>
          <w:rPr>
            <w:rFonts w:ascii="Cambria Math" w:hAnsi="Cambria Math"/>
            <w:lang w:eastAsia="zh-CN"/>
          </w:rPr>
          <m:t>m</m:t>
        </m:r>
      </m:oMath>
      <w:r>
        <w:rPr>
          <w:lang w:eastAsia="zh-CN"/>
        </w:rPr>
        <w:t xml:space="preserve"> </w:t>
      </w:r>
      <w:r>
        <w:rPr>
          <w:lang w:eastAsia="zh-CN"/>
        </w:rPr>
        <w:t>为母国、</w:t>
      </w:r>
      <m:oMath>
        <m:r>
          <w:rPr>
            <w:rFonts w:ascii="Cambria Math" w:hAnsi="Cambria Math"/>
            <w:lang w:eastAsia="zh-CN"/>
          </w:rPr>
          <m:t>i</m:t>
        </m:r>
      </m:oMath>
      <w:r>
        <w:rPr>
          <w:lang w:eastAsia="zh-CN"/>
        </w:rPr>
        <w:t xml:space="preserve"> </w:t>
      </w:r>
      <w:r>
        <w:rPr>
          <w:lang w:eastAsia="zh-CN"/>
        </w:rPr>
        <w:t>为生产国。该变量刻画母国企业把生产知识和信息传递到生产国分支机构时的效率损失，其单位成本写为</w:t>
      </w:r>
    </w:p>
    <w:p w14:paraId="669072AA"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m:t>
              </m:r>
            </m:sub>
            <m:sup>
              <m:r>
                <w:rPr>
                  <w:rFonts w:ascii="Cambria Math" w:hAnsi="Cambria Math"/>
                </w:rPr>
                <m:t>j</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ξ</m:t>
                  </m:r>
                </m:e>
                <m:sub>
                  <m:r>
                    <w:rPr>
                      <w:rFonts w:ascii="Cambria Math" w:hAnsi="Cambria Math"/>
                    </w:rPr>
                    <m:t>im</m:t>
                  </m:r>
                </m:sub>
                <m:sup>
                  <m:r>
                    <w:rPr>
                      <w:rFonts w:ascii="Cambria Math" w:hAnsi="Cambria Math"/>
                    </w:rPr>
                    <m:t>j</m:t>
                  </m:r>
                </m:sup>
              </m:sSubSup>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E</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L</m:t>
                  </m:r>
                  <m:r>
                    <m:rPr>
                      <m:sty m:val="p"/>
                    </m:rPr>
                    <w:rPr>
                      <w:rFonts w:ascii="Cambria Math" w:hAnsi="Cambria Math"/>
                    </w:rPr>
                    <m:t>,</m:t>
                  </m:r>
                  <m:r>
                    <w:rPr>
                      <w:rFonts w:ascii="Cambria Math" w:hAnsi="Cambria Math"/>
                    </w:rPr>
                    <m:t>j</m:t>
                  </m:r>
                </m:sup>
              </m:sSubSup>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jk</m:t>
                      </m:r>
                    </m:sup>
                  </m:sSubSup>
                </m:sup>
              </m:sSup>
            </m:e>
          </m:nary>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A6</m:t>
              </m:r>
            </m:e>
          </m:d>
        </m:oMath>
      </m:oMathPara>
    </w:p>
    <w:p w14:paraId="4E8BDA85" w14:textId="77777777" w:rsidR="002D0A3C" w:rsidRDefault="003B6787" w:rsidP="00305E6F">
      <w:pPr>
        <w:pStyle w:val="FirstParagraph"/>
        <w:spacing w:before="80" w:after="80" w:line="240" w:lineRule="auto"/>
        <w:ind w:firstLineChars="200"/>
        <w:rPr>
          <w:lang w:eastAsia="zh-CN"/>
        </w:rPr>
      </w:pPr>
      <w:r>
        <w:rPr>
          <w:lang w:eastAsia="zh-CN"/>
        </w:rPr>
        <w:t>因此，按公式方向，</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上升会降低单位成本；这与经验部分</w:t>
      </w:r>
      <w:r>
        <w:rPr>
          <w:lang w:eastAsia="zh-CN"/>
        </w:rPr>
        <w:t>“</w:t>
      </w:r>
      <m:oMath>
        <m:r>
          <w:rPr>
            <w:rFonts w:ascii="Cambria Math" w:hAnsi="Cambria Math"/>
            <w:lang w:eastAsia="zh-CN"/>
          </w:rPr>
          <m:t>γ</m:t>
        </m:r>
      </m:oMath>
      <w:r>
        <w:rPr>
          <w:lang w:eastAsia="zh-CN"/>
        </w:rPr>
        <w:t xml:space="preserve"> </w:t>
      </w:r>
      <w:r>
        <w:rPr>
          <w:lang w:eastAsia="zh-CN"/>
        </w:rPr>
        <w:t>越大表示成本越高</w:t>
      </w:r>
      <w:r>
        <w:rPr>
          <w:lang w:eastAsia="zh-CN"/>
        </w:rPr>
        <w:t>”</w:t>
      </w:r>
      <w:r>
        <w:rPr>
          <w:lang w:eastAsia="zh-CN"/>
        </w:rPr>
        <w:t>的方向相反。为避免符号混淆，定义结构成本楔子</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。政策开放降低跨国生产摩擦时，应有</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d</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&lt;</m:t>
        </m:r>
        <m:r>
          <w:rPr>
            <w:rFonts w:ascii="Cambria Math" w:hAnsi="Cambria Math"/>
            <w:lang w:eastAsia="zh-CN"/>
          </w:rPr>
          <m:t>1</m:t>
        </m:r>
      </m:oMath>
      <w:r>
        <w:rPr>
          <w:lang w:eastAsia="zh-CN"/>
        </w:rPr>
        <w:t>，等价地</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&gt;</m:t>
        </m:r>
        <m:r>
          <w:rPr>
            <w:rFonts w:ascii="Cambria Math" w:hAnsi="Cambria Math"/>
            <w:lang w:eastAsia="zh-CN"/>
          </w:rPr>
          <m:t>1</m:t>
        </m:r>
      </m:oMath>
      <w:r>
        <w:rPr>
          <w:lang w:eastAsia="zh-CN"/>
        </w:rPr>
        <w:t>。</w:t>
      </w:r>
    </w:p>
    <w:p>
      <w:pPr>
        <w:pStyle w:val="a0"/>
      </w:pPr>
      <w:r>
        <w:t>对每个有限限制反事实，式（A5）先得到行业制度型MP成本的对数变化；将其指数化后沿用经验制度型成本乘数的记号。该乘数描述相对于基准制度环境的成本变化，并作为经验识别与结构模型之间的接口。</w:t>
      </w:r>
    </w:p>
    <w:p w14:paraId="664AF655" w14:textId="77777777" w:rsidR="002D0A3C" w:rsidRDefault="003B6787" w:rsidP="00305E6F">
      <w:pPr>
        <w:pStyle w:val="a0"/>
        <w:spacing w:before="80" w:after="80" w:line="240" w:lineRule="auto"/>
        <w:ind w:firstLineChars="200"/>
        <w:rPr>
          <w:lang w:eastAsia="zh-CN"/>
        </w:rPr>
      </w:pPr>
      <w:r>
        <w:rPr>
          <w:lang w:eastAsia="zh-CN"/>
        </w:rPr>
        <w:t>经验成本</w:t>
      </w:r>
      <w:r>
        <w:rPr>
          <w:lang w:eastAsia="zh-CN"/>
        </w:rPr>
        <w:t xml:space="preserve"> </w:t>
      </w:r>
      <m:oMath>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的量纲并不由第二篇文献直接证明完全一致。因此，本附录不把两者无条件一对一替换，而把转换写为</w:t>
      </w:r>
    </w:p>
    <w:p w14:paraId="64D908CC"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A7</m:t>
              </m:r>
            </m:e>
          </m:d>
        </m:oMath>
      </m:oMathPara>
    </w:p>
    <w:p w14:paraId="753365DA" w14:textId="77777777" w:rsidR="002D0A3C" w:rsidRDefault="008D4006" w:rsidP="006C5C23">
      <w:pPr>
        <w:pStyle w:val="FirstParagraph"/>
        <w:spacing w:before="80" w:after="80" w:line="240" w:lineRule="auto"/>
        <w:ind w:firstLineChars="200"/>
        <w:rPr>
          <w:lang w:eastAsia="zh-CN"/>
        </w:rPr>
      </w:pP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sidR="003B6787">
        <w:rPr>
          <w:lang w:eastAsia="zh-CN"/>
        </w:rPr>
        <w:t xml:space="preserve"> </w:t>
      </w:r>
      <w:r w:rsidR="003B6787">
        <w:rPr>
          <w:lang w:eastAsia="zh-CN"/>
        </w:rPr>
        <w:t>对应单位弹性的成本等价归一化，可作为第一轮基准；更优的做法是利用可观察的</w:t>
      </w:r>
      <w:r w:rsidR="003B6787">
        <w:rPr>
          <w:lang w:eastAsia="zh-CN"/>
        </w:rPr>
        <w:t xml:space="preserve"> AMNE </w:t>
      </w:r>
      <w:r w:rsidR="003B6787">
        <w:rPr>
          <w:lang w:eastAsia="zh-CN"/>
        </w:rPr>
        <w:t>跨国生产份额变化校准</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，使结构模型在政策期内能够复现相应的在华生产份额变化。最终论文应同时报告围绕基准</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 xml:space="preserve"> </w:t>
      </w:r>
      <w:r w:rsidR="003B6787">
        <w:rPr>
          <w:lang w:eastAsia="zh-CN"/>
        </w:rPr>
        <w:t>的敏感性结果。这样，经验成本到结构参数的转换成为一个显式、可检验的校准环节，而不是隐藏在符号替换中。</w:t>
      </w:r>
    </w:p>
    <w:p w14:paraId="4FD7640A" w14:textId="77777777" w:rsidR="002D0A3C" w:rsidRDefault="003B6787" w:rsidP="006C5C23">
      <w:pPr>
        <w:pStyle w:val="a0"/>
        <w:spacing w:before="80" w:after="80" w:line="240" w:lineRule="auto"/>
        <w:ind w:firstLineChars="200"/>
        <w:rPr>
          <w:lang w:eastAsia="zh-CN"/>
        </w:rPr>
      </w:pPr>
      <w:r>
        <w:t>当开放改革使经验制度型成本乘数下降时，在正的结构转换弹性下，跨国生产效率项相应提高；二者方向相反，但对单位成本的含义一致。具体转换幅度由式（A7）的参数校准决定，不再由企业回归系数直接替代。</w:t>
      </w:r>
    </w:p>
    <w:p w14:paraId="1525B99D" w14:textId="77777777" w:rsidR="002D0A3C" w:rsidRDefault="003B6787">
      <w:pPr>
        <w:pStyle w:val="3"/>
        <w:rPr>
          <w:lang w:eastAsia="zh-CN"/>
        </w:rPr>
      </w:pPr>
      <w:bookmarkStart w:id="8" w:name="a.5.2-mp-only反事实"/>
      <w:bookmarkEnd w:id="7"/>
      <w:r>
        <w:rPr>
          <w:rFonts w:ascii="Times New Roman" w:eastAsia="宋体" w:hAnsi="Times New Roman"/>
          <w:lang w:eastAsia="zh-CN"/>
        </w:rPr>
        <w:t>A.5.2</w:t>
      </w:r>
      <w:r>
        <w:rPr>
          <w:rFonts w:ascii="Times New Roman" w:eastAsia="宋体" w:hAnsi="Times New Roman"/>
          <w:lang w:eastAsia="zh-CN"/>
        </w:rPr>
        <w:t xml:space="preserve">　</w:t>
      </w:r>
      <w:r>
        <w:rPr>
          <w:rFonts w:ascii="Times New Roman" w:eastAsia="宋体" w:hAnsi="Times New Roman"/>
          <w:lang w:eastAsia="zh-CN"/>
        </w:rPr>
        <w:t>MP-only</w:t>
      </w:r>
      <w:r>
        <w:rPr>
          <w:rFonts w:ascii="Times New Roman" w:eastAsia="宋体" w:hAnsi="Times New Roman"/>
          <w:lang w:eastAsia="zh-CN"/>
        </w:rPr>
        <w:t>反事实</w:t>
      </w:r>
    </w:p>
    <w:p w14:paraId="634E77AD" w14:textId="77777777" w:rsidR="002D0A3C" w:rsidRDefault="003B6787">
      <w:pPr>
        <w:pStyle w:val="FirstParagraph"/>
        <w:spacing w:before="80" w:after="80" w:line="240" w:lineRule="auto"/>
        <w:ind w:firstLineChars="200"/>
        <w:rPr>
          <w:lang w:eastAsia="zh-CN"/>
        </w:rPr>
      </w:pPr>
      <w:r>
        <w:rPr>
          <w:lang w:eastAsia="zh-CN"/>
        </w:rPr>
        <w:t>若只研究中国外资准入开放，则保持贸易成本不变，即</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τ</m:t>
                </m:r>
              </m:e>
            </m:acc>
          </m:e>
          <m:sub>
            <m:r>
              <w:rPr>
                <w:rFonts w:ascii="Cambria Math" w:hAnsi="Cambria Math"/>
                <w:lang w:eastAsia="zh-CN"/>
              </w:rPr>
              <m:t>ni</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，仅改变其在中国生产的结构楔子；其他生产国的跨国生产摩擦保持基准值：</w:t>
      </w:r>
    </w:p>
    <w:p w14:paraId="5452182A"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e>
                </m:mr>
                <m:mr>
                  <m:e>
                    <m:r>
                      <w:rPr>
                        <w:rFonts w:ascii="Cambria Math" w:hAnsi="Cambria Math"/>
                      </w:rPr>
                      <m:t>1</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C </m:t>
                    </m:r>
                    <m:r>
                      <m:rPr>
                        <m:nor/>
                      </m:rPr>
                      <m:t>或</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e>
                </m:mr>
              </m:m>
            </m:e>
          </m:d>
          <m:r>
            <w:rPr>
              <w:rFonts w:ascii="Cambria Math" w:hAnsi="Cambria Math"/>
            </w:rPr>
            <m:t> </m:t>
          </m:r>
          <m:d>
            <m:dPr>
              <m:ctrlPr>
                <w:rPr>
                  <w:rFonts w:ascii="Cambria Math" w:hAnsi="Cambria Math"/>
                </w:rPr>
              </m:ctrlPr>
            </m:dPr>
            <m:e>
              <m:r>
                <m:rPr>
                  <m:sty m:val="p"/>
                </m:rPr>
                <w:rPr>
                  <w:rFonts w:ascii="Cambria Math" w:hAnsi="Cambria Math"/>
                </w:rPr>
                <m:t>A8</m:t>
              </m:r>
            </m:e>
          </m:d>
        </m:oMath>
      </m:oMathPara>
    </w:p>
    <w:p w14:paraId="6C75E7CF" w14:textId="77777777" w:rsidR="002D0A3C" w:rsidRDefault="003B6787">
      <w:pPr>
        <w:pStyle w:val="FirstParagraph"/>
        <w:spacing w:before="120" w:after="80" w:line="240" w:lineRule="auto"/>
        <w:ind w:firstLineChars="200"/>
        <w:rPr>
          <w:lang w:eastAsia="zh-CN"/>
        </w:rPr>
      </w:pPr>
      <w:r>
        <w:rPr>
          <w:lang w:eastAsia="zh-CN"/>
        </w:rPr>
        <w:t>由此，式（</w:t>
      </w:r>
      <w:r>
        <w:rPr>
          <w:lang w:eastAsia="zh-CN"/>
        </w:rPr>
        <w:t>34</w:t>
      </w:r>
      <w:r>
        <w:rPr>
          <w:lang w:eastAsia="zh-CN"/>
        </w:rPr>
        <w:t>）首先更新单位成本，并进一步通过生产地份额方程改变跨国公司的最优选址；按式（</w:t>
      </w:r>
      <w:r>
        <w:rPr>
          <w:lang w:eastAsia="zh-CN"/>
        </w:rPr>
        <w:t>37</w:t>
      </w:r>
      <w:r>
        <w:rPr>
          <w:lang w:eastAsia="zh-CN"/>
        </w:rPr>
        <w:t>）的结构，生产地份额的相对变化可概括为</w:t>
      </w:r>
    </w:p>
    <w:p w14:paraId="024AE744"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nl</m:t>
                                  </m:r>
                                </m:sub>
                                <m:sup>
                                  <m:r>
                                    <w:rPr>
                                      <w:rFonts w:ascii="Cambria Math" w:hAnsi="Cambria Math"/>
                                    </w:rPr>
                                    <m:t>j</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sup>
                      </m:sSup>
                    </m:num>
                    <m:den>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nm</m:t>
                          </m:r>
                        </m:sub>
                        <m:sup>
                          <m:r>
                            <w:rPr>
                              <w:rFonts w:ascii="Cambria Math" w:hAnsi="Cambria Math"/>
                            </w:rPr>
                            <m:t>j</m:t>
                          </m:r>
                        </m:sup>
                      </m:sSubSup>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r>
            <w:rPr>
              <w:rFonts w:ascii="Cambria Math" w:hAnsi="Cambria Math"/>
            </w:rPr>
            <m:t> </m:t>
          </m:r>
          <m:d>
            <m:dPr>
              <m:ctrlPr>
                <w:rPr>
                  <w:rFonts w:ascii="Cambria Math" w:hAnsi="Cambria Math"/>
                </w:rPr>
              </m:ctrlPr>
            </m:dPr>
            <m:e>
              <m:r>
                <m:rPr>
                  <m:sty m:val="p"/>
                </m:rPr>
                <w:rPr>
                  <w:rFonts w:ascii="Cambria Math" w:hAnsi="Cambria Math"/>
                </w:rPr>
                <m:t>A9</m:t>
              </m:r>
            </m:e>
          </m:d>
        </m:oMath>
      </m:oMathPara>
    </w:p>
    <w:p w14:paraId="0E96C0F2" w14:textId="77777777" w:rsidR="002D0A3C" w:rsidRDefault="003B6787">
      <w:pPr>
        <w:pStyle w:val="FirstParagraph"/>
        <w:spacing w:before="80" w:after="80" w:line="240" w:lineRule="auto"/>
        <w:ind w:firstLineChars="200"/>
        <w:rPr>
          <w:lang w:eastAsia="zh-CN"/>
        </w:rPr>
      </w:pPr>
      <w:r>
        <w:rPr>
          <w:lang w:eastAsia="zh-CN"/>
        </w:rPr>
        <w:t>在</w:t>
      </w:r>
      <w:r>
        <w:rPr>
          <w:lang w:eastAsia="zh-CN"/>
        </w:rPr>
        <w:t xml:space="preserve"> </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且</w:t>
      </w:r>
      <w:r>
        <w:rPr>
          <w:lang w:eastAsia="zh-CN"/>
        </w:rPr>
        <w:t xml:space="preserve"> </w:t>
      </w:r>
      <m:oMath>
        <m:acc>
          <m:accPr>
            <m:ctrlPr>
              <w:rPr>
                <w:rFonts w:ascii="Cambria Math" w:hAnsi="Cambria Math"/>
              </w:rPr>
            </m:ctrlPr>
          </m:accPr>
          <m:e>
            <m:r>
              <w:rPr>
                <w:rFonts w:ascii="Cambria Math" w:hAnsi="Cambria Math"/>
                <w:lang w:eastAsia="zh-CN"/>
              </w:rPr>
              <m:t>τ</m:t>
            </m:r>
          </m:e>
        </m:acc>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时，外资准入开放通过降低</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提高外国企业选择中国作为生产地、并由中国服务目的国</w:t>
      </w:r>
      <w:r>
        <w:rPr>
          <w:lang w:eastAsia="zh-CN"/>
        </w:rPr>
        <w:t xml:space="preserve"> </w:t>
      </w:r>
      <m:oMath>
        <m:r>
          <w:rPr>
            <w:rFonts w:ascii="Cambria Math" w:hAnsi="Cambria Math"/>
            <w:lang w:eastAsia="zh-CN"/>
          </w:rPr>
          <m:t>n</m:t>
        </m:r>
      </m:oMath>
      <w:r>
        <w:rPr>
          <w:lang w:eastAsia="zh-CN"/>
        </w:rPr>
        <w:t xml:space="preserve"> </w:t>
      </w:r>
      <w:r>
        <w:rPr>
          <w:lang w:eastAsia="zh-CN"/>
        </w:rPr>
        <w:t>的相对概率。随后，三边销售流量</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、部门价格、</w:t>
      </w:r>
      <w:r>
        <w:rPr>
          <w:lang w:eastAsia="zh-CN"/>
        </w:rPr>
        <w:lastRenderedPageBreak/>
        <w:t>投入产出需求、生产与研发工资、利润和新品种数量共同调整，直至式（</w:t>
      </w:r>
      <w:r>
        <w:rPr>
          <w:lang w:eastAsia="zh-CN"/>
        </w:rPr>
        <w:t>34</w:t>
      </w:r>
      <w:r>
        <w:rPr>
          <w:lang w:eastAsia="zh-CN"/>
        </w:rPr>
        <w:t>）</w:t>
      </w:r>
      <w:r>
        <w:rPr>
          <w:lang w:eastAsia="zh-CN"/>
        </w:rPr>
        <w:t>—</w:t>
      </w:r>
      <w:r>
        <w:rPr>
          <w:lang w:eastAsia="zh-CN"/>
        </w:rPr>
        <w:t>（</w:t>
      </w:r>
      <w:r>
        <w:rPr>
          <w:lang w:eastAsia="zh-CN"/>
        </w:rPr>
        <w:t>41</w:t>
      </w:r>
      <w:r>
        <w:rPr>
          <w:lang w:eastAsia="zh-CN"/>
        </w:rPr>
        <w:t>）构成的相对变化均衡系统收敛。</w:t>
      </w:r>
    </w:p>
    <w:p w14:paraId="4874C1F5" w14:textId="77777777" w:rsidR="002D0A3C" w:rsidRDefault="003B6787">
      <w:pPr>
        <w:pStyle w:val="2"/>
        <w:rPr>
          <w:lang w:eastAsia="zh-CN"/>
        </w:rPr>
      </w:pPr>
      <w:bookmarkStart w:id="9" w:name="a.6-一般均衡结果的组织与反事实设计"/>
      <w:bookmarkEnd w:id="6"/>
      <w:bookmarkEnd w:id="8"/>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4241ADC5" w14:textId="77777777" w:rsidR="002D0A3C" w:rsidRDefault="003B6787">
      <w:pPr>
        <w:pStyle w:val="3"/>
        <w:rPr>
          <w:lang w:eastAsia="zh-CN"/>
        </w:rPr>
      </w:pPr>
      <w:bookmarkStart w:id="10"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6CB42944"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w:t>
      </w:r>
      <w:r>
        <w:rPr>
          <w:lang w:eastAsia="zh-CN"/>
        </w:rPr>
        <w:t xml:space="preserve"> inward FDI </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56A01993"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5702109D" w14:textId="77777777" w:rsidR="002D0A3C" w:rsidRDefault="003B6787">
      <w:pPr>
        <w:pStyle w:val="FirstParagraph"/>
        <w:spacing w:before="80" w:after="80" w:line="240" w:lineRule="auto"/>
        <w:ind w:firstLineChars="200"/>
        <w:rPr>
          <w:lang w:eastAsia="zh-CN"/>
        </w:rPr>
      </w:pPr>
      <w:r>
        <w:rPr>
          <w:lang w:eastAsia="zh-CN"/>
        </w:rPr>
        <w:t>例如，同样是德国母公司的在华新增生产，若新增销售主要流向中国，则更接近市场寻求型</w:t>
      </w:r>
      <w:r>
        <w:rPr>
          <w:lang w:eastAsia="zh-CN"/>
        </w:rPr>
        <w:t>FDI</w:t>
      </w:r>
      <w:r>
        <w:rPr>
          <w:lang w:eastAsia="zh-CN"/>
        </w:rPr>
        <w:t>；若主要流向日本、韩国、东盟或欧美第三国，则更体现中国的出口平台功能。把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的变化矩阵与第二篇文献已有的三边网络图结合，可以直接观察负面清单开放究竟强化了中国的本地市场节点还是全球生产平台节点。</w:t>
      </w:r>
    </w:p>
    <w:p w14:paraId="05444CAD" w14:textId="77777777" w:rsidR="002D0A3C" w:rsidRDefault="003B6787">
      <w:pPr>
        <w:pStyle w:val="3"/>
        <w:rPr>
          <w:lang w:eastAsia="zh-CN"/>
        </w:rPr>
      </w:pPr>
      <w:bookmarkStart w:id="11" w:name="a.6.2-反事实组"/>
      <w:bookmarkEnd w:id="10"/>
      <w:r>
        <w:rPr>
          <w:rFonts w:ascii="Times New Roman" w:eastAsia="宋体" w:hAnsi="Times New Roman"/>
          <w:lang w:eastAsia="zh-CN"/>
        </w:rPr>
        <w:t>A.6.2</w:t>
      </w:r>
      <w:r>
        <w:rPr>
          <w:rFonts w:ascii="Times New Roman" w:eastAsia="宋体" w:hAnsi="Times New Roman"/>
          <w:lang w:eastAsia="zh-CN"/>
        </w:rPr>
        <w:t xml:space="preserve">　反事实组</w:t>
      </w:r>
    </w:p>
    <w:p w14:paraId="283E4312"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98"/>
        <w:gridCol w:w="4461"/>
        <w:gridCol w:w="2839"/>
      </w:tblGrid>
      <w:tr w:rsidR="002D0A3C" w14:paraId="55D78A8A" w14:textId="77777777" w:rsidTr="002D0A3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779FC22F" w14:textId="77777777" w:rsidR="002D0A3C" w:rsidRDefault="003B6787">
            <w:pPr>
              <w:pStyle w:val="Compact"/>
              <w:spacing w:before="0" w:after="0" w:line="264" w:lineRule="auto"/>
            </w:pPr>
            <w:r>
              <w:rPr>
                <w:rFonts w:ascii="Times New Roman" w:hAnsi="Times New Roman" w:eastAsia="宋体"/>
                <w:b/>
                <w:sz w:val="24"/>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46E96B34" w14:textId="77777777" w:rsidR="002D0A3C" w:rsidRDefault="003B6787">
            <w:pPr>
              <w:pStyle w:val="Compact"/>
              <w:spacing w:before="0" w:after="0" w:line="264" w:lineRule="auto"/>
            </w:pPr>
            <w:r>
              <w:rPr>
                <w:rFonts w:ascii="Times New Roman" w:hAnsi="Times New Roman" w:eastAsia="宋体"/>
                <w:b/>
                <w:sz w:val="24"/>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03C2738D" w14:textId="77777777" w:rsidR="002D0A3C" w:rsidRDefault="003B6787">
            <w:pPr>
              <w:pStyle w:val="Compact"/>
              <w:spacing w:before="0" w:after="0" w:line="264" w:lineRule="auto"/>
            </w:pPr>
            <w:r>
              <w:rPr>
                <w:rFonts w:ascii="Times New Roman" w:hAnsi="Times New Roman" w:eastAsia="宋体"/>
                <w:b/>
                <w:sz w:val="24"/>
              </w:rPr>
              <w:t>识别对象</w:t>
            </w:r>
          </w:p>
        </w:tc>
      </w:tr>
      <w:tr w:rsidR="002D0A3C" w14:paraId="1EFEC969"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48EAB151" w14:textId="77777777" w:rsidR="002D0A3C" w:rsidRDefault="003B6787">
            <w:pPr>
              <w:pStyle w:val="Compact"/>
              <w:spacing w:before="0" w:after="0" w:line="264" w:lineRule="auto"/>
            </w:pPr>
            <w:r>
              <w:rPr>
                <w:rFonts w:ascii="Times New Roman" w:hAnsi="Times New Roman" w:eastAsia="宋体"/>
                <w:sz w:val="24"/>
              </w:rPr>
              <w:t xml:space="preserve">CF1 </w:t>
            </w:r>
            <w:r>
              <w:rPr>
                <w:rFonts w:ascii="Times New Roman" w:hAnsi="Times New Roman" w:eastAsia="宋体"/>
                <w:sz w:val="24"/>
              </w:rPr>
              <w:t>历次真实改革</w:t>
            </w:r>
          </w:p>
        </w:tc>
        <w:tc>
          <w:tcPr>
            <w:tcW w:w="0" w:type="auto"/>
            <w:tcBorders>
              <w:top w:val="nil"/>
              <w:left w:val="nil"/>
              <w:bottom w:val="nil"/>
              <w:right w:val="nil"/>
            </w:tcBorders>
            <w:tcMar>
              <w:top w:w="50" w:type="dxa"/>
              <w:left w:w="70" w:type="dxa"/>
              <w:bottom w:w="50" w:type="dxa"/>
              <w:right w:w="70" w:type="dxa"/>
            </w:tcMar>
            <w:vAlign w:val="center"/>
          </w:tcPr>
          <w:p w14:paraId="6EA13A74" w14:textId="77777777" w:rsidR="002D0A3C" w:rsidRDefault="003B6787">
            <w:pPr>
              <w:pStyle w:val="Compact"/>
              <w:spacing w:before="0" w:after="0" w:line="264" w:lineRule="auto"/>
              <w:rPr>
                <w:lang w:eastAsia="zh-CN"/>
              </w:rPr>
            </w:pPr>
            <w:r>
              <w:rPr>
                <w:rFonts w:ascii="Times New Roman" w:hAnsi="Times New Roman" w:eastAsia="宋体"/>
                <w:sz w:val="24"/>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A4C5FAA" w14:textId="77777777" w:rsidR="002D0A3C" w:rsidRDefault="003B6787">
            <w:pPr>
              <w:pStyle w:val="Compact"/>
              <w:spacing w:before="0" w:after="0" w:line="264" w:lineRule="auto"/>
            </w:pPr>
            <w:r>
              <w:rPr>
                <w:rFonts w:ascii="Times New Roman" w:hAnsi="Times New Roman" w:eastAsia="宋体"/>
                <w:sz w:val="24"/>
              </w:rPr>
              <w:t>各次改革的边际贡献</w:t>
            </w:r>
          </w:p>
        </w:tc>
      </w:tr>
      <w:tr w:rsidR="002D0A3C" w14:paraId="5FC4FFAA"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2F819404" w14:textId="77777777" w:rsidR="002D0A3C" w:rsidRDefault="003B6787">
            <w:pPr>
              <w:pStyle w:val="Compact"/>
              <w:spacing w:before="0" w:after="0" w:line="264" w:lineRule="auto"/>
            </w:pPr>
            <w:r>
              <w:rPr>
                <w:rFonts w:ascii="Times New Roman" w:hAnsi="Times New Roman" w:eastAsia="宋体"/>
                <w:sz w:val="24"/>
              </w:rPr>
              <w:t xml:space="preserve">CF2 </w:t>
            </w:r>
            <w:r>
              <w:rPr>
                <w:rFonts w:ascii="Times New Roman" w:hAnsi="Times New Roman" w:eastAsia="宋体"/>
                <w:sz w:val="24"/>
              </w:rPr>
              <w:t>累计改革</w:t>
            </w:r>
          </w:p>
        </w:tc>
        <w:tc>
          <w:tcPr>
            <w:tcW w:w="0" w:type="auto"/>
            <w:tcBorders>
              <w:top w:val="nil"/>
              <w:left w:val="nil"/>
              <w:bottom w:val="nil"/>
              <w:right w:val="nil"/>
            </w:tcBorders>
            <w:tcMar>
              <w:top w:w="50" w:type="dxa"/>
              <w:left w:w="70" w:type="dxa"/>
              <w:bottom w:w="50" w:type="dxa"/>
              <w:right w:w="70" w:type="dxa"/>
            </w:tcMar>
            <w:vAlign w:val="center"/>
          </w:tcPr>
          <w:p w14:paraId="19183340" w14:textId="77777777" w:rsidR="002D0A3C" w:rsidRDefault="003B6787">
            <w:pPr>
              <w:pStyle w:val="Compact"/>
              <w:spacing w:before="0" w:after="0" w:line="264" w:lineRule="auto"/>
              <w:rPr>
                <w:lang w:eastAsia="zh-CN"/>
              </w:rPr>
            </w:pPr>
            <w:r>
              <w:rPr>
                <w:rFonts w:ascii="Times New Roman" w:hAnsi="Times New Roman" w:eastAsia="宋体"/>
                <w:sz w:val="24"/>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5072D0E7" w14:textId="77777777" w:rsidR="002D0A3C" w:rsidRDefault="003B6787">
            <w:pPr>
              <w:pStyle w:val="Compact"/>
              <w:spacing w:before="0" w:after="0" w:line="264" w:lineRule="auto"/>
              <w:rPr>
                <w:lang w:eastAsia="zh-CN"/>
              </w:rPr>
            </w:pPr>
            <w:r>
              <w:rPr>
                <w:rFonts w:ascii="Times New Roman" w:hAnsi="Times New Roman" w:eastAsia="宋体"/>
                <w:sz w:val="24"/>
                <w:lang w:eastAsia="zh-CN"/>
              </w:rPr>
              <w:t>近年准入开放的累计效应</w:t>
            </w:r>
          </w:p>
        </w:tc>
      </w:tr>
      <w:tr w:rsidR="002D0A3C" w14:paraId="53B3D63A"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2390FD1E" w14:textId="77777777" w:rsidR="002D0A3C" w:rsidRDefault="003B6787">
            <w:pPr>
              <w:pStyle w:val="Compact"/>
              <w:spacing w:before="0" w:after="0" w:line="264" w:lineRule="auto"/>
            </w:pPr>
            <w:r>
              <w:rPr>
                <w:rFonts w:ascii="Times New Roman" w:hAnsi="Times New Roman" w:eastAsia="宋体"/>
                <w:sz w:val="24"/>
              </w:rPr>
              <w:t xml:space="preserve">CF3 </w:t>
            </w:r>
            <w:r>
              <w:rPr>
                <w:rFonts w:ascii="Times New Roman" w:hAnsi="Times New Roman" w:eastAsia="宋体"/>
                <w:sz w:val="24"/>
              </w:rPr>
              <w:t>无后续改革</w:t>
            </w:r>
          </w:p>
        </w:tc>
        <w:tc>
          <w:tcPr>
            <w:tcW w:w="0" w:type="auto"/>
            <w:tcBorders>
              <w:top w:val="nil"/>
              <w:left w:val="nil"/>
              <w:bottom w:val="nil"/>
              <w:right w:val="nil"/>
            </w:tcBorders>
            <w:tcMar>
              <w:top w:w="50" w:type="dxa"/>
              <w:left w:w="70" w:type="dxa"/>
              <w:bottom w:w="50" w:type="dxa"/>
              <w:right w:w="70" w:type="dxa"/>
            </w:tcMar>
            <w:vAlign w:val="center"/>
          </w:tcPr>
          <w:p w14:paraId="0C4B3202" w14:textId="77777777" w:rsidR="002D0A3C" w:rsidRDefault="003B6787">
            <w:pPr>
              <w:pStyle w:val="Compact"/>
              <w:spacing w:before="0" w:after="0" w:line="264" w:lineRule="auto"/>
              <w:rPr>
                <w:lang w:eastAsia="zh-CN"/>
              </w:rPr>
            </w:pPr>
            <w:r>
              <w:rPr>
                <w:rFonts w:ascii="Times New Roman" w:hAnsi="Times New Roman" w:eastAsia="宋体"/>
                <w:sz w:val="24"/>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3BCA1C7E" w14:textId="77777777" w:rsidR="002D0A3C" w:rsidRDefault="003B6787">
            <w:pPr>
              <w:pStyle w:val="Compact"/>
              <w:spacing w:before="0" w:after="0" w:line="264" w:lineRule="auto"/>
              <w:rPr>
                <w:lang w:eastAsia="zh-CN"/>
              </w:rPr>
            </w:pPr>
            <w:r>
              <w:rPr>
                <w:rFonts w:ascii="Times New Roman" w:hAnsi="Times New Roman" w:eastAsia="宋体"/>
                <w:sz w:val="24"/>
                <w:lang w:eastAsia="zh-CN"/>
              </w:rPr>
              <w:t>已发生改革的反事实缺失成本</w:t>
            </w:r>
          </w:p>
        </w:tc>
      </w:tr>
      <w:tr w:rsidR="002D0A3C" w14:paraId="50C16344"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352E61B6" w14:textId="77777777" w:rsidR="002D0A3C" w:rsidRDefault="003B6787">
            <w:pPr>
              <w:pStyle w:val="Compact"/>
              <w:spacing w:before="0" w:after="0" w:line="264" w:lineRule="auto"/>
            </w:pPr>
            <w:r>
              <w:rPr>
                <w:rFonts w:ascii="Times New Roman" w:hAnsi="Times New Roman" w:eastAsia="宋体"/>
                <w:sz w:val="24"/>
              </w:rPr>
              <w:t xml:space="preserve">CF4 </w:t>
            </w:r>
            <w:r>
              <w:rPr>
                <w:rFonts w:ascii="Times New Roman" w:hAnsi="Times New Roman" w:eastAsia="宋体"/>
                <w:sz w:val="24"/>
              </w:rPr>
              <w:t>限制类型分解</w:t>
            </w:r>
          </w:p>
        </w:tc>
        <w:tc>
          <w:tcPr>
            <w:tcW w:w="0" w:type="auto"/>
            <w:tcBorders>
              <w:top w:val="nil"/>
              <w:left w:val="nil"/>
              <w:bottom w:val="nil"/>
              <w:right w:val="nil"/>
            </w:tcBorders>
            <w:tcMar>
              <w:top w:w="50" w:type="dxa"/>
              <w:left w:w="70" w:type="dxa"/>
              <w:bottom w:w="50" w:type="dxa"/>
              <w:right w:w="70" w:type="dxa"/>
            </w:tcMar>
            <w:vAlign w:val="center"/>
          </w:tcPr>
          <w:p w14:paraId="4F675982" w14:textId="77777777" w:rsidR="002D0A3C" w:rsidRDefault="003B6787">
            <w:pPr>
              <w:rPr>
                <w:lang w:eastAsia="zh-CN"/>
              </w:rPr>
            </w:pPr>
            <w:r>
              <w:rPr>
                <w:rFonts w:ascii="Times New Roman" w:hAnsi="Times New Roman" w:eastAsia="宋体"/>
                <w:sz w:val="24"/>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4AE1BAA0" w14:textId="77777777" w:rsidR="002D0A3C" w:rsidRDefault="003B6787">
            <w:pPr>
              <w:rPr>
                <w:lang w:eastAsia="zh-CN"/>
              </w:rPr>
            </w:pPr>
            <w:r>
              <w:rPr>
                <w:rFonts w:ascii="Times New Roman" w:hAnsi="Times New Roman" w:eastAsia="宋体"/>
                <w:sz w:val="24"/>
                <w:lang w:eastAsia="zh-CN"/>
              </w:rPr>
              <w:t>哪类制度约束贡献最大</w:t>
            </w:r>
          </w:p>
        </w:tc>
      </w:tr>
      <w:tr w:rsidR="002D0A3C" w14:paraId="5200A511"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260A0B0F" w14:textId="77777777" w:rsidR="002D0A3C" w:rsidRDefault="003B6787">
            <w:pPr>
              <w:pStyle w:val="Compact"/>
              <w:spacing w:before="0" w:after="0" w:line="264" w:lineRule="auto"/>
            </w:pPr>
            <w:r>
              <w:rPr>
                <w:rFonts w:ascii="Times New Roman" w:hAnsi="Times New Roman" w:eastAsia="宋体"/>
                <w:sz w:val="24"/>
              </w:rPr>
              <w:t xml:space="preserve">CF5 </w:t>
            </w:r>
            <w:r>
              <w:rPr>
                <w:rFonts w:ascii="Times New Roman" w:hAnsi="Times New Roman" w:eastAsia="宋体"/>
                <w:sz w:val="24"/>
              </w:rPr>
              <w:t>完全开放</w:t>
            </w:r>
          </w:p>
        </w:tc>
        <w:tc>
          <w:tcPr>
            <w:tcW w:w="0" w:type="auto"/>
            <w:tcBorders>
              <w:top w:val="nil"/>
              <w:left w:val="nil"/>
              <w:bottom w:val="nil"/>
              <w:right w:val="nil"/>
            </w:tcBorders>
            <w:tcMar>
              <w:top w:w="50" w:type="dxa"/>
              <w:left w:w="70" w:type="dxa"/>
              <w:bottom w:w="50" w:type="dxa"/>
              <w:right w:w="70" w:type="dxa"/>
            </w:tcMar>
            <w:vAlign w:val="center"/>
          </w:tcPr>
          <w:p w14:paraId="6A5712BE" w14:textId="77777777" w:rsidR="002D0A3C" w:rsidRDefault="003B6787">
            <w:pPr>
              <w:pStyle w:val="Compact"/>
              <w:spacing w:before="0" w:after="0" w:line="264" w:lineRule="auto"/>
              <w:rPr>
                <w:lang w:eastAsia="zh-CN"/>
              </w:rPr>
            </w:pPr>
            <w:r>
              <w:rPr>
                <w:rFonts w:ascii="Times New Roman" w:hAnsi="Times New Roman" w:eastAsia="宋体"/>
                <w:sz w:val="24"/>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2976EA20" w14:textId="77777777" w:rsidR="002D0A3C" w:rsidRDefault="003B6787">
            <w:pPr>
              <w:pStyle w:val="Compact"/>
              <w:spacing w:before="0" w:after="0" w:line="264" w:lineRule="auto"/>
              <w:rPr>
                <w:lang w:eastAsia="zh-CN"/>
              </w:rPr>
            </w:pPr>
            <w:r>
              <w:rPr>
                <w:rFonts w:ascii="Times New Roman" w:hAnsi="Times New Roman" w:eastAsia="宋体"/>
                <w:sz w:val="24"/>
                <w:lang w:eastAsia="zh-CN"/>
              </w:rPr>
              <w:t>进一步自主开放的上限效应</w:t>
            </w:r>
          </w:p>
        </w:tc>
      </w:tr>
      <w:tr w:rsidR="002D0A3C" w14:paraId="5485DBE9" w14:textId="77777777" w:rsidTr="002D0A3C">
        <w:trPr>
          <w:jc w:val="center"/>
        </w:trPr>
        <w:tc>
          <w:tcPr>
            <w:tcW w:w="0" w:type="auto"/>
            <w:tcBorders>
              <w:top w:val="nil"/>
              <w:left w:val="nil"/>
              <w:bottom w:val="single" w:sz="12" w:space="0" w:color="000000"/>
              <w:right w:val="nil"/>
            </w:tcBorders>
            <w:tcMar>
              <w:top w:w="50" w:type="dxa"/>
              <w:left w:w="70" w:type="dxa"/>
              <w:bottom w:w="50" w:type="dxa"/>
              <w:right w:w="70" w:type="dxa"/>
            </w:tcMar>
            <w:vAlign w:val="center"/>
          </w:tcPr>
          <w:p w14:paraId="7DC9560A" w14:textId="77777777" w:rsidR="002D0A3C" w:rsidRDefault="003B6787">
            <w:pPr>
              <w:pStyle w:val="Compact"/>
              <w:spacing w:before="0" w:after="0" w:line="264" w:lineRule="auto"/>
            </w:pPr>
            <w:r>
              <w:rPr>
                <w:rFonts w:ascii="Times New Roman" w:hAnsi="Times New Roman" w:eastAsia="宋体"/>
                <w:sz w:val="24"/>
              </w:rPr>
              <w:t xml:space="preserve">CF6 </w:t>
            </w:r>
            <w:r>
              <w:rPr>
                <w:rFonts w:ascii="Times New Roman" w:hAnsi="Times New Roman" w:eastAsia="宋体"/>
                <w:sz w:val="24"/>
              </w:rPr>
              <w:t>禁止</w:t>
            </w:r>
            <w:r>
              <w:rPr>
                <w:rFonts w:ascii="Times New Roman" w:hAnsi="Times New Roman" w:eastAsia="宋体"/>
                <w:sz w:val="24"/>
              </w:rPr>
              <w:t>→</w:t>
            </w:r>
            <w:r>
              <w:rPr>
                <w:rFonts w:ascii="Times New Roman" w:hAnsi="Times New Roman" w:eastAsia="宋体"/>
                <w:sz w:val="24"/>
              </w:rP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FF6A7CF" w14:textId="77777777" w:rsidR="002D0A3C" w:rsidRDefault="003B6787">
            <w:pPr>
              <w:pStyle w:val="Compact"/>
              <w:spacing w:before="0" w:after="0" w:line="264" w:lineRule="auto"/>
            </w:pPr>
            <w:r>
              <w:rPr>
                <w:rFonts w:ascii="Times New Roman" w:hAnsi="Times New Roman" w:eastAsia="宋体"/>
                <w:sz w:val="24"/>
              </w:rP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4907283" w14:textId="77777777" w:rsidR="002D0A3C" w:rsidRDefault="003B6787">
            <w:pPr>
              <w:pStyle w:val="Compact"/>
              <w:spacing w:before="0" w:after="0" w:line="264" w:lineRule="auto"/>
            </w:pPr>
            <w:r>
              <w:rPr>
                <w:rFonts w:ascii="Times New Roman" w:hAnsi="Times New Roman" w:eastAsia="宋体"/>
                <w:sz w:val="24"/>
              </w:rPr>
              <w:t>新进入的广延边际</w:t>
            </w:r>
          </w:p>
        </w:tc>
      </w:tr>
    </w:tbl>
    <w:p w14:paraId="2E526F0F" w14:textId="77777777" w:rsidR="002D0A3C" w:rsidRDefault="003B6787">
      <w:pPr>
        <w:pStyle w:val="a0"/>
        <w:ind w:firstLineChars="200"/>
        <w:rPr>
          <w:lang w:eastAsia="zh-CN"/>
        </w:rPr>
      </w:pPr>
      <w:r>
        <w:rPr>
          <w:lang w:eastAsia="zh-CN"/>
        </w:rPr>
        <w:t>基准经济年份与政策版本年份应分离。例如固定</w:t>
      </w:r>
      <w:r>
        <w:rPr>
          <w:lang w:eastAsia="zh-CN"/>
        </w:rPr>
        <w:t>2019</w:t>
      </w:r>
      <w:r>
        <w:rPr>
          <w:lang w:eastAsia="zh-CN"/>
        </w:rPr>
        <w:t>年的投入产出结构、工资、贸易和跨国生产份额，仅替换中国准入制度版本，使反事实差异只反映政策变化，而不混入现实年份间的技术、需求和全球贸易冲击。</w:t>
      </w:r>
    </w:p>
    <w:p w14:paraId="2B7B5E21" w14:textId="77777777" w:rsidR="002D0A3C" w:rsidRDefault="003B6787">
      <w:pPr>
        <w:pStyle w:val="3"/>
        <w:rPr>
          <w:lang w:eastAsia="zh-CN"/>
        </w:rPr>
      </w:pPr>
      <w:bookmarkStart w:id="12" w:name="a.6.3-结果变量与福利"/>
      <w:bookmarkEnd w:id="11"/>
      <w:r>
        <w:rPr>
          <w:rFonts w:ascii="Times New Roman" w:eastAsia="宋体" w:hAnsi="Times New Roman"/>
          <w:lang w:eastAsia="zh-CN"/>
        </w:rPr>
        <w:t>A.6.3</w:t>
      </w:r>
      <w:r>
        <w:rPr>
          <w:rFonts w:ascii="Times New Roman" w:eastAsia="宋体" w:hAnsi="Times New Roman"/>
          <w:lang w:eastAsia="zh-CN"/>
        </w:rPr>
        <w:t xml:space="preserve">　结果变量与福利</w:t>
      </w:r>
    </w:p>
    <w:p w14:paraId="36D6DD00" w14:textId="7777777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第二篇文献的六个通道：产品种类效应、投入产出关联效应、离岸外包效应、创新效应、市场规模效应和劳动要素再配置效应。</w:t>
      </w:r>
    </w:p>
    <w:p w14:paraId="6BE907A3" w14:textId="77777777" w:rsidR="002D0A3C" w:rsidRDefault="003B6787">
      <w:pPr>
        <w:pStyle w:val="a0"/>
        <w:ind w:firstLineChars="200"/>
        <w:rPr>
          <w:lang w:eastAsia="zh-CN"/>
        </w:rPr>
      </w:pPr>
      <w:r>
        <w:rPr>
          <w:lang w:eastAsia="zh-CN"/>
        </w:rPr>
        <w:lastRenderedPageBreak/>
        <w:t>若分析不同负面清单改革的福利贡献，应分别求解相应反事实，而不能把单个回归系数直接解释为福利贡献。存在一般均衡交互时，可报告顺序分解，并以</w:t>
      </w:r>
      <w:r>
        <w:rPr>
          <w:lang w:eastAsia="zh-CN"/>
        </w:rPr>
        <w:t>Shapley</w:t>
      </w:r>
      <w:r>
        <w:rPr>
          <w:lang w:eastAsia="zh-CN"/>
        </w:rPr>
        <w:t>分解作稳健性检验。</w:t>
      </w:r>
    </w:p>
    <w:bookmarkStart w:id="27" w:name="a.7-识别边界与稳健性"/>
    <w:p>
      <w:pPr>
        <w:pStyle w:val="2"/>
      </w:pPr>
      <w:r>
        <w:t xml:space="preserve">A.7　识别边界与稳健性</w:t>
      </w:r>
    </w:p>
    <w:bookmarkStart w:id="20" w:name="a.7.1-llm-政策抽取误差"/>
    <w:p>
      <w:pPr>
        <w:pStyle w:val="3"/>
      </w:pPr>
      <w:r>
        <w:t xml:space="preserve">A.7.1　LLM 政策抽取误差</w:t>
      </w:r>
    </w:p>
    <w:p>
      <w:pPr>
        <w:pStyle w:val="FirstParagraph"/>
      </w:pPr>
      <w:r>
        <w:t xml:space="preserve">LLM 在政策文本环节的误差主要来自限定词遗漏、例外误判和一对多映射过宽。基准结果应报告人工金标准准确度、跨模型或跨次一致率、exact/narrow 样本结果及低置信度剔除结果。人工复核后的标签才是最终研究数据，模型置信度不作为统计权重。</w:t>
      </w:r>
    </w:p>
    <w:bookmarkEnd w:id="20"/>
    <w:bookmarkStart w:id="21" w:name="a.7.2-企业政策原子匹配误差"/>
    <w:p>
      <w:pPr>
        <w:pStyle w:val="3"/>
      </w:pPr>
      <w:r>
        <w:t xml:space="preserve">A.7.2　企业—政策原子匹配误差</w:t>
      </w:r>
    </w:p>
    <w:p>
      <w:pPr>
        <w:pStyle w:val="FirstParagraph"/>
      </w:pPr>
      <w:r>
        <w:t xml:space="preserve">新增的主要测量误差来自企业核心产品与政策活动的语义匹配。基准应报告相似度分布、阈值</w:t>
      </w:r>
      <w:r>
        <w:t xml:space="preserve"> </w:t>
      </w:r>
      <m:oMath>
        <m:acc>
          <m:accPr>
            <m:chr m:val="‾"/>
          </m:accPr>
          <m:e>
            <m:r>
              <m:t>s</m:t>
            </m:r>
          </m:e>
        </m:acc>
      </m:oMath>
      <w:r>
        <w:t xml:space="preserve">、unmatched 比例、前两名相似度差以及人工复核准确率。稳健性检验至少包括改变阈值、限定候选行业、top-</w:t>
      </w:r>
      <m:oMath>
        <m:r>
          <m:t>K</m:t>
        </m:r>
      </m:oMath>
      <w:r>
        <w:t xml:space="preserve"> </w:t>
      </w:r>
      <w:r>
        <w:t xml:space="preserve">候选加权、仅保留人工确认样本和剔除跨细行业候选。低于阈值或无法确认的企业保持缺失，不能把“无法匹配”编码为“没有政策限制”。</w:t>
      </w:r>
    </w:p>
    <w:p>
      <w:pPr>
        <w:pStyle w:val="a0"/>
      </w:pPr>
      <w:r>
        <w:t xml:space="preserve">跨版本 policy_activity_id 的构造也需要单独审计。若同一经济活动在不同政策版本中的名称发生变化，应依据原文、行业映射和限制对象进行人工确认；只有经济活动本身一致时才允许纵向连接。政策文本的变化与经济活动定义的变化应分开保存。</w:t>
      </w:r>
    </w:p>
    <w:bookmarkEnd w:id="21"/>
    <w:bookmarkStart w:id="22" w:name="a.7.3-微观大样本与有效政策簇"/>
    <w:p>
      <w:pPr>
        <w:pStyle w:val="3"/>
      </w:pPr>
      <w:r>
        <w:t xml:space="preserve">A.7.3　微观大样本与有效政策簇</w:t>
      </w:r>
    </w:p>
    <w:p>
      <w:pPr>
        <w:pStyle w:val="FirstParagraph"/>
      </w:pPr>
      <w:r>
        <w:t xml:space="preserve">企业层面能够显著增加行为观测并恢复粗行业内部的政策异质性，但企业数量本身不等于独立政策冲击数量。匹配到同一政策活动的企业共享同一个</w:t>
      </w:r>
      <w:r>
        <w:t xml:space="preserve"> </w:t>
      </w:r>
      <m:oMath>
        <m:sSubSup>
          <m:e>
            <m:r>
              <m:t>Z</m:t>
            </m:r>
          </m:e>
          <m:sub>
            <m:r>
              <m:t>f</m:t>
            </m:r>
            <m:r>
              <m:t>t</m:t>
            </m:r>
          </m:sub>
          <m:sup>
            <m:r>
              <m:t>k</m:t>
            </m:r>
          </m:sup>
        </m:sSubSup>
      </m:oMath>
      <w:r>
        <w:t xml:space="preserve"> </w:t>
      </w:r>
      <w:r>
        <w:t xml:space="preserve">变化，因此推断必须反映处理的聚类结构。基准报告企业数、policy_activity_id 数、发生实际改革的活动数和有效政策簇数；标准误至少在政策活动或对应细行业层面聚类。有效簇较少时采用 wild cluster bootstrap，并以活动层面聚合回归作为稳健性检验。</w:t>
      </w:r>
    </w:p>
    <w:bookmarkEnd w:id="22"/>
    <w:bookmarkStart w:id="23" w:name="a.7.4-行业聚合与宏观一致性误差"/>
    <w:p>
      <w:pPr>
        <w:pStyle w:val="3"/>
      </w:pPr>
      <w:r>
        <w:t xml:space="preserve">A.7.4　行业聚合与宏观一致性误差</w:t>
      </w:r>
    </w:p>
    <w:p>
      <w:pPr>
        <w:pStyle w:val="FirstParagraph"/>
      </w:pPr>
      <w:r>
        <w:t xml:space="preserve">行业聚合误差来自政策原子—GB 四位小类匹配、GB—ISIC 一对多转换和 ISIC 细行业向 OECD-AMNE 聚合。应报告各 OECD-AMNE 行业的可靠映射覆盖率，并用基期产值或增加值、外资企业产值、就业权重和等权重复构造</w:t>
      </w:r>
      <w:r>
        <w:t xml:space="preserve"> </w:t>
      </w:r>
      <m:oMath>
        <m:sSubSup>
          <m:e>
            <m:r>
              <m:t>Z</m:t>
            </m:r>
          </m:e>
          <m:sub>
            <m:r>
              <m:t>j</m:t>
            </m:r>
            <m:r>
              <m:t>t</m:t>
            </m:r>
          </m:sub>
          <m:sup>
            <m:r>
              <m:t>k</m:t>
            </m:r>
            <m:r>
              <m:rPr>
                <m:sty m:val="p"/>
              </m:rPr>
              <m:t>,</m:t>
            </m:r>
            <m:r>
              <m:t>a</m:t>
            </m:r>
            <m:r>
              <m:t>g</m:t>
            </m:r>
            <m:r>
              <m:t>g</m:t>
            </m:r>
          </m:sup>
        </m:sSubSup>
      </m:oMath>
      <w:r>
        <w:t xml:space="preserve">。同时比较 full 且 exact/narrow、加入 partial 和剔除 ambiguous 后的结果。聚合分母始终使用完整 ISIC 四位行业集合。</w:t>
      </w:r>
    </w:p>
    <w:p>
      <w:pPr>
        <w:pStyle w:val="a0"/>
      </w:pPr>
      <w:r>
        <w:t xml:space="preserve">企业微观生成的成本冲击与 AMNE 反演成本应分别构造，不能先用同一聚合政策回归生成成本、再把该结果称为对自身的验证。宏观一致性检验主要比较符号、行业排序、政策期变化和模型可复现的跨国生产份额。</w:t>
      </w:r>
    </w:p>
    <w:bookmarkEnd w:id="23"/>
    <w:bookmarkStart w:id="24" w:name="a.7.5-政策内生性"/>
    <w:p>
      <w:pPr>
        <w:pStyle w:val="3"/>
      </w:pPr>
      <w:r>
        <w:t xml:space="preserve">A.7.5　政策内生性</w:t>
      </w:r>
    </w:p>
    <w:p>
      <w:pPr>
        <w:pStyle w:val="FirstParagraph"/>
      </w:pPr>
      <w:r>
        <w:t xml:space="preserve">开放顺序可能与细活动既有外资增长、技术水平或政策优先级相关。除企业固定效应和粗行业×年份固定效应外，应检验改革前外资参与和经营结果趋势，并在数据允许时加入改革前企业规模、资本或研发密集度等预定变量。若存在明确的政策承诺时间表、分批开放或相近活动中未同步改革的组，应优先用于构造更有约束力的识别。若外生性证据不足，结论应表述为“负面清单限制的行为效应与成本等价映射”，而非无条件因果效应。</w:t>
      </w:r>
    </w:p>
    <w:bookmarkEnd w:id="24"/>
    <w:bookmarkStart w:id="25" w:name="a.7.6-生成成本与结构转换的不确定性"/>
    <w:p>
      <w:pPr>
        <w:pStyle w:val="3"/>
      </w:pPr>
      <w:r>
        <w:t xml:space="preserve">A.7.6　生成成本与结构转换的不确定性</w:t>
      </w:r>
    </w:p>
    <w:p>
      <w:pPr>
        <w:pStyle w:val="FirstParagraph"/>
      </w:pPr>
      <m:oMath>
        <m:sSub>
          <m:e>
            <m:acc>
              <m:accPr>
                <m:chr m:val="̂"/>
              </m:accPr>
              <m:e>
                <m:r>
                  <m:t>β</m:t>
                </m:r>
              </m:e>
            </m:acc>
          </m:e>
          <m:sub>
            <m:r>
              <m:t>k</m:t>
            </m:r>
          </m:sub>
        </m:sSub>
      </m:oMath>
      <w:r>
        <w:t xml:space="preserve">、企业目标矩和式（A5）反演得到的</w:t>
      </w:r>
      <w:r>
        <w:t xml:space="preserve"> </w:t>
      </w:r>
      <m:oMath>
        <m:sSubSup>
          <m:e>
            <m:acc>
              <m:accPr>
                <m:chr m:val="̂"/>
              </m:accPr>
              <m:e>
                <m:r>
                  <m:t>Δ</m:t>
                </m:r>
                <m:r>
                  <m:rPr>
                    <m:sty m:val="p"/>
                  </m:rPr>
                  <m:t>ln</m:t>
                </m:r>
                <m:r>
                  <m:t>γ</m:t>
                </m:r>
              </m:e>
            </m:acc>
          </m:e>
          <m:sub>
            <m:r>
              <m:t>C</m:t>
            </m:r>
            <m:r>
              <m:t>j</m:t>
            </m:r>
            <m:r>
              <m:t>t</m:t>
            </m:r>
          </m:sub>
          <m:sup>
            <m:r>
              <m:t>i</m:t>
            </m:r>
            <m:r>
              <m:t>n</m:t>
            </m:r>
            <m:r>
              <m:t>s</m:t>
            </m:r>
            <m:r>
              <m:t>t</m:t>
            </m:r>
            <m:r>
              <m:rPr>
                <m:sty m:val="p"/>
              </m:rPr>
              <m:t>,</m:t>
            </m:r>
            <m:r>
              <m:t>k</m:t>
            </m:r>
          </m:sup>
        </m:sSubSup>
      </m:oMath>
      <w:r>
        <w:t xml:space="preserve"> </w:t>
      </w:r>
      <w:r>
        <w:t xml:space="preserve">均为生成量；后续结构转换参数又进一步引入校准不确定性。因此最终福利区间不能只来自企业回归的第二阶段标准误。可采用分层 bootstrap：重新抽取政策活动簇和企业、重新估计企业方程、重新构造目标矩、重新反演成本并重复求解一般均衡，从而获得生产网络和福利结果的区间。</w:t>
      </w:r>
    </w:p>
    <w:bookmarkEnd w:id="25"/>
    <w:bookmarkStart w:id="26" w:name="a.7.7-禁止准入的非连续性"/>
    <w:p>
      <w:pPr>
        <w:pStyle w:val="3"/>
      </w:pPr>
      <w:r>
        <w:t xml:space="preserve">A.7.7　禁止准入的非连续性</w:t>
      </w:r>
    </w:p>
    <w:p>
      <w:pPr>
        <w:pStyle w:val="FirstParagraph"/>
      </w:pPr>
      <w:r>
        <w:t xml:space="preserve">“</w:t>
      </w:r>
      <w:r>
        <w:t xml:space="preserve">禁止→允许</w:t>
      </w:r>
      <w:r>
        <w:t xml:space="preserve">”</w:t>
      </w:r>
      <w:r>
        <w:t xml:space="preserve">改革应与五类有限成本结果分开报告。若以极高成本近似禁止，需检验结果对该上限的敏感性；结果若高度依赖近似值，只能作为模型扩展。存在过渡期和例外时，按实际生效日期和适用范围调整可行集合。</w:t>
      </w:r>
    </w:p>
    <w:bookmarkEnd w:id="26"/>
    <w:bookmarkEnd w:id="27"/>
    <w:bookmarkStart w:id="28" w:name="a.8-可复现性与数据接口"/>
    <w:p>
      <w:pPr>
        <w:pStyle w:val="2"/>
      </w:pPr>
      <w:r>
        <w:t xml:space="preserve">A.8　可复现性与数据接口</w:t>
      </w:r>
    </w:p>
    <w:p>
      <w:pPr>
        <w:pStyle w:val="FirstParagraph"/>
      </w:pPr>
      <w:r>
        <w:t xml:space="preserve">实证数据继续采用“JSONL 主数据 + CSV/Parquet 分析数据”的双层结构。A1 文本事实与 A2 结构化限制在政策原子主数据中横向合并，一行对应一个政策原子；另建跨版本政策活动表和企业匹配表，使政策法律事实、企业语义匹配、行业聚合、微观回归和结构成本反演保持不同观察单位。表 A4 给出推荐结构。</w:t>
      </w:r>
    </w:p>
    <w:p>
      <w:pPr>
        <w:pStyle w:val="a0"/>
      </w:pPr>
      <w:r>
        <w:t xml:space="preserve">表 A4　最终研究数据库的层级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rFonts w:ascii="Times New Roman" w:hAnsi="Times New Roman" w:eastAsia="宋体"/>
                <w:sz w:val="24"/>
              </w:rPr>
              <w:t xml:space="preserve">数据文件</w:t>
            </w:r>
          </w:p>
        </w:tc>
        <w:tc>
          <w:tcPr/>
          <w:p>
            <w:pPr>
              <w:pStyle w:val="Compact"/>
              <w:jc w:val="left"/>
            </w:pPr>
            <w:r>
              <w:rPr>
                <w:rFonts w:ascii="Times New Roman" w:hAnsi="Times New Roman" w:eastAsia="宋体"/>
                <w:sz w:val="24"/>
              </w:rPr>
              <w:t xml:space="preserve">观测单位</w:t>
            </w:r>
          </w:p>
        </w:tc>
        <w:tc>
          <w:tcPr/>
          <w:p>
            <w:pPr>
              <w:pStyle w:val="Compact"/>
              <w:jc w:val="left"/>
            </w:pPr>
            <w:r>
              <w:rPr>
                <w:rFonts w:ascii="Times New Roman" w:hAnsi="Times New Roman" w:eastAsia="宋体"/>
                <w:sz w:val="24"/>
              </w:rPr>
              <w:t xml:space="preserve">核心内容</w:t>
            </w:r>
          </w:p>
        </w:tc>
      </w:tr>
      <w:tr>
        <w:trPr>
          <w:cantSplit/>
        </w:trPr>
        <w:tc>
          <w:tcPr/>
          <w:p>
            <w:pPr>
              <w:pStyle w:val="Compact"/>
              <w:jc w:val="left"/>
            </w:pPr>
            <w:r>
              <w:rPr>
                <w:rFonts w:ascii="Times New Roman" w:hAnsi="Times New Roman" w:eastAsia="宋体"/>
                <w:sz w:val="24"/>
              </w:rPr>
              <w:t xml:space="preserve">policy_atoms_master.jsonl</w:t>
            </w:r>
          </w:p>
        </w:tc>
        <w:tc>
          <w:tcPr/>
          <w:p>
            <w:pPr>
              <w:pStyle w:val="Compact"/>
              <w:jc w:val="left"/>
            </w:pPr>
            <w:r>
              <w:rPr>
                <w:rFonts w:ascii="Times New Roman" w:hAnsi="Times New Roman" w:eastAsia="宋体"/>
                <w:sz w:val="24"/>
              </w:rPr>
              <w:t xml:space="preserve">政策原子×版本</w:t>
            </w:r>
          </w:p>
        </w:tc>
        <w:tc>
          <w:tcPr/>
          <w:p>
            <w:pPr>
              <w:pStyle w:val="Compact"/>
              <w:jc w:val="left"/>
            </w:pPr>
            <w:r>
              <w:rPr>
                <w:rFonts w:ascii="Times New Roman" w:hAnsi="Times New Roman" w:eastAsia="宋体"/>
                <w:sz w:val="24"/>
              </w:rPr>
              <w:t xml:space="preserve">A1 文本字段 + A2 压缩字段；权威主数据</w:t>
            </w:r>
          </w:p>
        </w:tc>
      </w:tr>
      <w:tr>
        <w:trPr>
          <w:cantSplit/>
        </w:trPr>
        <w:tc>
          <w:tcPr/>
          <w:p>
            <w:pPr>
              <w:pStyle w:val="Compact"/>
              <w:jc w:val="left"/>
            </w:pPr>
            <w:r>
              <w:rPr>
                <w:rFonts w:ascii="Times New Roman" w:hAnsi="Times New Roman" w:eastAsia="宋体"/>
                <w:sz w:val="24"/>
              </w:rPr>
              <w:t xml:space="preserve">policy_atoms_wide.csv</w:t>
            </w:r>
          </w:p>
        </w:tc>
        <w:tc>
          <w:tcPr/>
          <w:p>
            <w:pPr>
              <w:pStyle w:val="Compact"/>
              <w:jc w:val="left"/>
            </w:pPr>
            <w:r>
              <w:rPr>
                <w:rFonts w:ascii="Times New Roman" w:hAnsi="Times New Roman" w:eastAsia="宋体"/>
                <w:sz w:val="24"/>
              </w:rPr>
              <w:t xml:space="preserve">政策原子×版本</w:t>
            </w:r>
          </w:p>
        </w:tc>
        <w:tc>
          <w:tcPr/>
          <w:p>
            <w:pPr>
              <w:pStyle w:val="Compact"/>
              <w:jc w:val="left"/>
            </w:pPr>
            <w:r>
              <w:rPr>
                <w:rFonts w:ascii="Times New Roman" w:hAnsi="Times New Roman" w:eastAsia="宋体"/>
                <w:sz w:val="24"/>
              </w:rPr>
              <w:t xml:space="preserve">master JSONL 自动展开的分析宽表</w:t>
            </w:r>
          </w:p>
        </w:tc>
      </w:tr>
      <w:tr>
        <w:trPr>
          <w:cantSplit/>
        </w:trPr>
        <w:tc>
          <w:tcPr/>
          <w:p>
            <w:pPr>
              <w:pStyle w:val="Compact"/>
              <w:jc w:val="left"/>
            </w:pPr>
            <w:r>
              <w:rPr>
                <w:rFonts w:ascii="Times New Roman" w:hAnsi="Times New Roman" w:eastAsia="宋体"/>
                <w:sz w:val="24"/>
              </w:rPr>
              <w:t xml:space="preserve">llm_audit.jsonl</w:t>
            </w:r>
          </w:p>
        </w:tc>
        <w:tc>
          <w:tcPr/>
          <w:p>
            <w:pPr>
              <w:pStyle w:val="Compact"/>
              <w:jc w:val="left"/>
            </w:pPr>
            <w:r>
              <w:rPr>
                <w:rFonts w:ascii="Times New Roman" w:hAnsi="Times New Roman" w:eastAsia="宋体"/>
                <w:sz w:val="24"/>
              </w:rPr>
              <w:t xml:space="preserve">政策原子×模型运行</w:t>
            </w:r>
          </w:p>
        </w:tc>
        <w:tc>
          <w:tcPr/>
          <w:p>
            <w:pPr>
              <w:pStyle w:val="Compact"/>
              <w:jc w:val="left"/>
            </w:pPr>
            <w:r>
              <w:rPr>
                <w:rFonts w:ascii="Times New Roman" w:hAnsi="Times New Roman" w:eastAsia="宋体"/>
                <w:sz w:val="24"/>
              </w:rPr>
              <w:t xml:space="preserve">原始模型输出、evidence_span、置信度、A2a 字段和人工修改日志</w:t>
            </w:r>
          </w:p>
        </w:tc>
      </w:tr>
      <w:tr>
        <w:trPr>
          <w:cantSplit/>
        </w:trPr>
        <w:tc>
          <w:tcPr/>
          <w:p>
            <w:pPr>
              <w:pStyle w:val="Compact"/>
              <w:jc w:val="left"/>
            </w:pPr>
            <w:r>
              <w:rPr>
                <w:rFonts w:ascii="Times New Roman" w:hAnsi="Times New Roman" w:eastAsia="宋体"/>
                <w:sz w:val="24"/>
              </w:rPr>
              <w:t xml:space="preserve">policy_activity_crossversion.csv</w:t>
            </w:r>
          </w:p>
        </w:tc>
        <w:tc>
          <w:tcPr/>
          <w:p>
            <w:pPr>
              <w:pStyle w:val="Compact"/>
              <w:jc w:val="left"/>
            </w:pPr>
            <w:r>
              <w:rPr>
                <w:rFonts w:ascii="Times New Roman" w:hAnsi="Times New Roman" w:eastAsia="宋体"/>
                <w:sz w:val="24"/>
              </w:rPr>
              <w:t xml:space="preserve">稳定政策活动×版本</w:t>
            </w:r>
          </w:p>
        </w:tc>
        <w:tc>
          <w:tcPr/>
          <w:p>
            <w:pPr>
              <w:pStyle w:val="Compact"/>
              <w:jc w:val="left"/>
            </w:pPr>
            <w:r>
              <w:rPr>
                <w:rFonts w:ascii="Times New Roman" w:hAnsi="Times New Roman" w:eastAsia="宋体"/>
                <w:sz w:val="24"/>
              </w:rPr>
              <w:t xml:space="preserve">policy_activity_id、版本特定 atom_id、跨版本对齐证据和人工确认状态</w:t>
            </w:r>
          </w:p>
        </w:tc>
      </w:tr>
      <w:tr>
        <w:trPr>
          <w:cantSplit/>
        </w:trPr>
        <w:tc>
          <w:tcPr/>
          <w:p>
            <w:pPr>
              <w:pStyle w:val="Compact"/>
              <w:jc w:val="left"/>
            </w:pPr>
            <w:r>
              <w:rPr>
                <w:rFonts w:ascii="Times New Roman" w:hAnsi="Times New Roman" w:eastAsia="宋体"/>
                <w:sz w:val="24"/>
              </w:rPr>
              <w:t xml:space="preserve">industry_crosswalk.csv</w:t>
            </w:r>
          </w:p>
        </w:tc>
        <w:tc>
          <w:tcPr/>
          <w:p>
            <w:pPr>
              <w:pStyle w:val="Compact"/>
              <w:jc w:val="left"/>
            </w:pPr>
            <w:r>
              <w:rPr>
                <w:rFonts w:ascii="Times New Roman" w:hAnsi="Times New Roman" w:eastAsia="宋体"/>
                <w:sz w:val="24"/>
              </w:rPr>
              <w:t xml:space="preserve">政策活动×GB4×ISIC4</w:t>
            </w:r>
          </w:p>
        </w:tc>
        <w:tc>
          <w:tcPr/>
          <w:p>
            <w:pPr>
              <w:pStyle w:val="Compact"/>
              <w:jc w:val="left"/>
            </w:pPr>
            <w:r>
              <w:rPr>
                <w:rFonts w:ascii="Times New Roman" w:hAnsi="Times New Roman" w:eastAsia="宋体"/>
                <w:sz w:val="24"/>
              </w:rPr>
              <w:t xml:space="preserve">GB4、ISIC4、ISIC2、OECD-AMNE、match_type、coverage_type 和证据</w:t>
            </w:r>
          </w:p>
        </w:tc>
      </w:tr>
      <w:tr>
        <w:trPr>
          <w:cantSplit/>
        </w:trPr>
        <w:tc>
          <w:tcPr/>
          <w:p>
            <w:pPr>
              <w:pStyle w:val="Compact"/>
              <w:jc w:val="left"/>
            </w:pPr>
            <w:r>
              <w:rPr>
                <w:rFonts w:ascii="Times New Roman" w:hAnsi="Times New Roman" w:eastAsia="宋体"/>
                <w:sz w:val="24"/>
              </w:rPr>
              <w:t xml:space="preserve">firm_core_product.csv</w:t>
            </w:r>
          </w:p>
        </w:tc>
        <w:tc>
          <w:tcPr/>
          <w:p>
            <w:pPr>
              <w:pStyle w:val="Compact"/>
              <w:jc w:val="left"/>
            </w:pPr>
            <w:r>
              <w:rPr>
                <w:rFonts w:ascii="Times New Roman" w:hAnsi="Times New Roman" w:eastAsia="宋体"/>
                <w:sz w:val="24"/>
              </w:rPr>
              <w:t xml:space="preserve">企业</w:t>
            </w:r>
          </w:p>
        </w:tc>
        <w:tc>
          <w:tcPr/>
          <w:p>
            <w:pPr>
              <w:pStyle w:val="Compact"/>
              <w:jc w:val="left"/>
            </w:pPr>
            <w:r>
              <w:rPr>
                <w:rFonts w:ascii="Times New Roman" w:hAnsi="Times New Roman" w:eastAsia="宋体"/>
                <w:sz w:val="24"/>
              </w:rPr>
              <w:t xml:space="preserve">企业最核心产品/主营业务文本、原始来源、既有行业代码和清洗结果</w:t>
            </w:r>
          </w:p>
        </w:tc>
      </w:tr>
      <w:tr>
        <w:trPr>
          <w:cantSplit/>
        </w:trPr>
        <w:tc>
          <w:tcPr/>
          <w:p>
            <w:pPr>
              <w:pStyle w:val="Compact"/>
              <w:jc w:val="left"/>
            </w:pPr>
            <w:r>
              <w:rPr>
                <w:rFonts w:ascii="Times New Roman" w:hAnsi="Times New Roman" w:eastAsia="宋体"/>
                <w:sz w:val="24"/>
              </w:rPr>
              <w:t xml:space="preserve">firm_atom_match.csv</w:t>
            </w:r>
          </w:p>
        </w:tc>
        <w:tc>
          <w:tcPr/>
          <w:p>
            <w:pPr>
              <w:pStyle w:val="Compact"/>
              <w:jc w:val="left"/>
            </w:pPr>
            <w:r>
              <w:rPr>
                <w:rFonts w:ascii="Times New Roman" w:hAnsi="Times New Roman" w:eastAsia="宋体"/>
                <w:sz w:val="24"/>
              </w:rPr>
              <w:t xml:space="preserve">企业×候选政策活动</w:t>
            </w:r>
          </w:p>
        </w:tc>
        <w:tc>
          <w:tcPr/>
          <w:p>
            <w:pPr>
              <w:pStyle w:val="Compact"/>
              <w:jc w:val="left"/>
            </w:pPr>
            <w:r>
              <w:rPr>
                <w:rFonts w:ascii="Times New Roman" w:hAnsi="Times New Roman" w:eastAsia="宋体"/>
                <w:sz w:val="24"/>
              </w:rPr>
              <w:t xml:space="preserve">相似度、候选排名、最高匹配、阈值状态、人工复核状态</w:t>
            </w:r>
          </w:p>
        </w:tc>
      </w:tr>
      <w:tr>
        <w:trPr>
          <w:cantSplit/>
        </w:trPr>
        <w:tc>
          <w:tcPr/>
          <w:p>
            <w:pPr>
              <w:pStyle w:val="Compact"/>
              <w:jc w:val="left"/>
            </w:pPr>
            <w:r>
              <w:rPr>
                <w:rFonts w:ascii="Times New Roman" w:hAnsi="Times New Roman" w:eastAsia="宋体"/>
                <w:sz w:val="24"/>
              </w:rPr>
              <w:t xml:space="preserve">firm_policy_panel.parquet</w:t>
            </w:r>
          </w:p>
        </w:tc>
        <w:tc>
          <w:tcPr/>
          <w:p>
            <w:pPr>
              <w:pStyle w:val="Compact"/>
              <w:jc w:val="left"/>
            </w:pPr>
            <w:r>
              <w:rPr>
                <w:rFonts w:ascii="Times New Roman" w:hAnsi="Times New Roman" w:eastAsia="宋体"/>
                <w:sz w:val="24"/>
              </w:rPr>
              <w:t xml:space="preserve">企业×年份</w:t>
            </w:r>
          </w:p>
        </w:tc>
        <w:tc>
          <w:tcPr/>
          <w:p>
            <w:pPr>
              <w:pStyle w:val="Compact"/>
              <w:jc w:val="left"/>
            </w:pPr>
            <m:oMath>
              <m:sSubSup>
                <m:e>
                  <m:r>
                    <m:t>Z</m:t>
                  </m:r>
                </m:e>
                <m:sub>
                  <m:r>
                    <m:t>f</m:t>
                  </m:r>
                  <m:r>
                    <m:t>t</m:t>
                  </m:r>
                </m:sub>
                <m:sup>
                  <m:r>
                    <m:t>P</m:t>
                  </m:r>
                </m:sup>
              </m:sSubSup>
              <m:r>
                <m:rPr>
                  <m:sty m:val="p"/>
                </m:rPr>
                <m:t>,</m:t>
              </m:r>
              <m:sSubSup>
                <m:e>
                  <m:r>
                    <m:t>Z</m:t>
                  </m:r>
                </m:e>
                <m:sub>
                  <m:r>
                    <m:t>f</m:t>
                  </m:r>
                  <m:r>
                    <m:t>t</m:t>
                  </m:r>
                </m:sub>
                <m:sup>
                  <m:r>
                    <m:t>E</m:t>
                  </m:r>
                </m:sup>
              </m:sSubSup>
              <m:r>
                <m:rPr>
                  <m:sty m:val="p"/>
                </m:rPr>
                <m:t>,</m:t>
              </m:r>
              <m:sSubSup>
                <m:e>
                  <m:r>
                    <m:t>Z</m:t>
                  </m:r>
                </m:e>
                <m:sub>
                  <m:r>
                    <m:t>f</m:t>
                  </m:r>
                  <m:r>
                    <m:t>t</m:t>
                  </m:r>
                </m:sub>
                <m:sup>
                  <m:r>
                    <m:t>C</m:t>
                  </m:r>
                </m:sup>
              </m:sSubSup>
              <m:r>
                <m:rPr>
                  <m:sty m:val="p"/>
                </m:rPr>
                <m:t>,</m:t>
              </m:r>
              <m:sSubSup>
                <m:e>
                  <m:r>
                    <m:t>Z</m:t>
                  </m:r>
                </m:e>
                <m:sub>
                  <m:r>
                    <m:t>f</m:t>
                  </m:r>
                  <m:r>
                    <m:t>t</m:t>
                  </m:r>
                </m:sub>
                <m:sup>
                  <m:r>
                    <m:t>O</m:t>
                  </m:r>
                </m:sup>
              </m:sSubSup>
              <m:r>
                <m:rPr>
                  <m:sty m:val="p"/>
                </m:rPr>
                <m:t>,</m:t>
              </m:r>
              <m:sSubSup>
                <m:e>
                  <m:r>
                    <m:t>Z</m:t>
                  </m:r>
                </m:e>
                <m:sub>
                  <m:r>
                    <m:t>f</m:t>
                  </m:r>
                  <m:r>
                    <m:t>t</m:t>
                  </m:r>
                </m:sub>
                <m:sup>
                  <m:r>
                    <m:t>G</m:t>
                  </m:r>
                </m:sup>
              </m:sSubSup>
              <m:r>
                <m:rPr>
                  <m:sty m:val="p"/>
                </m:rPr>
                <m:t>,</m:t>
              </m:r>
              <m:sSubSup>
                <m:e>
                  <m:r>
                    <m:t>Z</m:t>
                  </m:r>
                </m:e>
                <m:sub>
                  <m:r>
                    <m:t>f</m:t>
                  </m:r>
                  <m:r>
                    <m:t>t</m:t>
                  </m:r>
                </m:sub>
                <m:sup>
                  <m:r>
                    <m:t>R</m:t>
                  </m:r>
                </m:sup>
              </m:sSubSup>
            </m:oMath>
            <w:r>
              <w:rPr>
                <w:rFonts w:ascii="Times New Roman" w:hAnsi="Times New Roman" w:eastAsia="宋体"/>
                <w:sz w:val="24"/>
              </w:rPr>
              <w:t xml:space="preserve"> </w:t>
            </w:r>
            <w:r>
              <w:rPr>
                <w:rFonts w:ascii="Times New Roman" w:hAnsi="Times New Roman" w:eastAsia="宋体"/>
                <w:sz w:val="24"/>
              </w:rPr>
              <w:t xml:space="preserve">及匹配质量字段</w:t>
            </w:r>
          </w:p>
        </w:tc>
      </w:tr>
      <w:tr>
        <w:trPr>
          <w:cantSplit/>
        </w:trPr>
        <w:tc>
          <w:tcPr/>
          <w:p>
            <w:pPr>
              <w:pStyle w:val="Compact"/>
              <w:jc w:val="left"/>
            </w:pPr>
            <w:r>
              <w:rPr>
                <w:rFonts w:ascii="Times New Roman" w:hAnsi="Times New Roman" w:eastAsia="宋体"/>
                <w:sz w:val="24"/>
              </w:rPr>
              <w:t xml:space="preserve">firm_outcome_panel.parquet</w:t>
            </w:r>
          </w:p>
        </w:tc>
        <w:tc>
          <w:tcPr/>
          <w:p>
            <w:pPr>
              <w:pStyle w:val="Compact"/>
              <w:jc w:val="left"/>
            </w:pPr>
            <w:r>
              <w:rPr>
                <w:rFonts w:ascii="Times New Roman" w:hAnsi="Times New Roman" w:eastAsia="宋体"/>
                <w:sz w:val="24"/>
              </w:rPr>
              <w:t xml:space="preserve">企业×年份</w:t>
            </w:r>
          </w:p>
        </w:tc>
        <w:tc>
          <w:tcPr/>
          <w:p>
            <w:pPr>
              <w:pStyle w:val="Compact"/>
              <w:jc w:val="left"/>
            </w:pPr>
            <w:r>
              <w:rPr>
                <w:rFonts w:ascii="Times New Roman" w:hAnsi="Times New Roman" w:eastAsia="宋体"/>
                <w:sz w:val="24"/>
              </w:rPr>
              <w:t xml:space="preserve">外资参与、外资股比、全外资、进入及经营结果变量</w:t>
            </w:r>
          </w:p>
        </w:tc>
      </w:tr>
      <w:tr>
        <w:trPr>
          <w:cantSplit/>
        </w:trPr>
        <w:tc>
          <w:tcPr/>
          <w:p>
            <w:pPr>
              <w:pStyle w:val="Compact"/>
              <w:jc w:val="left"/>
            </w:pPr>
            <w:r>
              <w:rPr>
                <w:rFonts w:ascii="Times New Roman" w:hAnsi="Times New Roman" w:eastAsia="宋体"/>
                <w:sz w:val="24"/>
              </w:rPr>
              <w:t xml:space="preserve">micro_policy_est.csv</w:t>
            </w:r>
          </w:p>
        </w:tc>
        <w:tc>
          <w:tcPr/>
          <w:p>
            <w:pPr>
              <w:pStyle w:val="Compact"/>
              <w:jc w:val="left"/>
            </w:pPr>
            <w:r>
              <w:rPr>
                <w:rFonts w:ascii="Times New Roman" w:hAnsi="Times New Roman" w:eastAsia="宋体"/>
                <w:sz w:val="24"/>
              </w:rPr>
              <w:t xml:space="preserve">规格×限制类型</w:t>
            </w:r>
          </w:p>
        </w:tc>
        <w:tc>
          <w:tcPr/>
          <w:p>
            <w:pPr>
              <w:pStyle w:val="Compact"/>
              <w:jc w:val="left"/>
            </w:pPr>
            <m:oMath>
              <m:sSub>
                <m:e>
                  <m:acc>
                    <m:accPr>
                      <m:chr m:val="̂"/>
                    </m:accPr>
                    <m:e>
                      <m:r>
                        <m:t>β</m:t>
                      </m:r>
                    </m:e>
                  </m:acc>
                </m:e>
                <m:sub>
                  <m:r>
                    <m:t>k</m:t>
                  </m:r>
                </m:sub>
              </m:sSub>
            </m:oMath>
            <w:r>
              <w:rPr>
                <w:rFonts w:ascii="Times New Roman" w:hAnsi="Times New Roman" w:eastAsia="宋体"/>
                <w:sz w:val="24"/>
              </w:rPr>
              <w:t xml:space="preserve">、标准误、政策簇数、企业数和固定效应设定</w:t>
            </w:r>
          </w:p>
        </w:tc>
      </w:tr>
      <w:tr>
        <w:trPr>
          <w:cantSplit/>
        </w:trPr>
        <w:tc>
          <w:tcPr/>
          <w:p>
            <w:pPr>
              <w:pStyle w:val="Compact"/>
              <w:jc w:val="left"/>
            </w:pPr>
            <w:r>
              <w:rPr>
                <w:rFonts w:ascii="Times New Roman" w:hAnsi="Times New Roman" w:eastAsia="宋体"/>
                <w:sz w:val="24"/>
              </w:rPr>
              <w:t xml:space="preserve">industry_weights.csv</w:t>
            </w:r>
          </w:p>
        </w:tc>
        <w:tc>
          <w:tcPr/>
          <w:p>
            <w:pPr>
              <w:pStyle w:val="Compact"/>
              <w:jc w:val="left"/>
            </w:pPr>
            <w:r>
              <w:rPr>
                <w:rFonts w:ascii="Times New Roman" w:hAnsi="Times New Roman" w:eastAsia="宋体"/>
                <w:sz w:val="24"/>
              </w:rPr>
              <w:t xml:space="preserve">ISIC4×基期</w:t>
            </w:r>
          </w:p>
        </w:tc>
        <w:tc>
          <w:tcPr/>
          <w:p>
            <w:pPr>
              <w:pStyle w:val="Compact"/>
              <w:jc w:val="left"/>
            </w:pPr>
            <w:r>
              <w:rPr>
                <w:rFonts w:ascii="Times New Roman" w:hAnsi="Times New Roman" w:eastAsia="宋体"/>
                <w:sz w:val="24"/>
              </w:rPr>
              <w:t xml:space="preserve">ISIC4→ISIC2→OECD-AMNE 的固定聚合权重</w:t>
            </w:r>
          </w:p>
        </w:tc>
      </w:tr>
      <w:tr>
        <w:trPr>
          <w:cantSplit/>
        </w:trPr>
        <w:tc>
          <w:tcPr/>
          <w:p>
            <w:pPr>
              <w:pStyle w:val="Compact"/>
              <w:jc w:val="left"/>
            </w:pPr>
            <w:r>
              <w:rPr>
                <w:rFonts w:ascii="Times New Roman" w:hAnsi="Times New Roman" w:eastAsia="宋体"/>
                <w:sz w:val="24"/>
              </w:rPr>
              <w:t xml:space="preserve">sector_policy.csv</w:t>
            </w:r>
          </w:p>
        </w:tc>
        <w:tc>
          <w:tcPr/>
          <w:p>
            <w:pPr>
              <w:pStyle w:val="Compact"/>
              <w:jc w:val="left"/>
            </w:pPr>
            <w:r>
              <w:rPr>
                <w:rFonts w:ascii="Times New Roman" w:hAnsi="Times New Roman" w:eastAsia="宋体"/>
                <w:sz w:val="24"/>
              </w:rPr>
              <w:t xml:space="preserve">OECD-AMNE 行业×年份</w:t>
            </w:r>
          </w:p>
        </w:tc>
        <w:tc>
          <w:tcPr/>
          <w:p>
            <w:pPr>
              <w:pStyle w:val="Compact"/>
              <w:jc w:val="left"/>
            </w:pPr>
            <m:oMath>
              <m:sSubSup>
                <m:e>
                  <m:r>
                    <m:t>Z</m:t>
                  </m:r>
                </m:e>
                <m:sub>
                  <m:r>
                    <m:t>j</m:t>
                  </m:r>
                  <m:r>
                    <m:t>t</m:t>
                  </m:r>
                </m:sub>
                <m:sup>
                  <m:r>
                    <m:t>k</m:t>
                  </m:r>
                  <m:r>
                    <m:rPr>
                      <m:sty m:val="p"/>
                    </m:rPr>
                    <m:t>,</m:t>
                  </m:r>
                  <m:r>
                    <m:t>a</m:t>
                  </m:r>
                  <m:r>
                    <m:t>g</m:t>
                  </m:r>
                  <m:r>
                    <m:t>g</m:t>
                  </m:r>
                </m:sup>
              </m:sSubSup>
            </m:oMath>
            <w:r>
              <w:rPr>
                <w:rFonts w:ascii="Times New Roman" w:hAnsi="Times New Roman" w:eastAsia="宋体"/>
                <w:sz w:val="24"/>
              </w:rPr>
              <w:t xml:space="preserve">、禁止份额、覆盖率和权重口径；用于宏观检验</w:t>
            </w:r>
          </w:p>
        </w:tc>
      </w:tr>
      <w:tr>
        <w:trPr>
          <w:cantSplit/>
        </w:trPr>
        <w:tc>
          <w:tcPr/>
          <w:p>
            <w:pPr>
              <w:pStyle w:val="Compact"/>
              <w:jc w:val="left"/>
            </w:pPr>
            <w:r>
              <w:rPr>
                <w:rFonts w:ascii="Times New Roman" w:hAnsi="Times New Roman" w:eastAsia="宋体"/>
                <w:sz w:val="24"/>
              </w:rPr>
              <w:t xml:space="preserve">micro_moments.csv</w:t>
            </w:r>
          </w:p>
        </w:tc>
        <w:tc>
          <w:tcPr/>
          <w:p>
            <w:pPr>
              <w:pStyle w:val="Compact"/>
              <w:jc w:val="left"/>
            </w:pPr>
            <w:r>
              <w:rPr>
                <w:rFonts w:ascii="Times New Roman" w:hAnsi="Times New Roman" w:eastAsia="宋体"/>
                <w:sz w:val="24"/>
              </w:rPr>
              <w:t xml:space="preserve">OECD-AMNE 行业×年份×情景</w:t>
            </w:r>
          </w:p>
        </w:tc>
        <w:tc>
          <w:tcPr/>
          <w:p>
            <w:pPr>
              <w:pStyle w:val="Compact"/>
              <w:jc w:val="left"/>
            </w:pPr>
            <w:r>
              <w:rPr>
                <w:rFonts w:ascii="Times New Roman" w:hAnsi="Times New Roman" w:eastAsia="宋体"/>
                <w:sz w:val="24"/>
              </w:rPr>
              <w:t xml:space="preserve">企业回归生成并按固定权重聚合的结构目标矩</w:t>
            </w:r>
          </w:p>
        </w:tc>
      </w:tr>
      <w:tr>
        <w:trPr>
          <w:cantSplit/>
        </w:trPr>
        <w:tc>
          <w:tcPr/>
          <w:p>
            <w:pPr>
              <w:pStyle w:val="Compact"/>
              <w:jc w:val="left"/>
            </w:pPr>
            <w:r>
              <w:rPr>
                <w:rFonts w:ascii="Times New Roman" w:hAnsi="Times New Roman" w:eastAsia="宋体"/>
                <w:sz w:val="24"/>
              </w:rPr>
              <w:t xml:space="preserve">mp_cost_macro.csv / parquet</w:t>
            </w:r>
          </w:p>
        </w:tc>
        <w:tc>
          <w:tcPr/>
          <w:p>
            <w:pPr>
              <w:pStyle w:val="Compact"/>
              <w:jc w:val="left"/>
            </w:pPr>
            <w:r>
              <w:rPr>
                <w:rFonts w:ascii="Times New Roman" w:hAnsi="Times New Roman" w:eastAsia="宋体"/>
                <w:sz w:val="24"/>
              </w:rPr>
              <w:t xml:space="preserve">母国×中国×部门×年份</w:t>
            </w:r>
          </w:p>
        </w:tc>
        <w:tc>
          <w:tcPr/>
          <w:p>
            <w:pPr>
              <w:pStyle w:val="Compact"/>
              <w:jc w:val="left"/>
            </w:pPr>
            <w:r>
              <w:rPr>
                <w:rFonts w:ascii="Times New Roman" w:hAnsi="Times New Roman" w:eastAsia="宋体"/>
                <w:sz w:val="24"/>
              </w:rPr>
              <w:t xml:space="preserve">AMNE 反演的经验总 MP 成本与制度型 MP 成本；用于一致性检验</w:t>
            </w:r>
          </w:p>
        </w:tc>
      </w:tr>
      <w:tr>
        <w:trPr>
          <w:cantSplit/>
        </w:trPr>
        <w:tc>
          <w:tcPr/>
          <w:p>
            <w:pPr>
              <w:pStyle w:val="Compact"/>
              <w:jc w:val="left"/>
            </w:pPr>
            <w:r>
              <w:rPr>
                <w:rFonts w:ascii="Times New Roman" w:hAnsi="Times New Roman" w:eastAsia="宋体"/>
                <w:sz w:val="24"/>
              </w:rPr>
              <w:t xml:space="preserve">sector_cost_shock.csv</w:t>
            </w:r>
          </w:p>
        </w:tc>
        <w:tc>
          <w:tcPr/>
          <w:p>
            <w:pPr>
              <w:pStyle w:val="Compact"/>
              <w:jc w:val="left"/>
            </w:pPr>
            <w:r>
              <w:rPr>
                <w:rFonts w:ascii="Times New Roman" w:hAnsi="Times New Roman" w:eastAsia="宋体"/>
                <w:sz w:val="24"/>
              </w:rPr>
              <w:t xml:space="preserve">OECD-AMNE 行业×情景</w:t>
            </w:r>
          </w:p>
        </w:tc>
        <w:tc>
          <w:tcPr/>
          <w:p>
            <w:pPr>
              <w:pStyle w:val="Compact"/>
              <w:jc w:val="left"/>
            </w:pPr>
            <w:r>
              <w:rPr>
                <w:rFonts w:ascii="Times New Roman" w:hAnsi="Times New Roman" w:eastAsia="宋体"/>
                <w:sz w:val="24"/>
              </w:rPr>
              <w:t xml:space="preserve">式（A5）反演得到的有限限制成本等价及不确定性</w:t>
            </w:r>
          </w:p>
        </w:tc>
      </w:tr>
      <w:tr>
        <w:trPr>
          <w:cantSplit/>
        </w:trPr>
        <w:tc>
          <w:tcPr/>
          <w:p>
            <w:pPr>
              <w:pStyle w:val="Compact"/>
              <w:jc w:val="left"/>
            </w:pPr>
            <w:r>
              <w:rPr>
                <w:rFonts w:ascii="Times New Roman" w:hAnsi="Times New Roman" w:eastAsia="宋体"/>
                <w:sz w:val="24"/>
              </w:rPr>
              <w:t xml:space="preserve">ge_shock.csv</w:t>
            </w:r>
          </w:p>
        </w:tc>
        <w:tc>
          <w:tcPr/>
          <w:p>
            <w:pPr>
              <w:pStyle w:val="Compact"/>
              <w:jc w:val="left"/>
            </w:pPr>
            <w:r>
              <w:rPr>
                <w:rFonts w:ascii="Times New Roman" w:hAnsi="Times New Roman" w:eastAsia="宋体"/>
                <w:sz w:val="24"/>
              </w:rPr>
              <w:t xml:space="preserve">母国×生产国×部门×情景</w:t>
            </w:r>
          </w:p>
        </w:tc>
        <w:tc>
          <w:tcPr/>
          <w:p>
            <w:pPr>
              <w:pStyle w:val="Compact"/>
              <w:jc w:val="left"/>
            </w:pPr>
            <w:r>
              <w:rPr>
                <w:rFonts w:ascii="Times New Roman" w:hAnsi="Times New Roman" w:eastAsia="宋体"/>
                <w:sz w:val="24"/>
              </w:rPr>
              <w:t xml:space="preserve">结构成本/效率冲击与禁止准入的可行集合变化</w:t>
            </w:r>
          </w:p>
        </w:tc>
      </w:tr>
      <w:tr>
        <w:trPr>
          <w:cantSplit/>
        </w:trPr>
        <w:tc>
          <w:tcPr/>
          <w:p>
            <w:pPr>
              <w:pStyle w:val="Compact"/>
              <w:jc w:val="left"/>
            </w:pPr>
            <w:r>
              <w:rPr>
                <w:rFonts w:ascii="Times New Roman" w:hAnsi="Times New Roman" w:eastAsia="宋体"/>
                <w:sz w:val="24"/>
              </w:rPr>
              <w:t xml:space="preserve">ge_results.csv</w:t>
            </w:r>
          </w:p>
        </w:tc>
        <w:tc>
          <w:tcPr/>
          <w:p>
            <w:pPr>
              <w:pStyle w:val="Compact"/>
              <w:jc w:val="left"/>
            </w:pPr>
            <w:r>
              <w:rPr>
                <w:rFonts w:ascii="Times New Roman" w:hAnsi="Times New Roman" w:eastAsia="宋体"/>
                <w:sz w:val="24"/>
              </w:rPr>
              <w:t xml:space="preserve">国家或三边流×部门×情景</w:t>
            </w:r>
          </w:p>
        </w:tc>
        <w:tc>
          <w:tcPr/>
          <w:p>
            <w:pPr>
              <w:pStyle w:val="Compact"/>
              <w:jc w:val="left"/>
            </w:pPr>
            <w:r>
              <w:rPr>
                <w:rFonts w:ascii="Times New Roman" w:hAnsi="Times New Roman" w:eastAsia="宋体"/>
                <w:sz w:val="24"/>
              </w:rPr>
              <w:t xml:space="preserve">产出、份额、价格、工资、创新与福利</w:t>
            </w:r>
          </w:p>
        </w:tc>
      </w:tr>
    </w:tbl>
    <w:p>
      <w:pPr>
        <w:pStyle w:val="a0"/>
      </w:pPr>
      <w:r>
        <w:t xml:space="preserve">master JSONL 仍是政策法律标签的单一真源，人工修订先写回该文件。policy_activity_crossversion.csv 只负责把同一经济活动跨版本连接，不覆盖原 atom_id。firm_atom_match.csv 保存企业语义匹配全过程，firm_policy_panel.parquet 才是企业回归使用的政策面板；任何人工修改先写回匹配表，再重新生成企业政策面板。</w:t>
      </w:r>
    </w:p>
    <w:p>
      <w:pPr>
        <w:pStyle w:val="a0"/>
      </w:pPr>
      <w:r>
        <w:t xml:space="preserve">行业聚合与微观识别分别保存。sector_policy.csv 不再作为企业基准方程的解释变量，而用于宏观一致性检验和政策暴露描述；sector_cost_shock.csv 保存企业行为经式（A5）反演后的真正结构输入。由此避免把“政策指数”</w:t>
      </w:r>
      <w:r>
        <w:t xml:space="preserve">“</w:t>
      </w:r>
      <w:r>
        <w:t xml:space="preserve">企业行为效应</w:t>
      </w:r>
      <w:r>
        <w:t xml:space="preserve">”</w:t>
      </w:r>
      <w:r>
        <w:t xml:space="preserve">“</w:t>
      </w:r>
      <w:r>
        <w:t xml:space="preserve">经验 MP 成本</w:t>
      </w:r>
      <w:r>
        <w:t xml:space="preserve">”</w:t>
      </w:r>
      <w:r>
        <w:t xml:space="preserve">和“结构冲击”混在同一张表中。</w:t>
      </w:r>
    </w:p>
    <w:p>
      <w:pPr>
        <w:pStyle w:val="a0"/>
      </w:pPr>
      <w:r>
        <w:t xml:space="preserve">例 A6（企业匹配与政策暴露）。以企业</w:t>
      </w:r>
      <w:r>
        <w:t xml:space="preserve"> </w:t>
      </w:r>
      <m:oMath>
        <m:r>
          <m:t>f</m:t>
        </m:r>
      </m:oMath>
      <w:r>
        <w:t xml:space="preserve"> </w:t>
      </w:r>
      <w:r>
        <w:t xml:space="preserve">的核心产品描述与“公共航空运输公司”政策活动为例，若该活动在候选集合中相似度最高且超过阈值，则 firm_atom_match.csv 保存该 policy_activity_id、相似度及人工状态；随后 firm_policy_panel.parquet 根据不同政策年份读取该活动的 chinese_control、governance_restriction 和 other_access_restriction 等限制值。企业匹配关系本身不随每个政策版本重复估计，变化来自同一活动的法律限制随版本调整。</w:t>
      </w:r>
    </w:p>
    <w:bookmarkEnd w:id="28"/>
    <w:bookmarkStart w:id="29" w:name="a.9-与两篇参考文献的关系"/>
    <w:p>
      <w:pPr>
        <w:pStyle w:val="2"/>
      </w:pPr>
      <w:r>
        <w:t xml:space="preserve">A.9　与两篇参考文献的关系</w:t>
      </w:r>
    </w:p>
    <w:p>
      <w:pPr>
        <w:pStyle w:val="FirstParagraph"/>
      </w:pPr>
      <w:r>
        <w:t xml:space="preserve">对 Eppinger and Ma（2023）的借鉴由原先单纯的“微观验证”进一步前移到识别层面：政策仍尽可能匹配到窄经济活动，并通过企业层面的所有权和外资参与反应检验限制是否具有真实行为后果。本文新增的企业核心产品—政策活动语义匹配、跨版本 policy_activity_id 和六类限制向量属于本文为适配近年负面清单而构造的测量环节；其企业产出或 TFP 估计值仍不直接移植为结构成本参数。</w:t>
      </w:r>
    </w:p>
    <w:p>
      <w:pPr>
        <w:pStyle w:val="a0"/>
      </w:pPr>
      <w:r>
        <w:t xml:space="preserve">对《中国高水平制度型开放与全球产业链网络重塑》的借鉴集中在跨国生产成本、生产地选择和精确帽子代数系统。本文保留原文</w:t>
      </w:r>
      <w:r>
        <w:t xml:space="preserve"> </w:t>
      </w:r>
      <m:oMath>
        <m:sSubSup>
          <m:e>
            <m:r>
              <m:t>ξ</m:t>
            </m:r>
          </m:e>
          <m:sub>
            <m:r>
              <m:t>i</m:t>
            </m:r>
            <m:r>
              <m:t>m</m:t>
            </m:r>
          </m:sub>
          <m:sup>
            <m:r>
              <m:t>j</m:t>
            </m:r>
          </m:sup>
        </m:sSubSup>
      </m:oMath>
      <w:r>
        <w:t xml:space="preserve">、</w:t>
      </w:r>
      <m:oMath>
        <m:sSubSup>
          <m:e>
            <m:r>
              <m:t>ψ</m:t>
            </m:r>
          </m:e>
          <m:sub>
            <m:r>
              <m:t>n</m:t>
            </m:r>
            <m:r>
              <m:t>l</m:t>
            </m:r>
            <m:r>
              <m:t>m</m:t>
            </m:r>
          </m:sub>
          <m:sup>
            <m:r>
              <m:t>j</m:t>
            </m:r>
          </m:sup>
        </m:sSubSup>
      </m:oMath>
      <w:r>
        <w:t xml:space="preserve"> </w:t>
      </w:r>
      <w:r>
        <w:t xml:space="preserve">和三边销售流量的经济含义，但改变成本冲击的经验来源：基准不再依赖少量 OECD-AMNE 行业—年份政策变化直接估计六个成本方程，而是先利用企业核心产品对应的细活动政策差异识别真实跨国投资行为，再通过结构矩匹配生成行业 MP 成本等价。AMNE 反演成本转为宏观一致性检验。</w:t>
      </w:r>
    </w:p>
    <w:p>
      <w:pPr>
        <w:pStyle w:val="a0"/>
      </w:pPr>
      <w:r>
        <w:t xml:space="preserve">归纳而言，本附录形成两条最终汇合的路径。第一条是“政策原子→企业政策暴露→企业跨国投资行为→行业 MP 成本等价”，承担基准识别；第二条是“政策原子→GB4→ISIC4→ISIC2→OECD-AMNE 政策暴露→AMNE 反演成本”，承担行业描述和宏观验证。二者最终共同约束进入结构模型的中国 inward MP 冲击。这样既保留负面清单细活动信息，又避免在估计开始前把政策变化压缩为少量 OECD-AMNE 行业—年份观测。</w:t>
      </w:r>
    </w:p>
    <w:bookmarkEnd w:id="29"/>
    <w:p w14:paraId="70662F4B" w14:textId="77777777" w:rsidR="002D0A3C" w:rsidRDefault="003B6787">
      <w:pPr>
        <w:pStyle w:val="2"/>
      </w:pPr>
      <w:bookmarkStart w:id="21" w:name="参考文献"/>
      <w:bookmarkEnd w:id="20"/>
      <w:r>
        <w:rPr>
          <w:rFonts w:ascii="Times New Roman" w:eastAsia="宋体" w:hAnsi="Times New Roman"/>
        </w:rPr>
        <w:t>参考文献</w:t>
      </w:r>
    </w:p>
    <w:p w14:paraId="1B315698"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4ED3D2EB" w14:textId="77777777" w:rsidR="002D0A3C" w:rsidRDefault="003B6787">
      <w:pPr>
        <w:pStyle w:val="a0"/>
        <w:rPr>
          <w:lang w:eastAsia="zh-CN"/>
        </w:rPr>
      </w:pPr>
      <w:r>
        <w:rPr>
          <w:lang w:eastAsia="zh-CN"/>
        </w:rPr>
        <w:t>《中国高水平制度型开放与全球产业链网络重塑》，研究稿。</w:t>
      </w:r>
    </w:p>
    <w:bookmarkEnd w:id="0"/>
    <w:bookmarkEnd w:id="21"/>
    <w:p w14:paraId="2F4F6913"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FF6E" w14:textId="77777777" w:rsidR="008D4006" w:rsidRDefault="008D4006">
      <w:pPr>
        <w:spacing w:line="240" w:lineRule="auto"/>
      </w:pPr>
      <w:r>
        <w:separator/>
      </w:r>
    </w:p>
  </w:endnote>
  <w:endnote w:type="continuationSeparator" w:id="0">
    <w:p w14:paraId="79AB45E4" w14:textId="77777777" w:rsidR="008D4006" w:rsidRDefault="008D4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E89A"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1098" w14:textId="77777777" w:rsidR="008D4006" w:rsidRDefault="008D4006">
      <w:r>
        <w:separator/>
      </w:r>
    </w:p>
  </w:footnote>
  <w:footnote w:type="continuationSeparator" w:id="0">
    <w:p w14:paraId="14EAAD50" w14:textId="77777777" w:rsidR="008D4006" w:rsidRDefault="008D4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2648C4"/>
    <w:rsid w:val="002D0A3C"/>
    <w:rsid w:val="00305E6F"/>
    <w:rsid w:val="003B6787"/>
    <w:rsid w:val="005A3CB3"/>
    <w:rsid w:val="005A5AC6"/>
    <w:rsid w:val="005F5C72"/>
    <w:rsid w:val="0069358A"/>
    <w:rsid w:val="006C5C23"/>
    <w:rsid w:val="00791C5A"/>
    <w:rsid w:val="007D2B11"/>
    <w:rsid w:val="0080610B"/>
    <w:rsid w:val="008D4006"/>
    <w:rsid w:val="009B3479"/>
    <w:rsid w:val="00B170E2"/>
    <w:rsid w:val="00BC142D"/>
    <w:rsid w:val="00BC662F"/>
    <w:rsid w:val="00C44E95"/>
    <w:rsid w:val="00C51E76"/>
    <w:rsid w:val="00C70984"/>
    <w:rsid w:val="00C76E2E"/>
    <w:rsid w:val="00C875C1"/>
    <w:rsid w:val="00D12DAA"/>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8A0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2119</Words>
  <Characters>12084</Characters>
  <Application>Microsoft Office Word</Application>
  <DocSecurity>0</DocSecurity>
  <Lines>100</Lines>
  <Paragraphs>28</Paragraphs>
  <ScaleCrop>false</ScaleCrop>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15</cp:revision>
  <dcterms:created xsi:type="dcterms:W3CDTF">2026-08-29T02:15:00Z</dcterms:created>
  <dcterms:modified xsi:type="dcterms:W3CDTF">2026-08-30T03:40:00Z</dcterms:modified>
</cp:coreProperties>
</file>