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A6B84" w14:textId="77777777" w:rsidR="002D0A3C" w:rsidRDefault="003B6787">
      <w:pPr>
        <w:pStyle w:val="1"/>
        <w:jc w:val="left"/>
        <w:rPr>
          <w:lang w:eastAsia="zh-CN"/>
        </w:rPr>
      </w:pPr>
      <w:bookmarkStart w:id="0" w:name="附录a-外资准入负面清单的政策测度跨国投资成本识别与一般均衡反事实"/>
      <w:r>
        <w:rPr>
          <w:rFonts w:ascii="Times New Roman" w:eastAsia="宋体" w:hAnsi="Times New Roman"/>
          <w:sz w:val="24"/>
          <w:lang w:eastAsia="zh-CN"/>
        </w:rPr>
        <w:t>附录</w:t>
      </w:r>
      <w:r>
        <w:rPr>
          <w:rFonts w:ascii="Times New Roman" w:eastAsia="宋体" w:hAnsi="Times New Roman"/>
          <w:sz w:val="24"/>
          <w:lang w:eastAsia="zh-CN"/>
        </w:rPr>
        <w:t>A</w:t>
      </w:r>
      <w:r>
        <w:rPr>
          <w:rFonts w:ascii="Times New Roman" w:eastAsia="宋体" w:hAnsi="Times New Roman"/>
          <w:sz w:val="24"/>
          <w:lang w:eastAsia="zh-CN"/>
        </w:rPr>
        <w:t xml:space="preserve">　外资准入负面清单的政策测度、跨国投资成本识别与一般均衡反事实</w:t>
      </w:r>
    </w:p>
    <w:p>
      <w:pPr>
        <w:pStyle w:val="FirstParagraph"/>
      </w:pPr>
      <w:r>
        <w:t xml:space="preserve">本附录构建从中国外资准入规则到跨国生产一般均衡冲击的测度与识别链条。研究对象限定为外国投资者进入中国的直接投资活动，即东道国固定为中国。Eppinger and Ma（2023）用于借鉴细活动层面的政策匹配和企业所有权反应，《中国高水平制度型开放与全球产业链网络重塑》用于刻画跨国生产摩擦、生产地选择与一般均衡传导。负面清单只提供法律约束，因此政策文本与结构模型之间仍需经过“企业政策暴露—外资行为变化—制度型 MP 成本变化”的经验识别，LLM 不直接生成成本参数。</w:t>
      </w:r>
    </w:p>
    <w:p>
      <w:pPr>
        <w:pStyle w:val="a0"/>
      </w:pPr>
      <w:r>
        <w:t xml:space="preserve">设</w:t>
      </w:r>
      <w:r>
        <w:t xml:space="preserve"> </w:t>
      </w:r>
      <m:oMath>
        <m:r>
          <m:t>m</m:t>
        </m:r>
      </m:oMath>
      <w:r>
        <w:t xml:space="preserve"> </w:t>
      </w:r>
      <w:r>
        <w:t xml:space="preserve">表示跨国公司母国（亦为创新来源国），</w:t>
      </w:r>
      <m:oMath>
        <m:r>
          <m:t>i</m:t>
        </m:r>
      </m:oMath>
      <w:r>
        <w:t xml:space="preserve"> </w:t>
      </w:r>
      <w:r>
        <w:t xml:space="preserve">表示候选生产国，</w:t>
      </w:r>
      <m:oMath>
        <m:r>
          <m:t>n</m:t>
        </m:r>
      </m:oMath>
      <w:r>
        <w:t xml:space="preserve"> </w:t>
      </w:r>
      <w:r>
        <w:t xml:space="preserve">表示最终消费国，</w:t>
      </w:r>
      <m:oMath>
        <m:r>
          <m:t>j</m:t>
        </m:r>
      </m:oMath>
      <w:r>
        <w:t xml:space="preserve"> </w:t>
      </w:r>
      <w:r>
        <w:t xml:space="preserve">表示结构模型部门，</w:t>
      </w:r>
      <m:oMath>
        <m:r>
          <m:t>a</m:t>
        </m:r>
      </m:oMath>
      <w:r>
        <w:t xml:space="preserve"> </w:t>
      </w:r>
      <w:r>
        <w:t xml:space="preserve">表示跨版本稳定的政策活动，</w:t>
      </w:r>
      <m:oMath>
        <m:r>
          <m:t>f</m:t>
        </m:r>
      </m:oMath>
      <w:r>
        <w:t xml:space="preserve"> </w:t>
      </w:r>
      <w:r>
        <w:t xml:space="preserve">表示企业，</w:t>
      </w:r>
      <m:oMath>
        <m:r>
          <m:t>t</m:t>
        </m:r>
      </m:oMath>
      <w:r>
        <w:t xml:space="preserve"> </w:t>
      </w:r>
      <w:r>
        <w:t xml:space="preserve">表示政策年份。以下以</w:t>
      </w:r>
      <w:r>
        <w:t xml:space="preserve"> </w:t>
      </w:r>
      <m:oMath>
        <m:r>
          <m:t>C</m:t>
        </m:r>
      </m:oMath>
      <w:r>
        <w:t xml:space="preserve"> </w:t>
      </w:r>
      <w:r>
        <w:t xml:space="preserve">表示中国。整个链条概括为：</w:t>
      </w:r>
    </w:p>
    <w:p>
      <w:pPr>
        <w:pStyle w:val="a0"/>
      </w:pPr>
      <m:oMathPara>
        <m:oMathParaPr>
          <m:jc m:val="center"/>
        </m:oMathParaPr>
        <m:oMath>
          <m:sSub>
            <m:e>
              <m:r>
                <m:t>P</m:t>
              </m:r>
            </m:e>
            <m:sub>
              <m:r>
                <m:t>a</m:t>
              </m:r>
              <m:r>
                <m:t>t</m:t>
              </m:r>
            </m:sub>
          </m:sSub>
          <m:r>
            <m:rPr>
              <m:sty m:val="p"/>
            </m:rPr>
            <m:t>→</m:t>
          </m:r>
          <m:sSub>
            <m:e>
              <m:r>
                <m:t>z</m:t>
              </m:r>
            </m:e>
            <m:sub>
              <m:r>
                <m:t>a</m:t>
              </m:r>
              <m:r>
                <m:t>t</m:t>
              </m:r>
            </m:sub>
          </m:sSub>
          <m:r>
            <m:rPr>
              <m:sty m:val="p"/>
            </m:rPr>
            <m:t>→</m:t>
          </m:r>
          <m:d>
            <m:dPr>
              <m:begChr m:val="{"/>
              <m:endChr m:val=""/>
              <m:sepChr m:val=""/>
              <m:grow/>
            </m:dPr>
            <m:e>
              <m:m>
                <m:mPr>
                  <m:baseJc m:val="center"/>
                  <m:plcHide m:val="on"/>
                  <m:mcs>
                    <m:mc>
                      <m:mcPr>
                        <m:mcJc m:val="left"/>
                        <m:count m:val="1"/>
                      </m:mcPr>
                    </m:mc>
                  </m:mcs>
                </m:mPr>
                <m:mr>
                  <m:e>
                    <m:r>
                      <m:rPr>
                        <m:nor/>
                        <m:sty m:val="p"/>
                      </m:rPr>
                      <m:t>firm–activity matching</m:t>
                    </m:r>
                    <m:r>
                      <m:rPr>
                        <m:sty m:val="p"/>
                      </m:rPr>
                      <m:t>→</m:t>
                    </m:r>
                    <m:sSub>
                      <m:e>
                        <m:r>
                          <m:t>Z</m:t>
                        </m:r>
                      </m:e>
                      <m:sub>
                        <m:r>
                          <m:t>f</m:t>
                        </m:r>
                        <m:r>
                          <m:t>t</m:t>
                        </m:r>
                      </m:sub>
                    </m:sSub>
                    <m:r>
                      <m:rPr>
                        <m:sty m:val="p"/>
                      </m:rPr>
                      <m:t>→</m:t>
                    </m:r>
                    <m:r>
                      <m:t>Δ</m:t>
                    </m:r>
                    <m:sSubSup>
                      <m:e>
                        <m:r>
                          <m:t>M</m:t>
                        </m:r>
                      </m:e>
                      <m:sub>
                        <m:r>
                          <m:t>j</m:t>
                        </m:r>
                        <m:r>
                          <m:t>t</m:t>
                        </m:r>
                      </m:sub>
                      <m:sup>
                        <m:r>
                          <m:t>m</m:t>
                        </m:r>
                        <m:r>
                          <m:t>i</m:t>
                        </m:r>
                        <m:r>
                          <m:t>c</m:t>
                        </m:r>
                        <m:r>
                          <m:t>r</m:t>
                        </m:r>
                        <m:r>
                          <m:t>o</m:t>
                        </m:r>
                      </m:sup>
                    </m:sSubSup>
                    <m:r>
                      <m:rPr>
                        <m:sty m:val="p"/>
                      </m:rPr>
                      <m:t>,</m:t>
                    </m:r>
                  </m:e>
                </m:mr>
                <m:mr>
                  <m:e>
                    <m:r>
                      <m:rPr>
                        <m:nor/>
                        <m:sty m:val="p"/>
                      </m:rPr>
                      <m:t>GB4</m:t>
                    </m:r>
                    <m:r>
                      <m:rPr>
                        <m:sty m:val="p"/>
                      </m:rPr>
                      <m:t>→</m:t>
                    </m:r>
                    <m:r>
                      <m:rPr>
                        <m:nor/>
                        <m:sty m:val="p"/>
                      </m:rPr>
                      <m:t>ISIC4</m:t>
                    </m:r>
                    <m:r>
                      <m:rPr>
                        <m:sty m:val="p"/>
                      </m:rPr>
                      <m:t>→</m:t>
                    </m:r>
                    <m:r>
                      <m:rPr>
                        <m:nor/>
                        <m:sty m:val="p"/>
                      </m:rPr>
                      <m:t>ISIC2</m:t>
                    </m:r>
                    <m:r>
                      <m:rPr>
                        <m:sty m:val="p"/>
                      </m:rPr>
                      <m:t>→</m:t>
                    </m:r>
                    <m:r>
                      <m:rPr>
                        <m:nor/>
                        <m:sty m:val="p"/>
                      </m:rPr>
                      <m:t>OECD-AMNE</m:t>
                    </m:r>
                    <m:r>
                      <m:rPr>
                        <m:sty m:val="p"/>
                      </m:rPr>
                      <m:t>→</m:t>
                    </m:r>
                    <m:sSubSup>
                      <m:e>
                        <m:r>
                          <m:t>Z</m:t>
                        </m:r>
                      </m:e>
                      <m:sub>
                        <m:r>
                          <m:t>j</m:t>
                        </m:r>
                        <m:r>
                          <m:t>t</m:t>
                        </m:r>
                      </m:sub>
                      <m:sup>
                        <m:r>
                          <m:t>k</m:t>
                        </m:r>
                      </m:sup>
                    </m:sSubSup>
                  </m:e>
                </m:mr>
              </m:m>
            </m:e>
          </m:d>
          <m:r>
            <m:rPr>
              <m:sty m:val="p"/>
            </m:rPr>
            <m:t>→</m:t>
          </m:r>
          <m:r>
            <m:t>Δ</m:t>
          </m:r>
          <m:r>
            <m:rPr>
              <m:sty m:val="p"/>
            </m:rPr>
            <m:t>ln</m:t>
          </m:r>
          <m:r>
            <m:t>I</m:t>
          </m:r>
          <m:r>
            <m:t>M</m:t>
          </m:r>
          <m:r>
            <m:t>P</m:t>
          </m:r>
          <m:sSub>
            <m:e>
              <m:r>
                <m:t>C</m:t>
              </m:r>
            </m:e>
            <m:sub>
              <m:r>
                <m:t>C</m:t>
              </m:r>
              <m:r>
                <m:t>j</m:t>
              </m:r>
            </m:sub>
          </m:sSub>
          <m:r>
            <m:rPr>
              <m:sty m:val="p"/>
            </m:rPr>
            <m:t>→</m:t>
          </m:r>
          <m:sSubSup>
            <m:e>
              <m:r>
                <m:t>ξ</m:t>
              </m:r>
            </m:e>
            <m:sub>
              <m:r>
                <m:t>C</m:t>
              </m:r>
              <m:r>
                <m:t>m</m:t>
              </m:r>
            </m:sub>
            <m:sup>
              <m:r>
                <m:t>j</m:t>
              </m:r>
            </m:sup>
          </m:sSubSup>
          <m:r>
            <m:rPr>
              <m:sty m:val="p"/>
            </m:rPr>
            <m:t>→</m:t>
          </m:r>
          <m:r>
            <m:rPr>
              <m:sty m:val="p"/>
            </m:rPr>
            <m:t>{</m:t>
          </m:r>
          <m:sSubSup>
            <m:e>
              <m:r>
                <m:t>ψ</m:t>
              </m:r>
            </m:e>
            <m:sub>
              <m:r>
                <m:t>n</m:t>
              </m:r>
              <m:r>
                <m:t>C</m:t>
              </m:r>
              <m:r>
                <m:t>m</m:t>
              </m:r>
            </m:sub>
            <m:sup>
              <m:r>
                <m:t>j</m:t>
              </m:r>
            </m:sup>
          </m:sSubSup>
          <m:r>
            <m:rPr>
              <m:sty m:val="p"/>
            </m:rPr>
            <m:t>,</m:t>
          </m:r>
          <m:sSubSup>
            <m:e>
              <m:r>
                <m:t>X</m:t>
              </m:r>
            </m:e>
            <m:sub>
              <m:r>
                <m:t>n</m:t>
              </m:r>
              <m:r>
                <m:t>C</m:t>
              </m:r>
              <m:r>
                <m:t>m</m:t>
              </m:r>
            </m:sub>
            <m:sup>
              <m:r>
                <m:t>j</m:t>
              </m:r>
            </m:sup>
          </m:sSubSup>
          <m:r>
            <m:rPr>
              <m:sty m:val="p"/>
            </m:rPr>
            <m:t>,</m:t>
          </m:r>
          <m:r>
            <m:t>P</m:t>
          </m:r>
          <m:r>
            <m:rPr>
              <m:sty m:val="p"/>
            </m:rPr>
            <m:t>,</m:t>
          </m:r>
          <m:r>
            <m:t>w</m:t>
          </m:r>
          <m:r>
            <m:rPr>
              <m:sty m:val="p"/>
            </m:rPr>
            <m:t>,</m:t>
          </m:r>
          <m:r>
            <m:t>N</m:t>
          </m:r>
          <m:r>
            <m:rPr>
              <m:sty m:val="p"/>
            </m:rPr>
            <m:t>,</m:t>
          </m:r>
          <m:r>
            <m:t>W</m:t>
          </m:r>
          <m:r>
            <m:rPr>
              <m:sty m:val="p"/>
            </m:rPr>
            <m:t>}</m:t>
          </m:r>
          <m:r>
            <m:rPr>
              <m:sty m:val="p"/>
            </m:rPr>
            <m:t>.</m:t>
          </m:r>
          <m:r>
            <m:t>  </m:t>
          </m:r>
          <m:r>
            <m:rPr>
              <m:nor/>
              <m:sty m:val="p"/>
            </m:rPr>
            <m:t>(A1)</m:t>
          </m:r>
        </m:oMath>
      </m:oMathPara>
    </w:p>
    <w:p>
      <w:pPr>
        <w:pStyle w:val="FirstParagraph"/>
      </w:pPr>
      <w:r>
        <w:t xml:space="preserve">其中，</w:t>
      </w:r>
      <m:oMath>
        <m:sSub>
          <m:e>
            <m:r>
              <m:t>P</m:t>
            </m:r>
          </m:e>
          <m:sub>
            <m:r>
              <m:t>a</m:t>
            </m:r>
            <m:r>
              <m:t>t</m:t>
            </m:r>
          </m:sub>
        </m:sSub>
      </m:oMath>
      <w:r>
        <w:t xml:space="preserve"> </w:t>
      </w:r>
      <w:r>
        <w:t xml:space="preserve">为原始政策文本，</w:t>
      </w:r>
      <m:oMath>
        <m:sSub>
          <m:e>
            <m:r>
              <m:t>z</m:t>
            </m:r>
          </m:e>
          <m:sub>
            <m:r>
              <m:t>a</m:t>
            </m:r>
            <m:r>
              <m:t>t</m:t>
            </m:r>
          </m:sub>
        </m:sSub>
      </m:oMath>
      <w:r>
        <w:t xml:space="preserve"> </w:t>
      </w:r>
      <w:r>
        <w:t xml:space="preserve">为细活动层面的六类结构化限制，</w:t>
      </w:r>
      <m:oMath>
        <m:sSub>
          <m:e>
            <m:r>
              <m:t>Z</m:t>
            </m:r>
          </m:e>
          <m:sub>
            <m:r>
              <m:t>f</m:t>
            </m:r>
            <m:r>
              <m:t>t</m:t>
            </m:r>
          </m:sub>
        </m:sSub>
      </m:oMath>
      <w:r>
        <w:t xml:space="preserve"> </w:t>
      </w:r>
      <w:r>
        <w:t xml:space="preserve">为企业政策暴露；</w:t>
      </w:r>
      <m:oMath>
        <m:r>
          <m:t>Δ</m:t>
        </m:r>
        <m:sSubSup>
          <m:e>
            <m:r>
              <m:t>M</m:t>
            </m:r>
          </m:e>
          <m:sub>
            <m:r>
              <m:t>j</m:t>
            </m:r>
            <m:r>
              <m:t>t</m:t>
            </m:r>
          </m:sub>
          <m:sup>
            <m:r>
              <m:t>m</m:t>
            </m:r>
            <m:r>
              <m:t>i</m:t>
            </m:r>
            <m:r>
              <m:t>c</m:t>
            </m:r>
            <m:r>
              <m:t>r</m:t>
            </m:r>
            <m:r>
              <m:t>o</m:t>
            </m:r>
          </m:sup>
        </m:sSubSup>
      </m:oMath>
      <w:r>
        <w:t xml:space="preserve"> </w:t>
      </w:r>
      <w:r>
        <w:t xml:space="preserve">为企业数据识别的外资生产份额变化；</w:t>
      </w:r>
      <m:oMath>
        <m:r>
          <m:t>I</m:t>
        </m:r>
        <m:r>
          <m:t>M</m:t>
        </m:r>
        <m:r>
          <m:t>P</m:t>
        </m:r>
        <m:r>
          <m:t>C</m:t>
        </m:r>
        <m:r>
          <m:rPr>
            <m:sty m:val="p"/>
          </m:rPr>
          <m:t>=</m:t>
        </m:r>
        <m:r>
          <m:t>γ</m:t>
        </m:r>
        <m:r>
          <m:rPr>
            <m:sty m:val="p"/>
          </m:rPr>
          <m:t>/</m:t>
        </m:r>
        <m:r>
          <m:t>m</m:t>
        </m:r>
      </m:oMath>
      <w:r>
        <w:t xml:space="preserve"> </w:t>
      </w:r>
      <w:r>
        <w:t xml:space="preserve">对应第二篇文献经验部分剥离客观距离后的制度型跨国投资成本。本文基准输出的是由企业行为与结构模型匹配反演得到的制度型 MP 成本变化</w:t>
      </w:r>
      <w:r>
        <w:t xml:space="preserve"> </w:t>
      </w:r>
      <m:oMath>
        <m:r>
          <m:t>Δ</m:t>
        </m:r>
        <m:r>
          <m:rPr>
            <m:sty m:val="p"/>
          </m:rPr>
          <m:t>ln</m:t>
        </m:r>
        <m:r>
          <m:t>I</m:t>
        </m:r>
        <m:r>
          <m:t>M</m:t>
        </m:r>
        <m:r>
          <m:t>P</m:t>
        </m:r>
        <m:sSub>
          <m:e>
            <m:r>
              <m:t>C</m:t>
            </m:r>
          </m:e>
          <m:sub>
            <m:r>
              <m:t>C</m:t>
            </m:r>
            <m:r>
              <m:t>j</m:t>
            </m:r>
          </m:sub>
        </m:sSub>
      </m:oMath>
      <w:r>
        <w:t xml:space="preserve">。OECD-AMNE 行业层面的政策暴露</w:t>
      </w:r>
      <w:r>
        <w:t xml:space="preserve"> </w:t>
      </w:r>
      <m:oMath>
        <m:sSubSup>
          <m:e>
            <m:r>
              <m:t>Z</m:t>
            </m:r>
          </m:e>
          <m:sub>
            <m:r>
              <m:t>j</m:t>
            </m:r>
            <m:r>
              <m:t>t</m:t>
            </m:r>
          </m:sub>
          <m:sup>
            <m:r>
              <m:t>k</m:t>
            </m:r>
          </m:sup>
        </m:sSubSup>
      </m:oMath>
      <w:r>
        <w:t xml:space="preserve"> </w:t>
      </w:r>
      <w:r>
        <w:t xml:space="preserve">和 AMNE 反演成本主要用于宏观一致性检验。LLM 仅用于政策抽取及必要的语义匹配，不直接生成聚合权重、回归系数或结构成本参数。</w:t>
      </w:r>
    </w:p>
    <w:p w14:paraId="44722B6C" w14:textId="77777777" w:rsidR="002D0A3C" w:rsidRDefault="003B6787">
      <w:pPr>
        <w:pStyle w:val="2"/>
        <w:rPr>
          <w:lang w:eastAsia="zh-CN"/>
        </w:rPr>
      </w:pPr>
      <w:r>
        <w:rPr>
          <w:rFonts w:ascii="Times New Roman" w:eastAsia="宋体" w:hAnsi="Times New Roman"/>
          <w:lang w:eastAsia="zh-CN"/>
        </w:rPr>
        <w:t>A.1</w:t>
      </w:r>
      <w:r>
        <w:rPr>
          <w:rFonts w:ascii="Times New Roman" w:eastAsia="宋体" w:hAnsi="Times New Roman"/>
          <w:lang w:eastAsia="zh-CN"/>
        </w:rPr>
        <w:t xml:space="preserve">　政策文本的测量对象</w:t>
      </w:r>
    </w:p>
    <w:p w14:paraId="6AF8A66C" w14:textId="77777777" w:rsidR="002D0A3C" w:rsidRDefault="003B6787">
      <w:pPr>
        <w:pStyle w:val="3"/>
        <w:rPr>
          <w:lang w:eastAsia="zh-CN"/>
        </w:rPr>
      </w:pPr>
      <w:r>
        <w:t>A.1.1　政策版本与政策编码单元</w:t>
      </w:r>
    </w:p>
    <w:p w14:paraId="6015756B" w14:textId="77777777" w:rsidR="002D0A3C" w:rsidRDefault="003B6787">
      <w:pPr>
        <w:pStyle w:val="FirstParagraph"/>
        <w:ind w:firstLineChars="200"/>
        <w:rPr>
          <w:lang w:eastAsia="zh-CN"/>
        </w:rPr>
      </w:pPr>
      <w:r>
        <w:t>政策数据库首先以正式生效的全国性外资准入规则为“政策版本”（policy version）。每一版本表示在特定生效时点适用于外国投资者进入中国的一组完整准入规则；负面清单制度实施前，可用《外商投资产业指导目录》等具有连续可比性的正式政策文件向前衔接。文件名称、发布日期、下载地址等作为版本级元数据单独保存，具体法律内容则在版本内部进一步拆分编码。</w:t>
      </w:r>
    </w:p>
    <w:p w14:paraId="32467133" w14:textId="77777777" w:rsidR="002D0A3C" w:rsidRDefault="003B6787">
      <w:pPr>
        <w:pStyle w:val="a0"/>
        <w:ind w:firstLineChars="200"/>
        <w:rPr>
          <w:lang w:eastAsia="zh-CN"/>
        </w:rPr>
      </w:pPr>
      <w:r>
        <w:t>本文借鉴内容分析中的“编码单元”（coding unit）概念，将每一政策版本中能够被独立判定法律状态的最小记录定义为“政策编码单元”（policy coding unit）。一个政策编码单元对应一个可辨识的经济活动，并携带该活动在该版本下共同适用的一组准入限制、例外、适用范围和生效时间。它是文本抽取、人工复核和版本内存储的最小观察单位，而不是官方条目序号，也不是 GB/T 4754 或 ISIC 行业代码。</w:t>
      </w:r>
    </w:p>
    <w:p>
      <w:pPr>
        <w:pStyle w:val="a0"/>
      </w:pPr>
      <w:r>
        <w:t>拆分遵循“法律状态能否独立判定”的原则。同一官方序号若包含不同经济活动，或同一活动的不同子活动适用不同股比、控制要求、例外、地域范围或生效时间，应拆分为不同政策编码单元；反之，同一经济活动同时受到股比、控制、组织形式和治理等多项约束时，仍保留为一个编码单元，并在六类限制变量中分别记录。一个编码单元若因经济活动范围较宽而对应多个 GB 四位小类，也不因此再次拆分，该一对多关系留到行业映射阶段处理。measure_no 保留其所属官方序号，policy_unit_id 作为版本特定的唯一编号；跨版本的同一经济活动随后通过稳定的 policy_activity_id 连接。</w:t>
      </w:r>
    </w:p>
    <w:p w14:paraId="53717782" w14:textId="77777777" w:rsidR="002D0A3C" w:rsidRDefault="003B6787">
      <w:pPr>
        <w:pStyle w:val="a0"/>
        <w:keepNext/>
        <w:spacing w:before="100" w:after="60"/>
        <w:rPr>
          <w:lang w:eastAsia="zh-CN"/>
        </w:rPr>
      </w:pPr>
      <w:r>
        <w:t>表A1　政策编码单元的最小字段</w:t>
      </w:r>
    </w:p>
    <w:tbl>
      <w:tblPr>
        <w:tblStyle w:val="Table"/>
        <w:tblW w:w="5000" w:type="pct"/>
        <w:jc w:val="center"/>
        <w:tblLook w:val="0020" w:firstRow="1" w:lastRow="0" w:firstColumn="0" w:lastColumn="0" w:noHBand="0" w:noVBand="0"/>
      </w:tblPr>
      <w:tblGrid>
        <w:gridCol w:w="3058"/>
        <w:gridCol w:w="3058"/>
        <w:gridCol w:w="3058"/>
      </w:tblGrid>
      <w:tr w:rsidR="002D0A3C" w14:paraId="7D5AF7A7" w14:textId="77777777" w:rsidTr="002D0A3C">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vAlign w:val="center"/>
          </w:tcPr>
          <w:p w14:paraId="4302A917" w14:textId="77777777" w:rsidR="002D0A3C" w:rsidRDefault="003B6787">
            <w:r>
              <w:rPr>
                <w:rFonts w:ascii="Times New Roman" w:hAnsi="Times New Roman" w:eastAsia="宋体"/>
                <w:b/>
                <w:sz w:val="24"/>
              </w:rPr>
              <w:t>字段</w:t>
            </w:r>
          </w:p>
        </w:tc>
        <w:tc>
          <w:tcPr>
            <w:tcW w:w="2640" w:type="dxa"/>
            <w:vAlign w:val="center"/>
          </w:tcPr>
          <w:p w14:paraId="581DC2A7" w14:textId="77777777" w:rsidR="002D0A3C" w:rsidRDefault="003B6787">
            <w:r>
              <w:rPr>
                <w:rFonts w:ascii="Times New Roman" w:hAnsi="Times New Roman" w:eastAsia="宋体"/>
                <w:b/>
                <w:sz w:val="24"/>
              </w:rPr>
              <w:t>定义</w:t>
            </w:r>
          </w:p>
        </w:tc>
        <w:tc>
          <w:tcPr>
            <w:tcW w:w="2640" w:type="dxa"/>
            <w:vAlign w:val="center"/>
          </w:tcPr>
          <w:p w14:paraId="08C15EB5" w14:textId="77777777" w:rsidR="002D0A3C" w:rsidRDefault="003B6787">
            <w:r>
              <w:rPr>
                <w:rFonts w:ascii="Times New Roman" w:hAnsi="Times New Roman" w:eastAsia="宋体"/>
                <w:b/>
                <w:sz w:val="24"/>
              </w:rPr>
              <w:t>编码原则</w:t>
            </w:r>
          </w:p>
        </w:tc>
      </w:tr>
      <w:tr w:rsidR="002D0A3C" w14:paraId="41D54402" w14:textId="77777777" w:rsidTr="002D0A3C">
        <w:trPr>
          <w:cantSplit/>
          <w:jc w:val="center"/>
        </w:trPr>
        <w:tc>
          <w:tcPr>
            <w:tcW w:w="2640" w:type="dxa"/>
            <w:vAlign w:val="center"/>
          </w:tcPr>
          <w:p w14:paraId="25DBC0D3" w14:textId="77777777" w:rsidR="002D0A3C" w:rsidRDefault="003B6787">
            <w:r>
              <w:rPr>
                <w:rFonts w:ascii="Times New Roman" w:hAnsi="Times New Roman" w:eastAsia="宋体"/>
                <w:sz w:val="24"/>
              </w:rPr>
              <w:t>policy_year</w:t>
            </w:r>
          </w:p>
        </w:tc>
        <w:tc>
          <w:tcPr>
            <w:tcW w:w="2640" w:type="dxa"/>
            <w:vAlign w:val="center"/>
          </w:tcPr>
          <w:p w14:paraId="7A811B91" w14:textId="77777777" w:rsidR="002D0A3C" w:rsidRDefault="003B6787">
            <w:r>
              <w:rPr>
                <w:rFonts w:ascii="Times New Roman" w:hAnsi="Times New Roman" w:eastAsia="宋体"/>
                <w:sz w:val="24"/>
              </w:rPr>
              <w:t>政策版本年份</w:t>
            </w:r>
          </w:p>
        </w:tc>
        <w:tc>
          <w:tcPr>
            <w:tcW w:w="2640" w:type="dxa"/>
            <w:vAlign w:val="center"/>
          </w:tcPr>
          <w:p w14:paraId="460B7D5D" w14:textId="77777777" w:rsidR="002D0A3C" w:rsidRDefault="003B6787">
            <w:pPr>
              <w:rPr>
                <w:lang w:eastAsia="zh-CN"/>
              </w:rPr>
            </w:pPr>
            <w:r>
              <w:rPr>
                <w:rFonts w:ascii="Times New Roman" w:hAnsi="Times New Roman" w:eastAsia="宋体"/>
                <w:sz w:val="24"/>
                <w:lang w:eastAsia="zh-CN"/>
              </w:rPr>
              <w:t>按正式版本年份记录，如</w:t>
            </w:r>
            <w:r>
              <w:rPr>
                <w:rFonts w:ascii="Times New Roman" w:hAnsi="Times New Roman" w:eastAsia="宋体"/>
                <w:sz w:val="24"/>
                <w:lang w:eastAsia="zh-CN"/>
              </w:rPr>
              <w:t>2024</w:t>
            </w:r>
          </w:p>
        </w:tc>
      </w:tr>
      <w:tr w:rsidR="002D0A3C" w14:paraId="4C8430EE" w14:textId="77777777" w:rsidTr="002D0A3C">
        <w:trPr>
          <w:cantSplit/>
          <w:jc w:val="center"/>
        </w:trPr>
        <w:tc>
          <w:tcPr>
            <w:tcW w:w="2640" w:type="dxa"/>
            <w:vAlign w:val="center"/>
          </w:tcPr>
          <w:p w14:paraId="2D9ED7CB" w14:textId="77777777" w:rsidR="002D0A3C" w:rsidRDefault="003B6787">
            <w:r>
              <w:rPr>
                <w:rFonts w:ascii="Times New Roman" w:hAnsi="Times New Roman" w:eastAsia="宋体"/>
                <w:sz w:val="24"/>
              </w:rPr>
              <w:t>measure_no</w:t>
            </w:r>
          </w:p>
        </w:tc>
        <w:tc>
          <w:tcPr>
            <w:tcW w:w="2640" w:type="dxa"/>
            <w:vAlign w:val="center"/>
          </w:tcPr>
          <w:p w14:paraId="41C96322" w14:textId="77777777" w:rsidR="002D0A3C" w:rsidRDefault="003B6787">
            <w:r>
              <w:rPr>
                <w:rFonts w:ascii="Times New Roman" w:hAnsi="Times New Roman" w:eastAsia="宋体"/>
                <w:sz w:val="24"/>
              </w:rPr>
              <w:t>官方负面清单序号</w:t>
            </w:r>
          </w:p>
        </w:tc>
        <w:tc>
          <w:tcPr>
            <w:tcW w:w="2640" w:type="dxa"/>
            <w:vAlign w:val="center"/>
          </w:tcPr>
          <w:p w14:paraId="65ECE7C4" w14:textId="77777777" w:rsidR="002D0A3C" w:rsidRDefault="003B6787">
            <w:pPr>
              <w:rPr>
                <w:lang w:eastAsia="zh-CN"/>
              </w:rPr>
            </w:pPr>
            <w:r>
              <w:rPr>
                <w:rFonts w:ascii="Times New Roman" w:hAnsi="Times New Roman" w:eastAsia="宋体"/>
                <w:sz w:val="24"/>
                <w:lang w:eastAsia="zh-CN"/>
              </w:rPr>
              <w:t>保留与原文件序号的对应关系</w:t>
            </w:r>
          </w:p>
        </w:tc>
      </w:tr>
      <w:tr w:rsidR="002D0A3C" w14:paraId="45A6DC25" w14:textId="77777777" w:rsidTr="002D0A3C">
        <w:trPr>
          <w:cantSplit/>
          <w:jc w:val="center"/>
        </w:trPr>
        <w:tc>
          <w:tcPr>
            <w:tcW w:w="2640" w:type="dxa"/>
            <w:vAlign w:val="center"/>
          </w:tcPr>
          <w:p>
            <w:r>
              <w:t>policy_unit_id</w:t>
            </w:r>
          </w:p>
        </w:tc>
        <w:tc>
          <w:tcPr>
            <w:tcW w:w="2640" w:type="dxa"/>
            <w:vAlign w:val="center"/>
          </w:tcPr>
          <w:p>
            <w:r>
              <w:t>政策编码单元唯一编号</w:t>
            </w:r>
          </w:p>
        </w:tc>
        <w:tc>
          <w:tcPr>
            <w:tcW w:w="2640" w:type="dxa"/>
            <w:vAlign w:val="center"/>
          </w:tcPr>
          <w:p>
            <w:r>
              <w:t>版本内唯一；同一官方序号拆分后以 A、B、C 等区分</w:t>
            </w:r>
          </w:p>
        </w:tc>
      </w:tr>
      <w:tr w:rsidR="002D0A3C" w14:paraId="2EE165D7" w14:textId="77777777" w:rsidTr="002D0A3C">
        <w:trPr>
          <w:cantSplit/>
          <w:jc w:val="center"/>
        </w:trPr>
        <w:tc>
          <w:tcPr>
            <w:tcW w:w="2640" w:type="dxa"/>
            <w:vAlign w:val="center"/>
          </w:tcPr>
          <w:p w14:paraId="2D585B19" w14:textId="77777777" w:rsidR="002D0A3C" w:rsidRDefault="003B6787">
            <w:r>
              <w:rPr>
                <w:rFonts w:ascii="Times New Roman" w:hAnsi="Times New Roman" w:eastAsia="宋体"/>
                <w:sz w:val="24"/>
              </w:rPr>
              <w:t>sector_heading</w:t>
            </w:r>
          </w:p>
        </w:tc>
        <w:tc>
          <w:tcPr>
            <w:tcW w:w="2640" w:type="dxa"/>
            <w:vAlign w:val="center"/>
          </w:tcPr>
          <w:p w14:paraId="31ABA35A" w14:textId="77777777" w:rsidR="002D0A3C" w:rsidRDefault="003B6787">
            <w:r>
              <w:rPr>
                <w:rFonts w:ascii="Times New Roman" w:hAnsi="Times New Roman" w:eastAsia="宋体"/>
                <w:sz w:val="24"/>
              </w:rPr>
              <w:t>负面清单行业大类</w:t>
            </w:r>
          </w:p>
        </w:tc>
        <w:tc>
          <w:tcPr>
            <w:tcW w:w="2640" w:type="dxa"/>
            <w:vAlign w:val="center"/>
          </w:tcPr>
          <w:p w14:paraId="20A6824C" w14:textId="77777777" w:rsidR="002D0A3C" w:rsidRDefault="003B6787">
            <w:pPr>
              <w:rPr>
                <w:lang w:eastAsia="zh-CN"/>
              </w:rPr>
            </w:pPr>
            <w:r>
              <w:rPr>
                <w:rFonts w:ascii="Times New Roman" w:hAnsi="Times New Roman" w:eastAsia="宋体"/>
                <w:sz w:val="24"/>
                <w:lang w:eastAsia="zh-CN"/>
              </w:rPr>
              <w:t>保留原文件中的行业标题</w:t>
            </w:r>
          </w:p>
        </w:tc>
      </w:tr>
      <w:tr w:rsidR="002D0A3C" w14:paraId="77B064DE" w14:textId="77777777" w:rsidTr="002D0A3C">
        <w:trPr>
          <w:cantSplit/>
          <w:jc w:val="center"/>
        </w:trPr>
        <w:tc>
          <w:tcPr>
            <w:tcW w:w="2640" w:type="dxa"/>
            <w:vAlign w:val="center"/>
          </w:tcPr>
          <w:p w14:paraId="180CC6D8" w14:textId="77777777" w:rsidR="002D0A3C" w:rsidRDefault="003B6787">
            <w:r>
              <w:rPr>
                <w:rFonts w:ascii="Times New Roman" w:hAnsi="Times New Roman" w:eastAsia="宋体"/>
                <w:sz w:val="24"/>
              </w:rPr>
              <w:t>activity_text</w:t>
            </w:r>
          </w:p>
        </w:tc>
        <w:tc>
          <w:tcPr>
            <w:tcW w:w="2640" w:type="dxa"/>
            <w:vAlign w:val="center"/>
          </w:tcPr>
          <w:p>
            <w:r>
              <w:t>该编码单元对应的经济活动</w:t>
            </w:r>
          </w:p>
        </w:tc>
        <w:tc>
          <w:tcPr>
            <w:tcW w:w="2640" w:type="dxa"/>
            <w:vAlign w:val="center"/>
          </w:tcPr>
          <w:p>
            <w:r>
              <w:t>尽量沿用原文，不用 LLM 改写替代</w:t>
            </w:r>
          </w:p>
        </w:tc>
      </w:tr>
      <w:tr w:rsidR="002D0A3C" w14:paraId="2B9A6327" w14:textId="77777777" w:rsidTr="002D0A3C">
        <w:trPr>
          <w:cantSplit/>
          <w:jc w:val="center"/>
        </w:trPr>
        <w:tc>
          <w:tcPr>
            <w:tcW w:w="2640" w:type="dxa"/>
            <w:vAlign w:val="center"/>
          </w:tcPr>
          <w:p w14:paraId="451A9375" w14:textId="77777777" w:rsidR="002D0A3C" w:rsidRDefault="003B6787">
            <w:r>
              <w:rPr>
                <w:rFonts w:ascii="Times New Roman" w:hAnsi="Times New Roman" w:eastAsia="宋体"/>
                <w:sz w:val="24"/>
              </w:rPr>
              <w:t>restriction_text</w:t>
            </w:r>
          </w:p>
        </w:tc>
        <w:tc>
          <w:tcPr>
            <w:tcW w:w="2640" w:type="dxa"/>
            <w:vAlign w:val="center"/>
          </w:tcPr>
          <w:p w14:paraId="2797BE41" w14:textId="77777777" w:rsidR="002D0A3C" w:rsidRDefault="003B6787">
            <w:pPr>
              <w:rPr>
                <w:lang w:eastAsia="zh-CN"/>
              </w:rPr>
            </w:pPr>
            <w:r>
              <w:rPr>
                <w:rFonts w:ascii="Times New Roman" w:hAnsi="Times New Roman" w:eastAsia="宋体"/>
                <w:sz w:val="24"/>
                <w:lang w:eastAsia="zh-CN"/>
              </w:rPr>
              <w:t>该活动适用的限制原文</w:t>
            </w:r>
          </w:p>
        </w:tc>
        <w:tc>
          <w:tcPr>
            <w:tcW w:w="2640" w:type="dxa"/>
            <w:vAlign w:val="center"/>
          </w:tcPr>
          <w:p w14:paraId="036A99C9" w14:textId="77777777" w:rsidR="002D0A3C" w:rsidRDefault="003B6787">
            <w:pPr>
              <w:rPr>
                <w:lang w:eastAsia="zh-CN"/>
              </w:rPr>
            </w:pPr>
            <w:r>
              <w:rPr>
                <w:rFonts w:ascii="Times New Roman" w:hAnsi="Times New Roman" w:eastAsia="宋体"/>
                <w:sz w:val="24"/>
                <w:lang w:eastAsia="zh-CN"/>
              </w:rPr>
              <w:t>保留股比、控制、组织形式、治理等限定词</w:t>
            </w:r>
          </w:p>
        </w:tc>
      </w:tr>
      <w:tr w:rsidR="002D0A3C" w14:paraId="6FF61AFA" w14:textId="77777777" w:rsidTr="002D0A3C">
        <w:trPr>
          <w:cantSplit/>
          <w:jc w:val="center"/>
        </w:trPr>
        <w:tc>
          <w:tcPr>
            <w:tcW w:w="2640" w:type="dxa"/>
            <w:vAlign w:val="center"/>
          </w:tcPr>
          <w:p w14:paraId="5CDA8C4F" w14:textId="77777777" w:rsidR="002D0A3C" w:rsidRDefault="003B6787">
            <w:r>
              <w:rPr>
                <w:rFonts w:ascii="Times New Roman" w:hAnsi="Times New Roman" w:eastAsia="宋体"/>
                <w:sz w:val="24"/>
              </w:rPr>
              <w:lastRenderedPageBreak/>
              <w:t>exception_text</w:t>
            </w:r>
          </w:p>
        </w:tc>
        <w:tc>
          <w:tcPr>
            <w:tcW w:w="2640" w:type="dxa"/>
            <w:vAlign w:val="center"/>
          </w:tcPr>
          <w:p w14:paraId="474594EE" w14:textId="77777777" w:rsidR="002D0A3C" w:rsidRDefault="003B6787">
            <w:r>
              <w:rPr>
                <w:rFonts w:ascii="Times New Roman" w:hAnsi="Times New Roman" w:eastAsia="宋体"/>
                <w:sz w:val="24"/>
              </w:rPr>
              <w:t>明确的例外内容</w:t>
            </w:r>
          </w:p>
        </w:tc>
        <w:tc>
          <w:tcPr>
            <w:tcW w:w="2640" w:type="dxa"/>
            <w:vAlign w:val="center"/>
          </w:tcPr>
          <w:p w14:paraId="536F4D52" w14:textId="77777777" w:rsidR="002D0A3C" w:rsidRDefault="003B6787">
            <w:r>
              <w:rPr>
                <w:rFonts w:ascii="Times New Roman" w:hAnsi="Times New Roman" w:eastAsia="宋体"/>
                <w:sz w:val="24"/>
              </w:rPr>
              <w:t>无例外时为空</w:t>
            </w:r>
          </w:p>
        </w:tc>
      </w:tr>
      <w:tr w:rsidR="002D0A3C" w14:paraId="7893F32B" w14:textId="77777777" w:rsidTr="002D0A3C">
        <w:trPr>
          <w:cantSplit/>
          <w:jc w:val="center"/>
        </w:trPr>
        <w:tc>
          <w:tcPr>
            <w:tcW w:w="2640" w:type="dxa"/>
            <w:vAlign w:val="center"/>
          </w:tcPr>
          <w:p w14:paraId="4F75E101" w14:textId="77777777" w:rsidR="002D0A3C" w:rsidRDefault="003B6787">
            <w:r>
              <w:rPr>
                <w:rFonts w:ascii="Times New Roman" w:hAnsi="Times New Roman" w:eastAsia="宋体"/>
                <w:sz w:val="24"/>
              </w:rPr>
              <w:t>scope_text</w:t>
            </w:r>
          </w:p>
        </w:tc>
        <w:tc>
          <w:tcPr>
            <w:tcW w:w="2640" w:type="dxa"/>
            <w:vAlign w:val="center"/>
          </w:tcPr>
          <w:p w14:paraId="7845CAB0" w14:textId="77777777" w:rsidR="002D0A3C" w:rsidRDefault="003B6787">
            <w:r>
              <w:rPr>
                <w:rFonts w:ascii="Times New Roman" w:hAnsi="Times New Roman" w:eastAsia="宋体"/>
                <w:sz w:val="24"/>
              </w:rPr>
              <w:t>特殊适用范围或前提</w:t>
            </w:r>
          </w:p>
        </w:tc>
        <w:tc>
          <w:tcPr>
            <w:tcW w:w="2640" w:type="dxa"/>
            <w:vAlign w:val="center"/>
          </w:tcPr>
          <w:p w14:paraId="287DAE49" w14:textId="77777777" w:rsidR="002D0A3C" w:rsidRDefault="003B6787">
            <w:pPr>
              <w:rPr>
                <w:lang w:eastAsia="zh-CN"/>
              </w:rPr>
            </w:pPr>
            <w:r>
              <w:rPr>
                <w:rFonts w:ascii="Times New Roman" w:hAnsi="Times New Roman" w:eastAsia="宋体"/>
                <w:sz w:val="24"/>
                <w:lang w:eastAsia="zh-CN"/>
              </w:rPr>
              <w:t>如</w:t>
            </w:r>
            <w:r>
              <w:rPr>
                <w:rFonts w:ascii="Times New Roman" w:hAnsi="Times New Roman" w:eastAsia="宋体"/>
                <w:sz w:val="24"/>
                <w:lang w:eastAsia="zh-CN"/>
              </w:rPr>
              <w:t>“</w:t>
            </w:r>
            <w:r>
              <w:rPr>
                <w:rFonts w:ascii="Times New Roman" w:hAnsi="Times New Roman" w:eastAsia="宋体"/>
                <w:sz w:val="24"/>
                <w:lang w:eastAsia="zh-CN"/>
              </w:rPr>
              <w:t>限于中国入世承诺开放的电信业务</w:t>
            </w:r>
            <w:r>
              <w:rPr>
                <w:rFonts w:ascii="Times New Roman" w:hAnsi="Times New Roman" w:eastAsia="宋体"/>
                <w:sz w:val="24"/>
                <w:lang w:eastAsia="zh-CN"/>
              </w:rPr>
              <w:t>”</w:t>
            </w:r>
          </w:p>
        </w:tc>
      </w:tr>
      <w:tr w:rsidR="002D0A3C" w14:paraId="44C660A5" w14:textId="77777777" w:rsidTr="002D0A3C">
        <w:trPr>
          <w:cantSplit/>
          <w:jc w:val="center"/>
        </w:trPr>
        <w:tc>
          <w:tcPr>
            <w:tcW w:w="2640" w:type="dxa"/>
            <w:vAlign w:val="center"/>
          </w:tcPr>
          <w:p w14:paraId="5EE4B1DB" w14:textId="77777777" w:rsidR="002D0A3C" w:rsidRDefault="003B6787">
            <w:r>
              <w:rPr>
                <w:rFonts w:ascii="Times New Roman" w:hAnsi="Times New Roman" w:eastAsia="宋体"/>
                <w:sz w:val="24"/>
              </w:rPr>
              <w:t>effective_from</w:t>
            </w:r>
          </w:p>
        </w:tc>
        <w:tc>
          <w:tcPr>
            <w:tcW w:w="2640" w:type="dxa"/>
            <w:vAlign w:val="center"/>
          </w:tcPr>
          <w:p w14:paraId="0687F481" w14:textId="77777777" w:rsidR="002D0A3C" w:rsidRDefault="003B6787">
            <w:r>
              <w:rPr>
                <w:rFonts w:ascii="Times New Roman" w:hAnsi="Times New Roman" w:eastAsia="宋体"/>
                <w:sz w:val="24"/>
              </w:rPr>
              <w:t>实际生效日期</w:t>
            </w:r>
          </w:p>
        </w:tc>
        <w:tc>
          <w:tcPr>
            <w:tcW w:w="2640" w:type="dxa"/>
            <w:vAlign w:val="center"/>
          </w:tcPr>
          <w:p w14:paraId="28BBB974" w14:textId="77777777" w:rsidR="002D0A3C" w:rsidRDefault="003B6787">
            <w:pPr>
              <w:rPr>
                <w:lang w:eastAsia="zh-CN"/>
              </w:rPr>
            </w:pPr>
            <w:r>
              <w:rPr>
                <w:rFonts w:ascii="Times New Roman" w:hAnsi="Times New Roman" w:eastAsia="宋体"/>
                <w:sz w:val="24"/>
                <w:lang w:eastAsia="zh-CN"/>
              </w:rPr>
              <w:t>用于把政策版本准确归入年度</w:t>
            </w:r>
          </w:p>
        </w:tc>
      </w:tr>
    </w:tbl>
    <w:p w14:paraId="09767B0D" w14:textId="77777777" w:rsidR="002D0A3C" w:rsidRDefault="003B6787">
      <w:pPr>
        <w:pStyle w:val="3"/>
        <w:rPr>
          <w:lang w:eastAsia="zh-CN"/>
        </w:rPr>
      </w:pPr>
      <w:bookmarkStart w:id="2" w:name="a.1.2-限制变量的定义"/>
      <w:bookmarkEnd w:id="1"/>
      <w:r>
        <w:rPr>
          <w:rFonts w:ascii="Times New Roman" w:eastAsia="宋体" w:hAnsi="Times New Roman"/>
          <w:lang w:eastAsia="zh-CN"/>
        </w:rPr>
        <w:t>A.1.2</w:t>
      </w:r>
      <w:r>
        <w:rPr>
          <w:rFonts w:ascii="Times New Roman" w:eastAsia="宋体" w:hAnsi="Times New Roman"/>
          <w:lang w:eastAsia="zh-CN"/>
        </w:rPr>
        <w:t xml:space="preserve">　限制变量的定义</w:t>
      </w:r>
    </w:p>
    <w:p w14:paraId="215B64C9" w14:textId="6A71E9C1" w:rsidR="002D0A3C" w:rsidRDefault="003B6787">
      <w:pPr>
        <w:pStyle w:val="FirstParagraph"/>
        <w:spacing w:before="80" w:after="80" w:line="240" w:lineRule="auto"/>
        <w:ind w:firstLineChars="200"/>
        <w:rPr>
          <w:lang w:eastAsia="zh-CN"/>
        </w:rPr>
      </w:pPr>
      <w:r>
        <w:rPr>
          <w:lang w:eastAsia="zh-CN"/>
        </w:rPr>
        <w:t>LLM</w:t>
      </w:r>
      <w:r>
        <w:rPr>
          <w:lang w:eastAsia="zh-CN"/>
        </w:rPr>
        <w:t>的第一项任务是从原文中抽取可核验的法律事实，对每个政策编码单元所对应的细分经济活动</w:t>
      </w:r>
      <w:r>
        <w:rPr>
          <w:lang w:eastAsia="zh-CN"/>
        </w:rPr>
        <w:t xml:space="preserve"> </w:t>
      </w:r>
      <m:oMath>
        <m:r>
          <w:rPr>
            <w:rFonts w:ascii="Cambria Math" w:hAnsi="Cambria Math"/>
            <w:lang w:eastAsia="zh-CN"/>
          </w:rPr>
          <m:t>a</m:t>
        </m:r>
      </m:oMath>
      <w:r>
        <w:rPr>
          <w:lang w:eastAsia="zh-CN"/>
        </w:rPr>
        <w:t xml:space="preserve"> </w:t>
      </w:r>
      <w:r>
        <w:rPr>
          <w:lang w:eastAsia="zh-CN"/>
        </w:rPr>
        <w:t>和年份</w:t>
      </w:r>
      <w:r>
        <w:rPr>
          <w:lang w:eastAsia="zh-CN"/>
        </w:rPr>
        <w:t xml:space="preserve"> </w:t>
      </w:r>
      <m:oMath>
        <m:r>
          <w:rPr>
            <w:rFonts w:ascii="Cambria Math" w:hAnsi="Cambria Math"/>
            <w:lang w:eastAsia="zh-CN"/>
          </w:rPr>
          <m:t>t</m:t>
        </m:r>
      </m:oMath>
      <w:r>
        <w:rPr>
          <w:lang w:eastAsia="zh-CN"/>
        </w:rPr>
        <w:t>，定义限制向量</w:t>
      </w:r>
    </w:p>
    <w:p w14:paraId="4A363C4D" w14:textId="77777777" w:rsidR="002D0A3C" w:rsidRDefault="008D4006">
      <w:pPr>
        <w:pStyle w:val="a0"/>
        <w:spacing w:before="80" w:after="80" w:line="240" w:lineRule="auto"/>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gt</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gt</m:t>
                  </m:r>
                </m:sub>
              </m:sSub>
            </m:e>
          </m:d>
        </m:oMath>
      </m:oMathPara>
    </w:p>
    <w:p w14:paraId="1DB4222D" w14:textId="77777777" w:rsidR="002D0A3C" w:rsidRDefault="003B6787">
      <w:pPr>
        <w:pStyle w:val="FirstParagraph"/>
        <w:spacing w:before="80" w:after="80" w:line="240" w:lineRule="auto"/>
        <w:ind w:firstLineChars="200"/>
        <w:rPr>
          <w:lang w:eastAsia="zh-CN"/>
        </w:rPr>
      </w:pPr>
      <w:r>
        <w:rPr>
          <w:lang w:eastAsia="zh-CN"/>
        </w:rPr>
        <w:t>其中，</w:t>
      </w:r>
      <m:oMath>
        <m:r>
          <w:rPr>
            <w:rFonts w:ascii="Cambria Math" w:hAnsi="Cambria Math"/>
            <w:lang w:eastAsia="zh-CN"/>
          </w:rPr>
          <m:t>P</m:t>
        </m:r>
      </m:oMath>
      <w:r>
        <w:rPr>
          <w:lang w:eastAsia="zh-CN"/>
        </w:rPr>
        <w:t>表示禁止准入，</w:t>
      </w:r>
      <m:oMath>
        <m:r>
          <w:rPr>
            <w:rFonts w:ascii="Cambria Math" w:hAnsi="Cambria Math"/>
            <w:lang w:eastAsia="zh-CN"/>
          </w:rPr>
          <m:t>E</m:t>
        </m:r>
      </m:oMath>
      <w:r>
        <w:rPr>
          <w:lang w:eastAsia="zh-CN"/>
        </w:rPr>
        <w:t>表示由明确股比信息构造的股权限制，</w:t>
      </w:r>
      <m:oMath>
        <m:r>
          <w:rPr>
            <w:rFonts w:ascii="Cambria Math" w:hAnsi="Cambria Math"/>
            <w:lang w:eastAsia="zh-CN"/>
          </w:rPr>
          <m:t>C</m:t>
        </m:r>
      </m:oMath>
      <w:r>
        <w:rPr>
          <w:lang w:eastAsia="zh-CN"/>
        </w:rPr>
        <w:t>表示中方控制要求，</w:t>
      </w:r>
      <m:oMath>
        <m:r>
          <w:rPr>
            <w:rFonts w:ascii="Cambria Math" w:hAnsi="Cambria Math"/>
            <w:lang w:eastAsia="zh-CN"/>
          </w:rPr>
          <m:t>O</m:t>
        </m:r>
      </m:oMath>
      <w:r>
        <w:rPr>
          <w:lang w:eastAsia="zh-CN"/>
        </w:rPr>
        <w:t>表示组织形式限制，</w:t>
      </w:r>
      <m:oMath>
        <m:r>
          <w:rPr>
            <w:rFonts w:ascii="Cambria Math" w:hAnsi="Cambria Math"/>
            <w:lang w:eastAsia="zh-CN"/>
          </w:rPr>
          <m:t>G</m:t>
        </m:r>
      </m:oMath>
      <w:r>
        <w:rPr>
          <w:lang w:eastAsia="zh-CN"/>
        </w:rPr>
        <w:t>表示治理限制，</w:t>
      </w:r>
      <m:oMath>
        <m:r>
          <w:rPr>
            <w:rFonts w:ascii="Cambria Math" w:hAnsi="Cambria Math"/>
            <w:lang w:eastAsia="zh-CN"/>
          </w:rPr>
          <m:t>R</m:t>
        </m:r>
      </m:oMath>
      <w:r>
        <w:rPr>
          <w:lang w:eastAsia="zh-CN"/>
        </w:rPr>
        <w:t>表示其他准入限制。数据库字段及编码见表</w:t>
      </w:r>
      <w:r>
        <w:rPr>
          <w:lang w:eastAsia="zh-CN"/>
        </w:rPr>
        <w:t>A2</w:t>
      </w:r>
      <w:r>
        <w:rPr>
          <w:lang w:eastAsia="zh-CN"/>
        </w:rPr>
        <w:t>。</w:t>
      </w:r>
    </w:p>
    <w:p w14:paraId="228FE7C6" w14:textId="77777777" w:rsidR="002D0A3C" w:rsidRDefault="003B6787">
      <w:pPr>
        <w:pStyle w:val="a0"/>
        <w:keepNext/>
        <w:spacing w:before="100" w:after="60"/>
        <w:rPr>
          <w:lang w:eastAsia="zh-CN"/>
        </w:rPr>
      </w:pPr>
      <w:r>
        <w:rPr>
          <w:b/>
          <w:sz w:val="22"/>
          <w:lang w:eastAsia="zh-CN"/>
        </w:rPr>
        <w:t>表</w:t>
      </w:r>
      <w:r>
        <w:rPr>
          <w:b/>
          <w:sz w:val="22"/>
          <w:lang w:eastAsia="zh-CN"/>
        </w:rPr>
        <w:t>A2</w:t>
      </w:r>
      <w:r>
        <w:rPr>
          <w:b/>
          <w:sz w:val="22"/>
          <w:lang w:eastAsia="zh-CN"/>
        </w:rPr>
        <w:t xml:space="preserve">　细活动层面的外资准入限制变量</w:t>
      </w:r>
    </w:p>
    <w:tbl>
      <w:tblPr>
        <w:tblStyle w:val="Table"/>
        <w:tblW w:w="5000" w:type="pct"/>
        <w:jc w:val="center"/>
        <w:tblLook w:val="0020" w:firstRow="1" w:lastRow="0" w:firstColumn="0" w:lastColumn="0" w:noHBand="0" w:noVBand="0"/>
      </w:tblPr>
      <w:tblGrid>
        <w:gridCol w:w="3058"/>
        <w:gridCol w:w="3058"/>
        <w:gridCol w:w="3058"/>
      </w:tblGrid>
      <w:tr w:rsidR="002D0A3C" w14:paraId="06F5679A" w14:textId="77777777" w:rsidTr="002D0A3C">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vAlign w:val="center"/>
          </w:tcPr>
          <w:p w14:paraId="05BB5F17" w14:textId="77777777" w:rsidR="002D0A3C" w:rsidRDefault="003B6787">
            <w:r>
              <w:rPr>
                <w:rFonts w:ascii="Times New Roman" w:hAnsi="Times New Roman" w:eastAsia="宋体"/>
                <w:b/>
                <w:sz w:val="24"/>
              </w:rPr>
              <w:t>字段</w:t>
            </w:r>
          </w:p>
        </w:tc>
        <w:tc>
          <w:tcPr>
            <w:tcW w:w="2640" w:type="dxa"/>
            <w:vAlign w:val="center"/>
          </w:tcPr>
          <w:p w14:paraId="003BA5C3" w14:textId="77777777" w:rsidR="002D0A3C" w:rsidRDefault="003B6787">
            <w:r>
              <w:rPr>
                <w:rFonts w:ascii="Times New Roman" w:hAnsi="Times New Roman" w:eastAsia="宋体"/>
                <w:b/>
                <w:sz w:val="24"/>
              </w:rPr>
              <w:t>经济含义</w:t>
            </w:r>
          </w:p>
        </w:tc>
        <w:tc>
          <w:tcPr>
            <w:tcW w:w="2640" w:type="dxa"/>
            <w:vAlign w:val="center"/>
          </w:tcPr>
          <w:p w14:paraId="0B52EA5B" w14:textId="77777777" w:rsidR="002D0A3C" w:rsidRDefault="003B6787">
            <w:r>
              <w:rPr>
                <w:rFonts w:ascii="Times New Roman" w:hAnsi="Times New Roman" w:eastAsia="宋体"/>
                <w:b/>
                <w:sz w:val="24"/>
              </w:rPr>
              <w:t>基准编码</w:t>
            </w:r>
          </w:p>
        </w:tc>
      </w:tr>
      <w:tr w:rsidR="002D0A3C" w14:paraId="0FFCC79B" w14:textId="77777777" w:rsidTr="002D0A3C">
        <w:trPr>
          <w:cantSplit/>
          <w:jc w:val="center"/>
        </w:trPr>
        <w:tc>
          <w:tcPr>
            <w:tcW w:w="2640" w:type="dxa"/>
            <w:vAlign w:val="center"/>
          </w:tcPr>
          <w:p w14:paraId="0F9425D4" w14:textId="77777777" w:rsidR="002D0A3C" w:rsidRDefault="003B6787">
            <w:r>
              <w:rPr>
                <w:rFonts w:ascii="Times New Roman" w:hAnsi="Times New Roman" w:eastAsia="宋体"/>
                <w:sz w:val="24"/>
              </w:rPr>
              <w:t>access_status</w:t>
            </w:r>
          </w:p>
        </w:tc>
        <w:tc>
          <w:tcPr>
            <w:tcW w:w="2640" w:type="dxa"/>
            <w:vAlign w:val="center"/>
          </w:tcPr>
          <w:p w14:paraId="417BE4A6" w14:textId="77777777" w:rsidR="002D0A3C" w:rsidRDefault="003B6787">
            <w:pPr>
              <w:rPr>
                <w:lang w:eastAsia="zh-CN"/>
              </w:rPr>
            </w:pPr>
            <w:r>
              <w:rPr>
                <w:rFonts w:ascii="Times New Roman" w:hAnsi="Times New Roman" w:eastAsia="宋体"/>
                <w:sz w:val="24"/>
                <w:lang w:eastAsia="zh-CN"/>
              </w:rPr>
              <w:t>完全禁止或有条件准入</w:t>
            </w:r>
          </w:p>
        </w:tc>
        <w:tc>
          <w:tcPr>
            <w:tcW w:w="2640" w:type="dxa"/>
            <w:vAlign w:val="center"/>
          </w:tcPr>
          <w:p w14:paraId="48FF94D0" w14:textId="77777777" w:rsidR="002D0A3C" w:rsidRDefault="003B6787">
            <w:r>
              <w:rPr>
                <w:rFonts w:ascii="Times New Roman" w:hAnsi="Times New Roman" w:eastAsia="宋体"/>
                <w:sz w:val="24"/>
              </w:rPr>
              <w:t>prohibited / conditional</w:t>
            </w:r>
            <w:r>
              <w:rPr>
                <w:rFonts w:ascii="Times New Roman" w:hAnsi="Times New Roman" w:eastAsia="宋体"/>
                <w:sz w:val="24"/>
              </w:rPr>
              <w:t>；后续由此生成禁止指标</w:t>
            </w:r>
            <w:r>
              <w:rPr>
                <w:rFonts w:ascii="Times New Roman" w:hAnsi="Times New Roman" w:eastAsia="宋体"/>
                <w:sz w:val="24"/>
              </w:rPr>
              <w:t xml:space="preserve"> </w:t>
            </w:r>
            <m:oMath>
              <m:r>
                <w:rPr>
                  <w:rFonts w:ascii="Cambria Math" w:hAnsi="Cambria Math"/>
                  <w:lang w:eastAsia="zh-CN"/>
                </w:rPr>
                <m:t>P</m:t>
              </m:r>
            </m:oMath>
          </w:p>
        </w:tc>
      </w:tr>
      <w:tr w:rsidR="002D0A3C" w14:paraId="4C0BDBE1" w14:textId="77777777" w:rsidTr="002D0A3C">
        <w:trPr>
          <w:cantSplit/>
          <w:jc w:val="center"/>
        </w:trPr>
        <w:tc>
          <w:tcPr>
            <w:tcW w:w="2640" w:type="dxa"/>
            <w:vAlign w:val="center"/>
          </w:tcPr>
          <w:p w14:paraId="6F824931" w14:textId="77777777" w:rsidR="002D0A3C" w:rsidRDefault="003B6787">
            <w:r>
              <w:rPr>
                <w:rFonts w:ascii="Times New Roman" w:hAnsi="Times New Roman" w:eastAsia="宋体"/>
                <w:sz w:val="24"/>
              </w:rPr>
              <w:t>foreign_equity_cap</w:t>
            </w:r>
          </w:p>
        </w:tc>
        <w:tc>
          <w:tcPr>
            <w:tcW w:w="2640" w:type="dxa"/>
            <w:vAlign w:val="center"/>
          </w:tcPr>
          <w:p w14:paraId="743ECC5E" w14:textId="77777777" w:rsidR="002D0A3C" w:rsidRDefault="003B6787">
            <w:pPr>
              <w:rPr>
                <w:lang w:eastAsia="zh-CN"/>
              </w:rPr>
            </w:pPr>
            <w:r>
              <w:rPr>
                <w:rFonts w:ascii="Times New Roman" w:hAnsi="Times New Roman" w:eastAsia="宋体"/>
                <w:sz w:val="24"/>
                <w:lang w:eastAsia="zh-CN"/>
              </w:rPr>
              <w:t>有效外资最高持股比例</w:t>
            </w:r>
          </w:p>
        </w:tc>
        <w:tc>
          <w:tcPr>
            <w:tcW w:w="2640" w:type="dxa"/>
            <w:vAlign w:val="center"/>
          </w:tcPr>
          <w:p w14:paraId="28331DD2" w14:textId="77777777" w:rsidR="002D0A3C" w:rsidRDefault="003B6787">
            <w:pPr>
              <w:rPr>
                <w:lang w:eastAsia="zh-CN"/>
              </w:rPr>
            </w:pPr>
            <w:r>
              <w:rPr>
                <w:rFonts w:ascii="Times New Roman" w:hAnsi="Times New Roman" w:eastAsia="宋体"/>
                <w:sz w:val="24"/>
                <w:lang w:eastAsia="zh-CN"/>
              </w:rPr>
              <w:t>0—1</w:t>
            </w:r>
            <w:r>
              <w:rPr>
                <w:rFonts w:ascii="Times New Roman" w:hAnsi="Times New Roman" w:eastAsia="宋体"/>
                <w:sz w:val="24"/>
                <w:lang w:eastAsia="zh-CN"/>
              </w:rPr>
              <w:t>；有明确数值依据时记录，无明确阈值为缺失</w:t>
            </w:r>
          </w:p>
        </w:tc>
      </w:tr>
      <w:tr w:rsidR="002D0A3C" w14:paraId="4A17C533" w14:textId="77777777" w:rsidTr="002D0A3C">
        <w:trPr>
          <w:cantSplit/>
          <w:jc w:val="center"/>
        </w:trPr>
        <w:tc>
          <w:tcPr>
            <w:tcW w:w="2640" w:type="dxa"/>
            <w:vAlign w:val="center"/>
          </w:tcPr>
          <w:p w14:paraId="7DFF115D" w14:textId="77777777" w:rsidR="002D0A3C" w:rsidRDefault="003B6787">
            <w:r>
              <w:rPr>
                <w:rFonts w:ascii="Times New Roman" w:hAnsi="Times New Roman" w:eastAsia="宋体"/>
                <w:sz w:val="24"/>
              </w:rPr>
              <w:t>chinese_control</w:t>
            </w:r>
          </w:p>
        </w:tc>
        <w:tc>
          <w:tcPr>
            <w:tcW w:w="2640" w:type="dxa"/>
            <w:vAlign w:val="center"/>
          </w:tcPr>
          <w:p w14:paraId="3D4A19B1" w14:textId="77777777" w:rsidR="002D0A3C" w:rsidRDefault="003B6787">
            <w:r>
              <w:rPr>
                <w:rFonts w:ascii="Times New Roman" w:hAnsi="Times New Roman" w:eastAsia="宋体"/>
                <w:sz w:val="24"/>
              </w:rPr>
              <w:t>中方控制要求</w:t>
            </w:r>
          </w:p>
        </w:tc>
        <w:tc>
          <w:tcPr>
            <w:tcW w:w="2640" w:type="dxa"/>
            <w:vAlign w:val="center"/>
          </w:tcPr>
          <w:p w14:paraId="5EC86D59" w14:textId="77777777" w:rsidR="002D0A3C" w:rsidRDefault="003B6787">
            <w:pPr>
              <w:rPr>
                <w:lang w:eastAsia="zh-CN"/>
              </w:rPr>
            </w:pPr>
            <w:r>
              <w:rPr>
                <w:rFonts w:ascii="Times New Roman" w:hAnsi="Times New Roman" w:eastAsia="宋体"/>
                <w:sz w:val="24"/>
                <w:lang w:eastAsia="zh-CN"/>
              </w:rPr>
              <w:t>“</w:t>
            </w:r>
            <w:r>
              <w:rPr>
                <w:rFonts w:ascii="Times New Roman" w:hAnsi="Times New Roman" w:eastAsia="宋体"/>
                <w:sz w:val="24"/>
                <w:lang w:eastAsia="zh-CN"/>
              </w:rPr>
              <w:t>中方控股</w:t>
            </w:r>
            <w:r>
              <w:rPr>
                <w:rFonts w:ascii="Times New Roman" w:hAnsi="Times New Roman" w:eastAsia="宋体"/>
                <w:sz w:val="24"/>
                <w:lang w:eastAsia="zh-CN"/>
              </w:rPr>
              <w:t>”“</w:t>
            </w:r>
            <w:r>
              <w:rPr>
                <w:rFonts w:ascii="Times New Roman" w:hAnsi="Times New Roman" w:eastAsia="宋体"/>
                <w:sz w:val="24"/>
                <w:lang w:eastAsia="zh-CN"/>
              </w:rPr>
              <w:t>中方相对控股</w:t>
            </w:r>
            <w:r>
              <w:rPr>
                <w:rFonts w:ascii="Times New Roman" w:hAnsi="Times New Roman" w:eastAsia="宋体"/>
                <w:sz w:val="24"/>
                <w:lang w:eastAsia="zh-CN"/>
              </w:rPr>
              <w:t>”“</w:t>
            </w:r>
            <w:r>
              <w:rPr>
                <w:rFonts w:ascii="Times New Roman" w:hAnsi="Times New Roman" w:eastAsia="宋体"/>
                <w:sz w:val="24"/>
                <w:lang w:eastAsia="zh-CN"/>
              </w:rPr>
              <w:t>中方主导</w:t>
            </w:r>
            <w:r>
              <w:rPr>
                <w:rFonts w:ascii="Times New Roman" w:hAnsi="Times New Roman" w:eastAsia="宋体"/>
                <w:sz w:val="24"/>
                <w:lang w:eastAsia="zh-CN"/>
              </w:rPr>
              <w:t>”</w:t>
            </w:r>
            <w:r>
              <w:rPr>
                <w:rFonts w:ascii="Times New Roman" w:hAnsi="Times New Roman" w:eastAsia="宋体"/>
                <w:sz w:val="24"/>
                <w:lang w:eastAsia="zh-CN"/>
              </w:rPr>
              <w:t>等统一为</w:t>
            </w:r>
            <w:r>
              <w:rPr>
                <w:rFonts w:ascii="Times New Roman" w:hAnsi="Times New Roman" w:eastAsia="宋体"/>
                <w:sz w:val="24"/>
                <w:lang w:eastAsia="zh-CN"/>
              </w:rPr>
              <w:t>1</w:t>
            </w:r>
          </w:p>
        </w:tc>
      </w:tr>
      <w:tr w:rsidR="002D0A3C" w14:paraId="2BE3A911" w14:textId="77777777" w:rsidTr="002D0A3C">
        <w:trPr>
          <w:cantSplit/>
          <w:jc w:val="center"/>
        </w:trPr>
        <w:tc>
          <w:tcPr>
            <w:tcW w:w="2640" w:type="dxa"/>
            <w:vAlign w:val="center"/>
          </w:tcPr>
          <w:p w14:paraId="0CF51584" w14:textId="77777777" w:rsidR="002D0A3C" w:rsidRDefault="003B6787">
            <w:r>
              <w:rPr>
                <w:rFonts w:ascii="Times New Roman" w:hAnsi="Times New Roman" w:eastAsia="宋体"/>
                <w:sz w:val="24"/>
              </w:rPr>
              <w:t>organization_restriction</w:t>
            </w:r>
          </w:p>
        </w:tc>
        <w:tc>
          <w:tcPr>
            <w:tcW w:w="2640" w:type="dxa"/>
            <w:vAlign w:val="center"/>
          </w:tcPr>
          <w:p w14:paraId="31471037" w14:textId="77777777" w:rsidR="002D0A3C" w:rsidRDefault="003B6787">
            <w:r>
              <w:rPr>
                <w:rFonts w:ascii="Times New Roman" w:hAnsi="Times New Roman" w:eastAsia="宋体"/>
                <w:sz w:val="24"/>
              </w:rPr>
              <w:t>组织形式限制</w:t>
            </w:r>
          </w:p>
        </w:tc>
        <w:tc>
          <w:tcPr>
            <w:tcW w:w="2640" w:type="dxa"/>
            <w:vAlign w:val="center"/>
          </w:tcPr>
          <w:p w14:paraId="0E45EEB7" w14:textId="77777777" w:rsidR="002D0A3C" w:rsidRDefault="003B6787">
            <w:pPr>
              <w:rPr>
                <w:lang w:eastAsia="zh-CN"/>
              </w:rPr>
            </w:pPr>
            <w:r>
              <w:rPr>
                <w:rFonts w:ascii="Times New Roman" w:hAnsi="Times New Roman" w:eastAsia="宋体"/>
                <w:sz w:val="24"/>
                <w:lang w:eastAsia="zh-CN"/>
              </w:rPr>
              <w:t>限于合资、中外合作等为</w:t>
            </w:r>
            <w:r>
              <w:rPr>
                <w:rFonts w:ascii="Times New Roman" w:hAnsi="Times New Roman" w:eastAsia="宋体"/>
                <w:sz w:val="24"/>
                <w:lang w:eastAsia="zh-CN"/>
              </w:rPr>
              <w:t>1</w:t>
            </w:r>
          </w:p>
        </w:tc>
      </w:tr>
      <w:tr w:rsidR="002D0A3C" w14:paraId="51CDD5CF" w14:textId="77777777" w:rsidTr="002D0A3C">
        <w:trPr>
          <w:cantSplit/>
          <w:jc w:val="center"/>
        </w:trPr>
        <w:tc>
          <w:tcPr>
            <w:tcW w:w="2640" w:type="dxa"/>
            <w:vAlign w:val="center"/>
          </w:tcPr>
          <w:p w14:paraId="57D9A8B2" w14:textId="77777777" w:rsidR="002D0A3C" w:rsidRDefault="003B6787">
            <w:r>
              <w:rPr>
                <w:rFonts w:ascii="Times New Roman" w:hAnsi="Times New Roman" w:eastAsia="宋体"/>
                <w:sz w:val="24"/>
              </w:rPr>
              <w:t>governance_restriction</w:t>
            </w:r>
          </w:p>
        </w:tc>
        <w:tc>
          <w:tcPr>
            <w:tcW w:w="2640" w:type="dxa"/>
            <w:vAlign w:val="center"/>
          </w:tcPr>
          <w:p w14:paraId="5429A55B" w14:textId="77777777" w:rsidR="002D0A3C" w:rsidRDefault="003B6787">
            <w:r>
              <w:rPr>
                <w:rFonts w:ascii="Times New Roman" w:hAnsi="Times New Roman" w:eastAsia="宋体"/>
                <w:sz w:val="24"/>
              </w:rPr>
              <w:t>治理结构限制</w:t>
            </w:r>
          </w:p>
        </w:tc>
        <w:tc>
          <w:tcPr>
            <w:tcW w:w="2640" w:type="dxa"/>
            <w:vAlign w:val="center"/>
          </w:tcPr>
          <w:p w14:paraId="5CB97517" w14:textId="77777777" w:rsidR="002D0A3C" w:rsidRDefault="003B6787">
            <w:pPr>
              <w:rPr>
                <w:lang w:eastAsia="zh-CN"/>
              </w:rPr>
            </w:pPr>
            <w:r>
              <w:rPr>
                <w:rFonts w:ascii="Times New Roman" w:hAnsi="Times New Roman" w:eastAsia="宋体"/>
                <w:sz w:val="24"/>
                <w:lang w:eastAsia="zh-CN"/>
              </w:rPr>
              <w:t>法定代表人、高管、董事会等存在中方要求为</w:t>
            </w:r>
            <w:r>
              <w:rPr>
                <w:rFonts w:ascii="Times New Roman" w:hAnsi="Times New Roman" w:eastAsia="宋体"/>
                <w:sz w:val="24"/>
                <w:lang w:eastAsia="zh-CN"/>
              </w:rPr>
              <w:t>1</w:t>
            </w:r>
          </w:p>
        </w:tc>
      </w:tr>
      <w:tr w:rsidR="002D0A3C" w14:paraId="2068B1F4" w14:textId="77777777" w:rsidTr="002D0A3C">
        <w:trPr>
          <w:cantSplit/>
          <w:jc w:val="center"/>
        </w:trPr>
        <w:tc>
          <w:tcPr>
            <w:tcW w:w="2640" w:type="dxa"/>
            <w:vAlign w:val="center"/>
          </w:tcPr>
          <w:p w14:paraId="609059F6" w14:textId="77777777" w:rsidR="002D0A3C" w:rsidRDefault="003B6787">
            <w:r>
              <w:rPr>
                <w:rFonts w:ascii="Times New Roman" w:hAnsi="Times New Roman" w:eastAsia="宋体"/>
                <w:sz w:val="24"/>
              </w:rPr>
              <w:t>other_access_restriction</w:t>
            </w:r>
          </w:p>
        </w:tc>
        <w:tc>
          <w:tcPr>
            <w:tcW w:w="2640" w:type="dxa"/>
            <w:vAlign w:val="center"/>
          </w:tcPr>
          <w:p w14:paraId="1CD8248F" w14:textId="77777777" w:rsidR="002D0A3C" w:rsidRDefault="003B6787">
            <w:r>
              <w:rPr>
                <w:rFonts w:ascii="Times New Roman" w:hAnsi="Times New Roman" w:eastAsia="宋体"/>
                <w:sz w:val="24"/>
              </w:rPr>
              <w:t>其他准入限制</w:t>
            </w:r>
          </w:p>
        </w:tc>
        <w:tc>
          <w:tcPr>
            <w:tcW w:w="2640" w:type="dxa"/>
            <w:vAlign w:val="center"/>
          </w:tcPr>
          <w:p w14:paraId="2AFF54E5" w14:textId="77777777" w:rsidR="002D0A3C" w:rsidRDefault="003B6787">
            <w:pPr>
              <w:rPr>
                <w:lang w:eastAsia="zh-CN"/>
              </w:rPr>
            </w:pPr>
            <w:r>
              <w:rPr>
                <w:rFonts w:ascii="Times New Roman" w:hAnsi="Times New Roman" w:eastAsia="宋体"/>
                <w:sz w:val="24"/>
                <w:lang w:eastAsia="zh-CN"/>
              </w:rPr>
              <w:t>数量、业务范围、地域、单一外商持股上限等其他限制为</w:t>
            </w:r>
            <w:r>
              <w:rPr>
                <w:rFonts w:ascii="Times New Roman" w:hAnsi="Times New Roman" w:eastAsia="宋体"/>
                <w:sz w:val="24"/>
                <w:lang w:eastAsia="zh-CN"/>
              </w:rPr>
              <w:t>1</w:t>
            </w:r>
          </w:p>
        </w:tc>
      </w:tr>
    </w:tbl>
    <w:p w14:paraId="6B7FB288" w14:textId="77777777" w:rsidR="002D0A3C" w:rsidRDefault="003B6787">
      <w:pPr>
        <w:pStyle w:val="a0"/>
        <w:keepNext/>
        <w:spacing w:before="100" w:after="60"/>
        <w:rPr>
          <w:lang w:eastAsia="zh-CN"/>
        </w:rPr>
      </w:pPr>
      <w:r>
        <w:rPr>
          <w:b/>
          <w:sz w:val="22"/>
          <w:lang w:eastAsia="zh-CN"/>
        </w:rPr>
        <w:t>表</w:t>
      </w:r>
      <w:r>
        <w:rPr>
          <w:b/>
          <w:sz w:val="22"/>
          <w:lang w:eastAsia="zh-CN"/>
        </w:rPr>
        <w:t>A2a</w:t>
      </w:r>
      <w:r>
        <w:rPr>
          <w:b/>
          <w:sz w:val="22"/>
          <w:lang w:eastAsia="zh-CN"/>
        </w:rPr>
        <w:t xml:space="preserve">　细活动层面的外资准入限制变量（</w:t>
      </w:r>
      <w:r w:rsidR="005A5AC6">
        <w:rPr>
          <w:rFonts w:hint="eastAsia"/>
          <w:b/>
          <w:sz w:val="22"/>
          <w:lang w:eastAsia="zh-CN"/>
        </w:rPr>
        <w:t>更全面的</w:t>
      </w:r>
      <w:r>
        <w:rPr>
          <w:b/>
          <w:sz w:val="22"/>
          <w:lang w:eastAsia="zh-CN"/>
        </w:rPr>
        <w:t>备选字段，仅供审计）</w:t>
      </w:r>
    </w:p>
    <w:tbl>
      <w:tblPr>
        <w:tblStyle w:val="Table"/>
        <w:tblW w:w="0" w:type="auto"/>
        <w:tblLook w:val="04A0" w:firstRow="1" w:lastRow="0" w:firstColumn="1" w:lastColumn="0" w:noHBand="0" w:noVBand="1"/>
      </w:tblPr>
      <w:tblGrid>
        <w:gridCol w:w="4479"/>
        <w:gridCol w:w="4479"/>
      </w:tblGrid>
      <w:tr w:rsidR="002D0A3C" w14:paraId="5BB83B9E" w14:textId="77777777" w:rsidTr="002D0A3C">
        <w:trPr>
          <w:cnfStyle w:val="100000000000" w:firstRow="1" w:lastRow="0" w:firstColumn="0" w:lastColumn="0" w:oddVBand="0" w:evenVBand="0" w:oddHBand="0" w:evenHBand="0" w:firstRowFirstColumn="0" w:firstRowLastColumn="0" w:lastRowFirstColumn="0" w:lastRowLastColumn="0"/>
          <w:cantSplit/>
          <w:tblHeader/>
        </w:trPr>
        <w:tc>
          <w:tcPr>
            <w:tcW w:w="4479" w:type="dxa"/>
            <w:vAlign w:val="center"/>
          </w:tcPr>
          <w:p w14:paraId="1CF103E5" w14:textId="77777777" w:rsidR="002D0A3C" w:rsidRDefault="003B6787">
            <w:r>
              <w:rPr>
                <w:rFonts w:ascii="Times New Roman" w:hAnsi="Times New Roman" w:eastAsia="宋体"/>
                <w:b/>
                <w:sz w:val="24"/>
              </w:rPr>
              <w:t>扩展字段</w:t>
            </w:r>
          </w:p>
        </w:tc>
        <w:tc>
          <w:tcPr>
            <w:tcW w:w="4479" w:type="dxa"/>
            <w:vAlign w:val="center"/>
          </w:tcPr>
          <w:p w14:paraId="652F1EAA" w14:textId="77777777" w:rsidR="002D0A3C" w:rsidRDefault="003B6787">
            <w:r>
              <w:rPr>
                <w:rFonts w:ascii="Times New Roman" w:hAnsi="Times New Roman" w:eastAsia="宋体"/>
                <w:b/>
                <w:sz w:val="24"/>
              </w:rPr>
              <w:t>含义</w:t>
            </w:r>
          </w:p>
        </w:tc>
      </w:tr>
      <w:tr w:rsidR="002D0A3C" w14:paraId="0BED5911" w14:textId="77777777" w:rsidTr="002D0A3C">
        <w:trPr>
          <w:cantSplit/>
        </w:trPr>
        <w:tc>
          <w:tcPr>
            <w:tcW w:w="4479" w:type="dxa"/>
            <w:vAlign w:val="center"/>
          </w:tcPr>
          <w:p w14:paraId="45D410C3" w14:textId="77777777" w:rsidR="002D0A3C" w:rsidRDefault="003B6787">
            <w:r>
              <w:rPr>
                <w:rFonts w:ascii="Times New Roman" w:hAnsi="Times New Roman" w:eastAsia="宋体"/>
                <w:sz w:val="24"/>
              </w:rPr>
              <w:t>access_status</w:t>
            </w:r>
          </w:p>
        </w:tc>
        <w:tc>
          <w:tcPr>
            <w:tcW w:w="4479" w:type="dxa"/>
            <w:vAlign w:val="center"/>
          </w:tcPr>
          <w:p w14:paraId="7393E60C" w14:textId="77777777" w:rsidR="002D0A3C" w:rsidRDefault="003B6787">
            <w:pPr>
              <w:rPr>
                <w:lang w:eastAsia="zh-CN"/>
              </w:rPr>
            </w:pPr>
            <w:r>
              <w:rPr>
                <w:rFonts w:ascii="Times New Roman" w:hAnsi="Times New Roman" w:eastAsia="宋体"/>
                <w:sz w:val="24"/>
                <w:lang w:eastAsia="zh-CN"/>
              </w:rPr>
              <w:t>禁止投资或附条件准入</w:t>
            </w:r>
          </w:p>
        </w:tc>
      </w:tr>
      <w:tr w:rsidR="002D0A3C" w14:paraId="1190A640" w14:textId="77777777" w:rsidTr="002D0A3C">
        <w:trPr>
          <w:cantSplit/>
        </w:trPr>
        <w:tc>
          <w:tcPr>
            <w:tcW w:w="4479" w:type="dxa"/>
            <w:vAlign w:val="center"/>
          </w:tcPr>
          <w:p w14:paraId="2B7E9AA6" w14:textId="77777777" w:rsidR="002D0A3C" w:rsidRDefault="003B6787">
            <w:r>
              <w:rPr>
                <w:rFonts w:ascii="Times New Roman" w:hAnsi="Times New Roman" w:eastAsia="宋体"/>
                <w:sz w:val="24"/>
              </w:rPr>
              <w:t>prohibited</w:t>
            </w:r>
          </w:p>
        </w:tc>
        <w:tc>
          <w:tcPr>
            <w:tcW w:w="4479" w:type="dxa"/>
            <w:vAlign w:val="center"/>
          </w:tcPr>
          <w:p w14:paraId="32FF91FF" w14:textId="77777777" w:rsidR="002D0A3C" w:rsidRDefault="003B6787">
            <w:pPr>
              <w:rPr>
                <w:lang w:eastAsia="zh-CN"/>
              </w:rPr>
            </w:pPr>
            <w:r>
              <w:rPr>
                <w:rFonts w:ascii="Times New Roman" w:hAnsi="Times New Roman" w:eastAsia="宋体"/>
                <w:sz w:val="24"/>
                <w:lang w:eastAsia="zh-CN"/>
              </w:rPr>
              <w:t>是否明确禁止外资进入</w:t>
            </w:r>
          </w:p>
        </w:tc>
      </w:tr>
      <w:tr w:rsidR="002D0A3C" w14:paraId="272D2034" w14:textId="77777777" w:rsidTr="002D0A3C">
        <w:trPr>
          <w:cantSplit/>
        </w:trPr>
        <w:tc>
          <w:tcPr>
            <w:tcW w:w="4479" w:type="dxa"/>
            <w:vAlign w:val="center"/>
          </w:tcPr>
          <w:p w14:paraId="7546AB15" w14:textId="77777777" w:rsidR="002D0A3C" w:rsidRDefault="003B6787">
            <w:r>
              <w:rPr>
                <w:rFonts w:ascii="Times New Roman" w:hAnsi="Times New Roman" w:eastAsia="宋体"/>
                <w:sz w:val="24"/>
              </w:rPr>
              <w:t>chinese_equity_min</w:t>
            </w:r>
          </w:p>
        </w:tc>
        <w:tc>
          <w:tcPr>
            <w:tcW w:w="4479" w:type="dxa"/>
            <w:vAlign w:val="center"/>
          </w:tcPr>
          <w:p w14:paraId="331E298F" w14:textId="77777777" w:rsidR="002D0A3C" w:rsidRDefault="003B6787">
            <w:pPr>
              <w:rPr>
                <w:lang w:eastAsia="zh-CN"/>
              </w:rPr>
            </w:pPr>
            <w:r>
              <w:rPr>
                <w:rFonts w:ascii="Times New Roman" w:hAnsi="Times New Roman" w:eastAsia="宋体"/>
                <w:sz w:val="24"/>
                <w:lang w:eastAsia="zh-CN"/>
              </w:rPr>
              <w:t>明确规定的最低中方股比</w:t>
            </w:r>
          </w:p>
        </w:tc>
      </w:tr>
      <w:tr w:rsidR="002D0A3C" w14:paraId="1D76497C" w14:textId="77777777" w:rsidTr="002D0A3C">
        <w:trPr>
          <w:cantSplit/>
        </w:trPr>
        <w:tc>
          <w:tcPr>
            <w:tcW w:w="4479" w:type="dxa"/>
            <w:vAlign w:val="center"/>
          </w:tcPr>
          <w:p w14:paraId="093928C9" w14:textId="77777777" w:rsidR="002D0A3C" w:rsidRDefault="003B6787">
            <w:r>
              <w:rPr>
                <w:rFonts w:ascii="Times New Roman" w:hAnsi="Times New Roman" w:eastAsia="宋体"/>
                <w:sz w:val="24"/>
              </w:rPr>
              <w:t>foreign_equity_cap</w:t>
            </w:r>
          </w:p>
        </w:tc>
        <w:tc>
          <w:tcPr>
            <w:tcW w:w="4479" w:type="dxa"/>
            <w:vAlign w:val="center"/>
          </w:tcPr>
          <w:p w14:paraId="70DE5BD7" w14:textId="77777777" w:rsidR="002D0A3C" w:rsidRDefault="003B6787">
            <w:pPr>
              <w:rPr>
                <w:lang w:eastAsia="zh-CN"/>
              </w:rPr>
            </w:pPr>
            <w:r>
              <w:rPr>
                <w:rFonts w:ascii="Times New Roman" w:hAnsi="Times New Roman" w:eastAsia="宋体"/>
                <w:sz w:val="24"/>
                <w:lang w:eastAsia="zh-CN"/>
              </w:rPr>
              <w:t>明确规定或可机械推出的外资总股比上限</w:t>
            </w:r>
          </w:p>
        </w:tc>
      </w:tr>
      <w:tr w:rsidR="002D0A3C" w14:paraId="2AF46E06" w14:textId="77777777" w:rsidTr="002D0A3C">
        <w:trPr>
          <w:cantSplit/>
        </w:trPr>
        <w:tc>
          <w:tcPr>
            <w:tcW w:w="4479" w:type="dxa"/>
            <w:vAlign w:val="center"/>
          </w:tcPr>
          <w:p w14:paraId="5DEDCF9E" w14:textId="77777777" w:rsidR="002D0A3C" w:rsidRDefault="003B6787">
            <w:r>
              <w:rPr>
                <w:rFonts w:ascii="Times New Roman" w:hAnsi="Times New Roman" w:eastAsia="宋体"/>
                <w:sz w:val="24"/>
              </w:rPr>
              <w:t>single_foreign_investor_cap</w:t>
            </w:r>
          </w:p>
        </w:tc>
        <w:tc>
          <w:tcPr>
            <w:tcW w:w="4479" w:type="dxa"/>
            <w:vAlign w:val="center"/>
          </w:tcPr>
          <w:p w14:paraId="0742DBBC" w14:textId="77777777" w:rsidR="002D0A3C" w:rsidRDefault="003B6787">
            <w:pPr>
              <w:rPr>
                <w:lang w:eastAsia="zh-CN"/>
              </w:rPr>
            </w:pPr>
            <w:r>
              <w:rPr>
                <w:rFonts w:ascii="Times New Roman" w:hAnsi="Times New Roman" w:eastAsia="宋体"/>
                <w:sz w:val="24"/>
                <w:lang w:eastAsia="zh-CN"/>
              </w:rPr>
              <w:t>单一外商及关联方持股上限</w:t>
            </w:r>
          </w:p>
        </w:tc>
      </w:tr>
      <w:tr w:rsidR="002D0A3C" w14:paraId="17B4F384" w14:textId="77777777" w:rsidTr="002D0A3C">
        <w:trPr>
          <w:cantSplit/>
        </w:trPr>
        <w:tc>
          <w:tcPr>
            <w:tcW w:w="4479" w:type="dxa"/>
            <w:vAlign w:val="center"/>
          </w:tcPr>
          <w:p w14:paraId="7E2DB4E4" w14:textId="77777777" w:rsidR="002D0A3C" w:rsidRDefault="003B6787">
            <w:r>
              <w:rPr>
                <w:rFonts w:ascii="Times New Roman" w:hAnsi="Times New Roman" w:eastAsia="宋体"/>
                <w:sz w:val="24"/>
              </w:rPr>
              <w:t>chinese_control_required</w:t>
            </w:r>
          </w:p>
        </w:tc>
        <w:tc>
          <w:tcPr>
            <w:tcW w:w="4479" w:type="dxa"/>
            <w:vAlign w:val="center"/>
          </w:tcPr>
          <w:p w14:paraId="3A81916E" w14:textId="77777777" w:rsidR="002D0A3C" w:rsidRDefault="003B6787">
            <w:r>
              <w:rPr>
                <w:rFonts w:ascii="Times New Roman" w:hAnsi="Times New Roman" w:eastAsia="宋体"/>
                <w:sz w:val="24"/>
              </w:rPr>
              <w:t>是否要求中方控股或控制</w:t>
            </w:r>
          </w:p>
        </w:tc>
      </w:tr>
      <w:tr w:rsidR="002D0A3C" w14:paraId="010D883E" w14:textId="77777777" w:rsidTr="002D0A3C">
        <w:trPr>
          <w:cantSplit/>
        </w:trPr>
        <w:tc>
          <w:tcPr>
            <w:tcW w:w="4479" w:type="dxa"/>
            <w:vAlign w:val="center"/>
          </w:tcPr>
          <w:p w14:paraId="13EEDE88" w14:textId="77777777" w:rsidR="002D0A3C" w:rsidRDefault="003B6787">
            <w:r>
              <w:rPr>
                <w:rFonts w:ascii="Times New Roman" w:hAnsi="Times New Roman" w:eastAsia="宋体"/>
                <w:sz w:val="24"/>
              </w:rPr>
              <w:t>chinese_relative_control_required</w:t>
            </w:r>
          </w:p>
        </w:tc>
        <w:tc>
          <w:tcPr>
            <w:tcW w:w="4479" w:type="dxa"/>
            <w:vAlign w:val="center"/>
          </w:tcPr>
          <w:p w14:paraId="4DDBB723" w14:textId="77777777" w:rsidR="002D0A3C" w:rsidRDefault="003B6787">
            <w:pPr>
              <w:rPr>
                <w:lang w:eastAsia="zh-CN"/>
              </w:rPr>
            </w:pPr>
            <w:r>
              <w:rPr>
                <w:rFonts w:ascii="Times New Roman" w:hAnsi="Times New Roman" w:eastAsia="宋体"/>
                <w:sz w:val="24"/>
                <w:lang w:eastAsia="zh-CN"/>
              </w:rPr>
              <w:t>是否要求中方相对控股</w:t>
            </w:r>
          </w:p>
        </w:tc>
      </w:tr>
      <w:tr w:rsidR="002D0A3C" w14:paraId="4ABECA4B" w14:textId="77777777" w:rsidTr="002D0A3C">
        <w:trPr>
          <w:cantSplit/>
        </w:trPr>
        <w:tc>
          <w:tcPr>
            <w:tcW w:w="4479" w:type="dxa"/>
            <w:vAlign w:val="center"/>
          </w:tcPr>
          <w:p w14:paraId="7F3073C8" w14:textId="77777777" w:rsidR="002D0A3C" w:rsidRDefault="003B6787">
            <w:r>
              <w:rPr>
                <w:rFonts w:ascii="Times New Roman" w:hAnsi="Times New Roman" w:eastAsia="宋体"/>
                <w:sz w:val="24"/>
              </w:rPr>
              <w:t>joint_venture_required</w:t>
            </w:r>
          </w:p>
        </w:tc>
        <w:tc>
          <w:tcPr>
            <w:tcW w:w="4479" w:type="dxa"/>
            <w:vAlign w:val="center"/>
          </w:tcPr>
          <w:p w14:paraId="00D6C7E2" w14:textId="77777777" w:rsidR="002D0A3C" w:rsidRDefault="003B6787">
            <w:r>
              <w:rPr>
                <w:rFonts w:ascii="Times New Roman" w:hAnsi="Times New Roman" w:eastAsia="宋体"/>
                <w:sz w:val="24"/>
              </w:rPr>
              <w:t>是否明确限于合资</w:t>
            </w:r>
          </w:p>
        </w:tc>
      </w:tr>
      <w:tr w:rsidR="002D0A3C" w14:paraId="0332853C" w14:textId="77777777" w:rsidTr="002D0A3C">
        <w:trPr>
          <w:cantSplit/>
        </w:trPr>
        <w:tc>
          <w:tcPr>
            <w:tcW w:w="4479" w:type="dxa"/>
            <w:vAlign w:val="center"/>
          </w:tcPr>
          <w:p w14:paraId="14638AFF" w14:textId="77777777" w:rsidR="002D0A3C" w:rsidRDefault="003B6787">
            <w:r>
              <w:rPr>
                <w:rFonts w:ascii="Times New Roman" w:hAnsi="Times New Roman" w:eastAsia="宋体"/>
                <w:sz w:val="24"/>
              </w:rPr>
              <w:t>cooperative_operation_required</w:t>
            </w:r>
          </w:p>
        </w:tc>
        <w:tc>
          <w:tcPr>
            <w:tcW w:w="4479" w:type="dxa"/>
            <w:vAlign w:val="center"/>
          </w:tcPr>
          <w:p w14:paraId="49D81F38" w14:textId="77777777" w:rsidR="002D0A3C" w:rsidRDefault="003B6787">
            <w:pPr>
              <w:rPr>
                <w:lang w:eastAsia="zh-CN"/>
              </w:rPr>
            </w:pPr>
            <w:r>
              <w:rPr>
                <w:rFonts w:ascii="Times New Roman" w:hAnsi="Times New Roman" w:eastAsia="宋体"/>
                <w:sz w:val="24"/>
                <w:lang w:eastAsia="zh-CN"/>
              </w:rPr>
              <w:t>是否要求中外合作等其他组织形式</w:t>
            </w:r>
          </w:p>
        </w:tc>
      </w:tr>
      <w:tr w:rsidR="002D0A3C" w14:paraId="3AEC7B79" w14:textId="77777777" w:rsidTr="002D0A3C">
        <w:trPr>
          <w:cantSplit/>
        </w:trPr>
        <w:tc>
          <w:tcPr>
            <w:tcW w:w="4479" w:type="dxa"/>
            <w:vAlign w:val="center"/>
          </w:tcPr>
          <w:p w14:paraId="442DF2C3" w14:textId="77777777" w:rsidR="002D0A3C" w:rsidRDefault="003B6787">
            <w:r>
              <w:rPr>
                <w:rFonts w:ascii="Times New Roman" w:hAnsi="Times New Roman" w:eastAsia="宋体"/>
                <w:sz w:val="24"/>
              </w:rPr>
              <w:t>legal_representative_cn_required</w:t>
            </w:r>
          </w:p>
        </w:tc>
        <w:tc>
          <w:tcPr>
            <w:tcW w:w="4479" w:type="dxa"/>
            <w:vAlign w:val="center"/>
          </w:tcPr>
          <w:p w14:paraId="31C703E0" w14:textId="77777777" w:rsidR="002D0A3C" w:rsidRDefault="003B6787">
            <w:pPr>
              <w:rPr>
                <w:lang w:eastAsia="zh-CN"/>
              </w:rPr>
            </w:pPr>
            <w:r>
              <w:rPr>
                <w:rFonts w:ascii="Times New Roman" w:hAnsi="Times New Roman" w:eastAsia="宋体"/>
                <w:sz w:val="24"/>
                <w:lang w:eastAsia="zh-CN"/>
              </w:rPr>
              <w:t>法定代表人是否须为中国籍</w:t>
            </w:r>
          </w:p>
        </w:tc>
      </w:tr>
      <w:tr w:rsidR="002D0A3C" w14:paraId="01078C6E" w14:textId="77777777" w:rsidTr="002D0A3C">
        <w:trPr>
          <w:cantSplit/>
        </w:trPr>
        <w:tc>
          <w:tcPr>
            <w:tcW w:w="4479" w:type="dxa"/>
            <w:vAlign w:val="center"/>
          </w:tcPr>
          <w:p w14:paraId="1D49954B" w14:textId="77777777" w:rsidR="002D0A3C" w:rsidRDefault="003B6787">
            <w:r>
              <w:rPr>
                <w:rFonts w:ascii="Times New Roman" w:hAnsi="Times New Roman" w:eastAsia="宋体"/>
                <w:sz w:val="24"/>
              </w:rPr>
              <w:t>senior_manager_cn_required</w:t>
            </w:r>
          </w:p>
        </w:tc>
        <w:tc>
          <w:tcPr>
            <w:tcW w:w="4479" w:type="dxa"/>
            <w:vAlign w:val="center"/>
          </w:tcPr>
          <w:p w14:paraId="2AF12AE6" w14:textId="77777777" w:rsidR="002D0A3C" w:rsidRDefault="003B6787">
            <w:pPr>
              <w:rPr>
                <w:lang w:eastAsia="zh-CN"/>
              </w:rPr>
            </w:pPr>
            <w:r>
              <w:rPr>
                <w:rFonts w:ascii="Times New Roman" w:hAnsi="Times New Roman" w:eastAsia="宋体"/>
                <w:sz w:val="24"/>
                <w:lang w:eastAsia="zh-CN"/>
              </w:rPr>
              <w:t>校长、主要负责人等是否须为中国籍</w:t>
            </w:r>
          </w:p>
        </w:tc>
      </w:tr>
      <w:tr w:rsidR="002D0A3C" w14:paraId="4BFFED37" w14:textId="77777777" w:rsidTr="002D0A3C">
        <w:trPr>
          <w:cantSplit/>
        </w:trPr>
        <w:tc>
          <w:tcPr>
            <w:tcW w:w="4479" w:type="dxa"/>
            <w:vAlign w:val="center"/>
          </w:tcPr>
          <w:p w14:paraId="19A30765" w14:textId="77777777" w:rsidR="002D0A3C" w:rsidRDefault="003B6787">
            <w:r>
              <w:rPr>
                <w:rFonts w:ascii="Times New Roman" w:hAnsi="Times New Roman" w:eastAsia="宋体"/>
                <w:sz w:val="24"/>
              </w:rPr>
              <w:t>board_chinese_share_min</w:t>
            </w:r>
          </w:p>
        </w:tc>
        <w:tc>
          <w:tcPr>
            <w:tcW w:w="4479" w:type="dxa"/>
            <w:vAlign w:val="center"/>
          </w:tcPr>
          <w:p w14:paraId="1E5F6059" w14:textId="77777777" w:rsidR="002D0A3C" w:rsidRDefault="003B6787">
            <w:pPr>
              <w:rPr>
                <w:lang w:eastAsia="zh-CN"/>
              </w:rPr>
            </w:pPr>
            <w:r>
              <w:rPr>
                <w:rFonts w:ascii="Times New Roman" w:hAnsi="Times New Roman" w:eastAsia="宋体"/>
                <w:sz w:val="24"/>
                <w:lang w:eastAsia="zh-CN"/>
              </w:rPr>
              <w:t>董事会或联合管理机构中方成员最低比例</w:t>
            </w:r>
          </w:p>
        </w:tc>
      </w:tr>
      <w:tr w:rsidR="002D0A3C" w14:paraId="008255F0" w14:textId="77777777" w:rsidTr="002D0A3C">
        <w:trPr>
          <w:cantSplit/>
        </w:trPr>
        <w:tc>
          <w:tcPr>
            <w:tcW w:w="4479" w:type="dxa"/>
            <w:vAlign w:val="center"/>
          </w:tcPr>
          <w:p w14:paraId="343C45FD" w14:textId="77777777" w:rsidR="002D0A3C" w:rsidRDefault="003B6787">
            <w:r>
              <w:rPr>
                <w:rFonts w:ascii="Times New Roman" w:hAnsi="Times New Roman" w:eastAsia="宋体"/>
                <w:sz w:val="24"/>
              </w:rPr>
              <w:t>quantity_limit</w:t>
            </w:r>
          </w:p>
        </w:tc>
        <w:tc>
          <w:tcPr>
            <w:tcW w:w="4479" w:type="dxa"/>
            <w:vAlign w:val="center"/>
          </w:tcPr>
          <w:p w14:paraId="0755C565" w14:textId="77777777" w:rsidR="002D0A3C" w:rsidRDefault="003B6787">
            <w:pPr>
              <w:rPr>
                <w:lang w:eastAsia="zh-CN"/>
              </w:rPr>
            </w:pPr>
            <w:r>
              <w:rPr>
                <w:rFonts w:ascii="Times New Roman" w:hAnsi="Times New Roman" w:eastAsia="宋体"/>
                <w:sz w:val="24"/>
                <w:lang w:eastAsia="zh-CN"/>
              </w:rPr>
              <w:t>机构数、网点数、项目数等数量限制</w:t>
            </w:r>
          </w:p>
        </w:tc>
      </w:tr>
      <w:tr w:rsidR="002D0A3C" w14:paraId="4F33D44E" w14:textId="77777777" w:rsidTr="002D0A3C">
        <w:trPr>
          <w:cantSplit/>
        </w:trPr>
        <w:tc>
          <w:tcPr>
            <w:tcW w:w="4479" w:type="dxa"/>
            <w:vAlign w:val="center"/>
          </w:tcPr>
          <w:p w14:paraId="23278C0A" w14:textId="77777777" w:rsidR="002D0A3C" w:rsidRDefault="003B6787">
            <w:r>
              <w:rPr>
                <w:rFonts w:ascii="Times New Roman" w:hAnsi="Times New Roman" w:eastAsia="宋体"/>
                <w:sz w:val="24"/>
              </w:rPr>
              <w:t>license_qualification_explicit</w:t>
            </w:r>
          </w:p>
        </w:tc>
        <w:tc>
          <w:tcPr>
            <w:tcW w:w="4479" w:type="dxa"/>
            <w:vAlign w:val="center"/>
          </w:tcPr>
          <w:p w14:paraId="3F3429C9" w14:textId="77777777" w:rsidR="002D0A3C" w:rsidRDefault="003B6787">
            <w:pPr>
              <w:rPr>
                <w:lang w:eastAsia="zh-CN"/>
              </w:rPr>
            </w:pPr>
            <w:r>
              <w:rPr>
                <w:rFonts w:ascii="Times New Roman" w:hAnsi="Times New Roman" w:eastAsia="宋体"/>
                <w:sz w:val="24"/>
                <w:lang w:eastAsia="zh-CN"/>
              </w:rPr>
              <w:t>条文是否明确设置额外许可或资质要求</w:t>
            </w:r>
          </w:p>
        </w:tc>
      </w:tr>
      <w:tr w:rsidR="002D0A3C" w14:paraId="78334A19" w14:textId="77777777" w:rsidTr="002D0A3C">
        <w:trPr>
          <w:cantSplit/>
        </w:trPr>
        <w:tc>
          <w:tcPr>
            <w:tcW w:w="4479" w:type="dxa"/>
            <w:vAlign w:val="center"/>
          </w:tcPr>
          <w:p w14:paraId="1264930C" w14:textId="77777777" w:rsidR="002D0A3C" w:rsidRDefault="003B6787">
            <w:r>
              <w:rPr>
                <w:rFonts w:ascii="Times New Roman" w:hAnsi="Times New Roman" w:eastAsia="宋体"/>
                <w:sz w:val="24"/>
              </w:rPr>
              <w:t>regional_restriction</w:t>
            </w:r>
          </w:p>
        </w:tc>
        <w:tc>
          <w:tcPr>
            <w:tcW w:w="4479" w:type="dxa"/>
            <w:vAlign w:val="center"/>
          </w:tcPr>
          <w:p w14:paraId="3769FD9D" w14:textId="77777777" w:rsidR="002D0A3C" w:rsidRDefault="003B6787">
            <w:pPr>
              <w:rPr>
                <w:lang w:eastAsia="zh-CN"/>
              </w:rPr>
            </w:pPr>
            <w:r>
              <w:rPr>
                <w:rFonts w:ascii="Times New Roman" w:hAnsi="Times New Roman" w:eastAsia="宋体"/>
                <w:sz w:val="24"/>
                <w:lang w:eastAsia="zh-CN"/>
              </w:rPr>
              <w:t>是否存在特定地域范围限制</w:t>
            </w:r>
          </w:p>
        </w:tc>
      </w:tr>
      <w:tr w:rsidR="002D0A3C" w14:paraId="2E6C7D75" w14:textId="77777777" w:rsidTr="002D0A3C">
        <w:trPr>
          <w:cantSplit/>
        </w:trPr>
        <w:tc>
          <w:tcPr>
            <w:tcW w:w="4479" w:type="dxa"/>
            <w:vAlign w:val="center"/>
          </w:tcPr>
          <w:p w14:paraId="62AE87A8" w14:textId="77777777" w:rsidR="002D0A3C" w:rsidRDefault="003B6787">
            <w:r>
              <w:rPr>
                <w:rFonts w:ascii="Times New Roman" w:hAnsi="Times New Roman" w:eastAsia="宋体"/>
                <w:sz w:val="24"/>
              </w:rPr>
              <w:lastRenderedPageBreak/>
              <w:t>has_exception</w:t>
            </w:r>
          </w:p>
        </w:tc>
        <w:tc>
          <w:tcPr>
            <w:tcW w:w="4479" w:type="dxa"/>
            <w:vAlign w:val="center"/>
          </w:tcPr>
          <w:p w14:paraId="5C972B7F" w14:textId="77777777" w:rsidR="002D0A3C" w:rsidRDefault="003B6787">
            <w:pPr>
              <w:rPr>
                <w:lang w:eastAsia="zh-CN"/>
              </w:rPr>
            </w:pPr>
            <w:r>
              <w:rPr>
                <w:rFonts w:ascii="Times New Roman" w:hAnsi="Times New Roman" w:eastAsia="宋体"/>
                <w:sz w:val="24"/>
                <w:lang w:eastAsia="zh-CN"/>
              </w:rPr>
              <w:t>条文是否明确列出例外事项</w:t>
            </w:r>
          </w:p>
        </w:tc>
      </w:tr>
      <w:tr w:rsidR="002D0A3C" w14:paraId="6E1A56F3" w14:textId="77777777" w:rsidTr="002D0A3C">
        <w:trPr>
          <w:cantSplit/>
        </w:trPr>
        <w:tc>
          <w:tcPr>
            <w:tcW w:w="4479" w:type="dxa"/>
            <w:vAlign w:val="center"/>
          </w:tcPr>
          <w:p w14:paraId="1315AE93" w14:textId="77777777" w:rsidR="002D0A3C" w:rsidRDefault="003B6787">
            <w:r>
              <w:rPr>
                <w:rFonts w:ascii="Times New Roman" w:hAnsi="Times New Roman" w:eastAsia="宋体"/>
                <w:sz w:val="24"/>
              </w:rPr>
              <w:t>access_condition_text</w:t>
            </w:r>
          </w:p>
        </w:tc>
        <w:tc>
          <w:tcPr>
            <w:tcW w:w="4479" w:type="dxa"/>
            <w:vAlign w:val="center"/>
          </w:tcPr>
          <w:p w14:paraId="41D6F24D" w14:textId="77777777" w:rsidR="002D0A3C" w:rsidRDefault="003B6787">
            <w:pPr>
              <w:rPr>
                <w:lang w:eastAsia="zh-CN"/>
              </w:rPr>
            </w:pPr>
            <w:r>
              <w:rPr>
                <w:rFonts w:ascii="Times New Roman" w:hAnsi="Times New Roman" w:eastAsia="宋体"/>
                <w:sz w:val="24"/>
                <w:lang w:eastAsia="zh-CN"/>
              </w:rPr>
              <w:t>无法安全压缩为数值的其他适用条件</w:t>
            </w:r>
          </w:p>
        </w:tc>
      </w:tr>
    </w:tbl>
    <w:p w14:paraId="0386A676" w14:textId="77777777" w:rsidR="002D0A3C" w:rsidRDefault="003B6787">
      <w:pPr>
        <w:pStyle w:val="a0"/>
        <w:spacing w:before="80" w:after="80" w:line="240" w:lineRule="auto"/>
        <w:rPr>
          <w:lang w:eastAsia="zh-CN"/>
        </w:rPr>
      </w:pPr>
      <w:r>
        <w:rPr>
          <w:lang w:eastAsia="zh-CN"/>
        </w:rPr>
        <w:t>表</w:t>
      </w:r>
      <w:r>
        <w:rPr>
          <w:lang w:eastAsia="zh-CN"/>
        </w:rPr>
        <w:t>A2a</w:t>
      </w:r>
      <w:r>
        <w:rPr>
          <w:lang w:eastAsia="zh-CN"/>
        </w:rPr>
        <w:t>仅用于展示更细的法律信息拆分，不作为基准政策向量。基准分析使用表</w:t>
      </w:r>
      <w:r>
        <w:rPr>
          <w:lang w:eastAsia="zh-CN"/>
        </w:rPr>
        <w:t>A2</w:t>
      </w:r>
      <w:r>
        <w:rPr>
          <w:lang w:eastAsia="zh-CN"/>
        </w:rPr>
        <w:t>的压缩字段，以减少小样本下的稀疏和共线性；更细字段仅保留在审计文件中，用于人工核验和稳健性扩展。</w:t>
      </w:r>
    </w:p>
    <w:p w14:paraId="5FACABD8" w14:textId="77777777" w:rsidR="002D0A3C" w:rsidRDefault="003B6787">
      <w:pPr>
        <w:pStyle w:val="a0"/>
        <w:spacing w:before="80" w:after="80" w:line="240" w:lineRule="auto"/>
        <w:ind w:firstLineChars="200"/>
        <w:rPr>
          <w:lang w:eastAsia="zh-CN"/>
        </w:rPr>
      </w:pPr>
      <w:r>
        <w:rPr>
          <w:lang w:eastAsia="zh-CN"/>
        </w:rPr>
        <w:t>股比变量仅在存在明确数值依据时量化。条文直接给出外资上限时按原值记录；若规定</w:t>
      </w:r>
      <w:r>
        <w:rPr>
          <w:lang w:eastAsia="zh-CN"/>
        </w:rPr>
        <w:t>“</w:t>
      </w:r>
      <w:r>
        <w:rPr>
          <w:lang w:eastAsia="zh-CN"/>
        </w:rPr>
        <w:t>中方股比不低于</w:t>
      </w:r>
      <m:oMath>
        <m:r>
          <w:rPr>
            <w:rFonts w:ascii="Cambria Math" w:hAnsi="Cambria Math"/>
            <w:lang w:eastAsia="zh-CN"/>
          </w:rPr>
          <m:t>c</m:t>
        </m:r>
      </m:oMath>
      <w:r>
        <w:rPr>
          <w:lang w:eastAsia="zh-CN"/>
        </w:rPr>
        <w:t>”</w:t>
      </w:r>
      <w:r>
        <w:rPr>
          <w:lang w:eastAsia="zh-CN"/>
        </w:rPr>
        <w:t>且可机械换算，则外资上限记为</w:t>
      </w:r>
      <m:oMath>
        <m:r>
          <w:rPr>
            <w:rFonts w:ascii="Cambria Math" w:hAnsi="Cambria Math"/>
            <w:lang w:eastAsia="zh-CN"/>
          </w:rPr>
          <m:t>1-c</m:t>
        </m:r>
      </m:oMath>
      <w:r>
        <w:rPr>
          <w:lang w:eastAsia="zh-CN"/>
        </w:rPr>
        <w:t>。</w:t>
      </w:r>
      <w:r>
        <w:rPr>
          <w:lang w:eastAsia="zh-CN"/>
        </w:rPr>
        <w:t>“</w:t>
      </w:r>
      <w:r>
        <w:rPr>
          <w:lang w:eastAsia="zh-CN"/>
        </w:rPr>
        <w:t>中方控股</w:t>
      </w:r>
      <w:r>
        <w:rPr>
          <w:lang w:eastAsia="zh-CN"/>
        </w:rPr>
        <w:t>”“</w:t>
      </w:r>
      <w:r>
        <w:rPr>
          <w:lang w:eastAsia="zh-CN"/>
        </w:rPr>
        <w:t>中方相对控股</w:t>
      </w:r>
      <w:r>
        <w:rPr>
          <w:lang w:eastAsia="zh-CN"/>
        </w:rPr>
        <w:t>”“</w:t>
      </w:r>
      <w:r>
        <w:rPr>
          <w:lang w:eastAsia="zh-CN"/>
        </w:rPr>
        <w:t>中方主导</w:t>
      </w:r>
      <w:r>
        <w:rPr>
          <w:lang w:eastAsia="zh-CN"/>
        </w:rPr>
        <w:t>”</w:t>
      </w:r>
      <w:r>
        <w:rPr>
          <w:lang w:eastAsia="zh-CN"/>
        </w:rPr>
        <w:t>统一记为</w:t>
      </w:r>
      <w:r>
        <w:rPr>
          <w:lang w:eastAsia="zh-CN"/>
        </w:rPr>
        <w:t>chinese_control=1</w:t>
      </w:r>
      <w:r>
        <w:rPr>
          <w:lang w:eastAsia="zh-CN"/>
        </w:rPr>
        <w:t>，不人为转换为</w:t>
      </w:r>
      <w:r>
        <w:rPr>
          <w:lang w:eastAsia="zh-CN"/>
        </w:rPr>
        <w:t>49%</w:t>
      </w:r>
      <w:r>
        <w:rPr>
          <w:lang w:eastAsia="zh-CN"/>
        </w:rPr>
        <w:t>等阈值；单一外商持股上限则归入</w:t>
      </w:r>
      <w:r>
        <w:rPr>
          <w:lang w:eastAsia="zh-CN"/>
        </w:rPr>
        <w:t>other_access_restriction</w:t>
      </w:r>
      <w:r>
        <w:rPr>
          <w:lang w:eastAsia="zh-CN"/>
        </w:rPr>
        <w:t>，不误填为外资总股比上限。</w:t>
      </w:r>
    </w:p>
    <w:bookmarkEnd w:id="2"/>
    <w:p w14:paraId="7E497966" w14:textId="77777777" w:rsidR="002D0A3C" w:rsidRDefault="003B6787">
      <w:pPr>
        <w:pStyle w:val="3"/>
        <w:rPr>
          <w:lang w:eastAsia="zh-CN"/>
        </w:rPr>
      </w:pPr>
      <w:r>
        <w:rPr>
          <w:rFonts w:ascii="Times New Roman" w:eastAsia="宋体" w:hAnsi="Times New Roman"/>
          <w:lang w:eastAsia="zh-CN"/>
        </w:rPr>
        <w:t>A.1.3</w:t>
      </w:r>
      <w:r>
        <w:rPr>
          <w:rFonts w:ascii="Times New Roman" w:eastAsia="宋体" w:hAnsi="Times New Roman"/>
          <w:lang w:eastAsia="zh-CN"/>
        </w:rPr>
        <w:t xml:space="preserve">　</w:t>
      </w:r>
      <w:r>
        <w:rPr>
          <w:rFonts w:ascii="Times New Roman" w:eastAsia="宋体" w:hAnsi="Times New Roman"/>
          <w:lang w:eastAsia="zh-CN"/>
        </w:rPr>
        <w:t>LLM</w:t>
      </w:r>
      <w:r>
        <w:rPr>
          <w:rFonts w:ascii="Times New Roman" w:eastAsia="宋体" w:hAnsi="Times New Roman"/>
          <w:lang w:eastAsia="zh-CN"/>
        </w:rPr>
        <w:t>抽取与人工审计</w:t>
      </w:r>
    </w:p>
    <w:p w14:paraId="63C32887" w14:textId="77777777" w:rsidR="002D0A3C" w:rsidRDefault="003B6787">
      <w:pPr>
        <w:pStyle w:val="FirstParagraph"/>
        <w:spacing w:line="240" w:lineRule="auto"/>
        <w:ind w:firstLineChars="200"/>
        <w:rPr>
          <w:lang w:eastAsia="zh-CN"/>
        </w:rPr>
      </w:pPr>
      <w:r>
        <w:t>每个政策编码单元采用封闭式结构化输出。模型返回表A2字段及原文证据 evidence_span；原文未提供的信息记为 unknown。表A2a字段仅用于审计，模型置信度只用于安排人工复核。最终通过复核的 A1 文本字段与 A2 压缩字段合并进入政策编码单元主数据，原始模型输出和审计信息另存。</w:t>
      </w:r>
    </w:p>
    <w:p w14:paraId="50F6A13A" w14:textId="77777777" w:rsidR="002D0A3C" w:rsidRDefault="003B6787">
      <w:pPr>
        <w:pStyle w:val="a0"/>
        <w:spacing w:before="80" w:after="80" w:line="240" w:lineRule="auto"/>
        <w:ind w:firstLineChars="200"/>
        <w:rPr>
          <w:lang w:eastAsia="zh-CN"/>
        </w:rPr>
      </w:pPr>
      <w:r>
        <w:rPr>
          <w:lang w:eastAsia="zh-CN"/>
        </w:rPr>
        <w:t>抽取流程采用</w:t>
      </w:r>
      <w:r>
        <w:rPr>
          <w:lang w:eastAsia="zh-CN"/>
        </w:rPr>
        <w:t>“</w:t>
      </w:r>
      <w:r>
        <w:rPr>
          <w:lang w:eastAsia="zh-CN"/>
        </w:rPr>
        <w:t>模型抽取</w:t>
      </w:r>
      <w:r>
        <w:rPr>
          <w:lang w:eastAsia="zh-CN"/>
        </w:rPr>
        <w:t>—</w:t>
      </w:r>
      <w:r>
        <w:rPr>
          <w:lang w:eastAsia="zh-CN"/>
        </w:rPr>
        <w:t>规则检查</w:t>
      </w:r>
      <w:r>
        <w:rPr>
          <w:lang w:eastAsia="zh-CN"/>
        </w:rPr>
        <w:t>—</w:t>
      </w:r>
      <w:r>
        <w:rPr>
          <w:lang w:eastAsia="zh-CN"/>
        </w:rPr>
        <w:t>人工复核</w:t>
      </w:r>
      <w:r>
        <w:rPr>
          <w:lang w:eastAsia="zh-CN"/>
        </w:rPr>
        <w:t>”</w:t>
      </w:r>
      <w:r>
        <w:rPr>
          <w:lang w:eastAsia="zh-CN"/>
        </w:rPr>
        <w:t>。规则检查识别内部矛盾；人工复核优先覆盖低置信度、跨次结果不一致以及含</w:t>
      </w:r>
      <w:r>
        <w:rPr>
          <w:lang w:eastAsia="zh-CN"/>
        </w:rPr>
        <w:t>“</w:t>
      </w:r>
      <w:r>
        <w:rPr>
          <w:lang w:eastAsia="zh-CN"/>
        </w:rPr>
        <w:t>除</w:t>
      </w:r>
      <w:r>
        <w:rPr>
          <w:lang w:eastAsia="zh-CN"/>
        </w:rPr>
        <w:t>……</w:t>
      </w:r>
      <w:r>
        <w:rPr>
          <w:lang w:eastAsia="zh-CN"/>
        </w:rPr>
        <w:t>外</w:t>
      </w:r>
      <w:r>
        <w:rPr>
          <w:lang w:eastAsia="zh-CN"/>
        </w:rPr>
        <w:t>”“</w:t>
      </w:r>
      <w:r>
        <w:rPr>
          <w:lang w:eastAsia="zh-CN"/>
        </w:rPr>
        <w:t>仅限于</w:t>
      </w:r>
      <w:r>
        <w:rPr>
          <w:lang w:eastAsia="zh-CN"/>
        </w:rPr>
        <w:t>”“</w:t>
      </w:r>
      <w:r>
        <w:rPr>
          <w:lang w:eastAsia="zh-CN"/>
        </w:rPr>
        <w:t>不得超过</w:t>
      </w:r>
      <w:r>
        <w:rPr>
          <w:lang w:eastAsia="zh-CN"/>
        </w:rPr>
        <w:t>”“</w:t>
      </w:r>
      <w:r>
        <w:rPr>
          <w:lang w:eastAsia="zh-CN"/>
        </w:rPr>
        <w:t>相对控股</w:t>
      </w:r>
      <w:r>
        <w:rPr>
          <w:lang w:eastAsia="zh-CN"/>
        </w:rPr>
        <w:t>”</w:t>
      </w:r>
      <w:r>
        <w:rPr>
          <w:lang w:eastAsia="zh-CN"/>
        </w:rPr>
        <w:t>等复杂限定词的记录。</w:t>
      </w:r>
    </w:p>
    <w:p w14:paraId="20941446" w14:textId="77777777" w:rsidR="002D0A3C" w:rsidRDefault="003B6787">
      <w:pPr>
        <w:pStyle w:val="a0"/>
        <w:ind w:firstLineChars="200"/>
        <w:rPr>
          <w:lang w:eastAsia="zh-CN"/>
        </w:rPr>
      </w:pPr>
      <w:r>
        <w:t>正式运行前应建立人工金标准，逐字段报告</w:t>
      </w:r>
      <w:r>
        <w:t>precision</w:t>
      </w:r>
      <w:r>
        <w:t>、</w:t>
      </w:r>
      <w:r>
        <w:t>recall</w:t>
      </w:r>
      <w:r>
        <w:t>和</w:t>
      </w:r>
      <w:r>
        <w:t>F1</w:t>
      </w:r>
      <w:r>
        <w:t>。</w:t>
      </w:r>
      <w:r>
        <w:t>Eppinger and Ma</w:t>
      </w:r>
      <w:r>
        <w:t>（</w:t>
      </w:r>
      <w:r>
        <w:t>2023</w:t>
      </w:r>
      <w:r>
        <w:t>）的文本匹配同样依赖人工核验；本文延续其窄口径匹配与人工审计原则，仅将语义识别工具扩展为</w:t>
      </w:r>
      <w:r>
        <w:t>LLM</w:t>
      </w:r>
      <w:r>
        <w:t>。</w:t>
      </w:r>
    </w:p>
    <w:bookmarkStart w:id="25" w:name="a.2-从政策原子到企业政策暴露及模型部门"/>
    <w:p>
      <w:pPr>
        <w:pStyle w:val="2"/>
      </w:pPr>
      <w:r>
        <w:t>A.2　从政策编码单元到企业政策暴露及模型部门</w:t>
      </w:r>
    </w:p>
    <w:bookmarkStart w:id="20" w:name="a.2.1-负面清单经济活动与-gbt-4754-四位小类匹配"/>
    <w:p>
      <w:pPr>
        <w:pStyle w:val="3"/>
      </w:pPr>
      <w:r>
        <w:t xml:space="preserve">A.2.1　负面清单经济活动与 GB/T 4754 四位小类匹配</w:t>
      </w:r>
    </w:p>
    <w:p>
      <w:pPr>
        <w:pStyle w:val="FirstParagraph"/>
      </w:pPr>
      <w:r>
        <w:t>负面清单特别管理措施先按 A.1.1 拆分为政策编码单元。行业映射的对象是编码单元所对应的 activity_text，而不是官方序号。LLM 结合 activity_text、restriction_text、exception_text 及 GB/T 4754 小类名称和说明，给出“最细可确认”的四位代码。一个政策编码单元可以对应一个或多个 GB 四位小类；若其经济活动只覆盖某小类中的部分活动，则记 coverage_type=partial。每条关系保存 match_type、coverage_type、证据与人工复核状态；缺乏可核验细分权重时，不由 LLM 主观指定 0—1 覆盖比例。</w:t>
      </w:r>
    </w:p>
    <w:p>
      <w:pPr>
        <w:pStyle w:val="a0"/>
      </w:pPr>
      <w:r>
        <w:t>例如，“公共航空运输公司”若在法律上适用同一组准入限制，可以作为一个政策编码单元，同时映射到多个 GB 四位小类；代码一对多本身不触发再次拆分。反之，同一官方序号下若不同经济活动适用不同限制条件，则应在进入行业映射前先拆成不同政策编码单元。</w:t>
      </w:r>
    </w:p>
    <w:bookmarkEnd w:id="20"/>
    <w:bookmarkStart w:id="21" w:name="a.2.2-gbt-4754-四位小类到-isic-rev.4"/>
    <w:p>
      <w:pPr>
        <w:pStyle w:val="3"/>
      </w:pPr>
      <w:r>
        <w:t xml:space="preserve">A.2.2　GB/T 4754 四位小类到 ISIC Rev.4</w:t>
      </w:r>
    </w:p>
    <w:p>
      <w:pPr>
        <w:pStyle w:val="FirstParagraph"/>
      </w:pPr>
      <w:r>
        <w:t xml:space="preserve">GB/T 4754—2017 参考 ISIC Rev.4 编制，但二者非等效。得到 GB 四位小类后，依据官方或可复核的 GB—ISIC 对照关系映射到 ISIC Rev.4 四位组。一对一关系直接转换；一对多关系保留全部候选，仅在政策上下文足以裁决时进一步缩窄；无法可靠裁决的记录保留 ambiguous。ISIC 四位组随后机械归入两位类，并进一步归入 OECD-AMNE 行业。</w:t>
      </w:r>
    </w:p>
    <w:p>
      <w:pPr>
        <w:pStyle w:val="a0"/>
      </w:pPr>
      <w:r>
        <w:t>同一经济活动在不同政策版本中可以对应不同的 policy_unit_id。跨版本连接时，再将经济活动定义一致的政策编码单元赋予稳定的 policy_activity_id：policy_unit_id 负责版本内定位和原文回溯，policy_activity_id 只承担跨期连接，不覆盖版本特定记录。企业只需与稳定的 policy_activity_id 匹配一次，随后按年份读取相应政策版本中该活动的六类限制状态。</w:t>
      </w:r>
    </w:p>
    <w:bookmarkEnd w:id="21"/>
    <w:bookmarkStart w:id="22" w:name="a.2.3-企业核心产品与政策活动的语义匹配"/>
    <w:p>
      <w:pPr>
        <w:pStyle w:val="3"/>
      </w:pPr>
      <w:r>
        <w:t xml:space="preserve">A.2.3　企业核心产品与政策活动的语义匹配</w:t>
      </w:r>
    </w:p>
    <w:p>
      <w:pPr>
        <w:pStyle w:val="FirstParagraph"/>
      </w:pPr>
      <w:r>
        <w:t xml:space="preserve">设</w:t>
      </w:r>
      <w:r>
        <w:t xml:space="preserve"> </w:t>
      </w:r>
      <m:oMath>
        <m:sSub>
          <m:e>
            <m:r>
              <m:t>q</m:t>
            </m:r>
          </m:e>
          <m:sub>
            <m:r>
              <m:t>f</m:t>
            </m:r>
          </m:sub>
        </m:sSub>
      </m:oMath>
      <w:r>
        <w:t xml:space="preserve"> </w:t>
      </w:r>
      <w:r>
        <w:t xml:space="preserve">为企业</w:t>
      </w:r>
      <w:r>
        <w:t xml:space="preserve"> </w:t>
      </w:r>
      <m:oMath>
        <m:r>
          <m:t>f</m:t>
        </m:r>
      </m:oMath>
      <w:r>
        <w:t xml:space="preserve"> </w:t>
      </w:r>
      <w:r>
        <w:t xml:space="preserve">的最核心产品或主营业务描述。先依据企业已有 GB4、ISIC4 或其他可核验行业信息构造候选政策活动集合</w:t>
      </w:r>
      <w:r>
        <w:t xml:space="preserve"> </w:t>
      </w:r>
      <m:oMath>
        <m:sSub>
          <m:e>
            <m:r>
              <m:rPr>
                <m:sty m:val="p"/>
                <m:scr m:val="script"/>
              </m:rPr>
              <m:t>A</m:t>
            </m:r>
          </m:e>
          <m:sub>
            <m:r>
              <m:t>f</m:t>
            </m:r>
          </m:sub>
        </m:sSub>
      </m:oMath>
      <w:r>
        <w:t xml:space="preserve">，再在候选集合内计算企业文本与政策活动文本的语义相似度：</w:t>
      </w:r>
    </w:p>
    <w:p>
      <w:pPr>
        <w:pStyle w:val="a0"/>
      </w:pPr>
      <m:oMathPara>
        <m:oMathParaPr>
          <m:jc m:val="center"/>
        </m:oMathParaPr>
        <m:oMath>
          <m:sSub>
            <m:e>
              <m:r>
                <m:t>s</m:t>
              </m:r>
            </m:e>
            <m:sub>
              <m:r>
                <m:t>f</m:t>
              </m:r>
              <m:r>
                <m:t>a</m:t>
              </m:r>
            </m:sub>
          </m:sSub>
          <m:r>
            <m:rPr>
              <m:sty m:val="p"/>
            </m:rPr>
            <m:t>=</m:t>
          </m:r>
          <m:r>
            <m:rPr>
              <m:sty m:val="p"/>
            </m:rPr>
            <m:t>cos</m:t>
          </m:r>
          <m:d>
            <m:dPr>
              <m:begChr m:val="["/>
              <m:endChr m:val="]"/>
              <m:sepChr m:val=""/>
              <m:grow/>
            </m:dPr>
            <m:e>
              <m:r>
                <m:t>e</m:t>
              </m:r>
              <m:d>
                <m:dPr>
                  <m:begChr m:val="("/>
                  <m:endChr m:val=")"/>
                  <m:sepChr m:val=""/>
                  <m:grow/>
                </m:dPr>
                <m:e>
                  <m:sSub>
                    <m:e>
                      <m:r>
                        <m:t>q</m:t>
                      </m:r>
                    </m:e>
                    <m:sub>
                      <m:r>
                        <m:t>f</m:t>
                      </m:r>
                    </m:sub>
                  </m:sSub>
                </m:e>
              </m:d>
              <m:r>
                <m:rPr>
                  <m:sty m:val="p"/>
                </m:rPr>
                <m:t>,</m:t>
              </m:r>
              <m:r>
                <m:t>e</m:t>
              </m:r>
              <m:d>
                <m:dPr>
                  <m:begChr m:val="("/>
                  <m:endChr m:val=")"/>
                  <m:sepChr m:val=""/>
                  <m:grow/>
                </m:dPr>
                <m:e>
                  <m:r>
                    <m:t>a</m:t>
                  </m:r>
                </m:e>
              </m:d>
            </m:e>
          </m:d>
          <m:r>
            <m:rPr>
              <m:sty m:val="p"/>
            </m:rPr>
            <m:t>,</m:t>
          </m:r>
          <m:r>
            <m:t>  </m:t>
          </m:r>
          <m:sSubSup>
            <m:e>
              <m:r>
                <m:t>a</m:t>
              </m:r>
            </m:e>
            <m:sub>
              <m:r>
                <m:t>f</m:t>
              </m:r>
            </m:sub>
            <m:sup>
              <m:r>
                <m:rPr>
                  <m:sty m:val="p"/>
                </m:rPr>
                <m:t>*</m:t>
              </m:r>
            </m:sup>
          </m:sSubSup>
          <m:r>
            <m:rPr>
              <m:sty m:val="p"/>
            </m:rPr>
            <m:t>=</m:t>
          </m:r>
          <m:r>
            <m:rPr>
              <m:sty m:val="p"/>
            </m:rPr>
            <m:t>arg</m:t>
          </m:r>
          <m:limLow>
            <m:e>
              <m:r>
                <m:rPr>
                  <m:sty m:val="p"/>
                </m:rPr>
                <m:t>max</m:t>
              </m:r>
            </m:e>
            <m:lim>
              <m:r>
                <m:t>a</m:t>
              </m:r>
              <m:r>
                <m:rPr>
                  <m:sty m:val="p"/>
                </m:rPr>
                <m:t>∈</m:t>
              </m:r>
              <m:sSub>
                <m:e>
                  <m:r>
                    <m:rPr>
                      <m:sty m:val="p"/>
                      <m:scr m:val="script"/>
                    </m:rPr>
                    <m:t>A</m:t>
                  </m:r>
                </m:e>
                <m:sub>
                  <m:r>
                    <m:t>f</m:t>
                  </m:r>
                </m:sub>
              </m:sSub>
            </m:lim>
          </m:limLow>
          <m:sSub>
            <m:e>
              <m:r>
                <m:t>s</m:t>
              </m:r>
            </m:e>
            <m:sub>
              <m:r>
                <m:t>f</m:t>
              </m:r>
              <m:r>
                <m:t>a</m:t>
              </m:r>
            </m:sub>
          </m:sSub>
          <m:r>
            <m:rPr>
              <m:sty m:val="p"/>
            </m:rPr>
            <m:t>,</m:t>
          </m:r>
          <m:r>
            <m:t>  </m:t>
          </m:r>
          <m:limLow>
            <m:e>
              <m:r>
                <m:rPr>
                  <m:sty m:val="p"/>
                </m:rPr>
                <m:t>max</m:t>
              </m:r>
            </m:e>
            <m:lim>
              <m:r>
                <m:t>a</m:t>
              </m:r>
              <m:r>
                <m:rPr>
                  <m:sty m:val="p"/>
                </m:rPr>
                <m:t>∈</m:t>
              </m:r>
              <m:sSub>
                <m:e>
                  <m:r>
                    <m:rPr>
                      <m:sty m:val="p"/>
                      <m:scr m:val="script"/>
                    </m:rPr>
                    <m:t>A</m:t>
                  </m:r>
                </m:e>
                <m:sub>
                  <m:r>
                    <m:t>f</m:t>
                  </m:r>
                </m:sub>
              </m:sSub>
            </m:lim>
          </m:limLow>
          <m:sSub>
            <m:e>
              <m:r>
                <m:t>s</m:t>
              </m:r>
            </m:e>
            <m:sub>
              <m:r>
                <m:t>f</m:t>
              </m:r>
              <m:r>
                <m:t>a</m:t>
              </m:r>
            </m:sub>
          </m:sSub>
          <m:r>
            <m:rPr>
              <m:sty m:val="p"/>
            </m:rPr>
            <m:t>≥</m:t>
          </m:r>
          <m:acc>
            <m:accPr>
              <m:chr m:val="‾"/>
            </m:accPr>
            <m:e>
              <m:r>
                <m:t>s</m:t>
              </m:r>
            </m:e>
          </m:acc>
          <m:r>
            <m:rPr>
              <m:sty m:val="p"/>
            </m:rPr>
            <m:t>.</m:t>
          </m:r>
          <m:r>
            <m:t>  </m:t>
          </m:r>
          <m:r>
            <m:rPr>
              <m:nor/>
              <m:sty m:val="p"/>
            </m:rPr>
            <m:t>(A2)</m:t>
          </m:r>
        </m:oMath>
      </m:oMathPara>
    </w:p>
    <w:p>
      <w:pPr>
        <w:pStyle w:val="FirstParagraph"/>
      </w:pPr>
      <w:r>
        <w:t xml:space="preserve">基准口径将超过阈值</w:t>
      </w:r>
      <w:r>
        <w:t xml:space="preserve"> </w:t>
      </w:r>
      <m:oMath>
        <m:acc>
          <m:accPr>
            <m:chr m:val="‾"/>
          </m:accPr>
          <m:e>
            <m:r>
              <m:t>s</m:t>
            </m:r>
          </m:e>
        </m:acc>
      </m:oMath>
      <w:r>
        <w:t xml:space="preserve"> </w:t>
      </w:r>
      <w:r>
        <w:t xml:space="preserve">的最高相似政策活动视为企业的核心政策活动。低于阈值的企业记为 unmatched，而不是把政策暴露记为 0；前两名过于接近、跨细行业候选或涉及复杂例外时进入人工复核。稳健性检验改变阈值，并使用 top-</w:t>
      </w:r>
      <m:oMath>
        <m:r>
          <m:t>K</m:t>
        </m:r>
      </m:oMath>
      <w:r>
        <w:t xml:space="preserve"> </w:t>
      </w:r>
      <w:r>
        <w:t xml:space="preserve">候选和人工确认样本。</w:t>
      </w:r>
    </w:p>
    <w:bookmarkEnd w:id="22"/>
    <w:bookmarkStart w:id="23" w:name="a.2.4-企业层面的六类政策暴露"/>
    <w:p>
      <w:pPr>
        <w:pStyle w:val="3"/>
      </w:pPr>
      <w:r>
        <w:t xml:space="preserve">A.2.4　企业层面的六类政策暴露</w:t>
      </w:r>
    </w:p>
    <w:p>
      <w:pPr>
        <w:pStyle w:val="FirstParagraph"/>
      </w:pPr>
      <w:r>
        <w:t xml:space="preserve">设</w:t>
      </w:r>
      <w:r>
        <w:t xml:space="preserve"> </w:t>
      </w:r>
      <m:oMath>
        <m:sSubSup>
          <m:e>
            <m:r>
              <m:t>z</m:t>
            </m:r>
          </m:e>
          <m:sub>
            <m:r>
              <m:t>a</m:t>
            </m:r>
            <m:r>
              <m:t>t</m:t>
            </m:r>
          </m:sub>
          <m:sup>
            <m:r>
              <m:t>k</m:t>
            </m:r>
          </m:sup>
        </m:sSubSup>
      </m:oMath>
      <w:r>
        <w:t xml:space="preserve"> </w:t>
      </w:r>
      <w:r>
        <w:t xml:space="preserve">为稳定政策活动</w:t>
      </w:r>
      <w:r>
        <w:t xml:space="preserve"> </w:t>
      </w:r>
      <m:oMath>
        <m:r>
          <m:t>a</m:t>
        </m:r>
      </m:oMath>
      <w:r>
        <w:t xml:space="preserve"> </w:t>
      </w:r>
      <w:r>
        <w:t xml:space="preserve">在年份</w:t>
      </w:r>
      <w:r>
        <w:t xml:space="preserve"> </w:t>
      </w:r>
      <m:oMath>
        <m:r>
          <m:t>t</m:t>
        </m:r>
      </m:oMath>
      <w:r>
        <w:t xml:space="preserve"> </w:t>
      </w:r>
      <w:r>
        <w:t xml:space="preserve">的第</w:t>
      </w:r>
      <w:r>
        <w:t xml:space="preserve"> </w:t>
      </w:r>
      <m:oMath>
        <m:r>
          <m:t>k</m:t>
        </m:r>
      </m:oMath>
      <w:r>
        <w:t xml:space="preserve"> </w:t>
      </w:r>
      <w:r>
        <w:t xml:space="preserve">类限制，</w:t>
      </w:r>
      <m:oMath>
        <m:r>
          <m:t>k</m:t>
        </m:r>
        <m:r>
          <m:rPr>
            <m:sty m:val="p"/>
          </m:rPr>
          <m:t>∈</m:t>
        </m:r>
        <m:r>
          <m:rPr>
            <m:sty m:val="p"/>
            <m:scr m:val="script"/>
          </m:rPr>
          <m:t>K</m:t>
        </m:r>
        <m:r>
          <m:rPr>
            <m:sty m:val="p"/>
          </m:rPr>
          <m:t>=</m:t>
        </m:r>
        <m:r>
          <m:rPr>
            <m:sty m:val="p"/>
          </m:rPr>
          <m:t>{</m:t>
        </m:r>
        <m:r>
          <m:t>P</m:t>
        </m:r>
        <m:r>
          <m:rPr>
            <m:sty m:val="p"/>
          </m:rPr>
          <m:t>,</m:t>
        </m:r>
        <m:r>
          <m:t>E</m:t>
        </m:r>
        <m:r>
          <m:rPr>
            <m:sty m:val="p"/>
          </m:rPr>
          <m:t>,</m:t>
        </m:r>
        <m:r>
          <m:t>C</m:t>
        </m:r>
        <m:r>
          <m:rPr>
            <m:sty m:val="p"/>
          </m:rPr>
          <m:t>,</m:t>
        </m:r>
        <m:r>
          <m:t>O</m:t>
        </m:r>
        <m:r>
          <m:rPr>
            <m:sty m:val="p"/>
          </m:rPr>
          <m:t>,</m:t>
        </m:r>
        <m:r>
          <m:t>G</m:t>
        </m:r>
        <m:r>
          <m:rPr>
            <m:sty m:val="p"/>
          </m:rPr>
          <m:t>,</m:t>
        </m:r>
        <m:r>
          <m:t>R</m:t>
        </m:r>
        <m:r>
          <m:rPr>
            <m:sty m:val="p"/>
          </m:rPr>
          <m:t>}</m:t>
        </m:r>
      </m:oMath>
      <w:r>
        <w:t xml:space="preserve"> </w:t>
      </w:r>
      <w:r>
        <w:t xml:space="preserve">分别表示禁止准入、股权限制、中方控制、组织形式、治理和其他准入限制。企业政策暴露为</w:t>
      </w:r>
    </w:p>
    <w:p>
      <w:pPr>
        <w:pStyle w:val="a0"/>
      </w:pPr>
      <m:oMathPara>
        <m:oMathParaPr>
          <m:jc m:val="center"/>
        </m:oMathParaPr>
        <m:oMath>
          <m:sSubSup>
            <m:e>
              <m:r>
                <m:t>Z</m:t>
              </m:r>
            </m:e>
            <m:sub>
              <m:r>
                <m:t>f</m:t>
              </m:r>
              <m:r>
                <m:t>t</m:t>
              </m:r>
            </m:sub>
            <m:sup>
              <m:r>
                <m:t>k</m:t>
              </m:r>
            </m:sup>
          </m:sSubSup>
          <m:r>
            <m:rPr>
              <m:sty m:val="p"/>
            </m:rPr>
            <m:t>=</m:t>
          </m:r>
          <m:sSubSup>
            <m:e>
              <m:r>
                <m:t>z</m:t>
              </m:r>
            </m:e>
            <m:sub>
              <m:sSubSup>
                <m:e>
                  <m:r>
                    <m:t>a</m:t>
                  </m:r>
                </m:e>
                <m:sub>
                  <m:r>
                    <m:t>f</m:t>
                  </m:r>
                </m:sub>
                <m:sup>
                  <m:r>
                    <m:rPr>
                      <m:sty m:val="p"/>
                    </m:rPr>
                    <m:t>*</m:t>
                  </m:r>
                </m:sup>
              </m:sSubSup>
              <m:r>
                <m:t>t</m:t>
              </m:r>
            </m:sub>
            <m:sup>
              <m:r>
                <m:t>k</m:t>
              </m:r>
            </m:sup>
          </m:sSubSup>
          <m:r>
            <m:rPr>
              <m:sty m:val="p"/>
            </m:rPr>
            <m:t>,</m:t>
          </m:r>
          <m:r>
            <m:t>  </m:t>
          </m:r>
          <m:r>
            <m:t>k</m:t>
          </m:r>
          <m:r>
            <m:rPr>
              <m:sty m:val="p"/>
            </m:rPr>
            <m:t>∈</m:t>
          </m:r>
          <m:r>
            <m:rPr>
              <m:sty m:val="p"/>
              <m:scr m:val="script"/>
            </m:rPr>
            <m:t>K</m:t>
          </m:r>
          <m:r>
            <m:rPr>
              <m:sty m:val="p"/>
            </m:rPr>
            <m:t>.</m:t>
          </m:r>
          <m:r>
            <m:t>  </m:t>
          </m:r>
          <m:r>
            <m:rPr>
              <m:nor/>
              <m:sty m:val="p"/>
            </m:rPr>
            <m:t>(A3)</m:t>
          </m:r>
        </m:oMath>
      </m:oMathPara>
    </w:p>
    <w:p>
      <w:pPr>
        <w:pStyle w:val="FirstParagraph"/>
      </w:pPr>
      <w:r>
        <w:t xml:space="preserve">只有在企业活动已可靠识别、且该活动在相应政策版本中确实不存在限制时，才把</w:t>
      </w:r>
      <w:r>
        <w:t xml:space="preserve"> </w:t>
      </w:r>
      <m:oMath>
        <m:sSubSup>
          <m:e>
            <m:r>
              <m:t>Z</m:t>
            </m:r>
          </m:e>
          <m:sub>
            <m:r>
              <m:t>f</m:t>
            </m:r>
            <m:r>
              <m:t>t</m:t>
            </m:r>
          </m:sub>
          <m:sup>
            <m:r>
              <m:t>k</m:t>
            </m:r>
          </m:sup>
        </m:sSubSup>
      </m:oMath>
      <w:r>
        <w:t xml:space="preserve"> </w:t>
      </w:r>
      <w:r>
        <w:t xml:space="preserve">记为 0；无法匹配和政策上无约束必须分开。企业层面的识别差异来自主营活动不同，而不是把同一粗行业政策值复制给所有企业。企业数量本身并不创造独立政策冲击，真正增加的是“政策活动×改革年份”的变化及其在企业中的不同暴露。</w:t>
      </w:r>
    </w:p>
    <w:bookmarkEnd w:id="23"/>
    <w:bookmarkStart w:id="24" w:name="a.2.5-oecd-amne-行业聚合支路"/>
    <w:p>
      <w:pPr>
        <w:pStyle w:val="3"/>
      </w:pPr>
      <w:r>
        <w:t xml:space="preserve">A.2.5　OECD-AMNE 行业聚合支路</w:t>
      </w:r>
    </w:p>
    <w:p>
      <w:pPr>
        <w:pStyle w:val="FirstParagraph"/>
      </w:pPr>
      <w:r>
        <w:t xml:space="preserve">原有行业映射继续保留，但其角色调整为结构模型接口和宏观一致性检验。设</w:t>
      </w:r>
      <w:r>
        <w:t xml:space="preserve"> </w:t>
      </w:r>
      <m:oMath>
        <m:r>
          <m:t>h</m:t>
        </m:r>
      </m:oMath>
      <w:r>
        <w:t xml:space="preserve"> </w:t>
      </w:r>
      <w:r>
        <w:t xml:space="preserve">为 ISIC 四位组，</w:t>
      </w:r>
      <m:oMath>
        <m:r>
          <m:t>j</m:t>
        </m:r>
      </m:oMath>
      <w:r>
        <w:t xml:space="preserve"> </w:t>
      </w:r>
      <w:r>
        <w:t xml:space="preserve">为 OECD-AMNE 行业，</w:t>
      </w:r>
      <m:oMath>
        <m:sSub>
          <m:e>
            <m:r>
              <m:t>Y</m:t>
            </m:r>
          </m:e>
          <m:sub>
            <m:r>
              <m:t>h</m:t>
            </m:r>
            <m:r>
              <m:t>0</m:t>
            </m:r>
          </m:sub>
        </m:sSub>
      </m:oMath>
      <w:r>
        <w:t xml:space="preserve"> </w:t>
      </w:r>
      <w:r>
        <w:t xml:space="preserve">为统一基期经济规模，</w:t>
      </w:r>
      <m:oMath>
        <m:sSub>
          <m:e>
            <m:r>
              <m:rPr>
                <m:sty m:val="p"/>
                <m:scr m:val="script"/>
              </m:rPr>
              <m:t>H</m:t>
            </m:r>
          </m:e>
          <m:sub>
            <m:r>
              <m:t>j</m:t>
            </m:r>
          </m:sub>
        </m:sSub>
      </m:oMath>
      <w:r>
        <w:t xml:space="preserve"> </w:t>
      </w:r>
      <w:r>
        <w:t xml:space="preserve">为行业</w:t>
      </w:r>
      <w:r>
        <w:t xml:space="preserve"> </w:t>
      </w:r>
      <m:oMath>
        <m:r>
          <m:t>j</m:t>
        </m:r>
      </m:oMath>
      <w:r>
        <w:t xml:space="preserve"> </w:t>
      </w:r>
      <w:r>
        <w:t xml:space="preserve">包含的完整 ISIC 四位组集合，则</w:t>
      </w:r>
    </w:p>
    <w:p>
      <w:pPr>
        <w:pStyle w:val="a0"/>
      </w:pPr>
      <m:oMathPara>
        <m:oMathParaPr>
          <m:jc m:val="center"/>
        </m:oMathParaPr>
        <m:oMath>
          <m:sSub>
            <m:e>
              <m:r>
                <m:t>ω</m:t>
              </m:r>
            </m:e>
            <m:sub>
              <m:r>
                <m:t>h</m:t>
              </m:r>
              <m:r>
                <m:t>j</m:t>
              </m:r>
              <m:r>
                <m:rPr>
                  <m:sty m:val="p"/>
                </m:rPr>
                <m:t>,</m:t>
              </m:r>
              <m:r>
                <m:t>0</m:t>
              </m:r>
            </m:sub>
          </m:sSub>
          <m:r>
            <m:rPr>
              <m:sty m:val="p"/>
            </m:rPr>
            <m:t>=</m:t>
          </m:r>
          <m:f>
            <m:fPr>
              <m:type m:val="bar"/>
            </m:fPr>
            <m:num>
              <m:sSub>
                <m:e>
                  <m:r>
                    <m:t>Y</m:t>
                  </m:r>
                </m:e>
                <m:sub>
                  <m:r>
                    <m:t>h</m:t>
                  </m:r>
                  <m:r>
                    <m:t>0</m:t>
                  </m:r>
                </m:sub>
              </m:sSub>
            </m:num>
            <m:den>
              <m:nary>
                <m:naryPr>
                  <m:chr m:val="∑"/>
                  <m:limLoc m:val="undOvr"/>
                  <m:subHide m:val="off"/>
                  <m:supHide m:val="on"/>
                </m:naryPr>
                <m:sub>
                  <m:r>
                    <m:t>h</m:t>
                  </m:r>
                  <m:r>
                    <m:rPr>
                      <m:sty m:val="p"/>
                    </m:rPr>
                    <m:t>′</m:t>
                  </m:r>
                  <m:r>
                    <m:rPr>
                      <m:sty m:val="p"/>
                    </m:rPr>
                    <m:t>∈</m:t>
                  </m:r>
                  <m:sSub>
                    <m:e>
                      <m:r>
                        <m:rPr>
                          <m:sty m:val="p"/>
                          <m:scr m:val="script"/>
                        </m:rPr>
                        <m:t>H</m:t>
                      </m:r>
                    </m:e>
                    <m:sub>
                      <m:r>
                        <m:t>j</m:t>
                      </m:r>
                    </m:sub>
                  </m:sSub>
                </m:sub>
                <m:sup>
                  <m:r>
                    <m:t>​</m:t>
                  </m:r>
                </m:sup>
                <m:e>
                  <m:sSub>
                    <m:e>
                      <m:r>
                        <m:t>Y</m:t>
                      </m:r>
                    </m:e>
                    <m:sub>
                      <m:r>
                        <m:t>h</m:t>
                      </m:r>
                      <m:r>
                        <m:rPr>
                          <m:sty m:val="p"/>
                        </m:rPr>
                        <m:t>′</m:t>
                      </m:r>
                      <m:r>
                        <m:t>0</m:t>
                      </m:r>
                    </m:sub>
                  </m:sSub>
                </m:e>
              </m:nary>
            </m:den>
          </m:f>
          <m:r>
            <m:rPr>
              <m:sty m:val="p"/>
            </m:rPr>
            <m:t>,</m:t>
          </m:r>
          <m:r>
            <m:t>  </m:t>
          </m:r>
          <m:sSubSup>
            <m:e>
              <m:r>
                <m:t>Z</m:t>
              </m:r>
            </m:e>
            <m:sub>
              <m:r>
                <m:t>j</m:t>
              </m:r>
              <m:r>
                <m:t>t</m:t>
              </m:r>
            </m:sub>
            <m:sup>
              <m:r>
                <m:t>k</m:t>
              </m:r>
            </m:sup>
          </m:sSubSup>
          <m:r>
            <m:rPr>
              <m:sty m:val="p"/>
            </m:rPr>
            <m:t>=</m:t>
          </m:r>
          <m:nary>
            <m:naryPr>
              <m:chr m:val="∑"/>
              <m:limLoc m:val="undOvr"/>
              <m:subHide m:val="off"/>
              <m:supHide m:val="on"/>
            </m:naryPr>
            <m:sub>
              <m:r>
                <m:t>h</m:t>
              </m:r>
              <m:r>
                <m:rPr>
                  <m:sty m:val="p"/>
                </m:rPr>
                <m:t>∈</m:t>
              </m:r>
              <m:sSub>
                <m:e>
                  <m:r>
                    <m:rPr>
                      <m:sty m:val="p"/>
                      <m:scr m:val="script"/>
                    </m:rPr>
                    <m:t>H</m:t>
                  </m:r>
                </m:e>
                <m:sub>
                  <m:r>
                    <m:t>j</m:t>
                  </m:r>
                </m:sub>
              </m:sSub>
            </m:sub>
            <m:sup>
              <m:r>
                <m:t>​</m:t>
              </m:r>
            </m:sup>
            <m:e>
              <m:sSub>
                <m:e>
                  <m:r>
                    <m:t>ω</m:t>
                  </m:r>
                </m:e>
                <m:sub>
                  <m:r>
                    <m:t>h</m:t>
                  </m:r>
                  <m:r>
                    <m:t>j</m:t>
                  </m:r>
                  <m:r>
                    <m:rPr>
                      <m:sty m:val="p"/>
                    </m:rPr>
                    <m:t>,</m:t>
                  </m:r>
                  <m:r>
                    <m:t>0</m:t>
                  </m:r>
                </m:sub>
              </m:sSub>
            </m:e>
          </m:nary>
          <m:sSubSup>
            <m:e>
              <m:r>
                <m:t>z</m:t>
              </m:r>
            </m:e>
            <m:sub>
              <m:r>
                <m:t>h</m:t>
              </m:r>
              <m:r>
                <m:t>t</m:t>
              </m:r>
            </m:sub>
            <m:sup>
              <m:r>
                <m:t>k</m:t>
              </m:r>
            </m:sup>
          </m:sSubSup>
          <m:r>
            <m:rPr>
              <m:sty m:val="p"/>
            </m:rPr>
            <m:t>.</m:t>
          </m:r>
          <m:r>
            <m:t>  </m:t>
          </m:r>
          <m:r>
            <m:rPr>
              <m:nor/>
              <m:sty m:val="p"/>
            </m:rPr>
            <m:t>(A3a)</m:t>
          </m:r>
        </m:oMath>
      </m:oMathPara>
    </w:p>
    <w:p>
      <w:pPr>
        <w:pStyle w:val="FirstParagraph"/>
      </w:pPr>
      <w:r>
        <w:t xml:space="preserve">实际数据仍保留 ISIC4→ISIC2→OECD-AMNE 两级中间表。未被负面清单命中的完整细行业进入分母并记为 0；禁止准入份额与五类有限限制分开保存。</w:t>
      </w:r>
    </w:p>
    <w:bookmarkEnd w:id="24"/>
    <w:bookmarkEnd w:id="25"/>
    <w:bookmarkStart w:id="30" w:name="a.3-企业行为识别与制度型-mp-成本反演"/>
    <w:p>
      <w:pPr>
        <w:pStyle w:val="2"/>
      </w:pPr>
      <w:r>
        <w:t xml:space="preserve">A.3　企业行为识别与制度型 MP 成本反演</w:t>
      </w:r>
    </w:p>
    <w:bookmarkStart w:id="26" w:name="a.3.1-为什么把基准识别前移到企业层面"/>
    <w:p>
      <w:pPr>
        <w:pStyle w:val="3"/>
      </w:pPr>
      <w:r>
        <w:t xml:space="preserve">A.3.1　为什么把基准识别前移到企业层面</w:t>
      </w:r>
    </w:p>
    <w:p>
      <w:pPr>
        <w:pStyle w:val="FirstParagraph"/>
      </w:pPr>
      <w:r>
        <w:t xml:space="preserve">原行业层面规格的主要约束不是回归表中的观测行数，而是独立政策变化有限。对同一中国行业—年份，负面清单限制对所有外国母国相同，因此增加母国只能提高 AMNE 成本测量的信息量，不能形成新的政策冲击。若先聚合到 OECD-AMNE 再分别估计六类限制，真正用于识别的行业—年份改革次数较少。</w:t>
      </w:r>
    </w:p>
    <w:p>
      <w:pPr>
        <w:pStyle w:val="a0"/>
      </w:pPr>
      <w:r>
        <w:t xml:space="preserve">新版基准样本改为企业—年份。企业固定效应控制企业长期不变特征，粗行业×年份固定效应吸收同一模型行业共同面对的宏观冲击；由于企业核心产品对应不同 policy_activity_id，同一 OECD-AMNE 行业—年份内部仍可有不同</w:t>
      </w:r>
      <w:r>
        <w:t xml:space="preserve"> </w:t>
      </w:r>
      <m:oMath>
        <m:sSubSup>
          <m:e>
            <m:r>
              <m:t>Z</m:t>
            </m:r>
          </m:e>
          <m:sub>
            <m:r>
              <m:t>f</m:t>
            </m:r>
            <m:r>
              <m:t>t</m:t>
            </m:r>
          </m:sub>
          <m:sup>
            <m:r>
              <m:t>k</m:t>
            </m:r>
          </m:sup>
        </m:sSubSup>
      </m:oMath>
      <w:r>
        <w:t xml:space="preserve">。有效政策冲击仍按 policy_activity_id 或相应细行业计数和聚类，而不是按企业数计数。</w:t>
      </w:r>
    </w:p>
    <w:bookmarkEnd w:id="26"/>
    <w:bookmarkStart w:id="27" w:name="a.3.2-六类政策限制企业外资行为方程"/>
    <w:p>
      <w:pPr>
        <w:pStyle w:val="3"/>
      </w:pPr>
      <w:r>
        <w:t xml:space="preserve">A.3.2　六类政策限制—企业外资行为方程</w:t>
      </w:r>
    </w:p>
    <w:p>
      <w:pPr>
        <w:pStyle w:val="FirstParagraph"/>
      </w:pPr>
      <w:r>
        <w:t xml:space="preserve">企业层面的结果变量分为两类。第一类用于验证政策确实改变外资行为，包括外资持股比例、是否外资控股、是否全外资和外资新进入。第二类用于 A.3.3 的结构反演，应尽量与第二篇文献的“外国企业在中国生产份额”保持同一口径，基准优先使用外资控制企业指示变量</w:t>
      </w:r>
      <w:r>
        <w:t xml:space="preserve"> </w:t>
      </w:r>
      <m:oMath>
        <m:sSubSup>
          <m:e>
            <m:r>
              <m:t>D</m:t>
            </m:r>
          </m:e>
          <m:sub>
            <m:r>
              <m:t>f</m:t>
            </m:r>
            <m:r>
              <m:t>t</m:t>
            </m:r>
          </m:sub>
          <m:sup>
            <m:r>
              <m:t>F</m:t>
            </m:r>
          </m:sup>
        </m:sSubSup>
      </m:oMath>
      <w:r>
        <w:t xml:space="preserve">，并以企业基期产出或销售额作为固定权重。</w:t>
      </w:r>
    </w:p>
    <w:p>
      <w:pPr>
        <w:pStyle w:val="a0"/>
      </w:pPr>
      <w:r>
        <w:t xml:space="preserve">对任一企业结果</w:t>
      </w:r>
      <w:r>
        <w:t xml:space="preserve"> </w:t>
      </w:r>
      <m:oMath>
        <m:sSub>
          <m:e>
            <m:r>
              <m:t>Y</m:t>
            </m:r>
          </m:e>
          <m:sub>
            <m:r>
              <m:t>f</m:t>
            </m:r>
            <m:r>
              <m:t>t</m:t>
            </m:r>
          </m:sub>
        </m:sSub>
      </m:oMath>
      <w:r>
        <w:t xml:space="preserve">，六类限制仍分别估计：</w:t>
      </w:r>
    </w:p>
    <w:p>
      <w:pPr>
        <w:pStyle w:val="a0"/>
      </w:pPr>
      <m:oMathPara>
        <m:oMathParaPr>
          <m:jc m:val="center"/>
        </m:oMathParaPr>
        <m:oMath>
          <m:sSub>
            <m:e>
              <m:r>
                <m:t>Y</m:t>
              </m:r>
            </m:e>
            <m:sub>
              <m:r>
                <m:t>f</m:t>
              </m:r>
              <m:r>
                <m:t>t</m:t>
              </m:r>
            </m:sub>
          </m:sSub>
          <m:r>
            <m:rPr>
              <m:sty m:val="p"/>
            </m:rPr>
            <m:t>=</m:t>
          </m:r>
          <m:sSub>
            <m:e>
              <m:r>
                <m:t>β</m:t>
              </m:r>
            </m:e>
            <m:sub>
              <m:r>
                <m:t>P</m:t>
              </m:r>
            </m:sub>
          </m:sSub>
          <m:sSubSup>
            <m:e>
              <m:r>
                <m:t>Z</m:t>
              </m:r>
            </m:e>
            <m:sub>
              <m:r>
                <m:t>f</m:t>
              </m:r>
              <m:r>
                <m:t>t</m:t>
              </m:r>
            </m:sub>
            <m:sup>
              <m:r>
                <m:t>P</m:t>
              </m:r>
            </m:sup>
          </m:sSubSup>
          <m:r>
            <m:rPr>
              <m:sty m:val="p"/>
            </m:rPr>
            <m:t>+</m:t>
          </m:r>
          <m:sSub>
            <m:e>
              <m:r>
                <m:t>μ</m:t>
              </m:r>
            </m:e>
            <m:sub>
              <m:r>
                <m:t>f</m:t>
              </m:r>
            </m:sub>
          </m:sSub>
          <m:r>
            <m:rPr>
              <m:sty m:val="p"/>
            </m:rPr>
            <m:t>+</m:t>
          </m:r>
          <m:sSub>
            <m:e>
              <m:r>
                <m:t>λ</m:t>
              </m:r>
            </m:e>
            <m:sub>
              <m:r>
                <m:t>j</m:t>
              </m:r>
              <m:d>
                <m:dPr>
                  <m:begChr m:val="("/>
                  <m:endChr m:val=")"/>
                  <m:sepChr m:val=""/>
                  <m:grow/>
                </m:dPr>
                <m:e>
                  <m:r>
                    <m:t>f</m:t>
                  </m:r>
                </m:e>
              </m:d>
              <m:r>
                <m:t>t</m:t>
              </m:r>
            </m:sub>
          </m:sSub>
          <m:r>
            <m:rPr>
              <m:sty m:val="p"/>
            </m:rPr>
            <m:t>+</m:t>
          </m:r>
          <m:sSub>
            <m:e>
              <m:r>
                <m:t>X</m:t>
              </m:r>
            </m:e>
            <m:sub>
              <m:r>
                <m:t>f</m:t>
              </m:r>
              <m:r>
                <m:t>t</m:t>
              </m:r>
            </m:sub>
          </m:sSub>
          <m:r>
            <m:rPr>
              <m:sty m:val="p"/>
            </m:rPr>
            <m:t>′</m:t>
          </m:r>
          <m:r>
            <m:t>θ</m:t>
          </m:r>
          <m:r>
            <m:rPr>
              <m:sty m:val="p"/>
            </m:rPr>
            <m:t>+</m:t>
          </m:r>
          <m:sSubSup>
            <m:e>
              <m:r>
                <m:t>ε</m:t>
              </m:r>
            </m:e>
            <m:sub>
              <m:r>
                <m:t>f</m:t>
              </m:r>
              <m:r>
                <m:t>t</m:t>
              </m:r>
            </m:sub>
            <m:sup>
              <m:r>
                <m:t>P</m:t>
              </m:r>
            </m:sup>
          </m:sSubSup>
          <m:r>
            <m:rPr>
              <m:sty m:val="p"/>
            </m:rPr>
            <m:t>.</m:t>
          </m:r>
          <m:r>
            <m:t>  </m:t>
          </m:r>
          <m:r>
            <m:rPr>
              <m:nor/>
              <m:sty m:val="p"/>
            </m:rPr>
            <m:t>(A4a)</m:t>
          </m:r>
        </m:oMath>
      </m:oMathPara>
    </w:p>
    <w:p>
      <w:pPr>
        <w:pStyle w:val="FirstParagraph"/>
      </w:pPr>
      <m:oMathPara>
        <m:oMathParaPr>
          <m:jc m:val="center"/>
        </m:oMathParaPr>
        <m:oMath>
          <m:sSub>
            <m:e>
              <m:r>
                <m:t>Y</m:t>
              </m:r>
            </m:e>
            <m:sub>
              <m:r>
                <m:t>f</m:t>
              </m:r>
              <m:r>
                <m:t>t</m:t>
              </m:r>
            </m:sub>
          </m:sSub>
          <m:r>
            <m:rPr>
              <m:sty m:val="p"/>
            </m:rPr>
            <m:t>=</m:t>
          </m:r>
          <m:sSub>
            <m:e>
              <m:r>
                <m:t>β</m:t>
              </m:r>
            </m:e>
            <m:sub>
              <m:r>
                <m:t>E</m:t>
              </m:r>
            </m:sub>
          </m:sSub>
          <m:sSubSup>
            <m:e>
              <m:r>
                <m:t>Z</m:t>
              </m:r>
            </m:e>
            <m:sub>
              <m:r>
                <m:t>f</m:t>
              </m:r>
              <m:r>
                <m:t>t</m:t>
              </m:r>
            </m:sub>
            <m:sup>
              <m:r>
                <m:t>E</m:t>
              </m:r>
            </m:sup>
          </m:sSubSup>
          <m:r>
            <m:rPr>
              <m:sty m:val="p"/>
            </m:rPr>
            <m:t>+</m:t>
          </m:r>
          <m:sSub>
            <m:e>
              <m:r>
                <m:t>μ</m:t>
              </m:r>
            </m:e>
            <m:sub>
              <m:r>
                <m:t>f</m:t>
              </m:r>
            </m:sub>
          </m:sSub>
          <m:r>
            <m:rPr>
              <m:sty m:val="p"/>
            </m:rPr>
            <m:t>+</m:t>
          </m:r>
          <m:sSub>
            <m:e>
              <m:r>
                <m:t>λ</m:t>
              </m:r>
            </m:e>
            <m:sub>
              <m:r>
                <m:t>j</m:t>
              </m:r>
              <m:d>
                <m:dPr>
                  <m:begChr m:val="("/>
                  <m:endChr m:val=")"/>
                  <m:sepChr m:val=""/>
                  <m:grow/>
                </m:dPr>
                <m:e>
                  <m:r>
                    <m:t>f</m:t>
                  </m:r>
                </m:e>
              </m:d>
              <m:r>
                <m:t>t</m:t>
              </m:r>
            </m:sub>
          </m:sSub>
          <m:r>
            <m:rPr>
              <m:sty m:val="p"/>
            </m:rPr>
            <m:t>+</m:t>
          </m:r>
          <m:sSub>
            <m:e>
              <m:r>
                <m:t>X</m:t>
              </m:r>
            </m:e>
            <m:sub>
              <m:r>
                <m:t>f</m:t>
              </m:r>
              <m:r>
                <m:t>t</m:t>
              </m:r>
            </m:sub>
          </m:sSub>
          <m:r>
            <m:rPr>
              <m:sty m:val="p"/>
            </m:rPr>
            <m:t>′</m:t>
          </m:r>
          <m:r>
            <m:t>θ</m:t>
          </m:r>
          <m:r>
            <m:rPr>
              <m:sty m:val="p"/>
            </m:rPr>
            <m:t>+</m:t>
          </m:r>
          <m:sSubSup>
            <m:e>
              <m:r>
                <m:t>ε</m:t>
              </m:r>
            </m:e>
            <m:sub>
              <m:r>
                <m:t>f</m:t>
              </m:r>
              <m:r>
                <m:t>t</m:t>
              </m:r>
            </m:sub>
            <m:sup>
              <m:r>
                <m:t>E</m:t>
              </m:r>
            </m:sup>
          </m:sSubSup>
          <m:r>
            <m:rPr>
              <m:sty m:val="p"/>
            </m:rPr>
            <m:t>.</m:t>
          </m:r>
          <m:r>
            <m:t>  </m:t>
          </m:r>
          <m:r>
            <m:rPr>
              <m:nor/>
              <m:sty m:val="p"/>
            </m:rPr>
            <m:t>(A4b)</m:t>
          </m:r>
        </m:oMath>
      </m:oMathPara>
    </w:p>
    <w:p>
      <w:pPr>
        <w:pStyle w:val="FirstParagraph"/>
      </w:pPr>
      <m:oMathPara>
        <m:oMathParaPr>
          <m:jc m:val="center"/>
        </m:oMathParaPr>
        <m:oMath>
          <m:sSub>
            <m:e>
              <m:r>
                <m:t>Y</m:t>
              </m:r>
            </m:e>
            <m:sub>
              <m:r>
                <m:t>f</m:t>
              </m:r>
              <m:r>
                <m:t>t</m:t>
              </m:r>
            </m:sub>
          </m:sSub>
          <m:r>
            <m:rPr>
              <m:sty m:val="p"/>
            </m:rPr>
            <m:t>=</m:t>
          </m:r>
          <m:sSub>
            <m:e>
              <m:r>
                <m:t>β</m:t>
              </m:r>
            </m:e>
            <m:sub>
              <m:r>
                <m:t>C</m:t>
              </m:r>
            </m:sub>
          </m:sSub>
          <m:sSubSup>
            <m:e>
              <m:r>
                <m:t>Z</m:t>
              </m:r>
            </m:e>
            <m:sub>
              <m:r>
                <m:t>f</m:t>
              </m:r>
              <m:r>
                <m:t>t</m:t>
              </m:r>
            </m:sub>
            <m:sup>
              <m:r>
                <m:t>C</m:t>
              </m:r>
            </m:sup>
          </m:sSubSup>
          <m:r>
            <m:rPr>
              <m:sty m:val="p"/>
            </m:rPr>
            <m:t>+</m:t>
          </m:r>
          <m:sSub>
            <m:e>
              <m:r>
                <m:t>μ</m:t>
              </m:r>
            </m:e>
            <m:sub>
              <m:r>
                <m:t>f</m:t>
              </m:r>
            </m:sub>
          </m:sSub>
          <m:r>
            <m:rPr>
              <m:sty m:val="p"/>
            </m:rPr>
            <m:t>+</m:t>
          </m:r>
          <m:sSub>
            <m:e>
              <m:r>
                <m:t>λ</m:t>
              </m:r>
            </m:e>
            <m:sub>
              <m:r>
                <m:t>j</m:t>
              </m:r>
              <m:d>
                <m:dPr>
                  <m:begChr m:val="("/>
                  <m:endChr m:val=")"/>
                  <m:sepChr m:val=""/>
                  <m:grow/>
                </m:dPr>
                <m:e>
                  <m:r>
                    <m:t>f</m:t>
                  </m:r>
                </m:e>
              </m:d>
              <m:r>
                <m:t>t</m:t>
              </m:r>
            </m:sub>
          </m:sSub>
          <m:r>
            <m:rPr>
              <m:sty m:val="p"/>
            </m:rPr>
            <m:t>+</m:t>
          </m:r>
          <m:sSub>
            <m:e>
              <m:r>
                <m:t>X</m:t>
              </m:r>
            </m:e>
            <m:sub>
              <m:r>
                <m:t>f</m:t>
              </m:r>
              <m:r>
                <m:t>t</m:t>
              </m:r>
            </m:sub>
          </m:sSub>
          <m:r>
            <m:rPr>
              <m:sty m:val="p"/>
            </m:rPr>
            <m:t>′</m:t>
          </m:r>
          <m:r>
            <m:t>θ</m:t>
          </m:r>
          <m:r>
            <m:rPr>
              <m:sty m:val="p"/>
            </m:rPr>
            <m:t>+</m:t>
          </m:r>
          <m:sSubSup>
            <m:e>
              <m:r>
                <m:t>ε</m:t>
              </m:r>
            </m:e>
            <m:sub>
              <m:r>
                <m:t>f</m:t>
              </m:r>
              <m:r>
                <m:t>t</m:t>
              </m:r>
            </m:sub>
            <m:sup>
              <m:r>
                <m:t>C</m:t>
              </m:r>
            </m:sup>
          </m:sSubSup>
          <m:r>
            <m:rPr>
              <m:sty m:val="p"/>
            </m:rPr>
            <m:t>.</m:t>
          </m:r>
          <m:r>
            <m:t>  </m:t>
          </m:r>
          <m:r>
            <m:rPr>
              <m:nor/>
              <m:sty m:val="p"/>
            </m:rPr>
            <m:t>(A4c)</m:t>
          </m:r>
        </m:oMath>
      </m:oMathPara>
    </w:p>
    <w:p>
      <w:pPr>
        <w:pStyle w:val="FirstParagraph"/>
      </w:pPr>
      <m:oMathPara>
        <m:oMathParaPr>
          <m:jc m:val="center"/>
        </m:oMathParaPr>
        <m:oMath>
          <m:sSub>
            <m:e>
              <m:r>
                <m:t>Y</m:t>
              </m:r>
            </m:e>
            <m:sub>
              <m:r>
                <m:t>f</m:t>
              </m:r>
              <m:r>
                <m:t>t</m:t>
              </m:r>
            </m:sub>
          </m:sSub>
          <m:r>
            <m:rPr>
              <m:sty m:val="p"/>
            </m:rPr>
            <m:t>=</m:t>
          </m:r>
          <m:sSub>
            <m:e>
              <m:r>
                <m:t>β</m:t>
              </m:r>
            </m:e>
            <m:sub>
              <m:r>
                <m:t>O</m:t>
              </m:r>
            </m:sub>
          </m:sSub>
          <m:sSubSup>
            <m:e>
              <m:r>
                <m:t>Z</m:t>
              </m:r>
            </m:e>
            <m:sub>
              <m:r>
                <m:t>f</m:t>
              </m:r>
              <m:r>
                <m:t>t</m:t>
              </m:r>
            </m:sub>
            <m:sup>
              <m:r>
                <m:t>O</m:t>
              </m:r>
            </m:sup>
          </m:sSubSup>
          <m:r>
            <m:rPr>
              <m:sty m:val="p"/>
            </m:rPr>
            <m:t>+</m:t>
          </m:r>
          <m:sSub>
            <m:e>
              <m:r>
                <m:t>μ</m:t>
              </m:r>
            </m:e>
            <m:sub>
              <m:r>
                <m:t>f</m:t>
              </m:r>
            </m:sub>
          </m:sSub>
          <m:r>
            <m:rPr>
              <m:sty m:val="p"/>
            </m:rPr>
            <m:t>+</m:t>
          </m:r>
          <m:sSub>
            <m:e>
              <m:r>
                <m:t>λ</m:t>
              </m:r>
            </m:e>
            <m:sub>
              <m:r>
                <m:t>j</m:t>
              </m:r>
              <m:d>
                <m:dPr>
                  <m:begChr m:val="("/>
                  <m:endChr m:val=")"/>
                  <m:sepChr m:val=""/>
                  <m:grow/>
                </m:dPr>
                <m:e>
                  <m:r>
                    <m:t>f</m:t>
                  </m:r>
                </m:e>
              </m:d>
              <m:r>
                <m:t>t</m:t>
              </m:r>
            </m:sub>
          </m:sSub>
          <m:r>
            <m:rPr>
              <m:sty m:val="p"/>
            </m:rPr>
            <m:t>+</m:t>
          </m:r>
          <m:sSub>
            <m:e>
              <m:r>
                <m:t>X</m:t>
              </m:r>
            </m:e>
            <m:sub>
              <m:r>
                <m:t>f</m:t>
              </m:r>
              <m:r>
                <m:t>t</m:t>
              </m:r>
            </m:sub>
          </m:sSub>
          <m:r>
            <m:rPr>
              <m:sty m:val="p"/>
            </m:rPr>
            <m:t>′</m:t>
          </m:r>
          <m:r>
            <m:t>θ</m:t>
          </m:r>
          <m:r>
            <m:rPr>
              <m:sty m:val="p"/>
            </m:rPr>
            <m:t>+</m:t>
          </m:r>
          <m:sSubSup>
            <m:e>
              <m:r>
                <m:t>ε</m:t>
              </m:r>
            </m:e>
            <m:sub>
              <m:r>
                <m:t>f</m:t>
              </m:r>
              <m:r>
                <m:t>t</m:t>
              </m:r>
            </m:sub>
            <m:sup>
              <m:r>
                <m:t>O</m:t>
              </m:r>
            </m:sup>
          </m:sSubSup>
          <m:r>
            <m:rPr>
              <m:sty m:val="p"/>
            </m:rPr>
            <m:t>.</m:t>
          </m:r>
          <m:r>
            <m:t>  </m:t>
          </m:r>
          <m:r>
            <m:rPr>
              <m:nor/>
              <m:sty m:val="p"/>
            </m:rPr>
            <m:t>(A4d)</m:t>
          </m:r>
        </m:oMath>
      </m:oMathPara>
    </w:p>
    <w:p>
      <w:pPr>
        <w:pStyle w:val="FirstParagraph"/>
      </w:pPr>
      <m:oMathPara>
        <m:oMathParaPr>
          <m:jc m:val="center"/>
        </m:oMathParaPr>
        <m:oMath>
          <m:sSub>
            <m:e>
              <m:r>
                <m:t>Y</m:t>
              </m:r>
            </m:e>
            <m:sub>
              <m:r>
                <m:t>f</m:t>
              </m:r>
              <m:r>
                <m:t>t</m:t>
              </m:r>
            </m:sub>
          </m:sSub>
          <m:r>
            <m:rPr>
              <m:sty m:val="p"/>
            </m:rPr>
            <m:t>=</m:t>
          </m:r>
          <m:sSub>
            <m:e>
              <m:r>
                <m:t>β</m:t>
              </m:r>
            </m:e>
            <m:sub>
              <m:r>
                <m:t>G</m:t>
              </m:r>
            </m:sub>
          </m:sSub>
          <m:sSubSup>
            <m:e>
              <m:r>
                <m:t>Z</m:t>
              </m:r>
            </m:e>
            <m:sub>
              <m:r>
                <m:t>f</m:t>
              </m:r>
              <m:r>
                <m:t>t</m:t>
              </m:r>
            </m:sub>
            <m:sup>
              <m:r>
                <m:t>G</m:t>
              </m:r>
            </m:sup>
          </m:sSubSup>
          <m:r>
            <m:rPr>
              <m:sty m:val="p"/>
            </m:rPr>
            <m:t>+</m:t>
          </m:r>
          <m:sSub>
            <m:e>
              <m:r>
                <m:t>μ</m:t>
              </m:r>
            </m:e>
            <m:sub>
              <m:r>
                <m:t>f</m:t>
              </m:r>
            </m:sub>
          </m:sSub>
          <m:r>
            <m:rPr>
              <m:sty m:val="p"/>
            </m:rPr>
            <m:t>+</m:t>
          </m:r>
          <m:sSub>
            <m:e>
              <m:r>
                <m:t>λ</m:t>
              </m:r>
            </m:e>
            <m:sub>
              <m:r>
                <m:t>j</m:t>
              </m:r>
              <m:d>
                <m:dPr>
                  <m:begChr m:val="("/>
                  <m:endChr m:val=")"/>
                  <m:sepChr m:val=""/>
                  <m:grow/>
                </m:dPr>
                <m:e>
                  <m:r>
                    <m:t>f</m:t>
                  </m:r>
                </m:e>
              </m:d>
              <m:r>
                <m:t>t</m:t>
              </m:r>
            </m:sub>
          </m:sSub>
          <m:r>
            <m:rPr>
              <m:sty m:val="p"/>
            </m:rPr>
            <m:t>+</m:t>
          </m:r>
          <m:sSub>
            <m:e>
              <m:r>
                <m:t>X</m:t>
              </m:r>
            </m:e>
            <m:sub>
              <m:r>
                <m:t>f</m:t>
              </m:r>
              <m:r>
                <m:t>t</m:t>
              </m:r>
            </m:sub>
          </m:sSub>
          <m:r>
            <m:rPr>
              <m:sty m:val="p"/>
            </m:rPr>
            <m:t>′</m:t>
          </m:r>
          <m:r>
            <m:t>θ</m:t>
          </m:r>
          <m:r>
            <m:rPr>
              <m:sty m:val="p"/>
            </m:rPr>
            <m:t>+</m:t>
          </m:r>
          <m:sSubSup>
            <m:e>
              <m:r>
                <m:t>ε</m:t>
              </m:r>
            </m:e>
            <m:sub>
              <m:r>
                <m:t>f</m:t>
              </m:r>
              <m:r>
                <m:t>t</m:t>
              </m:r>
            </m:sub>
            <m:sup>
              <m:r>
                <m:t>G</m:t>
              </m:r>
            </m:sup>
          </m:sSubSup>
          <m:r>
            <m:rPr>
              <m:sty m:val="p"/>
            </m:rPr>
            <m:t>.</m:t>
          </m:r>
          <m:r>
            <m:t>  </m:t>
          </m:r>
          <m:r>
            <m:rPr>
              <m:nor/>
              <m:sty m:val="p"/>
            </m:rPr>
            <m:t>(A4e)</m:t>
          </m:r>
        </m:oMath>
      </m:oMathPara>
    </w:p>
    <w:p>
      <w:pPr>
        <w:pStyle w:val="FirstParagraph"/>
      </w:pPr>
      <m:oMathPara>
        <m:oMathParaPr>
          <m:jc m:val="center"/>
        </m:oMathParaPr>
        <m:oMath>
          <m:sSub>
            <m:e>
              <m:r>
                <m:t>Y</m:t>
              </m:r>
            </m:e>
            <m:sub>
              <m:r>
                <m:t>f</m:t>
              </m:r>
              <m:r>
                <m:t>t</m:t>
              </m:r>
            </m:sub>
          </m:sSub>
          <m:r>
            <m:rPr>
              <m:sty m:val="p"/>
            </m:rPr>
            <m:t>=</m:t>
          </m:r>
          <m:sSub>
            <m:e>
              <m:r>
                <m:t>β</m:t>
              </m:r>
            </m:e>
            <m:sub>
              <m:r>
                <m:t>R</m:t>
              </m:r>
            </m:sub>
          </m:sSub>
          <m:sSubSup>
            <m:e>
              <m:r>
                <m:t>Z</m:t>
              </m:r>
            </m:e>
            <m:sub>
              <m:r>
                <m:t>f</m:t>
              </m:r>
              <m:r>
                <m:t>t</m:t>
              </m:r>
            </m:sub>
            <m:sup>
              <m:r>
                <m:t>R</m:t>
              </m:r>
            </m:sup>
          </m:sSubSup>
          <m:r>
            <m:rPr>
              <m:sty m:val="p"/>
            </m:rPr>
            <m:t>+</m:t>
          </m:r>
          <m:sSub>
            <m:e>
              <m:r>
                <m:t>μ</m:t>
              </m:r>
            </m:e>
            <m:sub>
              <m:r>
                <m:t>f</m:t>
              </m:r>
            </m:sub>
          </m:sSub>
          <m:r>
            <m:rPr>
              <m:sty m:val="p"/>
            </m:rPr>
            <m:t>+</m:t>
          </m:r>
          <m:sSub>
            <m:e>
              <m:r>
                <m:t>λ</m:t>
              </m:r>
            </m:e>
            <m:sub>
              <m:r>
                <m:t>j</m:t>
              </m:r>
              <m:d>
                <m:dPr>
                  <m:begChr m:val="("/>
                  <m:endChr m:val=")"/>
                  <m:sepChr m:val=""/>
                  <m:grow/>
                </m:dPr>
                <m:e>
                  <m:r>
                    <m:t>f</m:t>
                  </m:r>
                </m:e>
              </m:d>
              <m:r>
                <m:t>t</m:t>
              </m:r>
            </m:sub>
          </m:sSub>
          <m:r>
            <m:rPr>
              <m:sty m:val="p"/>
            </m:rPr>
            <m:t>+</m:t>
          </m:r>
          <m:sSub>
            <m:e>
              <m:r>
                <m:t>X</m:t>
              </m:r>
            </m:e>
            <m:sub>
              <m:r>
                <m:t>f</m:t>
              </m:r>
              <m:r>
                <m:t>t</m:t>
              </m:r>
            </m:sub>
          </m:sSub>
          <m:r>
            <m:rPr>
              <m:sty m:val="p"/>
            </m:rPr>
            <m:t>′</m:t>
          </m:r>
          <m:r>
            <m:t>θ</m:t>
          </m:r>
          <m:r>
            <m:rPr>
              <m:sty m:val="p"/>
            </m:rPr>
            <m:t>+</m:t>
          </m:r>
          <m:sSubSup>
            <m:e>
              <m:r>
                <m:t>ε</m:t>
              </m:r>
            </m:e>
            <m:sub>
              <m:r>
                <m:t>f</m:t>
              </m:r>
              <m:r>
                <m:t>t</m:t>
              </m:r>
            </m:sub>
            <m:sup>
              <m:r>
                <m:t>R</m:t>
              </m:r>
            </m:sup>
          </m:sSubSup>
          <m:r>
            <m:rPr>
              <m:sty m:val="p"/>
            </m:rPr>
            <m:t>.</m:t>
          </m:r>
          <m:r>
            <m:t>  </m:t>
          </m:r>
          <m:r>
            <m:rPr>
              <m:nor/>
              <m:sty m:val="p"/>
            </m:rPr>
            <m:t>(A4f)</m:t>
          </m:r>
        </m:oMath>
      </m:oMathPara>
    </w:p>
    <w:p>
      <w:pPr>
        <w:pStyle w:val="FirstParagraph"/>
      </w:pPr>
      <w:r>
        <w:t xml:space="preserve">若限制越严格取值越大，对“外资参与程度越高”的结果通常预期</w:t>
      </w:r>
      <w:r>
        <w:t xml:space="preserve"> </w:t>
      </w:r>
      <m:oMath>
        <m:sSub>
          <m:e>
            <m:r>
              <m:t>β</m:t>
            </m:r>
          </m:e>
          <m:sub>
            <m:r>
              <m:t>k</m:t>
            </m:r>
          </m:sub>
        </m:sSub>
        <m:r>
          <m:rPr>
            <m:sty m:val="p"/>
          </m:rPr>
          <m:t>&lt;</m:t>
        </m:r>
        <m:r>
          <m:t>0</m:t>
        </m:r>
      </m:oMath>
      <w:r>
        <w:t xml:space="preserve">。若</w:t>
      </w:r>
      <w:r>
        <w:t xml:space="preserve"> </w:t>
      </w:r>
      <m:oMath>
        <m:sSub>
          <m:e>
            <m:r>
              <m:t>Y</m:t>
            </m:r>
          </m:e>
          <m:sub>
            <m:r>
              <m:t>f</m:t>
            </m:r>
            <m:r>
              <m:t>t</m:t>
            </m:r>
          </m:sub>
        </m:sSub>
      </m:oMath>
      <w:r>
        <w:t xml:space="preserve"> </w:t>
      </w:r>
      <w:r>
        <w:t xml:space="preserve">是外资持股比例，聚合后得到的是“行业加权平均外资持股比例”的变化，例如由 20% 升至 25% 应表述为提高 5 个百分点；它不能直接改称“外资生产份额”。因此，外资持股比例主要用于微观行为验证，除非另行建立其与外资生产份额的映射。</w:t>
      </w:r>
    </w:p>
    <w:p>
      <w:pPr>
        <w:pStyle w:val="a0"/>
      </w:pPr>
      <w:r>
        <w:t xml:space="preserve">为与结构模型对接，令</w:t>
      </w:r>
      <w:r>
        <w:t xml:space="preserve"> </w:t>
      </w:r>
      <m:oMath>
        <m:sSub>
          <m:e>
            <m:r>
              <m:t>S</m:t>
            </m:r>
          </m:e>
          <m:sub>
            <m:r>
              <m:t>f</m:t>
            </m:r>
            <m:r>
              <m:t>0</m:t>
            </m:r>
          </m:sub>
        </m:sSub>
      </m:oMath>
      <w:r>
        <w:t xml:space="preserve"> </w:t>
      </w:r>
      <w:r>
        <w:t xml:space="preserve">为统一基期企业产出或销售额，定义固定权重</w:t>
      </w:r>
      <w:r>
        <w:t xml:space="preserve"> </w:t>
      </w:r>
      <m:oMath>
        <m:sSub>
          <m:e>
            <m:r>
              <m:t>ω</m:t>
            </m:r>
          </m:e>
          <m:sub>
            <m:r>
              <m:t>f</m:t>
            </m:r>
            <m:r>
              <m:t>j</m:t>
            </m:r>
            <m:r>
              <m:rPr>
                <m:sty m:val="p"/>
              </m:rPr>
              <m:t>,</m:t>
            </m:r>
            <m:r>
              <m:t>0</m:t>
            </m:r>
          </m:sub>
        </m:sSub>
        <m:r>
          <m:rPr>
            <m:sty m:val="p"/>
          </m:rPr>
          <m:t>=</m:t>
        </m:r>
        <m:sSub>
          <m:e>
            <m:r>
              <m:t>S</m:t>
            </m:r>
          </m:e>
          <m:sub>
            <m:r>
              <m:t>f</m:t>
            </m:r>
            <m:r>
              <m:t>0</m:t>
            </m:r>
          </m:sub>
        </m:sSub>
        <m:r>
          <m:rPr>
            <m:sty m:val="p"/>
          </m:rPr>
          <m:t>/</m:t>
        </m:r>
        <m:nary>
          <m:naryPr>
            <m:chr m:val="∑"/>
            <m:limLoc m:val="undOvr"/>
            <m:subHide m:val="off"/>
            <m:supHide m:val="on"/>
          </m:naryPr>
          <m:sub>
            <m:r>
              <m:t>f</m:t>
            </m:r>
            <m:r>
              <m:rPr>
                <m:sty m:val="p"/>
              </m:rPr>
              <m:t>′</m:t>
            </m:r>
            <m:r>
              <m:rPr>
                <m:sty m:val="p"/>
              </m:rPr>
              <m:t>∈</m:t>
            </m:r>
            <m:r>
              <m:t>j</m:t>
            </m:r>
          </m:sub>
          <m:sup>
            <m:r>
              <m:t>​</m:t>
            </m:r>
          </m:sup>
          <m:e>
            <m:sSub>
              <m:e>
                <m:r>
                  <m:t>S</m:t>
                </m:r>
              </m:e>
              <m:sub>
                <m:r>
                  <m:t>f</m:t>
                </m:r>
                <m:r>
                  <m:rPr>
                    <m:sty m:val="p"/>
                  </m:rPr>
                  <m:t>′</m:t>
                </m:r>
                <m:r>
                  <m:t>0</m:t>
                </m:r>
              </m:sub>
            </m:sSub>
          </m:e>
        </m:nary>
      </m:oMath>
      <w:r>
        <w:t xml:space="preserve">。当</w:t>
      </w:r>
      <w:r>
        <w:t xml:space="preserve"> </w:t>
      </w:r>
      <m:oMath>
        <m:sSub>
          <m:e>
            <m:r>
              <m:t>Y</m:t>
            </m:r>
          </m:e>
          <m:sub>
            <m:r>
              <m:t>f</m:t>
            </m:r>
            <m:r>
              <m:t>t</m:t>
            </m:r>
          </m:sub>
        </m:sSub>
        <m:r>
          <m:rPr>
            <m:sty m:val="p"/>
          </m:rPr>
          <m:t>=</m:t>
        </m:r>
        <m:sSubSup>
          <m:e>
            <m:r>
              <m:t>D</m:t>
            </m:r>
          </m:e>
          <m:sub>
            <m:r>
              <m:t>f</m:t>
            </m:r>
            <m:r>
              <m:t>t</m:t>
            </m:r>
          </m:sub>
          <m:sup>
            <m:r>
              <m:t>F</m:t>
            </m:r>
          </m:sup>
        </m:sSubSup>
      </m:oMath>
      <w:r>
        <w:t xml:space="preserve"> </w:t>
      </w:r>
      <w:r>
        <w:t xml:space="preserve">时，企业数据中的外资生产份额可写为</w:t>
      </w:r>
      <w:r>
        <w:t xml:space="preserve"> </w:t>
      </w:r>
      <m:oMath>
        <m:sSubSup>
          <m:e>
            <m:r>
              <m:t>M</m:t>
            </m:r>
          </m:e>
          <m:sub>
            <m:r>
              <m:t>j</m:t>
            </m:r>
            <m:r>
              <m:t>t</m:t>
            </m:r>
          </m:sub>
          <m:sup>
            <m:r>
              <m:t>m</m:t>
            </m:r>
            <m:r>
              <m:t>i</m:t>
            </m:r>
            <m:r>
              <m:t>c</m:t>
            </m:r>
            <m:r>
              <m:t>r</m:t>
            </m:r>
            <m:r>
              <m:t>o</m:t>
            </m:r>
          </m:sup>
        </m:sSubSup>
        <m:r>
          <m:rPr>
            <m:sty m:val="p"/>
          </m:rPr>
          <m:t>=</m:t>
        </m:r>
        <m:nary>
          <m:naryPr>
            <m:chr m:val="∑"/>
            <m:limLoc m:val="undOvr"/>
            <m:subHide m:val="off"/>
            <m:supHide m:val="on"/>
          </m:naryPr>
          <m:sub>
            <m:r>
              <m:t>f</m:t>
            </m:r>
            <m:r>
              <m:rPr>
                <m:sty m:val="p"/>
              </m:rPr>
              <m:t>∈</m:t>
            </m:r>
            <m:r>
              <m:t>j</m:t>
            </m:r>
          </m:sub>
          <m:sup>
            <m:r>
              <m:t>​</m:t>
            </m:r>
          </m:sup>
          <m:e>
            <m:sSub>
              <m:e>
                <m:r>
                  <m:t>ω</m:t>
                </m:r>
              </m:e>
              <m:sub>
                <m:r>
                  <m:t>f</m:t>
                </m:r>
                <m:r>
                  <m:t>j</m:t>
                </m:r>
                <m:r>
                  <m:rPr>
                    <m:sty m:val="p"/>
                  </m:rPr>
                  <m:t>,</m:t>
                </m:r>
                <m:r>
                  <m:t>0</m:t>
                </m:r>
              </m:sub>
            </m:sSub>
          </m:e>
        </m:nary>
        <m:sSubSup>
          <m:e>
            <m:r>
              <m:t>D</m:t>
            </m:r>
          </m:e>
          <m:sub>
            <m:r>
              <m:t>f</m:t>
            </m:r>
            <m:r>
              <m:t>t</m:t>
            </m:r>
          </m:sub>
          <m:sup>
            <m:r>
              <m:t>F</m:t>
            </m:r>
          </m:sup>
        </m:sSubSup>
      </m:oMath>
      <w:r>
        <w:t xml:space="preserve">。第</w:t>
      </w:r>
      <w:r>
        <w:t xml:space="preserve"> </w:t>
      </w:r>
      <m:oMath>
        <m:r>
          <m:t>k</m:t>
        </m:r>
      </m:oMath>
      <w:r>
        <w:t xml:space="preserve"> </w:t>
      </w:r>
      <w:r>
        <w:t xml:space="preserve">类改革诱发的份额变化为</w:t>
      </w:r>
    </w:p>
    <w:p>
      <w:pPr>
        <w:pStyle w:val="a0"/>
      </w:pPr>
      <m:oMathPara>
        <m:oMathParaPr>
          <m:jc m:val="center"/>
        </m:oMathParaPr>
        <m:oMath>
          <m:sSubSup>
            <m:e>
              <m:acc>
                <m:accPr>
                  <m:chr m:val="̂"/>
                </m:accPr>
                <m:e>
                  <m:r>
                    <m:t>Δ</m:t>
                  </m:r>
                  <m:r>
                    <m:t>M</m:t>
                  </m:r>
                </m:e>
              </m:acc>
            </m:e>
            <m:sub>
              <m:r>
                <m:t>j</m:t>
              </m:r>
              <m:r>
                <m:t>t</m:t>
              </m:r>
            </m:sub>
            <m:sup>
              <m:r>
                <m:t>m</m:t>
              </m:r>
              <m:r>
                <m:t>i</m:t>
              </m:r>
              <m:r>
                <m:t>c</m:t>
              </m:r>
              <m:r>
                <m:t>r</m:t>
              </m:r>
              <m:r>
                <m:t>o</m:t>
              </m:r>
              <m:r>
                <m:rPr>
                  <m:sty m:val="p"/>
                </m:rPr>
                <m:t>,</m:t>
              </m:r>
              <m:r>
                <m:t>k</m:t>
              </m:r>
            </m:sup>
          </m:sSubSup>
          <m:r>
            <m:rPr>
              <m:sty m:val="p"/>
            </m:rPr>
            <m:t>=</m:t>
          </m:r>
          <m:nary>
            <m:naryPr>
              <m:chr m:val="∑"/>
              <m:limLoc m:val="undOvr"/>
              <m:subHide m:val="off"/>
              <m:supHide m:val="on"/>
            </m:naryPr>
            <m:sub>
              <m:r>
                <m:t>f</m:t>
              </m:r>
              <m:r>
                <m:rPr>
                  <m:sty m:val="p"/>
                </m:rPr>
                <m:t>∈</m:t>
              </m:r>
              <m:r>
                <m:t>j</m:t>
              </m:r>
            </m:sub>
            <m:sup>
              <m:r>
                <m:t>​</m:t>
              </m:r>
            </m:sup>
            <m:e>
              <m:sSub>
                <m:e>
                  <m:r>
                    <m:t>ω</m:t>
                  </m:r>
                </m:e>
                <m:sub>
                  <m:r>
                    <m:t>f</m:t>
                  </m:r>
                  <m:r>
                    <m:t>j</m:t>
                  </m:r>
                  <m:r>
                    <m:rPr>
                      <m:sty m:val="p"/>
                    </m:rPr>
                    <m:t>,</m:t>
                  </m:r>
                  <m:r>
                    <m:t>0</m:t>
                  </m:r>
                </m:sub>
              </m:sSub>
            </m:e>
          </m:nary>
          <m:sSubSup>
            <m:e>
              <m:acc>
                <m:accPr>
                  <m:chr m:val="̂"/>
                </m:accPr>
                <m:e>
                  <m:r>
                    <m:t>β</m:t>
                  </m:r>
                </m:e>
              </m:acc>
            </m:e>
            <m:sub>
              <m:r>
                <m:t>k</m:t>
              </m:r>
            </m:sub>
            <m:sup>
              <m:r>
                <m:t>D</m:t>
              </m:r>
            </m:sup>
          </m:sSubSup>
          <m:d>
            <m:dPr>
              <m:begChr m:val="("/>
              <m:endChr m:val=")"/>
              <m:sepChr m:val=""/>
              <m:grow/>
            </m:dPr>
            <m:e>
              <m:sSubSup>
                <m:e>
                  <m:r>
                    <m:t>Z</m:t>
                  </m:r>
                </m:e>
                <m:sub>
                  <m:r>
                    <m:t>f</m:t>
                  </m:r>
                  <m:r>
                    <m:rPr>
                      <m:sty m:val="p"/>
                    </m:rPr>
                    <m:t>,</m:t>
                  </m:r>
                  <m:sSub>
                    <m:e>
                      <m:r>
                        <m:t>t</m:t>
                      </m:r>
                    </m:e>
                    <m:sub>
                      <m:r>
                        <m:t>1</m:t>
                      </m:r>
                    </m:sub>
                  </m:sSub>
                </m:sub>
                <m:sup>
                  <m:r>
                    <m:t>k</m:t>
                  </m:r>
                </m:sup>
              </m:sSubSup>
              <m:r>
                <m:rPr>
                  <m:sty m:val="p"/>
                </m:rPr>
                <m:t>−</m:t>
              </m:r>
              <m:sSubSup>
                <m:e>
                  <m:r>
                    <m:t>Z</m:t>
                  </m:r>
                </m:e>
                <m:sub>
                  <m:r>
                    <m:t>f</m:t>
                  </m:r>
                  <m:r>
                    <m:rPr>
                      <m:sty m:val="p"/>
                    </m:rPr>
                    <m:t>,</m:t>
                  </m:r>
                  <m:sSub>
                    <m:e>
                      <m:r>
                        <m:t>t</m:t>
                      </m:r>
                    </m:e>
                    <m:sub>
                      <m:r>
                        <m:t>0</m:t>
                      </m:r>
                    </m:sub>
                  </m:sSub>
                </m:sub>
                <m:sup>
                  <m:r>
                    <m:t>k</m:t>
                  </m:r>
                </m:sup>
              </m:sSubSup>
            </m:e>
          </m:d>
          <m:r>
            <m:rPr>
              <m:sty m:val="p"/>
            </m:rPr>
            <m:t>.</m:t>
          </m:r>
          <m:r>
            <m:t>  </m:t>
          </m:r>
          <m:r>
            <m:rPr>
              <m:nor/>
              <m:sty m:val="p"/>
            </m:rPr>
            <m:t>(A5)</m:t>
          </m:r>
        </m:oMath>
      </m:oMathPara>
    </w:p>
    <w:p>
      <w:pPr>
        <w:pStyle w:val="FirstParagraph"/>
      </w:pPr>
      <w:r>
        <w:t xml:space="preserve">式（A5）使用固定基期权重，目的是把政策引起的企业所有权/进入变化转成与结构模型可比的外资生产份额变化，而不让企业规模自身的同期变化混入第一步识别。若企业数据无法形成与 AMNE 定义可比的外资控制口径，则不强行进行成本反演，只把外资持股等结果作为微观有效性检验。</w:t>
      </w:r>
    </w:p>
    <w:bookmarkEnd w:id="27"/>
    <w:bookmarkStart w:id="28" w:name="a.3.3-由外资生产份额反演制度型-mp-成本"/>
    <w:p>
      <w:pPr>
        <w:pStyle w:val="3"/>
      </w:pPr>
      <w:r>
        <w:t xml:space="preserve">A.3.3　由外资生产份额反演制度型 MP 成本</w:t>
      </w:r>
    </w:p>
    <w:p>
      <w:pPr>
        <w:pStyle w:val="FirstParagraph"/>
      </w:pPr>
      <w:r>
        <w:t xml:space="preserve">第二篇文献经验部分的制度型跨国投资成本为</w:t>
      </w:r>
      <w:r>
        <w:t xml:space="preserve"> </w:t>
      </w:r>
      <m:oMath>
        <m:r>
          <m:t>I</m:t>
        </m:r>
        <m:r>
          <m:t>M</m:t>
        </m:r>
        <m:r>
          <m:t>P</m:t>
        </m:r>
        <m:r>
          <m:t>C</m:t>
        </m:r>
        <m:r>
          <m:rPr>
            <m:sty m:val="p"/>
          </m:rPr>
          <m:t>=</m:t>
        </m:r>
        <m:r>
          <m:t>γ</m:t>
        </m:r>
        <m:r>
          <m:rPr>
            <m:sty m:val="p"/>
          </m:rPr>
          <m:t>/</m:t>
        </m:r>
        <m:r>
          <m:t>m</m:t>
        </m:r>
      </m:oMath>
      <w:r>
        <w:t xml:space="preserve">，其中</w:t>
      </w:r>
      <w:r>
        <w:t xml:space="preserve"> </w:t>
      </w:r>
      <m:oMath>
        <m:r>
          <m:t>γ</m:t>
        </m:r>
      </m:oMath>
      <w:r>
        <w:t xml:space="preserve"> </w:t>
      </w:r>
      <w:r>
        <w:t xml:space="preserve">为总跨国投资成本，</w:t>
      </w:r>
      <m:oMath>
        <m:r>
          <m:t>m</m:t>
        </m:r>
      </m:oMath>
      <w:r>
        <w:t xml:space="preserve"> </w:t>
      </w:r>
      <w:r>
        <w:t xml:space="preserve">为由地理距离等客观因素拟合的成本部分。本文希望得到的是负面清单改革对应的</w:t>
      </w:r>
      <w:r>
        <w:t xml:space="preserve"> </w:t>
      </w:r>
      <m:oMath>
        <m:r>
          <m:t>Δ</m:t>
        </m:r>
        <m:r>
          <m:rPr>
            <m:sty m:val="p"/>
          </m:rPr>
          <m:t>ln</m:t>
        </m:r>
        <m:r>
          <m:t>I</m:t>
        </m:r>
        <m:r>
          <m:t>M</m:t>
        </m:r>
        <m:r>
          <m:t>P</m:t>
        </m:r>
        <m:sSub>
          <m:e>
            <m:r>
              <m:t>C</m:t>
            </m:r>
          </m:e>
          <m:sub>
            <m:r>
              <m:t>C</m:t>
            </m:r>
            <m:r>
              <m:t>j</m:t>
            </m:r>
          </m:sub>
        </m:sSub>
      </m:oMath>
      <w:r>
        <w:t xml:space="preserve">。更严格地说，它是在结构映射归一化下、以该经验成本口径报告的制度型 MP 成本变化，而不是由 LLM 直接测出的</w:t>
      </w:r>
      <w:r>
        <w:t xml:space="preserve"> </w:t>
      </w:r>
      <m:oMath>
        <m:r>
          <m:t>I</m:t>
        </m:r>
        <m:r>
          <m:t>M</m:t>
        </m:r>
        <m:r>
          <m:t>P</m:t>
        </m:r>
        <m:r>
          <m:t>C</m:t>
        </m:r>
      </m:oMath>
      <w:r>
        <w:t xml:space="preserve">。</w:t>
      </w:r>
    </w:p>
    <w:p>
      <w:pPr>
        <w:pStyle w:val="a0"/>
      </w:pPr>
      <w:r>
        <w:t xml:space="preserve">结构模型中，</w:t>
      </w:r>
      <m:oMath>
        <m:sSubSup>
          <m:e>
            <m:r>
              <m:t>X</m:t>
            </m:r>
          </m:e>
          <m:sub>
            <m:r>
              <m:t>n</m:t>
            </m:r>
            <m:r>
              <m:t>C</m:t>
            </m:r>
            <m:r>
              <m:t>m</m:t>
            </m:r>
          </m:sub>
          <m:sup>
            <m:r>
              <m:t>j</m:t>
            </m:r>
          </m:sup>
        </m:sSubSup>
      </m:oMath>
      <w:r>
        <w:t xml:space="preserve"> </w:t>
      </w:r>
      <w:r>
        <w:t xml:space="preserve">表示母国</w:t>
      </w:r>
      <w:r>
        <w:t xml:space="preserve"> </w:t>
      </w:r>
      <m:oMath>
        <m:r>
          <m:t>m</m:t>
        </m:r>
      </m:oMath>
      <w:r>
        <w:t xml:space="preserve"> </w:t>
      </w:r>
      <w:r>
        <w:t xml:space="preserve">的企业在中国</w:t>
      </w:r>
      <w:r>
        <w:t xml:space="preserve"> </w:t>
      </w:r>
      <m:oMath>
        <m:r>
          <m:t>C</m:t>
        </m:r>
      </m:oMath>
      <w:r>
        <w:t xml:space="preserve"> </w:t>
      </w:r>
      <w:r>
        <w:t xml:space="preserve">生产并向目的国</w:t>
      </w:r>
      <w:r>
        <w:t xml:space="preserve"> </w:t>
      </w:r>
      <m:oMath>
        <m:r>
          <m:t>n</m:t>
        </m:r>
      </m:oMath>
      <w:r>
        <w:t xml:space="preserve"> </w:t>
      </w:r>
      <w:r>
        <w:t xml:space="preserve">销售的</w:t>
      </w:r>
      <w:r>
        <w:t xml:space="preserve"> </w:t>
      </w:r>
      <m:oMath>
        <m:r>
          <m:t>j</m:t>
        </m:r>
      </m:oMath>
      <w:r>
        <w:t xml:space="preserve"> </w:t>
      </w:r>
      <w:r>
        <w:t xml:space="preserve">行业三边流量。因此，基准期中国行业</w:t>
      </w:r>
      <w:r>
        <w:t xml:space="preserve"> </w:t>
      </w:r>
      <m:oMath>
        <m:r>
          <m:t>j</m:t>
        </m:r>
      </m:oMath>
      <w:r>
        <w:t xml:space="preserve"> </w:t>
      </w:r>
      <w:r>
        <w:t xml:space="preserve">的外国企业生产份额定义为</w:t>
      </w:r>
    </w:p>
    <w:p>
      <w:pPr>
        <w:pStyle w:val="a0"/>
      </w:pPr>
      <m:oMathPara>
        <m:oMathParaPr>
          <m:jc m:val="center"/>
        </m:oMathParaPr>
        <m:oMath>
          <m:sSubSup>
            <m:e>
              <m:r>
                <m:t>M</m:t>
              </m:r>
            </m:e>
            <m:sub>
              <m:r>
                <m:t>j</m:t>
              </m:r>
            </m:sub>
            <m:sup>
              <m:r>
                <m:t>m</m:t>
              </m:r>
              <m:r>
                <m:t>o</m:t>
              </m:r>
              <m:r>
                <m:t>d</m:t>
              </m:r>
              <m:r>
                <m:t>e</m:t>
              </m:r>
              <m:r>
                <m:t>l</m:t>
              </m:r>
              <m:r>
                <m:rPr>
                  <m:sty m:val="p"/>
                </m:rPr>
                <m:t>,</m:t>
              </m:r>
              <m:r>
                <m:t>0</m:t>
              </m:r>
            </m:sup>
          </m:sSubSup>
          <m:r>
            <m:rPr>
              <m:sty m:val="p"/>
            </m:rPr>
            <m:t>=</m:t>
          </m:r>
          <m:f>
            <m:fPr>
              <m:type m:val="bar"/>
            </m:fPr>
            <m:num>
              <m:nary>
                <m:naryPr>
                  <m:chr m:val="∑"/>
                  <m:limLoc m:val="undOvr"/>
                  <m:subHide m:val="off"/>
                  <m:supHide m:val="on"/>
                </m:naryPr>
                <m:sub>
                  <m:r>
                    <m:t>m</m:t>
                  </m:r>
                  <m:r>
                    <m:rPr>
                      <m:sty m:val="p"/>
                    </m:rPr>
                    <m:t>≠</m:t>
                  </m:r>
                  <m:r>
                    <m:t>C</m:t>
                  </m:r>
                </m:sub>
                <m:sup>
                  <m:r>
                    <m:t>​</m:t>
                  </m:r>
                </m:sup>
                <m:e>
                  <m:nary>
                    <m:naryPr>
                      <m:chr m:val="∑"/>
                      <m:limLoc m:val="undOvr"/>
                      <m:subHide m:val="off"/>
                      <m:supHide m:val="on"/>
                    </m:naryPr>
                    <m:sub>
                      <m:r>
                        <m:t>n</m:t>
                      </m:r>
                    </m:sub>
                    <m:sup>
                      <m:r>
                        <m:t>​</m:t>
                      </m:r>
                    </m:sup>
                    <m:e>
                      <m:sSubSup>
                        <m:e>
                          <m:r>
                            <m:t>X</m:t>
                          </m:r>
                        </m:e>
                        <m:sub>
                          <m:r>
                            <m:t>n</m:t>
                          </m:r>
                          <m:r>
                            <m:t>C</m:t>
                          </m:r>
                          <m:r>
                            <m:t>m</m:t>
                          </m:r>
                        </m:sub>
                        <m:sup>
                          <m:r>
                            <m:t>j</m:t>
                          </m:r>
                          <m:r>
                            <m:rPr>
                              <m:sty m:val="p"/>
                            </m:rPr>
                            <m:t>,</m:t>
                          </m:r>
                          <m:r>
                            <m:t>0</m:t>
                          </m:r>
                        </m:sup>
                      </m:sSubSup>
                    </m:e>
                  </m:nary>
                </m:e>
              </m:nary>
            </m:num>
            <m:den>
              <m:nary>
                <m:naryPr>
                  <m:chr m:val="∑"/>
                  <m:limLoc m:val="undOvr"/>
                  <m:subHide m:val="off"/>
                  <m:supHide m:val="on"/>
                </m:naryPr>
                <m:sub>
                  <m:r>
                    <m:t>m</m:t>
                  </m:r>
                </m:sub>
                <m:sup>
                  <m:r>
                    <m:t>​</m:t>
                  </m:r>
                </m:sup>
                <m:e>
                  <m:nary>
                    <m:naryPr>
                      <m:chr m:val="∑"/>
                      <m:limLoc m:val="undOvr"/>
                      <m:subHide m:val="off"/>
                      <m:supHide m:val="on"/>
                    </m:naryPr>
                    <m:sub>
                      <m:r>
                        <m:t>n</m:t>
                      </m:r>
                    </m:sub>
                    <m:sup>
                      <m:r>
                        <m:t>​</m:t>
                      </m:r>
                    </m:sup>
                    <m:e>
                      <m:sSubSup>
                        <m:e>
                          <m:r>
                            <m:t>X</m:t>
                          </m:r>
                        </m:e>
                        <m:sub>
                          <m:r>
                            <m:t>n</m:t>
                          </m:r>
                          <m:r>
                            <m:t>C</m:t>
                          </m:r>
                          <m:r>
                            <m:t>m</m:t>
                          </m:r>
                        </m:sub>
                        <m:sup>
                          <m:r>
                            <m:t>j</m:t>
                          </m:r>
                          <m:r>
                            <m:rPr>
                              <m:sty m:val="p"/>
                            </m:rPr>
                            <m:t>,</m:t>
                          </m:r>
                          <m:r>
                            <m:t>0</m:t>
                          </m:r>
                        </m:sup>
                      </m:sSubSup>
                    </m:e>
                  </m:nary>
                </m:e>
              </m:nary>
            </m:den>
          </m:f>
          <m:r>
            <m:rPr>
              <m:sty m:val="p"/>
            </m:rPr>
            <m:t>.</m:t>
          </m:r>
          <m:r>
            <m:t>  </m:t>
          </m:r>
          <m:r>
            <m:rPr>
              <m:nor/>
              <m:sty m:val="p"/>
            </m:rPr>
            <m:t>(A6)</m:t>
          </m:r>
        </m:oMath>
      </m:oMathPara>
    </w:p>
    <w:p>
      <w:pPr>
        <w:pStyle w:val="FirstParagraph"/>
      </w:pPr>
      <w:r>
        <w:t xml:space="preserve">给定一个候选成本变化</w:t>
      </w:r>
      <w:r>
        <w:t xml:space="preserve"> </w:t>
      </w:r>
      <m:oMath>
        <m:r>
          <m:t>δ</m:t>
        </m:r>
        <m:r>
          <m:rPr>
            <m:sty m:val="p"/>
          </m:rPr>
          <m:t>=</m:t>
        </m:r>
        <m:r>
          <m:t>Δ</m:t>
        </m:r>
        <m:r>
          <m:rPr>
            <m:sty m:val="p"/>
          </m:rPr>
          <m:t>ln</m:t>
        </m:r>
        <m:r>
          <m:t>I</m:t>
        </m:r>
        <m:r>
          <m:t>M</m:t>
        </m:r>
        <m:r>
          <m:t>P</m:t>
        </m:r>
        <m:sSub>
          <m:e>
            <m:r>
              <m:t>C</m:t>
            </m:r>
          </m:e>
          <m:sub>
            <m:r>
              <m:t>C</m:t>
            </m:r>
            <m:r>
              <m:t>j</m:t>
            </m:r>
          </m:sub>
        </m:sSub>
      </m:oMath>
      <w:r>
        <w:t xml:space="preserve">，对所有外国母国</w:t>
      </w:r>
      <w:r>
        <w:t xml:space="preserve"> </w:t>
      </w:r>
      <m:oMath>
        <m:r>
          <m:t>m</m:t>
        </m:r>
        <m:r>
          <m:rPr>
            <m:sty m:val="p"/>
          </m:rPr>
          <m:t>≠</m:t>
        </m:r>
        <m:r>
          <m:t>C</m:t>
        </m:r>
      </m:oMath>
      <w:r>
        <w:t xml:space="preserve"> </w:t>
      </w:r>
      <w:r>
        <w:t xml:space="preserve">施加同一中国行业冲击。A.3.3 只计算该成本冲击对生产地选择的局部结构响应：工资、价格指数、贸易成本和各市场总支出暂时固定在基准值。通过 A.5.1 的经验成本—结构楔子转换得到相对单位成本</w:t>
      </w:r>
      <w:r>
        <w:t xml:space="preserve"> </w:t>
      </w:r>
      <m:oMath>
        <m:sSubSup>
          <m:e>
            <m:acc>
              <m:accPr>
                <m:chr m:val="̂"/>
              </m:accPr>
              <m:e>
                <m:r>
                  <m:t>c</m:t>
                </m:r>
              </m:e>
            </m:acc>
          </m:e>
          <m:sub>
            <m:r>
              <m:t>l</m:t>
            </m:r>
            <m:r>
              <m:t>m</m:t>
            </m:r>
          </m:sub>
          <m:sup>
            <m:r>
              <m:t>j</m:t>
            </m:r>
          </m:sup>
        </m:sSubSup>
        <m:d>
          <m:dPr>
            <m:begChr m:val="("/>
            <m:endChr m:val=")"/>
            <m:sepChr m:val=""/>
            <m:grow/>
          </m:dPr>
          <m:e>
            <m:r>
              <m:t>δ</m:t>
            </m:r>
          </m:e>
        </m:d>
      </m:oMath>
      <w:r>
        <w:t xml:space="preserve"> </w:t>
      </w:r>
      <w:r>
        <w:t xml:space="preserve">后，按第二篇文献的生产地选择结构计算</w:t>
      </w:r>
    </w:p>
    <w:p>
      <w:pPr>
        <w:pStyle w:val="a0"/>
      </w:pPr>
      <m:oMathPara>
        <m:oMathParaPr>
          <m:jc m:val="center"/>
        </m:oMathParaPr>
        <m:oMath>
          <m:sSubSup>
            <m:e>
              <m:acc>
                <m:accPr>
                  <m:chr m:val="̂"/>
                </m:accPr>
                <m:e>
                  <m:r>
                    <m:t>ψ</m:t>
                  </m:r>
                </m:e>
              </m:acc>
            </m:e>
            <m:sub>
              <m:r>
                <m:t>n</m:t>
              </m:r>
              <m:r>
                <m:t>l</m:t>
              </m:r>
              <m:r>
                <m:t>m</m:t>
              </m:r>
            </m:sub>
            <m:sup>
              <m:r>
                <m:t>j</m:t>
              </m:r>
            </m:sup>
          </m:sSubSup>
          <m:d>
            <m:dPr>
              <m:begChr m:val="("/>
              <m:endChr m:val=")"/>
              <m:sepChr m:val=""/>
              <m:grow/>
            </m:dPr>
            <m:e>
              <m:r>
                <m:t>δ</m:t>
              </m:r>
            </m:e>
          </m:d>
          <m:r>
            <m:rPr>
              <m:sty m:val="p"/>
            </m:rPr>
            <m:t>=</m:t>
          </m:r>
          <m:f>
            <m:fPr>
              <m:type m:val="bar"/>
            </m:fPr>
            <m:num>
              <m:sSubSup>
                <m:e>
                  <m:acc>
                    <m:accPr>
                      <m:chr m:val="̂"/>
                    </m:accPr>
                    <m:e>
                      <m:r>
                        <m:t>c</m:t>
                      </m:r>
                    </m:e>
                  </m:acc>
                </m:e>
                <m:sub>
                  <m:r>
                    <m:t>l</m:t>
                  </m:r>
                  <m:r>
                    <m:t>m</m:t>
                  </m:r>
                </m:sub>
                <m:sup>
                  <m:r>
                    <m:t>j</m:t>
                  </m:r>
                </m:sup>
              </m:sSubSup>
              <m:sSup>
                <m:e>
                  <m:d>
                    <m:dPr>
                      <m:begChr m:val="("/>
                      <m:endChr m:val=")"/>
                      <m:sepChr m:val=""/>
                      <m:grow/>
                    </m:dPr>
                    <m:e>
                      <m:r>
                        <m:t>δ</m:t>
                      </m:r>
                    </m:e>
                  </m:d>
                </m:e>
                <m:sup>
                  <m:r>
                    <m:rPr>
                      <m:sty m:val="p"/>
                    </m:rPr>
                    <m:t>−</m:t>
                  </m:r>
                  <m:sSub>
                    <m:e>
                      <m:r>
                        <m:t>θ</m:t>
                      </m:r>
                    </m:e>
                    <m:sub>
                      <m:r>
                        <m:t>j</m:t>
                      </m:r>
                    </m:sub>
                  </m:sSub>
                  <m:r>
                    <m:rPr>
                      <m:sty m:val="p"/>
                    </m:rPr>
                    <m:t>/</m:t>
                  </m:r>
                  <m:d>
                    <m:dPr>
                      <m:begChr m:val="("/>
                      <m:endChr m:val=")"/>
                      <m:sepChr m:val=""/>
                      <m:grow/>
                    </m:dPr>
                    <m:e>
                      <m:r>
                        <m:t>1</m:t>
                      </m:r>
                      <m:r>
                        <m:rPr>
                          <m:sty m:val="p"/>
                        </m:rPr>
                        <m:t>−</m:t>
                      </m:r>
                      <m:sSub>
                        <m:e>
                          <m:r>
                            <m:t>ρ</m:t>
                          </m:r>
                        </m:e>
                        <m:sub>
                          <m:r>
                            <m:t>j</m:t>
                          </m:r>
                        </m:sub>
                      </m:sSub>
                    </m:e>
                  </m:d>
                </m:sup>
              </m:sSup>
            </m:num>
            <m:den>
              <m:nary>
                <m:naryPr>
                  <m:chr m:val="∑"/>
                  <m:limLoc m:val="undOvr"/>
                  <m:subHide m:val="off"/>
                  <m:supHide m:val="on"/>
                </m:naryPr>
                <m:sub>
                  <m:r>
                    <m:t>l</m:t>
                  </m:r>
                  <m:r>
                    <m:rPr>
                      <m:sty m:val="p"/>
                    </m:rPr>
                    <m:t>′</m:t>
                  </m:r>
                </m:sub>
                <m:sup>
                  <m:r>
                    <m:t>​</m:t>
                  </m:r>
                </m:sup>
                <m:e>
                  <m:sSubSup>
                    <m:e>
                      <m:r>
                        <m:t>ψ</m:t>
                      </m:r>
                    </m:e>
                    <m:sub>
                      <m:r>
                        <m:t>n</m:t>
                      </m:r>
                      <m:r>
                        <m:t>l</m:t>
                      </m:r>
                      <m:r>
                        <m:rPr>
                          <m:sty m:val="p"/>
                        </m:rPr>
                        <m:t>′</m:t>
                      </m:r>
                      <m:r>
                        <m:t>m</m:t>
                      </m:r>
                    </m:sub>
                    <m:sup>
                      <m:r>
                        <m:t>j</m:t>
                      </m:r>
                      <m:r>
                        <m:rPr>
                          <m:sty m:val="p"/>
                        </m:rPr>
                        <m:t>,</m:t>
                      </m:r>
                      <m:r>
                        <m:t>0</m:t>
                      </m:r>
                    </m:sup>
                  </m:sSubSup>
                </m:e>
              </m:nary>
              <m:sSubSup>
                <m:e>
                  <m:acc>
                    <m:accPr>
                      <m:chr m:val="̂"/>
                    </m:accPr>
                    <m:e>
                      <m:r>
                        <m:t>c</m:t>
                      </m:r>
                    </m:e>
                  </m:acc>
                </m:e>
                <m:sub>
                  <m:r>
                    <m:t>l</m:t>
                  </m:r>
                  <m:r>
                    <m:rPr>
                      <m:sty m:val="p"/>
                    </m:rPr>
                    <m:t>′</m:t>
                  </m:r>
                  <m:r>
                    <m:t>m</m:t>
                  </m:r>
                </m:sub>
                <m:sup>
                  <m:r>
                    <m:t>j</m:t>
                  </m:r>
                </m:sup>
              </m:sSubSup>
              <m:sSup>
                <m:e>
                  <m:d>
                    <m:dPr>
                      <m:begChr m:val="("/>
                      <m:endChr m:val=")"/>
                      <m:sepChr m:val=""/>
                      <m:grow/>
                    </m:dPr>
                    <m:e>
                      <m:r>
                        <m:t>δ</m:t>
                      </m:r>
                    </m:e>
                  </m:d>
                </m:e>
                <m:sup>
                  <m:r>
                    <m:rPr>
                      <m:sty m:val="p"/>
                    </m:rPr>
                    <m:t>−</m:t>
                  </m:r>
                  <m:sSub>
                    <m:e>
                      <m:r>
                        <m:t>θ</m:t>
                      </m:r>
                    </m:e>
                    <m:sub>
                      <m:r>
                        <m:t>j</m:t>
                      </m:r>
                    </m:sub>
                  </m:sSub>
                  <m:r>
                    <m:rPr>
                      <m:sty m:val="p"/>
                    </m:rPr>
                    <m:t>/</m:t>
                  </m:r>
                  <m:d>
                    <m:dPr>
                      <m:begChr m:val="("/>
                      <m:endChr m:val=")"/>
                      <m:sepChr m:val=""/>
                      <m:grow/>
                    </m:dPr>
                    <m:e>
                      <m:r>
                        <m:t>1</m:t>
                      </m:r>
                      <m:r>
                        <m:rPr>
                          <m:sty m:val="p"/>
                        </m:rPr>
                        <m:t>−</m:t>
                      </m:r>
                      <m:sSub>
                        <m:e>
                          <m:r>
                            <m:t>ρ</m:t>
                          </m:r>
                        </m:e>
                        <m:sub>
                          <m:r>
                            <m:t>j</m:t>
                          </m:r>
                        </m:sub>
                      </m:sSub>
                    </m:e>
                  </m:d>
                </m:sup>
              </m:sSup>
            </m:den>
          </m:f>
          <m:r>
            <m:rPr>
              <m:sty m:val="p"/>
            </m:rPr>
            <m:t>,</m:t>
          </m:r>
          <m:r>
            <m:t>  </m:t>
          </m:r>
          <m:sSubSup>
            <m:e>
              <m:r>
                <m:t>ψ</m:t>
              </m:r>
            </m:e>
            <m:sub>
              <m:r>
                <m:t>n</m:t>
              </m:r>
              <m:r>
                <m:t>l</m:t>
              </m:r>
              <m:r>
                <m:t>m</m:t>
              </m:r>
            </m:sub>
            <m:sup>
              <m:r>
                <m:t>j</m:t>
              </m:r>
              <m:r>
                <m:rPr>
                  <m:sty m:val="p"/>
                </m:rPr>
                <m:t>,</m:t>
              </m:r>
              <m:r>
                <m:t>1</m:t>
              </m:r>
            </m:sup>
          </m:sSubSup>
          <m:d>
            <m:dPr>
              <m:begChr m:val="("/>
              <m:endChr m:val=")"/>
              <m:sepChr m:val=""/>
              <m:grow/>
            </m:dPr>
            <m:e>
              <m:r>
                <m:t>δ</m:t>
              </m:r>
            </m:e>
          </m:d>
          <m:r>
            <m:rPr>
              <m:sty m:val="p"/>
            </m:rPr>
            <m:t>=</m:t>
          </m:r>
          <m:sSubSup>
            <m:e>
              <m:r>
                <m:t>ψ</m:t>
              </m:r>
            </m:e>
            <m:sub>
              <m:r>
                <m:t>n</m:t>
              </m:r>
              <m:r>
                <m:t>l</m:t>
              </m:r>
              <m:r>
                <m:t>m</m:t>
              </m:r>
            </m:sub>
            <m:sup>
              <m:r>
                <m:t>j</m:t>
              </m:r>
              <m:r>
                <m:rPr>
                  <m:sty m:val="p"/>
                </m:rPr>
                <m:t>,</m:t>
              </m:r>
              <m:r>
                <m:t>0</m:t>
              </m:r>
            </m:sup>
          </m:sSubSup>
          <m:sSubSup>
            <m:e>
              <m:acc>
                <m:accPr>
                  <m:chr m:val="̂"/>
                </m:accPr>
                <m:e>
                  <m:r>
                    <m:t>ψ</m:t>
                  </m:r>
                </m:e>
              </m:acc>
            </m:e>
            <m:sub>
              <m:r>
                <m:t>n</m:t>
              </m:r>
              <m:r>
                <m:t>l</m:t>
              </m:r>
              <m:r>
                <m:t>m</m:t>
              </m:r>
            </m:sub>
            <m:sup>
              <m:r>
                <m:t>j</m:t>
              </m:r>
            </m:sup>
          </m:sSubSup>
          <m:d>
            <m:dPr>
              <m:begChr m:val="("/>
              <m:endChr m:val=")"/>
              <m:sepChr m:val=""/>
              <m:grow/>
            </m:dPr>
            <m:e>
              <m:r>
                <m:t>δ</m:t>
              </m:r>
            </m:e>
          </m:d>
          <m:r>
            <m:rPr>
              <m:sty m:val="p"/>
            </m:rPr>
            <m:t>.</m:t>
          </m:r>
          <m:r>
            <m:t>  </m:t>
          </m:r>
          <m:r>
            <m:rPr>
              <m:nor/>
              <m:sty m:val="p"/>
            </m:rPr>
            <m:t>(A7)</m:t>
          </m:r>
        </m:oMath>
      </m:oMathPara>
    </w:p>
    <w:p>
      <w:pPr>
        <w:pStyle w:val="FirstParagraph"/>
      </w:pPr>
      <w:r>
        <w:t xml:space="preserve">在这一局部反演中，固定母国—目的国市场规模和其他一般均衡变量，因此三边流量仅按生产地份额重新配置。用更新后的</w:t>
      </w:r>
      <w:r>
        <w:t xml:space="preserve"> </w:t>
      </w:r>
      <m:oMath>
        <m:sSubSup>
          <m:e>
            <m:r>
              <m:t>X</m:t>
            </m:r>
          </m:e>
          <m:sub>
            <m:r>
              <m:t>n</m:t>
            </m:r>
            <m:r>
              <m:t>C</m:t>
            </m:r>
            <m:r>
              <m:t>m</m:t>
            </m:r>
          </m:sub>
          <m:sup>
            <m:r>
              <m:t>j</m:t>
            </m:r>
            <m:r>
              <m:rPr>
                <m:sty m:val="p"/>
              </m:rPr>
              <m:t>,</m:t>
            </m:r>
            <m:r>
              <m:t>1</m:t>
            </m:r>
          </m:sup>
        </m:sSubSup>
        <m:d>
          <m:dPr>
            <m:begChr m:val="("/>
            <m:endChr m:val=")"/>
            <m:sepChr m:val=""/>
            <m:grow/>
          </m:dPr>
          <m:e>
            <m:r>
              <m:t>δ</m:t>
            </m:r>
          </m:e>
        </m:d>
      </m:oMath>
      <w:r>
        <w:t xml:space="preserve"> </w:t>
      </w:r>
      <w:r>
        <w:t xml:space="preserve">重新计算</w:t>
      </w:r>
    </w:p>
    <w:p>
      <w:pPr>
        <w:pStyle w:val="a0"/>
      </w:pPr>
      <m:oMathPara>
        <m:oMathParaPr>
          <m:jc m:val="center"/>
        </m:oMathParaPr>
        <m:oMath>
          <m:sSubSup>
            <m:e>
              <m:r>
                <m:t>M</m:t>
              </m:r>
            </m:e>
            <m:sub>
              <m:r>
                <m:t>j</m:t>
              </m:r>
            </m:sub>
            <m:sup>
              <m:r>
                <m:t>m</m:t>
              </m:r>
              <m:r>
                <m:t>o</m:t>
              </m:r>
              <m:r>
                <m:t>d</m:t>
              </m:r>
              <m:r>
                <m:t>e</m:t>
              </m:r>
              <m:r>
                <m:t>l</m:t>
              </m:r>
              <m:r>
                <m:rPr>
                  <m:sty m:val="p"/>
                </m:rPr>
                <m:t>,</m:t>
              </m:r>
              <m:r>
                <m:t>1</m:t>
              </m:r>
            </m:sup>
          </m:sSubSup>
          <m:d>
            <m:dPr>
              <m:begChr m:val="("/>
              <m:endChr m:val=")"/>
              <m:sepChr m:val=""/>
              <m:grow/>
            </m:dPr>
            <m:e>
              <m:r>
                <m:t>δ</m:t>
              </m:r>
            </m:e>
          </m:d>
          <m:r>
            <m:rPr>
              <m:sty m:val="p"/>
            </m:rPr>
            <m:t>=</m:t>
          </m:r>
          <m:f>
            <m:fPr>
              <m:type m:val="bar"/>
            </m:fPr>
            <m:num>
              <m:nary>
                <m:naryPr>
                  <m:chr m:val="∑"/>
                  <m:limLoc m:val="undOvr"/>
                  <m:subHide m:val="off"/>
                  <m:supHide m:val="on"/>
                </m:naryPr>
                <m:sub>
                  <m:r>
                    <m:t>m</m:t>
                  </m:r>
                  <m:r>
                    <m:rPr>
                      <m:sty m:val="p"/>
                    </m:rPr>
                    <m:t>≠</m:t>
                  </m:r>
                  <m:r>
                    <m:t>C</m:t>
                  </m:r>
                </m:sub>
                <m:sup>
                  <m:r>
                    <m:t>​</m:t>
                  </m:r>
                </m:sup>
                <m:e>
                  <m:nary>
                    <m:naryPr>
                      <m:chr m:val="∑"/>
                      <m:limLoc m:val="undOvr"/>
                      <m:subHide m:val="off"/>
                      <m:supHide m:val="on"/>
                    </m:naryPr>
                    <m:sub>
                      <m:r>
                        <m:t>n</m:t>
                      </m:r>
                    </m:sub>
                    <m:sup>
                      <m:r>
                        <m:t>​</m:t>
                      </m:r>
                    </m:sup>
                    <m:e>
                      <m:sSubSup>
                        <m:e>
                          <m:r>
                            <m:t>X</m:t>
                          </m:r>
                        </m:e>
                        <m:sub>
                          <m:r>
                            <m:t>n</m:t>
                          </m:r>
                          <m:r>
                            <m:t>C</m:t>
                          </m:r>
                          <m:r>
                            <m:t>m</m:t>
                          </m:r>
                        </m:sub>
                        <m:sup>
                          <m:r>
                            <m:t>j</m:t>
                          </m:r>
                          <m:r>
                            <m:rPr>
                              <m:sty m:val="p"/>
                            </m:rPr>
                            <m:t>,</m:t>
                          </m:r>
                          <m:r>
                            <m:t>1</m:t>
                          </m:r>
                        </m:sup>
                      </m:sSubSup>
                    </m:e>
                  </m:nary>
                </m:e>
              </m:nary>
              <m:d>
                <m:dPr>
                  <m:begChr m:val="("/>
                  <m:endChr m:val=")"/>
                  <m:sepChr m:val=""/>
                  <m:grow/>
                </m:dPr>
                <m:e>
                  <m:r>
                    <m:t>δ</m:t>
                  </m:r>
                </m:e>
              </m:d>
            </m:num>
            <m:den>
              <m:nary>
                <m:naryPr>
                  <m:chr m:val="∑"/>
                  <m:limLoc m:val="undOvr"/>
                  <m:subHide m:val="off"/>
                  <m:supHide m:val="on"/>
                </m:naryPr>
                <m:sub>
                  <m:r>
                    <m:t>m</m:t>
                  </m:r>
                </m:sub>
                <m:sup>
                  <m:r>
                    <m:t>​</m:t>
                  </m:r>
                </m:sup>
                <m:e>
                  <m:nary>
                    <m:naryPr>
                      <m:chr m:val="∑"/>
                      <m:limLoc m:val="undOvr"/>
                      <m:subHide m:val="off"/>
                      <m:supHide m:val="on"/>
                    </m:naryPr>
                    <m:sub>
                      <m:r>
                        <m:t>n</m:t>
                      </m:r>
                    </m:sub>
                    <m:sup>
                      <m:r>
                        <m:t>​</m:t>
                      </m:r>
                    </m:sup>
                    <m:e>
                      <m:sSubSup>
                        <m:e>
                          <m:r>
                            <m:t>X</m:t>
                          </m:r>
                        </m:e>
                        <m:sub>
                          <m:r>
                            <m:t>n</m:t>
                          </m:r>
                          <m:r>
                            <m:t>C</m:t>
                          </m:r>
                          <m:r>
                            <m:t>m</m:t>
                          </m:r>
                        </m:sub>
                        <m:sup>
                          <m:r>
                            <m:t>j</m:t>
                          </m:r>
                          <m:r>
                            <m:rPr>
                              <m:sty m:val="p"/>
                            </m:rPr>
                            <m:t>,</m:t>
                          </m:r>
                          <m:r>
                            <m:t>1</m:t>
                          </m:r>
                        </m:sup>
                      </m:sSubSup>
                    </m:e>
                  </m:nary>
                </m:e>
              </m:nary>
              <m:d>
                <m:dPr>
                  <m:begChr m:val="("/>
                  <m:endChr m:val=")"/>
                  <m:sepChr m:val=""/>
                  <m:grow/>
                </m:dPr>
                <m:e>
                  <m:r>
                    <m:t>δ</m:t>
                  </m:r>
                </m:e>
              </m:d>
            </m:den>
          </m:f>
          <m:r>
            <m:rPr>
              <m:sty m:val="p"/>
            </m:rPr>
            <m:t>,</m:t>
          </m:r>
          <m:r>
            <m:t>  </m:t>
          </m:r>
          <m:r>
            <m:t>Δ</m:t>
          </m:r>
          <m:sSubSup>
            <m:e>
              <m:r>
                <m:t>M</m:t>
              </m:r>
            </m:e>
            <m:sub>
              <m:r>
                <m:t>j</m:t>
              </m:r>
            </m:sub>
            <m:sup>
              <m:r>
                <m:t>m</m:t>
              </m:r>
              <m:r>
                <m:t>o</m:t>
              </m:r>
              <m:r>
                <m:t>d</m:t>
              </m:r>
              <m:r>
                <m:t>e</m:t>
              </m:r>
              <m:r>
                <m:t>l</m:t>
              </m:r>
            </m:sup>
          </m:sSubSup>
          <m:d>
            <m:dPr>
              <m:begChr m:val="("/>
              <m:endChr m:val=")"/>
              <m:sepChr m:val=""/>
              <m:grow/>
            </m:dPr>
            <m:e>
              <m:r>
                <m:t>δ</m:t>
              </m:r>
            </m:e>
          </m:d>
          <m:r>
            <m:rPr>
              <m:sty m:val="p"/>
            </m:rPr>
            <m:t>=</m:t>
          </m:r>
          <m:sSubSup>
            <m:e>
              <m:r>
                <m:t>M</m:t>
              </m:r>
            </m:e>
            <m:sub>
              <m:r>
                <m:t>j</m:t>
              </m:r>
            </m:sub>
            <m:sup>
              <m:r>
                <m:t>m</m:t>
              </m:r>
              <m:r>
                <m:t>o</m:t>
              </m:r>
              <m:r>
                <m:t>d</m:t>
              </m:r>
              <m:r>
                <m:t>e</m:t>
              </m:r>
              <m:r>
                <m:t>l</m:t>
              </m:r>
              <m:r>
                <m:rPr>
                  <m:sty m:val="p"/>
                </m:rPr>
                <m:t>,</m:t>
              </m:r>
              <m:r>
                <m:t>1</m:t>
              </m:r>
            </m:sup>
          </m:sSubSup>
          <m:d>
            <m:dPr>
              <m:begChr m:val="("/>
              <m:endChr m:val=")"/>
              <m:sepChr m:val=""/>
              <m:grow/>
            </m:dPr>
            <m:e>
              <m:r>
                <m:t>δ</m:t>
              </m:r>
            </m:e>
          </m:d>
          <m:r>
            <m:rPr>
              <m:sty m:val="p"/>
            </m:rPr>
            <m:t>−</m:t>
          </m:r>
          <m:sSubSup>
            <m:e>
              <m:r>
                <m:t>M</m:t>
              </m:r>
            </m:e>
            <m:sub>
              <m:r>
                <m:t>j</m:t>
              </m:r>
            </m:sub>
            <m:sup>
              <m:r>
                <m:t>m</m:t>
              </m:r>
              <m:r>
                <m:t>o</m:t>
              </m:r>
              <m:r>
                <m:t>d</m:t>
              </m:r>
              <m:r>
                <m:t>e</m:t>
              </m:r>
              <m:r>
                <m:t>l</m:t>
              </m:r>
              <m:r>
                <m:rPr>
                  <m:sty m:val="p"/>
                </m:rPr>
                <m:t>,</m:t>
              </m:r>
              <m:r>
                <m:t>0</m:t>
              </m:r>
            </m:sup>
          </m:sSubSup>
          <m:r>
            <m:rPr>
              <m:sty m:val="p"/>
            </m:rPr>
            <m:t>.</m:t>
          </m:r>
          <m:r>
            <m:t>  </m:t>
          </m:r>
          <m:r>
            <m:rPr>
              <m:nor/>
              <m:sty m:val="p"/>
            </m:rPr>
            <m:t>(A8)</m:t>
          </m:r>
        </m:oMath>
      </m:oMathPara>
    </w:p>
    <w:p>
      <w:pPr>
        <w:pStyle w:val="FirstParagraph"/>
      </w:pPr>
      <w:r>
        <w:t xml:space="preserve">随后选择能够使模型预测份额变化最接近企业微观估计的成本变化：</w:t>
      </w:r>
    </w:p>
    <w:p>
      <w:pPr>
        <w:pStyle w:val="a0"/>
      </w:pPr>
      <m:oMathPara>
        <m:oMathParaPr>
          <m:jc m:val="center"/>
        </m:oMathParaPr>
        <m:oMath>
          <m:sSubSup>
            <m:e>
              <m:acc>
                <m:accPr>
                  <m:chr m:val="̂"/>
                </m:accPr>
                <m:e>
                  <m:r>
                    <m:t>Δ</m:t>
                  </m:r>
                  <m:r>
                    <m:rPr>
                      <m:sty m:val="p"/>
                    </m:rPr>
                    <m:t>ln</m:t>
                  </m:r>
                  <m:r>
                    <m:t>I</m:t>
                  </m:r>
                  <m:r>
                    <m:t>M</m:t>
                  </m:r>
                  <m:r>
                    <m:t>P</m:t>
                  </m:r>
                  <m:r>
                    <m:t>C</m:t>
                  </m:r>
                </m:e>
              </m:acc>
            </m:e>
            <m:sub>
              <m:r>
                <m:t>C</m:t>
              </m:r>
              <m:r>
                <m:t>j</m:t>
              </m:r>
              <m:r>
                <m:t>t</m:t>
              </m:r>
            </m:sub>
            <m:sup>
              <m:r>
                <m:t>k</m:t>
              </m:r>
            </m:sup>
          </m:sSubSup>
          <m:r>
            <m:rPr>
              <m:sty m:val="p"/>
            </m:rPr>
            <m:t>=</m:t>
          </m:r>
          <m:r>
            <m:rPr>
              <m:sty m:val="p"/>
            </m:rPr>
            <m:t>arg</m:t>
          </m:r>
          <m:limLow>
            <m:e>
              <m:r>
                <m:rPr>
                  <m:sty m:val="p"/>
                </m:rPr>
                <m:t>min</m:t>
              </m:r>
            </m:e>
            <m:lim>
              <m:r>
                <m:t>δ</m:t>
              </m:r>
            </m:lim>
          </m:limLow>
          <m:sSup>
            <m:e>
              <m:d>
                <m:dPr>
                  <m:begChr m:val="["/>
                  <m:endChr m:val="]"/>
                  <m:sepChr m:val=""/>
                  <m:grow/>
                </m:dPr>
                <m:e>
                  <m:r>
                    <m:t>Δ</m:t>
                  </m:r>
                  <m:sSubSup>
                    <m:e>
                      <m:r>
                        <m:t>M</m:t>
                      </m:r>
                    </m:e>
                    <m:sub>
                      <m:r>
                        <m:t>j</m:t>
                      </m:r>
                    </m:sub>
                    <m:sup>
                      <m:r>
                        <m:t>m</m:t>
                      </m:r>
                      <m:r>
                        <m:t>o</m:t>
                      </m:r>
                      <m:r>
                        <m:t>d</m:t>
                      </m:r>
                      <m:r>
                        <m:t>e</m:t>
                      </m:r>
                      <m:r>
                        <m:t>l</m:t>
                      </m:r>
                    </m:sup>
                  </m:sSubSup>
                  <m:d>
                    <m:dPr>
                      <m:begChr m:val="("/>
                      <m:endChr m:val=")"/>
                      <m:sepChr m:val=""/>
                      <m:grow/>
                    </m:dPr>
                    <m:e>
                      <m:r>
                        <m:t>δ</m:t>
                      </m:r>
                    </m:e>
                  </m:d>
                  <m:r>
                    <m:rPr>
                      <m:sty m:val="p"/>
                    </m:rPr>
                    <m:t>−</m:t>
                  </m:r>
                  <m:sSubSup>
                    <m:e>
                      <m:acc>
                        <m:accPr>
                          <m:chr m:val="̂"/>
                        </m:accPr>
                        <m:e>
                          <m:r>
                            <m:t>Δ</m:t>
                          </m:r>
                          <m:r>
                            <m:t>M</m:t>
                          </m:r>
                        </m:e>
                      </m:acc>
                    </m:e>
                    <m:sub>
                      <m:r>
                        <m:t>j</m:t>
                      </m:r>
                      <m:r>
                        <m:t>t</m:t>
                      </m:r>
                    </m:sub>
                    <m:sup>
                      <m:r>
                        <m:t>m</m:t>
                      </m:r>
                      <m:r>
                        <m:t>i</m:t>
                      </m:r>
                      <m:r>
                        <m:t>c</m:t>
                      </m:r>
                      <m:r>
                        <m:t>r</m:t>
                      </m:r>
                      <m:r>
                        <m:t>o</m:t>
                      </m:r>
                      <m:r>
                        <m:rPr>
                          <m:sty m:val="p"/>
                        </m:rPr>
                        <m:t>,</m:t>
                      </m:r>
                      <m:r>
                        <m:t>k</m:t>
                      </m:r>
                    </m:sup>
                  </m:sSubSup>
                </m:e>
              </m:d>
            </m:e>
            <m:sup>
              <m:r>
                <m:t>2</m:t>
              </m:r>
            </m:sup>
          </m:sSup>
          <m:r>
            <m:rPr>
              <m:sty m:val="p"/>
            </m:rPr>
            <m:t>.</m:t>
          </m:r>
          <m:r>
            <m:t>  </m:t>
          </m:r>
          <m:r>
            <m:rPr>
              <m:nor/>
              <m:sty m:val="p"/>
            </m:rPr>
            <m:t>(A9)</m:t>
          </m:r>
        </m:oMath>
      </m:oMathPara>
    </w:p>
    <w:p>
      <w:pPr>
        <w:pStyle w:val="FirstParagraph"/>
      </w:pPr>
      <w:r>
        <w:t xml:space="preserve">式（A9）的含义很简单：不断尝试中国行业</w:t>
      </w:r>
      <w:r>
        <w:t xml:space="preserve"> </w:t>
      </w:r>
      <m:oMath>
        <m:r>
          <m:t>j</m:t>
        </m:r>
      </m:oMath>
      <w:r>
        <w:t xml:space="preserve"> </w:t>
      </w:r>
      <w:r>
        <w:t xml:space="preserve">的制度型 MP 成本下降幅度，直到结构模型产生的“外国企业在中国生产份额变化”与企业数据识别出的变化一致。若企业数据表明运输行业外资生产份额提高 5 个百分点，而模型需要</w:t>
      </w:r>
      <w:r>
        <w:t xml:space="preserve"> </w:t>
      </w:r>
      <m:oMath>
        <m:r>
          <m:t>Δ</m:t>
        </m:r>
        <m:r>
          <m:rPr>
            <m:sty m:val="p"/>
          </m:rPr>
          <m:t>ln</m:t>
        </m:r>
        <m:r>
          <m:t>I</m:t>
        </m:r>
        <m:r>
          <m:t>M</m:t>
        </m:r>
        <m:r>
          <m:t>P</m:t>
        </m:r>
        <m:r>
          <m:t>C</m:t>
        </m:r>
        <m:r>
          <m:rPr>
            <m:sty m:val="p"/>
          </m:rPr>
          <m:t>=</m:t>
        </m:r>
        <m:r>
          <m:rPr>
            <m:sty m:val="p"/>
          </m:rPr>
          <m:t>−</m:t>
        </m:r>
        <m:r>
          <m:t>0.09</m:t>
        </m:r>
      </m:oMath>
      <w:r>
        <w:t xml:space="preserve"> </w:t>
      </w:r>
      <w:r>
        <w:t xml:space="preserve">才能产生同样的 5 个百分点，则该改革对应的制度型 MP 成本约下降 9%。这一步只负责识别成本，不在这里同时求工资、价格和福利的一般均衡变化。</w:t>
      </w:r>
    </w:p>
    <w:bookmarkEnd w:id="28"/>
    <w:bookmarkStart w:id="29" w:name="a.3.4-amne-经验成本的宏观一致性检验"/>
    <w:p>
      <w:pPr>
        <w:pStyle w:val="3"/>
      </w:pPr>
      <w:r>
        <w:t xml:space="preserve">A.3.4　AMNE 经验成本的宏观一致性检验</w:t>
      </w:r>
    </w:p>
    <w:p>
      <w:pPr>
        <w:pStyle w:val="FirstParagraph"/>
      </w:pPr>
      <w:r>
        <w:t xml:space="preserve">仍可利用 OECD-AMNE 在所有权国—中国—行业—年份单元上尽可能复现第二篇文献的</w:t>
      </w:r>
      <w:r>
        <w:t xml:space="preserve"> </w:t>
      </w:r>
      <m:oMath>
        <m:r>
          <m:t>I</m:t>
        </m:r>
        <m:r>
          <m:t>M</m:t>
        </m:r>
        <m:r>
          <m:t>P</m:t>
        </m:r>
        <m:r>
          <m:t>C</m:t>
        </m:r>
        <m:r>
          <m:rPr>
            <m:sty m:val="p"/>
          </m:rPr>
          <m:t>=</m:t>
        </m:r>
        <m:r>
          <m:t>γ</m:t>
        </m:r>
        <m:r>
          <m:rPr>
            <m:sty m:val="p"/>
          </m:rPr>
          <m:t>/</m:t>
        </m:r>
        <m:r>
          <m:t>m</m:t>
        </m:r>
      </m:oMath>
      <w:r>
        <w:t xml:space="preserve"> </w:t>
      </w:r>
      <w:r>
        <w:t xml:space="preserve">反演，并与式（A9）反演得到的制度型 MP 成本变化比较方向、行业排序和数量级。但由于负面清单政策在同一中国行业—年份对各母国相同，AMNE 母国维度不能视为新的政策冲击，因此该回归不再承担基准识别，只作为宏观一致性检验。政策时间维度可向负面清单制度之前延伸至可连续衔接的《外商投资产业指导目录》，以增加真实改革事件。</w:t>
      </w:r>
    </w:p>
    <w:bookmarkEnd w:id="29"/>
    <w:bookmarkEnd w:id="30"/>
    <w:bookmarkStart w:id="31" w:name="a.4-禁止准入的广延边际"/>
    <w:p>
      <w:pPr>
        <w:pStyle w:val="2"/>
      </w:pPr>
      <w:r>
        <w:t xml:space="preserve">A.4　禁止准入的广延边际</w:t>
      </w:r>
    </w:p>
    <w:p>
      <w:pPr>
        <w:pStyle w:val="FirstParagraph"/>
      </w:pPr>
      <w:r>
        <w:t xml:space="preserve">禁止准入与股比、控制、组织形式、治理和其他有限限制不能视为同一连续成本的不同取值。企业层面的</w:t>
      </w:r>
      <w:r>
        <w:t xml:space="preserve"> </w:t>
      </w:r>
      <m:oMath>
        <m:sSubSup>
          <m:e>
            <m:r>
              <m:t>Z</m:t>
            </m:r>
          </m:e>
          <m:sub>
            <m:r>
              <m:t>f</m:t>
            </m:r>
            <m:r>
              <m:t>t</m:t>
            </m:r>
          </m:sub>
          <m:sup>
            <m:r>
              <m:t>P</m:t>
            </m:r>
          </m:sup>
        </m:sSubSup>
      </m:oMath>
      <w:r>
        <w:t xml:space="preserve"> </w:t>
      </w:r>
      <w:r>
        <w:t xml:space="preserve">可用于检验禁止状态是否显著抑制外资进入或外资控制，但不把其回归系数转换成某个有限</w:t>
      </w:r>
      <w:r>
        <w:t xml:space="preserve"> </w:t>
      </w:r>
      <m:oMath>
        <m:r>
          <m:t>I</m:t>
        </m:r>
        <m:r>
          <m:t>M</m:t>
        </m:r>
        <m:r>
          <m:t>P</m:t>
        </m:r>
        <m:r>
          <m:t>C</m:t>
        </m:r>
      </m:oMath>
      <w:r>
        <w:t xml:space="preserve">。</w:t>
      </w:r>
    </w:p>
    <w:p>
      <w:pPr>
        <w:pStyle w:val="a0"/>
      </w:pPr>
      <w:r>
        <w:t xml:space="preserve">当政策从“禁止”变为“允许”时，结构模型中的基准处理是把中国加入相应活动的可行生产地点集合。若存在历史存量、过渡安排或明确例外，按 exception_text 和 effective_from 单独编码。只有在数值程序暂时无法处理可行集合变化时，才用极高成本近似禁止，并把该结果作为扩展敏感性分析。</w:t>
      </w:r>
    </w:p>
    <w:bookmarkEnd w:id="31"/>
    <w:bookmarkStart w:id="34" w:name="a.5-从制度型-mp-成本等价到结构模型冲击"/>
    <w:p>
      <w:pPr>
        <w:pStyle w:val="2"/>
      </w:pPr>
      <w:r>
        <w:t>A.5　从制度型 MP 成本变化到结构模型冲击</w:t>
      </w:r>
    </w:p>
    <w:bookmarkStart w:id="32" w:name="a.5.1-经验成本与结构效率项"/>
    <w:p>
      <w:pPr>
        <w:pStyle w:val="3"/>
      </w:pPr>
      <w:r>
        <w:t xml:space="preserve">A.5.1　经验成本与结构效率项</w:t>
      </w:r>
    </w:p>
    <w:p>
      <w:pPr>
        <w:pStyle w:val="FirstParagraph"/>
      </w:pPr>
      <w:r>
        <w:t xml:space="preserve">第二篇文献用</w:t>
      </w:r>
      <w:r>
        <w:t xml:space="preserve"> </w:t>
      </w:r>
      <m:oMath>
        <m:sSubSup>
          <m:e>
            <m:r>
              <m:t>ξ</m:t>
            </m:r>
          </m:e>
          <m:sub>
            <m:r>
              <m:t>i</m:t>
            </m:r>
            <m:r>
              <m:t>m</m:t>
            </m:r>
          </m:sub>
          <m:sup>
            <m:r>
              <m:t>j</m:t>
            </m:r>
          </m:sup>
        </m:sSubSup>
      </m:oMath>
      <w:r>
        <w:t xml:space="preserve"> </w:t>
      </w:r>
      <w:r>
        <w:t xml:space="preserve">表示母国</w:t>
      </w:r>
      <w:r>
        <w:t xml:space="preserve"> </w:t>
      </w:r>
      <m:oMath>
        <m:r>
          <m:t>m</m:t>
        </m:r>
      </m:oMath>
      <w:r>
        <w:t xml:space="preserve"> </w:t>
      </w:r>
      <w:r>
        <w:t xml:space="preserve">的企业在生产国</w:t>
      </w:r>
      <w:r>
        <w:t xml:space="preserve"> </w:t>
      </w:r>
      <m:oMath>
        <m:r>
          <m:t>i</m:t>
        </m:r>
      </m:oMath>
      <w:r>
        <w:t xml:space="preserve"> </w:t>
      </w:r>
      <w:r>
        <w:t xml:space="preserve">进行跨国生产时的效率项；</w:t>
      </w:r>
      <m:oMath>
        <m:r>
          <m:t>ξ</m:t>
        </m:r>
      </m:oMath>
      <w:r>
        <w:t xml:space="preserve"> </w:t>
      </w:r>
      <w:r>
        <w:t xml:space="preserve">上升降低单位成本。为避免与经验部分“</w:t>
      </w:r>
      <m:oMath>
        <m:r>
          <m:t>I</m:t>
        </m:r>
        <m:r>
          <m:t>M</m:t>
        </m:r>
        <m:r>
          <m:t>P</m:t>
        </m:r>
        <m:r>
          <m:t>C</m:t>
        </m:r>
      </m:oMath>
      <w:r>
        <w:t xml:space="preserve"> </w:t>
      </w:r>
      <w:r>
        <w:t xml:space="preserve">越大表示成本越高”混淆，定义结构成本楔子</w:t>
      </w:r>
      <w:r>
        <w:t xml:space="preserve"> </w:t>
      </w:r>
      <m:oMath>
        <m:sSubSup>
          <m:e>
            <m:r>
              <m:t>d</m:t>
            </m:r>
          </m:e>
          <m:sub>
            <m:r>
              <m:t>i</m:t>
            </m:r>
            <m:r>
              <m:t>m</m:t>
            </m:r>
          </m:sub>
          <m:sup>
            <m:r>
              <m:t>j</m:t>
            </m:r>
          </m:sup>
        </m:sSubSup>
        <m:r>
          <m:rPr>
            <m:sty m:val="p"/>
          </m:rPr>
          <m:t>≡</m:t>
        </m:r>
        <m:r>
          <m:t>1</m:t>
        </m:r>
        <m:r>
          <m:rPr>
            <m:sty m:val="p"/>
          </m:rPr>
          <m:t>/</m:t>
        </m:r>
        <m:sSubSup>
          <m:e>
            <m:r>
              <m:t>ξ</m:t>
            </m:r>
          </m:e>
          <m:sub>
            <m:r>
              <m:t>i</m:t>
            </m:r>
            <m:r>
              <m:t>m</m:t>
            </m:r>
          </m:sub>
          <m:sup>
            <m:r>
              <m:t>j</m:t>
            </m:r>
          </m:sup>
        </m:sSubSup>
      </m:oMath>
      <w:r>
        <w:t xml:space="preserve">。二者方向相反。</w:t>
      </w:r>
    </w:p>
    <w:p>
      <w:pPr>
        <w:pStyle w:val="a0"/>
      </w:pPr>
      <w:r>
        <w:t xml:space="preserve">经验</w:t>
      </w:r>
      <w:r>
        <w:t xml:space="preserve"> </w:t>
      </w:r>
      <m:oMath>
        <m:r>
          <m:t>I</m:t>
        </m:r>
        <m:r>
          <m:t>M</m:t>
        </m:r>
        <m:r>
          <m:t>P</m:t>
        </m:r>
        <m:r>
          <m:t>C</m:t>
        </m:r>
      </m:oMath>
      <w:r>
        <w:t xml:space="preserve"> </w:t>
      </w:r>
      <w:r>
        <w:t xml:space="preserve">与结构楔子</w:t>
      </w:r>
      <w:r>
        <w:t xml:space="preserve"> </w:t>
      </w:r>
      <m:oMath>
        <m:r>
          <m:t>d</m:t>
        </m:r>
      </m:oMath>
      <w:r>
        <w:t xml:space="preserve"> </w:t>
      </w:r>
      <w:r>
        <w:t xml:space="preserve">的量纲并未由第二篇文献直接证明完全一致，因此写成显式转换：</w:t>
      </w:r>
    </w:p>
    <w:p>
      <w:pPr>
        <w:pStyle w:val="a0"/>
      </w:pPr>
      <m:oMathPara>
        <m:oMathParaPr>
          <m:jc m:val="center"/>
        </m:oMathParaPr>
        <m:oMath>
          <m:sSubSup>
            <m:e>
              <m:acc>
                <m:accPr>
                  <m:chr m:val="̂"/>
                </m:accPr>
                <m:e>
                  <m:r>
                    <m:t>d</m:t>
                  </m:r>
                </m:e>
              </m:acc>
            </m:e>
            <m:sub>
              <m:r>
                <m:t>C</m:t>
              </m:r>
              <m:r>
                <m:t>m</m:t>
              </m:r>
            </m:sub>
            <m:sup>
              <m:r>
                <m:t>j</m:t>
              </m:r>
            </m:sup>
          </m:sSubSup>
          <m:r>
            <m:rPr>
              <m:sty m:val="p"/>
            </m:rPr>
            <m:t>=</m:t>
          </m:r>
          <m:r>
            <m:rPr>
              <m:sty m:val="p"/>
            </m:rPr>
            <m:t>exp</m:t>
          </m:r>
          <m:r>
            <m:t>​</m:t>
          </m:r>
          <m:d>
            <m:dPr>
              <m:begChr m:val="("/>
              <m:endChr m:val=")"/>
              <m:sepChr m:val=""/>
              <m:grow/>
            </m:dPr>
            <m:e>
              <m:sSub>
                <m:e>
                  <m:r>
                    <m:t>ν</m:t>
                  </m:r>
                </m:e>
                <m:sub>
                  <m:r>
                    <m:t>j</m:t>
                  </m:r>
                </m:sub>
              </m:sSub>
              <m:sSub>
                <m:e>
                  <m:acc>
                    <m:accPr>
                      <m:chr m:val="̂"/>
                    </m:accPr>
                    <m:e>
                      <m:r>
                        <m:t>Δ</m:t>
                      </m:r>
                      <m:r>
                        <m:rPr>
                          <m:sty m:val="p"/>
                        </m:rPr>
                        <m:t>ln</m:t>
                      </m:r>
                      <m:r>
                        <m:t>I</m:t>
                      </m:r>
                      <m:r>
                        <m:t>M</m:t>
                      </m:r>
                      <m:r>
                        <m:t>P</m:t>
                      </m:r>
                      <m:r>
                        <m:t>C</m:t>
                      </m:r>
                    </m:e>
                  </m:acc>
                </m:e>
                <m:sub>
                  <m:r>
                    <m:t>C</m:t>
                  </m:r>
                  <m:r>
                    <m:t>j</m:t>
                  </m:r>
                </m:sub>
              </m:sSub>
            </m:e>
          </m:d>
          <m:r>
            <m:rPr>
              <m:sty m:val="p"/>
            </m:rPr>
            <m:t>,</m:t>
          </m:r>
          <m:r>
            <m:t>  </m:t>
          </m:r>
          <m:sSubSup>
            <m:e>
              <m:acc>
                <m:accPr>
                  <m:chr m:val="̂"/>
                </m:accPr>
                <m:e>
                  <m:r>
                    <m:t>ξ</m:t>
                  </m:r>
                </m:e>
              </m:acc>
            </m:e>
            <m:sub>
              <m:r>
                <m:t>C</m:t>
              </m:r>
              <m:r>
                <m:t>m</m:t>
              </m:r>
            </m:sub>
            <m:sup>
              <m:r>
                <m:t>j</m:t>
              </m:r>
            </m:sup>
          </m:sSubSup>
          <m:r>
            <m:rPr>
              <m:sty m:val="p"/>
            </m:rPr>
            <m:t>=</m:t>
          </m:r>
          <m:r>
            <m:rPr>
              <m:sty m:val="p"/>
            </m:rPr>
            <m:t>exp</m:t>
          </m:r>
          <m:r>
            <m:t>​</m:t>
          </m:r>
          <m:d>
            <m:dPr>
              <m:begChr m:val="("/>
              <m:endChr m:val=")"/>
              <m:sepChr m:val=""/>
              <m:grow/>
            </m:dPr>
            <m:e>
              <m:r>
                <m:rPr>
                  <m:sty m:val="p"/>
                </m:rPr>
                <m:t>−</m:t>
              </m:r>
              <m:sSub>
                <m:e>
                  <m:r>
                    <m:t>ν</m:t>
                  </m:r>
                </m:e>
                <m:sub>
                  <m:r>
                    <m:t>j</m:t>
                  </m:r>
                </m:sub>
              </m:sSub>
              <m:sSub>
                <m:e>
                  <m:acc>
                    <m:accPr>
                      <m:chr m:val="̂"/>
                    </m:accPr>
                    <m:e>
                      <m:r>
                        <m:t>Δ</m:t>
                      </m:r>
                      <m:r>
                        <m:rPr>
                          <m:sty m:val="p"/>
                        </m:rPr>
                        <m:t>ln</m:t>
                      </m:r>
                      <m:r>
                        <m:t>I</m:t>
                      </m:r>
                      <m:r>
                        <m:t>M</m:t>
                      </m:r>
                      <m:r>
                        <m:t>P</m:t>
                      </m:r>
                      <m:r>
                        <m:t>C</m:t>
                      </m:r>
                    </m:e>
                  </m:acc>
                </m:e>
                <m:sub>
                  <m:r>
                    <m:t>C</m:t>
                  </m:r>
                  <m:r>
                    <m:t>j</m:t>
                  </m:r>
                </m:sub>
              </m:sSub>
            </m:e>
          </m:d>
          <m:r>
            <m:rPr>
              <m:sty m:val="p"/>
            </m:rPr>
            <m:t>,</m:t>
          </m:r>
          <m:r>
            <m:t>  </m:t>
          </m:r>
          <m:r>
            <m:t>m</m:t>
          </m:r>
          <m:r>
            <m:rPr>
              <m:sty m:val="p"/>
            </m:rPr>
            <m:t>≠</m:t>
          </m:r>
          <m:r>
            <m:t>C</m:t>
          </m:r>
          <m:r>
            <m:rPr>
              <m:sty m:val="p"/>
            </m:rPr>
            <m:t>.</m:t>
          </m:r>
          <m:r>
            <m:t>  </m:t>
          </m:r>
          <m:r>
            <m:rPr>
              <m:nor/>
              <m:sty m:val="p"/>
            </m:rPr>
            <m:t>(A10)</m:t>
          </m:r>
        </m:oMath>
      </m:oMathPara>
    </w:p>
    <w:p>
      <w:pPr>
        <w:pStyle w:val="FirstParagraph"/>
      </w:pPr>
      <w:r>
        <w:t xml:space="preserve">基准取</w:t>
      </w:r>
      <w:r>
        <w:t xml:space="preserve"> </w:t>
      </w:r>
      <m:oMath>
        <m:sSub>
          <m:e>
            <m:r>
              <m:t>ν</m:t>
            </m:r>
          </m:e>
          <m:sub>
            <m:r>
              <m:t>j</m:t>
            </m:r>
          </m:sub>
        </m:sSub>
        <m:r>
          <m:rPr>
            <m:sty m:val="p"/>
          </m:rPr>
          <m:t>=</m:t>
        </m:r>
        <m:r>
          <m:t>1</m:t>
        </m:r>
      </m:oMath>
      <w:r>
        <w:t xml:space="preserve">，即以单位弹性把式（A9）的</w:t>
      </w:r>
      <w:r>
        <w:t xml:space="preserve"> </w:t>
      </w:r>
      <m:oMath>
        <m:r>
          <m:t>I</m:t>
        </m:r>
        <m:r>
          <m:t>M</m:t>
        </m:r>
        <m:r>
          <m:t>P</m:t>
        </m:r>
        <m:r>
          <m:t>C</m:t>
        </m:r>
      </m:oMath>
      <w:r>
        <w:t xml:space="preserve"> </w:t>
      </w:r>
      <w:r>
        <w:t xml:space="preserve">成本变化映射为结构成本楔子；同时报告不同</w:t>
      </w:r>
      <w:r>
        <w:t xml:space="preserve"> </w:t>
      </w:r>
      <m:oMath>
        <m:sSub>
          <m:e>
            <m:r>
              <m:t>ν</m:t>
            </m:r>
          </m:e>
          <m:sub>
            <m:r>
              <m:t>j</m:t>
            </m:r>
          </m:sub>
        </m:sSub>
      </m:oMath>
      <w:r>
        <w:t xml:space="preserve"> </w:t>
      </w:r>
      <w:r>
        <w:t xml:space="preserve">的敏感性。需要强调的是，式（A9）已经利用生产份额对成本变化进行结构匹配，因此</w:t>
      </w:r>
      <w:r>
        <w:t xml:space="preserve"> </w:t>
      </w:r>
      <m:oMath>
        <m:sSub>
          <m:e>
            <m:r>
              <m:t>ν</m:t>
            </m:r>
          </m:e>
          <m:sub>
            <m:r>
              <m:t>j</m:t>
            </m:r>
          </m:sub>
        </m:sSub>
      </m:oMath>
      <w:r>
        <w:t xml:space="preserve"> </w:t>
      </w:r>
      <w:r>
        <w:t xml:space="preserve">与</w:t>
      </w:r>
      <w:r>
        <w:t xml:space="preserve"> </w:t>
      </w:r>
      <m:oMath>
        <m:r>
          <m:t>Δ</m:t>
        </m:r>
        <m:r>
          <m:rPr>
            <m:sty m:val="p"/>
          </m:rPr>
          <m:t>ln</m:t>
        </m:r>
        <m:r>
          <m:t>I</m:t>
        </m:r>
        <m:r>
          <m:t>M</m:t>
        </m:r>
        <m:r>
          <m:t>P</m:t>
        </m:r>
        <m:r>
          <m:t>C</m:t>
        </m:r>
      </m:oMath>
      <w:r>
        <w:t xml:space="preserve"> </w:t>
      </w:r>
      <w:r>
        <w:t xml:space="preserve">不能在同一份额矩上同时自由识别；基准必须先固定或外部校准</w:t>
      </w:r>
      <w:r>
        <w:t xml:space="preserve"> </w:t>
      </w:r>
      <m:oMath>
        <m:sSub>
          <m:e>
            <m:r>
              <m:t>ν</m:t>
            </m:r>
          </m:e>
          <m:sub>
            <m:r>
              <m:t>j</m:t>
            </m:r>
          </m:sub>
        </m:sSub>
      </m:oMath>
      <w:r>
        <w:t xml:space="preserve">，再反演</w:t>
      </w:r>
      <w:r>
        <w:t xml:space="preserve"> </w:t>
      </w:r>
      <m:oMath>
        <m:r>
          <m:t>I</m:t>
        </m:r>
        <m:r>
          <m:t>M</m:t>
        </m:r>
        <m:r>
          <m:t>P</m:t>
        </m:r>
        <m:r>
          <m:t>C</m:t>
        </m:r>
      </m:oMath>
      <w:r>
        <w:t xml:space="preserve"> </w:t>
      </w:r>
      <w:r>
        <w:t xml:space="preserve">制度型 MP 成本变化。</w:t>
      </w:r>
    </w:p>
    <w:bookmarkEnd w:id="32"/>
    <w:bookmarkStart w:id="33" w:name="a.5.2-mp-only-一般均衡反事实"/>
    <w:p>
      <w:pPr>
        <w:pStyle w:val="3"/>
      </w:pPr>
      <w:r>
        <w:t xml:space="preserve">A.5.2　MP-only 一般均衡反事实</w:t>
      </w:r>
    </w:p>
    <w:p>
      <w:pPr>
        <w:pStyle w:val="FirstParagraph"/>
      </w:pPr>
      <w:r>
        <w:t xml:space="preserve">A.3.3 为了识别成本只计算生产地选择的局部响应；正式反事实则从式（A10）得到的</w:t>
      </w:r>
      <w:r>
        <w:t xml:space="preserve"> </w:t>
      </w:r>
      <m:oMath>
        <m:sSubSup>
          <m:e>
            <m:acc>
              <m:accPr>
                <m:chr m:val="̂"/>
              </m:accPr>
              <m:e>
                <m:r>
                  <m:t>ξ</m:t>
                </m:r>
              </m:e>
            </m:acc>
          </m:e>
          <m:sub>
            <m:r>
              <m:t>C</m:t>
            </m:r>
            <m:r>
              <m:t>m</m:t>
            </m:r>
          </m:sub>
          <m:sup>
            <m:r>
              <m:t>j</m:t>
            </m:r>
          </m:sup>
        </m:sSubSup>
      </m:oMath>
      <w:r>
        <w:t xml:space="preserve"> </w:t>
      </w:r>
      <w:r>
        <w:t xml:space="preserve">出发，保持贸易成本不变，仅改变所有外国母国在中国生产的跨国生产摩擦：</w:t>
      </w:r>
    </w:p>
    <w:p>
      <w:pPr>
        <w:pStyle w:val="a0"/>
      </w:pPr>
      <m:oMathPara>
        <m:oMathParaPr>
          <m:jc m:val="center"/>
        </m:oMathParaPr>
        <m:oMath>
          <m:sSubSup>
            <m:e>
              <m:acc>
                <m:accPr>
                  <m:chr m:val="̂"/>
                </m:accPr>
                <m:e>
                  <m:r>
                    <m:t>ξ</m:t>
                  </m:r>
                </m:e>
              </m:acc>
            </m:e>
            <m:sub>
              <m:r>
                <m:t>i</m:t>
              </m:r>
              <m:r>
                <m:t>m</m:t>
              </m:r>
            </m:sub>
            <m:sup>
              <m:r>
                <m:t>j</m:t>
              </m:r>
            </m:sup>
          </m:sSubSup>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exp</m:t>
                    </m:r>
                    <m:d>
                      <m:dPr>
                        <m:begChr m:val="["/>
                        <m:endChr m:val="]"/>
                        <m:sepChr m:val=""/>
                        <m:grow/>
                      </m:dPr>
                      <m:e>
                        <m:r>
                          <m:rPr>
                            <m:sty m:val="p"/>
                          </m:rPr>
                          <m:t>−</m:t>
                        </m:r>
                        <m:sSub>
                          <m:e>
                            <m:r>
                              <m:t>ν</m:t>
                            </m:r>
                          </m:e>
                          <m:sub>
                            <m:r>
                              <m:t>j</m:t>
                            </m:r>
                          </m:sub>
                        </m:sSub>
                        <m:sSub>
                          <m:e>
                            <m:acc>
                              <m:accPr>
                                <m:chr m:val="̂"/>
                              </m:accPr>
                              <m:e>
                                <m:r>
                                  <m:t>Δ</m:t>
                                </m:r>
                                <m:r>
                                  <m:rPr>
                                    <m:sty m:val="p"/>
                                  </m:rPr>
                                  <m:t>ln</m:t>
                                </m:r>
                                <m:r>
                                  <m:t>I</m:t>
                                </m:r>
                                <m:r>
                                  <m:t>M</m:t>
                                </m:r>
                                <m:r>
                                  <m:t>P</m:t>
                                </m:r>
                                <m:r>
                                  <m:t>C</m:t>
                                </m:r>
                              </m:e>
                            </m:acc>
                          </m:e>
                          <m:sub>
                            <m:r>
                              <m:t>C</m:t>
                            </m:r>
                            <m:r>
                              <m:t>j</m:t>
                            </m:r>
                          </m:sub>
                        </m:sSub>
                      </m:e>
                    </m:d>
                    <m:r>
                      <m:rPr>
                        <m:sty m:val="p"/>
                      </m:rPr>
                      <m:t>,</m:t>
                    </m:r>
                  </m:e>
                  <m:e>
                    <m:r>
                      <m:t>i</m:t>
                    </m:r>
                    <m:r>
                      <m:rPr>
                        <m:sty m:val="p"/>
                      </m:rPr>
                      <m:t>=</m:t>
                    </m:r>
                    <m:r>
                      <m:t>C</m:t>
                    </m:r>
                    <m:r>
                      <m:rPr>
                        <m:sty m:val="p"/>
                      </m:rPr>
                      <m:t>,</m:t>
                    </m:r>
                    <m:r>
                      <m:t> </m:t>
                    </m:r>
                    <m:r>
                      <m:t>m</m:t>
                    </m:r>
                    <m:r>
                      <m:rPr>
                        <m:sty m:val="p"/>
                      </m:rPr>
                      <m:t>≠</m:t>
                    </m:r>
                    <m:r>
                      <m:t>C</m:t>
                    </m:r>
                    <m:r>
                      <m:rPr>
                        <m:sty m:val="p"/>
                      </m:rPr>
                      <m:t>,</m:t>
                    </m:r>
                  </m:e>
                </m:mr>
                <m:mr>
                  <m:e>
                    <m:r>
                      <m:t>1</m:t>
                    </m:r>
                    <m:r>
                      <m:rPr>
                        <m:sty m:val="p"/>
                      </m:rPr>
                      <m:t>,</m:t>
                    </m:r>
                  </m:e>
                  <m:e>
                    <m:r>
                      <m:rPr>
                        <m:nor/>
                        <m:sty m:val="p"/>
                      </m:rPr>
                      <m:t>其他情形</m:t>
                    </m:r>
                    <m:r>
                      <m:rPr>
                        <m:sty m:val="p"/>
                      </m:rPr>
                      <m:t>.</m:t>
                    </m:r>
                  </m:e>
                </m:mr>
              </m:m>
            </m:e>
          </m:d>
          <m:r>
            <m:t>  </m:t>
          </m:r>
          <m:r>
            <m:rPr>
              <m:nor/>
              <m:sty m:val="p"/>
            </m:rPr>
            <m:t>(A11)</m:t>
          </m:r>
        </m:oMath>
      </m:oMathPara>
    </w:p>
    <w:p>
      <w:pPr>
        <w:pStyle w:val="FirstParagraph"/>
      </w:pPr>
      <w:r>
        <w:t xml:space="preserve">随后完整求解第二篇文献的相对变化均衡系统，使生产地份额、三边销售流量、部门价格、投入产出需求、生产与研发工资、利润、新品种数量和福利共同调整直至收敛。由此把“负面清单改革对应的制度型 MP 成本变化”与“该成本冲击的一般均衡后果”严格分成两个步骤。</w:t>
      </w:r>
    </w:p>
    <w:bookmarkEnd w:id="33"/>
    <w:bookmarkEnd w:id="34"/>
    <w:p w14:paraId="4874C1F5" w14:textId="77777777" w:rsidR="002D0A3C" w:rsidRDefault="003B6787">
      <w:pPr>
        <w:pStyle w:val="2"/>
        <w:rPr>
          <w:lang w:eastAsia="zh-CN"/>
        </w:rPr>
      </w:pPr>
      <w:bookmarkStart w:id="9" w:name="a.6-一般均衡结果的组织与反事实设计"/>
      <w:bookmarkEnd w:id="6"/>
      <w:bookmarkEnd w:id="8"/>
      <w:r>
        <w:rPr>
          <w:rFonts w:ascii="Times New Roman" w:eastAsia="宋体" w:hAnsi="Times New Roman"/>
          <w:lang w:eastAsia="zh-CN"/>
        </w:rPr>
        <w:t>A.6</w:t>
      </w:r>
      <w:r>
        <w:rPr>
          <w:rFonts w:ascii="Times New Roman" w:eastAsia="宋体" w:hAnsi="Times New Roman"/>
          <w:lang w:eastAsia="zh-CN"/>
        </w:rPr>
        <w:t xml:space="preserve">　一般均衡结果的组织与反事实设计</w:t>
      </w:r>
    </w:p>
    <w:p w14:paraId="4241ADC5" w14:textId="77777777" w:rsidR="002D0A3C" w:rsidRDefault="003B6787">
      <w:pPr>
        <w:pStyle w:val="3"/>
        <w:rPr>
          <w:lang w:eastAsia="zh-CN"/>
        </w:rPr>
      </w:pPr>
      <w:bookmarkStart w:id="10" w:name="a.6.1-三边生产网络"/>
      <w:r>
        <w:rPr>
          <w:rFonts w:ascii="Times New Roman" w:eastAsia="宋体" w:hAnsi="Times New Roman"/>
          <w:lang w:eastAsia="zh-CN"/>
        </w:rPr>
        <w:t>A.6.1</w:t>
      </w:r>
      <w:r>
        <w:rPr>
          <w:rFonts w:ascii="Times New Roman" w:eastAsia="宋体" w:hAnsi="Times New Roman"/>
          <w:lang w:eastAsia="zh-CN"/>
        </w:rPr>
        <w:t xml:space="preserve">　三边生产网络</w:t>
      </w:r>
    </w:p>
    <w:p w14:paraId="6CB42944" w14:textId="77777777" w:rsidR="002D0A3C" w:rsidRDefault="003B6787">
      <w:pPr>
        <w:pStyle w:val="FirstParagraph"/>
        <w:spacing w:before="80" w:after="80" w:line="240" w:lineRule="auto"/>
        <w:ind w:firstLineChars="200"/>
        <w:rPr>
          <w:lang w:eastAsia="zh-CN"/>
        </w:rPr>
      </w:pPr>
      <w:r>
        <w:rPr>
          <w:lang w:eastAsia="zh-CN"/>
        </w:rPr>
        <w:t>本研究的核心结果不是</w:t>
      </w:r>
      <w:r>
        <w:rPr>
          <w:lang w:eastAsia="zh-CN"/>
        </w:rPr>
        <w:t>“</w:t>
      </w:r>
      <w:r>
        <w:rPr>
          <w:lang w:eastAsia="zh-CN"/>
        </w:rPr>
        <w:t>外资增加多少</w:t>
      </w:r>
      <w:r>
        <w:rPr>
          <w:lang w:eastAsia="zh-CN"/>
        </w:rPr>
        <w:t>”</w:t>
      </w:r>
      <w:r>
        <w:rPr>
          <w:lang w:eastAsia="zh-CN"/>
        </w:rPr>
        <w:t>这一单一总量，而是母国</w:t>
      </w:r>
      <w:r>
        <w:rPr>
          <w:lang w:eastAsia="zh-CN"/>
        </w:rPr>
        <w:t>—</w:t>
      </w:r>
      <w:r>
        <w:rPr>
          <w:lang w:eastAsia="zh-CN"/>
        </w:rPr>
        <w:t>生产国</w:t>
      </w:r>
      <w:r>
        <w:rPr>
          <w:lang w:eastAsia="zh-CN"/>
        </w:rPr>
        <w:t>—</w:t>
      </w:r>
      <w:r>
        <w:rPr>
          <w:lang w:eastAsia="zh-CN"/>
        </w:rPr>
        <w:t>目的国三边网络如何重排。对中国的</w:t>
      </w:r>
      <w:r>
        <w:rPr>
          <w:lang w:eastAsia="zh-CN"/>
        </w:rPr>
        <w:t xml:space="preserve"> inward FDI </w:t>
      </w:r>
      <w:r>
        <w:rPr>
          <w:lang w:eastAsia="zh-CN"/>
        </w:rPr>
        <w:t>冲击，固定实际生产国为</w:t>
      </w:r>
      <w:r>
        <w:rPr>
          <w:lang w:eastAsia="zh-CN"/>
        </w:rPr>
        <w:t xml:space="preserve"> </w:t>
      </w:r>
      <m:oMath>
        <m:r>
          <w:rPr>
            <w:rFonts w:ascii="Cambria Math" w:hAnsi="Cambria Math"/>
            <w:lang w:eastAsia="zh-CN"/>
          </w:rPr>
          <m:t>C</m:t>
        </m:r>
      </m:oMath>
      <w:r>
        <w:rPr>
          <w:lang w:eastAsia="zh-CN"/>
        </w:rPr>
        <w:t xml:space="preserve"> </w:t>
      </w:r>
      <w:r>
        <w:rPr>
          <w:lang w:eastAsia="zh-CN"/>
        </w:rPr>
        <w:t>后，应保留</w:t>
      </w:r>
      <w:r>
        <w:rPr>
          <w:lang w:eastAsia="zh-CN"/>
        </w:rPr>
        <w:t xml:space="preserve"> </w:t>
      </w:r>
      <m:oMath>
        <m:r>
          <w:rPr>
            <w:rFonts w:ascii="Cambria Math" w:hAnsi="Cambria Math"/>
            <w:lang w:eastAsia="zh-CN"/>
          </w:rPr>
          <m:t>m</m:t>
        </m:r>
      </m:oMath>
      <w:r>
        <w:rPr>
          <w:lang w:eastAsia="zh-CN"/>
        </w:rPr>
        <w:t xml:space="preserve"> </w:t>
      </w:r>
      <w:r>
        <w:rPr>
          <w:lang w:eastAsia="zh-CN"/>
        </w:rPr>
        <w:t>和</w:t>
      </w:r>
      <w:r>
        <w:rPr>
          <w:lang w:eastAsia="zh-CN"/>
        </w:rPr>
        <w:t xml:space="preserve"> </w:t>
      </w:r>
      <m:oMath>
        <m:r>
          <w:rPr>
            <w:rFonts w:ascii="Cambria Math" w:hAnsi="Cambria Math"/>
            <w:lang w:eastAsia="zh-CN"/>
          </w:rPr>
          <m:t>n</m:t>
        </m:r>
      </m:oMath>
      <w:r>
        <w:rPr>
          <w:lang w:eastAsia="zh-CN"/>
        </w:rPr>
        <w:t xml:space="preserve"> </w:t>
      </w:r>
      <w:r>
        <w:rPr>
          <w:lang w:eastAsia="zh-CN"/>
        </w:rPr>
        <w:t>两个维度，报告</w:t>
      </w:r>
    </w:p>
    <w:p w14:paraId="56A01993" w14:textId="77777777" w:rsidR="002D0A3C" w:rsidRDefault="003B6787">
      <w:pPr>
        <w:pStyle w:val="a0"/>
        <w:spacing w:before="80" w:after="80" w:line="240" w:lineRule="auto"/>
        <w:jc w:val="center"/>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sup>
          </m:sSubSup>
          <m:r>
            <m:rPr>
              <m:sty m:val="p"/>
            </m:rPr>
            <w:rPr>
              <w:rFonts w:ascii="Cambria Math" w:hAnsi="Cambria Math"/>
            </w:rPr>
            <m:t>.</m:t>
          </m:r>
        </m:oMath>
      </m:oMathPara>
    </w:p>
    <w:p w14:paraId="5702109D" w14:textId="77777777" w:rsidR="002D0A3C" w:rsidRDefault="003B6787">
      <w:pPr>
        <w:pStyle w:val="FirstParagraph"/>
        <w:spacing w:before="80" w:after="80" w:line="240" w:lineRule="auto"/>
        <w:ind w:firstLineChars="200"/>
        <w:rPr>
          <w:lang w:eastAsia="zh-CN"/>
        </w:rPr>
      </w:pPr>
      <w:r>
        <w:rPr>
          <w:lang w:eastAsia="zh-CN"/>
        </w:rPr>
        <w:t>例如，同样是德国母公司的在华新增生产，若新增销售主要流向中国，则更接近市场寻求型</w:t>
      </w:r>
      <w:r>
        <w:rPr>
          <w:lang w:eastAsia="zh-CN"/>
        </w:rPr>
        <w:t>FDI</w:t>
      </w:r>
      <w:r>
        <w:rPr>
          <w:lang w:eastAsia="zh-CN"/>
        </w:rPr>
        <w:t>；若主要流向日本、韩国、东盟或欧美第三国，则更体现中国的出口平台功能。把</w:t>
      </w:r>
      <w:r>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oMath>
      <w:r>
        <w:rPr>
          <w:lang w:eastAsia="zh-CN"/>
        </w:rPr>
        <w:t xml:space="preserve"> </w:t>
      </w:r>
      <w:r>
        <w:rPr>
          <w:lang w:eastAsia="zh-CN"/>
        </w:rPr>
        <w:t>的变化矩阵与第二篇文献已有的三边网络图结合，可以直接观察负面清单开放究竟强化了中国的本地市场节点还是全球生产平台节点。</w:t>
      </w:r>
    </w:p>
    <w:p w14:paraId="05444CAD" w14:textId="77777777" w:rsidR="002D0A3C" w:rsidRDefault="003B6787">
      <w:pPr>
        <w:pStyle w:val="3"/>
        <w:rPr>
          <w:lang w:eastAsia="zh-CN"/>
        </w:rPr>
      </w:pPr>
      <w:bookmarkStart w:id="11" w:name="a.6.2-反事实组"/>
      <w:bookmarkEnd w:id="10"/>
      <w:r>
        <w:rPr>
          <w:rFonts w:ascii="Times New Roman" w:eastAsia="宋体" w:hAnsi="Times New Roman"/>
          <w:lang w:eastAsia="zh-CN"/>
        </w:rPr>
        <w:t>A.6.2</w:t>
      </w:r>
      <w:r>
        <w:rPr>
          <w:rFonts w:ascii="Times New Roman" w:eastAsia="宋体" w:hAnsi="Times New Roman"/>
          <w:lang w:eastAsia="zh-CN"/>
        </w:rPr>
        <w:t xml:space="preserve">　反事实组</w:t>
      </w:r>
    </w:p>
    <w:p w14:paraId="283E4312" w14:textId="77777777" w:rsidR="002D0A3C" w:rsidRDefault="003B6787">
      <w:pPr>
        <w:pStyle w:val="FirstParagraph"/>
        <w:keepNext/>
        <w:spacing w:before="100" w:after="60"/>
        <w:rPr>
          <w:lang w:eastAsia="zh-CN"/>
        </w:rPr>
      </w:pPr>
      <w:r>
        <w:rPr>
          <w:b/>
          <w:bCs/>
          <w:sz w:val="22"/>
          <w:lang w:eastAsia="zh-CN"/>
        </w:rPr>
        <w:t>表</w:t>
      </w:r>
      <w:r>
        <w:rPr>
          <w:b/>
          <w:bCs/>
          <w:sz w:val="22"/>
          <w:lang w:eastAsia="zh-CN"/>
        </w:rPr>
        <w:t>A3</w:t>
      </w:r>
      <w:r>
        <w:rPr>
          <w:b/>
          <w:bCs/>
          <w:sz w:val="22"/>
          <w:lang w:eastAsia="zh-CN"/>
        </w:rPr>
        <w:t xml:space="preserve">　基准反事实实验</w:t>
      </w:r>
    </w:p>
    <w:tbl>
      <w:tblPr>
        <w:tblStyle w:val="Table"/>
        <w:tblW w:w="5000" w:type="pct"/>
        <w:jc w:val="center"/>
        <w:tblLook w:val="0020" w:firstRow="1" w:lastRow="0" w:firstColumn="0" w:lastColumn="0" w:noHBand="0" w:noVBand="0"/>
      </w:tblPr>
      <w:tblGrid>
        <w:gridCol w:w="1798"/>
        <w:gridCol w:w="4461"/>
        <w:gridCol w:w="2839"/>
      </w:tblGrid>
      <w:tr w:rsidR="002D0A3C" w14:paraId="55D78A8A" w14:textId="77777777" w:rsidTr="002D0A3C">
        <w:trPr>
          <w:cnfStyle w:val="100000000000" w:firstRow="1" w:lastRow="0" w:firstColumn="0" w:lastColumn="0" w:oddVBand="0" w:evenVBand="0" w:oddHBand="0" w:evenHBand="0" w:firstRowFirstColumn="0" w:firstRowLastColumn="0" w:lastRowFirstColumn="0" w:lastRowLastColumn="0"/>
          <w:tblHeader/>
          <w:jc w:val="center"/>
          <w:cantSplit/>
        </w:trPr>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779FC22F" w14:textId="77777777" w:rsidR="002D0A3C" w:rsidRDefault="003B6787">
            <w:pPr>
              <w:pStyle w:val="Compact"/>
              <w:spacing w:before="0" w:after="0" w:line="264" w:lineRule="auto"/>
            </w:pPr>
            <w:r>
              <w:rPr>
                <w:rFonts w:ascii="Times New Roman" w:hAnsi="Times New Roman" w:eastAsia="宋体"/>
                <w:b/>
                <w:sz w:val="24"/>
              </w:rPr>
              <w:t>情景</w:t>
            </w:r>
          </w:p>
        </w:tc>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46E96B34" w14:textId="77777777" w:rsidR="002D0A3C" w:rsidRDefault="003B6787">
            <w:pPr>
              <w:pStyle w:val="Compact"/>
              <w:spacing w:before="0" w:after="0" w:line="264" w:lineRule="auto"/>
            </w:pPr>
            <w:r>
              <w:rPr>
                <w:rFonts w:ascii="Times New Roman" w:hAnsi="Times New Roman" w:eastAsia="宋体"/>
                <w:b/>
                <w:sz w:val="24"/>
              </w:rPr>
              <w:t>政策设定</w:t>
            </w:r>
          </w:p>
        </w:tc>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03C2738D" w14:textId="77777777" w:rsidR="002D0A3C" w:rsidRDefault="003B6787">
            <w:pPr>
              <w:pStyle w:val="Compact"/>
              <w:spacing w:before="0" w:after="0" w:line="264" w:lineRule="auto"/>
            </w:pPr>
            <w:r>
              <w:rPr>
                <w:rFonts w:ascii="Times New Roman" w:hAnsi="Times New Roman" w:eastAsia="宋体"/>
                <w:b/>
                <w:sz w:val="24"/>
              </w:rPr>
              <w:t>识别对象</w:t>
            </w:r>
          </w:p>
        </w:tc>
      </w:tr>
      <w:tr w:rsidR="002D0A3C" w14:paraId="1EFEC969" w14:textId="77777777" w:rsidTr="002D0A3C">
        <w:trPr>
          <w:jc w:val="center"/>
          <w:cantSplit/>
        </w:trPr>
        <w:tc>
          <w:tcPr>
            <w:tcW w:w="0" w:type="auto"/>
            <w:tcBorders>
              <w:top w:val="nil"/>
              <w:left w:val="nil"/>
              <w:bottom w:val="nil"/>
              <w:right w:val="nil"/>
            </w:tcBorders>
            <w:tcMar>
              <w:top w:w="50" w:type="dxa"/>
              <w:left w:w="70" w:type="dxa"/>
              <w:bottom w:w="50" w:type="dxa"/>
              <w:right w:w="70" w:type="dxa"/>
            </w:tcMar>
            <w:vAlign w:val="center"/>
          </w:tcPr>
          <w:p w14:paraId="48EAB151" w14:textId="77777777" w:rsidR="002D0A3C" w:rsidRDefault="003B6787">
            <w:pPr>
              <w:pStyle w:val="Compact"/>
              <w:spacing w:before="0" w:after="0" w:line="264" w:lineRule="auto"/>
            </w:pPr>
            <w:r>
              <w:rPr>
                <w:rFonts w:ascii="Times New Roman" w:hAnsi="Times New Roman" w:eastAsia="宋体"/>
                <w:sz w:val="24"/>
              </w:rPr>
              <w:t xml:space="preserve">CF1 </w:t>
            </w:r>
            <w:r>
              <w:rPr>
                <w:rFonts w:ascii="Times New Roman" w:hAnsi="Times New Roman" w:eastAsia="宋体"/>
                <w:sz w:val="24"/>
              </w:rPr>
              <w:t>历次真实改革</w:t>
            </w:r>
          </w:p>
        </w:tc>
        <w:tc>
          <w:tcPr>
            <w:tcW w:w="0" w:type="auto"/>
            <w:tcBorders>
              <w:top w:val="nil"/>
              <w:left w:val="nil"/>
              <w:bottom w:val="nil"/>
              <w:right w:val="nil"/>
            </w:tcBorders>
            <w:tcMar>
              <w:top w:w="50" w:type="dxa"/>
              <w:left w:w="70" w:type="dxa"/>
              <w:bottom w:w="50" w:type="dxa"/>
              <w:right w:w="70" w:type="dxa"/>
            </w:tcMar>
            <w:vAlign w:val="center"/>
          </w:tcPr>
          <w:p w14:paraId="6EA13A74" w14:textId="77777777" w:rsidR="002D0A3C" w:rsidRDefault="003B6787">
            <w:pPr>
              <w:pStyle w:val="Compact"/>
              <w:spacing w:before="0" w:after="0" w:line="264" w:lineRule="auto"/>
              <w:rPr>
                <w:lang w:eastAsia="zh-CN"/>
              </w:rPr>
            </w:pPr>
            <w:r>
              <w:rPr>
                <w:rFonts w:ascii="Times New Roman" w:hAnsi="Times New Roman" w:eastAsia="宋体"/>
                <w:sz w:val="24"/>
                <w:lang w:eastAsia="zh-CN"/>
              </w:rPr>
              <w:t>逐次替换相邻负面清单版本</w:t>
            </w:r>
          </w:p>
        </w:tc>
        <w:tc>
          <w:tcPr>
            <w:tcW w:w="0" w:type="auto"/>
            <w:tcBorders>
              <w:top w:val="nil"/>
              <w:left w:val="nil"/>
              <w:bottom w:val="nil"/>
              <w:right w:val="nil"/>
            </w:tcBorders>
            <w:tcMar>
              <w:top w:w="50" w:type="dxa"/>
              <w:left w:w="70" w:type="dxa"/>
              <w:bottom w:w="50" w:type="dxa"/>
              <w:right w:w="70" w:type="dxa"/>
            </w:tcMar>
            <w:vAlign w:val="center"/>
          </w:tcPr>
          <w:p w14:paraId="3A4C5FAA" w14:textId="77777777" w:rsidR="002D0A3C" w:rsidRDefault="003B6787">
            <w:pPr>
              <w:pStyle w:val="Compact"/>
              <w:spacing w:before="0" w:after="0" w:line="264" w:lineRule="auto"/>
            </w:pPr>
            <w:r>
              <w:rPr>
                <w:rFonts w:ascii="Times New Roman" w:hAnsi="Times New Roman" w:eastAsia="宋体"/>
                <w:sz w:val="24"/>
              </w:rPr>
              <w:t>各次改革的边际贡献</w:t>
            </w:r>
          </w:p>
        </w:tc>
      </w:tr>
      <w:tr w:rsidR="002D0A3C" w14:paraId="5FC4FFAA" w14:textId="77777777" w:rsidTr="002D0A3C">
        <w:trPr>
          <w:jc w:val="center"/>
          <w:cantSplit/>
        </w:trPr>
        <w:tc>
          <w:tcPr>
            <w:tcW w:w="0" w:type="auto"/>
            <w:tcBorders>
              <w:top w:val="nil"/>
              <w:left w:val="nil"/>
              <w:bottom w:val="nil"/>
              <w:right w:val="nil"/>
            </w:tcBorders>
            <w:tcMar>
              <w:top w:w="50" w:type="dxa"/>
              <w:left w:w="70" w:type="dxa"/>
              <w:bottom w:w="50" w:type="dxa"/>
              <w:right w:w="70" w:type="dxa"/>
            </w:tcMar>
            <w:vAlign w:val="center"/>
          </w:tcPr>
          <w:p w14:paraId="2F819404" w14:textId="77777777" w:rsidR="002D0A3C" w:rsidRDefault="003B6787">
            <w:pPr>
              <w:pStyle w:val="Compact"/>
              <w:spacing w:before="0" w:after="0" w:line="264" w:lineRule="auto"/>
            </w:pPr>
            <w:r>
              <w:rPr>
                <w:rFonts w:ascii="Times New Roman" w:hAnsi="Times New Roman" w:eastAsia="宋体"/>
                <w:sz w:val="24"/>
              </w:rPr>
              <w:t xml:space="preserve">CF2 </w:t>
            </w:r>
            <w:r>
              <w:rPr>
                <w:rFonts w:ascii="Times New Roman" w:hAnsi="Times New Roman" w:eastAsia="宋体"/>
                <w:sz w:val="24"/>
              </w:rPr>
              <w:t>累计改革</w:t>
            </w:r>
          </w:p>
        </w:tc>
        <w:tc>
          <w:tcPr>
            <w:tcW w:w="0" w:type="auto"/>
            <w:tcBorders>
              <w:top w:val="nil"/>
              <w:left w:val="nil"/>
              <w:bottom w:val="nil"/>
              <w:right w:val="nil"/>
            </w:tcBorders>
            <w:tcMar>
              <w:top w:w="50" w:type="dxa"/>
              <w:left w:w="70" w:type="dxa"/>
              <w:bottom w:w="50" w:type="dxa"/>
              <w:right w:w="70" w:type="dxa"/>
            </w:tcMar>
            <w:vAlign w:val="center"/>
          </w:tcPr>
          <w:p w14:paraId="19183340" w14:textId="77777777" w:rsidR="002D0A3C" w:rsidRDefault="003B6787">
            <w:pPr>
              <w:pStyle w:val="Compact"/>
              <w:spacing w:before="0" w:after="0" w:line="264" w:lineRule="auto"/>
              <w:rPr>
                <w:lang w:eastAsia="zh-CN"/>
              </w:rPr>
            </w:pPr>
            <w:r>
              <w:rPr>
                <w:rFonts w:ascii="Times New Roman" w:hAnsi="Times New Roman" w:eastAsia="宋体"/>
                <w:sz w:val="24"/>
                <w:lang w:eastAsia="zh-CN"/>
              </w:rPr>
              <w:t>较早制度版本替换为最新版本</w:t>
            </w:r>
          </w:p>
        </w:tc>
        <w:tc>
          <w:tcPr>
            <w:tcW w:w="0" w:type="auto"/>
            <w:tcBorders>
              <w:top w:val="nil"/>
              <w:left w:val="nil"/>
              <w:bottom w:val="nil"/>
              <w:right w:val="nil"/>
            </w:tcBorders>
            <w:tcMar>
              <w:top w:w="50" w:type="dxa"/>
              <w:left w:w="70" w:type="dxa"/>
              <w:bottom w:w="50" w:type="dxa"/>
              <w:right w:w="70" w:type="dxa"/>
            </w:tcMar>
            <w:vAlign w:val="center"/>
          </w:tcPr>
          <w:p w14:paraId="5072D0E7" w14:textId="77777777" w:rsidR="002D0A3C" w:rsidRDefault="003B6787">
            <w:pPr>
              <w:pStyle w:val="Compact"/>
              <w:spacing w:before="0" w:after="0" w:line="264" w:lineRule="auto"/>
              <w:rPr>
                <w:lang w:eastAsia="zh-CN"/>
              </w:rPr>
            </w:pPr>
            <w:r>
              <w:rPr>
                <w:rFonts w:ascii="Times New Roman" w:hAnsi="Times New Roman" w:eastAsia="宋体"/>
                <w:sz w:val="24"/>
                <w:lang w:eastAsia="zh-CN"/>
              </w:rPr>
              <w:t>近年准入开放的累计效应</w:t>
            </w:r>
          </w:p>
        </w:tc>
      </w:tr>
      <w:tr w:rsidR="002D0A3C" w14:paraId="53B3D63A" w14:textId="77777777" w:rsidTr="002D0A3C">
        <w:trPr>
          <w:jc w:val="center"/>
          <w:cantSplit/>
        </w:trPr>
        <w:tc>
          <w:tcPr>
            <w:tcW w:w="0" w:type="auto"/>
            <w:tcBorders>
              <w:top w:val="nil"/>
              <w:left w:val="nil"/>
              <w:bottom w:val="nil"/>
              <w:right w:val="nil"/>
            </w:tcBorders>
            <w:tcMar>
              <w:top w:w="50" w:type="dxa"/>
              <w:left w:w="70" w:type="dxa"/>
              <w:bottom w:w="50" w:type="dxa"/>
              <w:right w:w="70" w:type="dxa"/>
            </w:tcMar>
            <w:vAlign w:val="center"/>
          </w:tcPr>
          <w:p w14:paraId="2390FD1E" w14:textId="77777777" w:rsidR="002D0A3C" w:rsidRDefault="003B6787">
            <w:pPr>
              <w:pStyle w:val="Compact"/>
              <w:spacing w:before="0" w:after="0" w:line="264" w:lineRule="auto"/>
            </w:pPr>
            <w:r>
              <w:rPr>
                <w:rFonts w:ascii="Times New Roman" w:hAnsi="Times New Roman" w:eastAsia="宋体"/>
                <w:sz w:val="24"/>
              </w:rPr>
              <w:t xml:space="preserve">CF3 </w:t>
            </w:r>
            <w:r>
              <w:rPr>
                <w:rFonts w:ascii="Times New Roman" w:hAnsi="Times New Roman" w:eastAsia="宋体"/>
                <w:sz w:val="24"/>
              </w:rPr>
              <w:t>无后续改革</w:t>
            </w:r>
          </w:p>
        </w:tc>
        <w:tc>
          <w:tcPr>
            <w:tcW w:w="0" w:type="auto"/>
            <w:tcBorders>
              <w:top w:val="nil"/>
              <w:left w:val="nil"/>
              <w:bottom w:val="nil"/>
              <w:right w:val="nil"/>
            </w:tcBorders>
            <w:tcMar>
              <w:top w:w="50" w:type="dxa"/>
              <w:left w:w="70" w:type="dxa"/>
              <w:bottom w:w="50" w:type="dxa"/>
              <w:right w:w="70" w:type="dxa"/>
            </w:tcMar>
            <w:vAlign w:val="center"/>
          </w:tcPr>
          <w:p w14:paraId="0C4B3202" w14:textId="77777777" w:rsidR="002D0A3C" w:rsidRDefault="003B6787">
            <w:pPr>
              <w:pStyle w:val="Compact"/>
              <w:spacing w:before="0" w:after="0" w:line="264" w:lineRule="auto"/>
              <w:rPr>
                <w:lang w:eastAsia="zh-CN"/>
              </w:rPr>
            </w:pPr>
            <w:r>
              <w:rPr>
                <w:rFonts w:ascii="Times New Roman" w:hAnsi="Times New Roman" w:eastAsia="宋体"/>
                <w:sz w:val="24"/>
                <w:lang w:eastAsia="zh-CN"/>
              </w:rPr>
              <w:t>将早期限制固定到基准经济年份</w:t>
            </w:r>
          </w:p>
        </w:tc>
        <w:tc>
          <w:tcPr>
            <w:tcW w:w="0" w:type="auto"/>
            <w:tcBorders>
              <w:top w:val="nil"/>
              <w:left w:val="nil"/>
              <w:bottom w:val="nil"/>
              <w:right w:val="nil"/>
            </w:tcBorders>
            <w:tcMar>
              <w:top w:w="50" w:type="dxa"/>
              <w:left w:w="70" w:type="dxa"/>
              <w:bottom w:w="50" w:type="dxa"/>
              <w:right w:w="70" w:type="dxa"/>
            </w:tcMar>
            <w:vAlign w:val="center"/>
          </w:tcPr>
          <w:p w14:paraId="3BCA1C7E" w14:textId="77777777" w:rsidR="002D0A3C" w:rsidRDefault="003B6787">
            <w:pPr>
              <w:pStyle w:val="Compact"/>
              <w:spacing w:before="0" w:after="0" w:line="264" w:lineRule="auto"/>
              <w:rPr>
                <w:lang w:eastAsia="zh-CN"/>
              </w:rPr>
            </w:pPr>
            <w:r>
              <w:rPr>
                <w:rFonts w:ascii="Times New Roman" w:hAnsi="Times New Roman" w:eastAsia="宋体"/>
                <w:sz w:val="24"/>
                <w:lang w:eastAsia="zh-CN"/>
              </w:rPr>
              <w:t>已发生改革的反事实缺失成本</w:t>
            </w:r>
          </w:p>
        </w:tc>
      </w:tr>
      <w:tr w:rsidR="002D0A3C" w14:paraId="50C16344" w14:textId="77777777" w:rsidTr="002D0A3C">
        <w:trPr>
          <w:jc w:val="center"/>
          <w:cantSplit/>
        </w:trPr>
        <w:tc>
          <w:tcPr>
            <w:tcW w:w="0" w:type="auto"/>
            <w:tcBorders>
              <w:top w:val="nil"/>
              <w:left w:val="nil"/>
              <w:bottom w:val="nil"/>
              <w:right w:val="nil"/>
            </w:tcBorders>
            <w:tcMar>
              <w:top w:w="50" w:type="dxa"/>
              <w:left w:w="70" w:type="dxa"/>
              <w:bottom w:w="50" w:type="dxa"/>
              <w:right w:w="70" w:type="dxa"/>
            </w:tcMar>
            <w:vAlign w:val="center"/>
          </w:tcPr>
          <w:p w14:paraId="352E61B6" w14:textId="77777777" w:rsidR="002D0A3C" w:rsidRDefault="003B6787">
            <w:pPr>
              <w:pStyle w:val="Compact"/>
              <w:spacing w:before="0" w:after="0" w:line="264" w:lineRule="auto"/>
            </w:pPr>
            <w:r>
              <w:rPr>
                <w:rFonts w:ascii="Times New Roman" w:hAnsi="Times New Roman" w:eastAsia="宋体"/>
                <w:sz w:val="24"/>
              </w:rPr>
              <w:t xml:space="preserve">CF4 </w:t>
            </w:r>
            <w:r>
              <w:rPr>
                <w:rFonts w:ascii="Times New Roman" w:hAnsi="Times New Roman" w:eastAsia="宋体"/>
                <w:sz w:val="24"/>
              </w:rPr>
              <w:t>限制类型分解</w:t>
            </w:r>
          </w:p>
        </w:tc>
        <w:tc>
          <w:tcPr>
            <w:tcW w:w="0" w:type="auto"/>
            <w:tcBorders>
              <w:top w:val="nil"/>
              <w:left w:val="nil"/>
              <w:bottom w:val="nil"/>
              <w:right w:val="nil"/>
            </w:tcBorders>
            <w:tcMar>
              <w:top w:w="50" w:type="dxa"/>
              <w:left w:w="70" w:type="dxa"/>
              <w:bottom w:w="50" w:type="dxa"/>
              <w:right w:w="70" w:type="dxa"/>
            </w:tcMar>
            <w:vAlign w:val="center"/>
          </w:tcPr>
          <w:p w14:paraId="4F675982" w14:textId="77777777" w:rsidR="002D0A3C" w:rsidRDefault="003B6787">
            <w:pPr>
              <w:rPr>
                <w:lang w:eastAsia="zh-CN"/>
              </w:rPr>
            </w:pPr>
            <w:r>
              <w:rPr>
                <w:rFonts w:ascii="Times New Roman" w:hAnsi="Times New Roman" w:eastAsia="宋体"/>
                <w:sz w:val="24"/>
                <w:lang w:eastAsia="zh-CN"/>
              </w:rPr>
              <w:t>分别只改变股权、控制、组织形式、治理或其他限制</w:t>
            </w:r>
          </w:p>
        </w:tc>
        <w:tc>
          <w:tcPr>
            <w:tcW w:w="0" w:type="auto"/>
            <w:tcBorders>
              <w:top w:val="nil"/>
              <w:left w:val="nil"/>
              <w:bottom w:val="nil"/>
              <w:right w:val="nil"/>
            </w:tcBorders>
            <w:tcMar>
              <w:top w:w="50" w:type="dxa"/>
              <w:left w:w="70" w:type="dxa"/>
              <w:bottom w:w="50" w:type="dxa"/>
              <w:right w:w="70" w:type="dxa"/>
            </w:tcMar>
            <w:vAlign w:val="center"/>
          </w:tcPr>
          <w:p w14:paraId="4AE1BAA0" w14:textId="77777777" w:rsidR="002D0A3C" w:rsidRDefault="003B6787">
            <w:pPr>
              <w:rPr>
                <w:lang w:eastAsia="zh-CN"/>
              </w:rPr>
            </w:pPr>
            <w:r>
              <w:rPr>
                <w:rFonts w:ascii="Times New Roman" w:hAnsi="Times New Roman" w:eastAsia="宋体"/>
                <w:sz w:val="24"/>
                <w:lang w:eastAsia="zh-CN"/>
              </w:rPr>
              <w:t>哪类制度约束贡献最大</w:t>
            </w:r>
          </w:p>
        </w:tc>
      </w:tr>
      <w:tr w:rsidR="002D0A3C" w14:paraId="5200A511" w14:textId="77777777" w:rsidTr="002D0A3C">
        <w:trPr>
          <w:jc w:val="center"/>
          <w:cantSplit/>
        </w:trPr>
        <w:tc>
          <w:tcPr>
            <w:tcW w:w="0" w:type="auto"/>
            <w:tcBorders>
              <w:top w:val="nil"/>
              <w:left w:val="nil"/>
              <w:bottom w:val="nil"/>
              <w:right w:val="nil"/>
            </w:tcBorders>
            <w:tcMar>
              <w:top w:w="50" w:type="dxa"/>
              <w:left w:w="70" w:type="dxa"/>
              <w:bottom w:w="50" w:type="dxa"/>
              <w:right w:w="70" w:type="dxa"/>
            </w:tcMar>
            <w:vAlign w:val="center"/>
          </w:tcPr>
          <w:p w14:paraId="260A0B0F" w14:textId="77777777" w:rsidR="002D0A3C" w:rsidRDefault="003B6787">
            <w:pPr>
              <w:pStyle w:val="Compact"/>
              <w:spacing w:before="0" w:after="0" w:line="264" w:lineRule="auto"/>
            </w:pPr>
            <w:r>
              <w:rPr>
                <w:rFonts w:ascii="Times New Roman" w:hAnsi="Times New Roman" w:eastAsia="宋体"/>
                <w:sz w:val="24"/>
              </w:rPr>
              <w:t xml:space="preserve">CF5 </w:t>
            </w:r>
            <w:r>
              <w:rPr>
                <w:rFonts w:ascii="Times New Roman" w:hAnsi="Times New Roman" w:eastAsia="宋体"/>
                <w:sz w:val="24"/>
              </w:rPr>
              <w:t>完全开放</w:t>
            </w:r>
          </w:p>
        </w:tc>
        <w:tc>
          <w:tcPr>
            <w:tcW w:w="0" w:type="auto"/>
            <w:tcBorders>
              <w:top w:val="nil"/>
              <w:left w:val="nil"/>
              <w:bottom w:val="nil"/>
              <w:right w:val="nil"/>
            </w:tcBorders>
            <w:tcMar>
              <w:top w:w="50" w:type="dxa"/>
              <w:left w:w="70" w:type="dxa"/>
              <w:bottom w:w="50" w:type="dxa"/>
              <w:right w:w="70" w:type="dxa"/>
            </w:tcMar>
            <w:vAlign w:val="center"/>
          </w:tcPr>
          <w:p w14:paraId="6A5712BE" w14:textId="77777777" w:rsidR="002D0A3C" w:rsidRDefault="003B6787">
            <w:pPr>
              <w:pStyle w:val="Compact"/>
              <w:spacing w:before="0" w:after="0" w:line="264" w:lineRule="auto"/>
              <w:rPr>
                <w:lang w:eastAsia="zh-CN"/>
              </w:rPr>
            </w:pPr>
            <w:r>
              <w:rPr>
                <w:rFonts w:ascii="Times New Roman" w:hAnsi="Times New Roman" w:eastAsia="宋体"/>
                <w:sz w:val="24"/>
                <w:lang w:eastAsia="zh-CN"/>
              </w:rPr>
              <w:t>将仍存在的有限限制设为无约束</w:t>
            </w:r>
          </w:p>
        </w:tc>
        <w:tc>
          <w:tcPr>
            <w:tcW w:w="0" w:type="auto"/>
            <w:tcBorders>
              <w:top w:val="nil"/>
              <w:left w:val="nil"/>
              <w:bottom w:val="nil"/>
              <w:right w:val="nil"/>
            </w:tcBorders>
            <w:tcMar>
              <w:top w:w="50" w:type="dxa"/>
              <w:left w:w="70" w:type="dxa"/>
              <w:bottom w:w="50" w:type="dxa"/>
              <w:right w:w="70" w:type="dxa"/>
            </w:tcMar>
            <w:vAlign w:val="center"/>
          </w:tcPr>
          <w:p w14:paraId="2976EA20" w14:textId="77777777" w:rsidR="002D0A3C" w:rsidRDefault="003B6787">
            <w:pPr>
              <w:pStyle w:val="Compact"/>
              <w:spacing w:before="0" w:after="0" w:line="264" w:lineRule="auto"/>
              <w:rPr>
                <w:lang w:eastAsia="zh-CN"/>
              </w:rPr>
            </w:pPr>
            <w:r>
              <w:rPr>
                <w:rFonts w:ascii="Times New Roman" w:hAnsi="Times New Roman" w:eastAsia="宋体"/>
                <w:sz w:val="24"/>
                <w:lang w:eastAsia="zh-CN"/>
              </w:rPr>
              <w:t>进一步自主开放的上限效应</w:t>
            </w:r>
          </w:p>
        </w:tc>
      </w:tr>
      <w:tr w:rsidR="002D0A3C" w14:paraId="5485DBE9" w14:textId="77777777" w:rsidTr="002D0A3C">
        <w:trPr>
          <w:jc w:val="center"/>
          <w:cantSplit/>
        </w:trPr>
        <w:tc>
          <w:tcPr>
            <w:tcW w:w="0" w:type="auto"/>
            <w:tcBorders>
              <w:top w:val="nil"/>
              <w:left w:val="nil"/>
              <w:bottom w:val="single" w:sz="12" w:space="0" w:color="000000"/>
              <w:right w:val="nil"/>
            </w:tcBorders>
            <w:tcMar>
              <w:top w:w="50" w:type="dxa"/>
              <w:left w:w="70" w:type="dxa"/>
              <w:bottom w:w="50" w:type="dxa"/>
              <w:right w:w="70" w:type="dxa"/>
            </w:tcMar>
            <w:vAlign w:val="center"/>
          </w:tcPr>
          <w:p w14:paraId="7DC9560A" w14:textId="77777777" w:rsidR="002D0A3C" w:rsidRDefault="003B6787">
            <w:pPr>
              <w:pStyle w:val="Compact"/>
              <w:spacing w:before="0" w:after="0" w:line="264" w:lineRule="auto"/>
            </w:pPr>
            <w:r>
              <w:rPr>
                <w:rFonts w:ascii="Times New Roman" w:hAnsi="Times New Roman" w:eastAsia="宋体"/>
                <w:sz w:val="24"/>
              </w:rPr>
              <w:t xml:space="preserve">CF6 </w:t>
            </w:r>
            <w:r>
              <w:rPr>
                <w:rFonts w:ascii="Times New Roman" w:hAnsi="Times New Roman" w:eastAsia="宋体"/>
                <w:sz w:val="24"/>
              </w:rPr>
              <w:t>禁止</w:t>
            </w:r>
            <w:r>
              <w:rPr>
                <w:rFonts w:ascii="Times New Roman" w:hAnsi="Times New Roman" w:eastAsia="宋体"/>
                <w:sz w:val="24"/>
              </w:rPr>
              <w:t>→</w:t>
            </w:r>
            <w:r>
              <w:rPr>
                <w:rFonts w:ascii="Times New Roman" w:hAnsi="Times New Roman" w:eastAsia="宋体"/>
                <w:sz w:val="24"/>
              </w:rPr>
              <w:t>允许</w:t>
            </w:r>
          </w:p>
        </w:tc>
        <w:tc>
          <w:tcPr>
            <w:tcW w:w="0" w:type="auto"/>
            <w:tcBorders>
              <w:top w:val="nil"/>
              <w:left w:val="nil"/>
              <w:bottom w:val="single" w:sz="12" w:space="0" w:color="000000"/>
              <w:right w:val="nil"/>
            </w:tcBorders>
            <w:tcMar>
              <w:top w:w="50" w:type="dxa"/>
              <w:left w:w="70" w:type="dxa"/>
              <w:bottom w:w="50" w:type="dxa"/>
              <w:right w:w="70" w:type="dxa"/>
            </w:tcMar>
            <w:vAlign w:val="center"/>
          </w:tcPr>
          <w:p w14:paraId="2FF6A7CF" w14:textId="77777777" w:rsidR="002D0A3C" w:rsidRDefault="003B6787">
            <w:pPr>
              <w:pStyle w:val="Compact"/>
              <w:spacing w:before="0" w:after="0" w:line="264" w:lineRule="auto"/>
            </w:pPr>
            <w:r>
              <w:rPr>
                <w:rFonts w:ascii="Times New Roman" w:hAnsi="Times New Roman" w:eastAsia="宋体"/>
                <w:sz w:val="24"/>
              </w:rPr>
              <w:t>改变可行生产地集合</w:t>
            </w:r>
          </w:p>
        </w:tc>
        <w:tc>
          <w:tcPr>
            <w:tcW w:w="0" w:type="auto"/>
            <w:tcBorders>
              <w:top w:val="nil"/>
              <w:left w:val="nil"/>
              <w:bottom w:val="single" w:sz="12" w:space="0" w:color="000000"/>
              <w:right w:val="nil"/>
            </w:tcBorders>
            <w:tcMar>
              <w:top w:w="50" w:type="dxa"/>
              <w:left w:w="70" w:type="dxa"/>
              <w:bottom w:w="50" w:type="dxa"/>
              <w:right w:w="70" w:type="dxa"/>
            </w:tcMar>
            <w:vAlign w:val="center"/>
          </w:tcPr>
          <w:p w14:paraId="24907283" w14:textId="77777777" w:rsidR="002D0A3C" w:rsidRDefault="003B6787">
            <w:pPr>
              <w:pStyle w:val="Compact"/>
              <w:spacing w:before="0" w:after="0" w:line="264" w:lineRule="auto"/>
            </w:pPr>
            <w:r>
              <w:rPr>
                <w:rFonts w:ascii="Times New Roman" w:hAnsi="Times New Roman" w:eastAsia="宋体"/>
                <w:sz w:val="24"/>
              </w:rPr>
              <w:t>新进入的广延边际</w:t>
            </w:r>
          </w:p>
        </w:tc>
      </w:tr>
    </w:tbl>
    <w:p w14:paraId="2E526F0F" w14:textId="77777777" w:rsidR="002D0A3C" w:rsidRDefault="003B6787">
      <w:pPr>
        <w:pStyle w:val="a0"/>
        <w:ind w:firstLineChars="200"/>
        <w:rPr>
          <w:lang w:eastAsia="zh-CN"/>
        </w:rPr>
      </w:pPr>
      <w:r>
        <w:rPr>
          <w:lang w:eastAsia="zh-CN"/>
        </w:rPr>
        <w:t>基准经济年份与政策版本年份应分离。例如固定</w:t>
      </w:r>
      <w:r>
        <w:rPr>
          <w:lang w:eastAsia="zh-CN"/>
        </w:rPr>
        <w:t>2019</w:t>
      </w:r>
      <w:r>
        <w:rPr>
          <w:lang w:eastAsia="zh-CN"/>
        </w:rPr>
        <w:t>年的投入产出结构、工资、贸易和跨国生产份额，仅替换中国准入制度版本，使反事实差异只反映政策变化，而不混入现实年份间的技术、需求和全球贸易冲击。</w:t>
      </w:r>
    </w:p>
    <w:p w14:paraId="2B7B5E21" w14:textId="77777777" w:rsidR="002D0A3C" w:rsidRDefault="003B6787">
      <w:pPr>
        <w:pStyle w:val="3"/>
        <w:rPr>
          <w:lang w:eastAsia="zh-CN"/>
        </w:rPr>
      </w:pPr>
      <w:bookmarkStart w:id="12" w:name="a.6.3-结果变量与福利"/>
      <w:bookmarkEnd w:id="11"/>
      <w:r>
        <w:rPr>
          <w:rFonts w:ascii="Times New Roman" w:eastAsia="宋体" w:hAnsi="Times New Roman"/>
          <w:lang w:eastAsia="zh-CN"/>
        </w:rPr>
        <w:t>A.6.3</w:t>
      </w:r>
      <w:r>
        <w:rPr>
          <w:rFonts w:ascii="Times New Roman" w:eastAsia="宋体" w:hAnsi="Times New Roman"/>
          <w:lang w:eastAsia="zh-CN"/>
        </w:rPr>
        <w:t xml:space="preserve">　结果变量与福利</w:t>
      </w:r>
    </w:p>
    <w:p w14:paraId="36D6DD00" w14:textId="77777777" w:rsidR="002D0A3C" w:rsidRDefault="003B6787" w:rsidP="0016713F">
      <w:pPr>
        <w:pStyle w:val="FirstParagraph"/>
        <w:spacing w:before="80" w:after="80" w:line="240" w:lineRule="auto"/>
        <w:ind w:firstLineChars="200"/>
        <w:rPr>
          <w:lang w:eastAsia="zh-CN"/>
        </w:rPr>
      </w:pPr>
      <w:r>
        <w:rPr>
          <w:lang w:eastAsia="zh-CN"/>
        </w:rPr>
        <w:t>至少报告四类结果。第一，外国母国在中国的跨国生产份额与产值变化；第二，中国各部门产出、价格和生产工资变化；第三，</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oMath>
      <w:r>
        <w:rPr>
          <w:lang w:eastAsia="zh-CN"/>
        </w:rPr>
        <w:t xml:space="preserve"> </w:t>
      </w:r>
      <w:r>
        <w:rPr>
          <w:lang w:eastAsia="zh-CN"/>
        </w:rPr>
        <w:t>所刻画的全球生产网络重排；第四，利润、研发劳动、新品种数量与福利变化。福利分解沿用第二篇文献的六个通道：产品种类效应、投入产出关联效应、离岸外包效应、创新效应、市场规模效应和劳动要素再配置效应。</w:t>
      </w:r>
    </w:p>
    <w:p w14:paraId="6BE907A3" w14:textId="77777777" w:rsidR="002D0A3C" w:rsidRDefault="003B6787">
      <w:pPr>
        <w:pStyle w:val="a0"/>
        <w:ind w:firstLineChars="200"/>
        <w:rPr>
          <w:lang w:eastAsia="zh-CN"/>
        </w:rPr>
      </w:pPr>
      <w:r>
        <w:rPr>
          <w:lang w:eastAsia="zh-CN"/>
        </w:rPr>
        <w:lastRenderedPageBreak/>
        <w:t>若分析不同负面清单改革的福利贡献，应分别求解相应反事实，而不能把单个回归系数直接解释为福利贡献。存在一般均衡交互时，可报告顺序分解，并以</w:t>
      </w:r>
      <w:r>
        <w:rPr>
          <w:lang w:eastAsia="zh-CN"/>
        </w:rPr>
        <w:t>Shapley</w:t>
      </w:r>
      <w:r>
        <w:rPr>
          <w:lang w:eastAsia="zh-CN"/>
        </w:rPr>
        <w:t>分解作稳健性检验。</w:t>
      </w:r>
    </w:p>
    <w:bookmarkStart w:id="25" w:name="a.7-识别边界与稳健性"/>
    <w:p>
      <w:pPr>
        <w:pStyle w:val="2"/>
      </w:pPr>
      <w:r>
        <w:t xml:space="preserve">A.7　识别边界与稳健性</w:t>
      </w:r>
    </w:p>
    <w:bookmarkStart w:id="20" w:name="a.7.1-政策抽取与企业匹配误差"/>
    <w:p>
      <w:pPr>
        <w:pStyle w:val="3"/>
      </w:pPr>
      <w:r>
        <w:t xml:space="preserve">A.7.1　政策抽取与企业匹配误差</w:t>
      </w:r>
    </w:p>
    <w:p>
      <w:pPr>
        <w:pStyle w:val="FirstParagraph"/>
      </w:pPr>
      <w:r>
        <w:t xml:space="preserve">LLM 误差主要来自限定词遗漏、例外误判和一对多映射过宽。基准应报告人工金标准准确度、exact/narrow 样本及低置信度剔除结果。企业—政策活动匹配另报告相似度分布、阈值</w:t>
      </w:r>
      <w:r>
        <w:t xml:space="preserve"> </w:t>
      </w:r>
      <m:oMath>
        <m:acc>
          <m:accPr>
            <m:chr m:val="‾"/>
          </m:accPr>
          <m:e>
            <m:r>
              <m:t>s</m:t>
            </m:r>
          </m:e>
        </m:acc>
      </m:oMath>
      <w:r>
        <w:t xml:space="preserve">、unmatched 比例、前两名相似度差和人工复核准确率；低于阈值的企业保持缺失，不能编码为“无政策限制”。跨版本 policy_activity_id 也需人工审计，只有经济活动本身一致时才允许纵向连接。</w:t>
      </w:r>
    </w:p>
    <w:bookmarkEnd w:id="20"/>
    <w:bookmarkStart w:id="21" w:name="a.7.2-微观大样本与有效政策簇"/>
    <w:p>
      <w:pPr>
        <w:pStyle w:val="3"/>
      </w:pPr>
      <w:r>
        <w:t xml:space="preserve">A.7.2　微观大样本与有效政策簇</w:t>
      </w:r>
    </w:p>
    <w:p>
      <w:pPr>
        <w:pStyle w:val="FirstParagraph"/>
      </w:pPr>
      <w:r>
        <w:t xml:space="preserve">企业层面恢复了粗行业内部的政策异质性，但企业数量不等于独立政策冲击数量。匹配到同一 policy_activity_id 的企业共享同一改革，因此基准同时报告企业数、稳定政策活动数、实际发生变化的活动数和有效政策簇数；标准误至少在政策活动或相应细行业层面聚类，有效簇较少时采用 wild cluster bootstrap，并以活动层面聚合回归作为稳健性检验。</w:t>
      </w:r>
    </w:p>
    <w:bookmarkEnd w:id="21"/>
    <w:bookmarkStart w:id="22" w:name="a.7.3-结构目标变量与口径一致性"/>
    <w:p>
      <w:pPr>
        <w:pStyle w:val="3"/>
      </w:pPr>
      <w:r>
        <w:t xml:space="preserve">A.7.3　结构目标变量与口径一致性</w:t>
      </w:r>
    </w:p>
    <w:p>
      <w:pPr>
        <w:pStyle w:val="FirstParagraph"/>
      </w:pPr>
      <w:r>
        <w:t xml:space="preserve">外资持股比例、全外资概率等可以验证政策具有真实行为后果，但不能自动等同于外国企业生产份额。式（A9）的基准反演只使用能够按固定企业产出权重构造、且与 AMNE 外资控制口径尽量一致的</w:t>
      </w:r>
      <w:r>
        <w:t xml:space="preserve"> </w:t>
      </w:r>
      <m:oMath>
        <m:r>
          <m:t>Δ</m:t>
        </m:r>
        <m:sSup>
          <m:e>
            <m:r>
              <m:t>M</m:t>
            </m:r>
          </m:e>
          <m:sup>
            <m:r>
              <m:t>m</m:t>
            </m:r>
            <m:r>
              <m:t>i</m:t>
            </m:r>
            <m:r>
              <m:t>c</m:t>
            </m:r>
            <m:r>
              <m:t>r</m:t>
            </m:r>
            <m:r>
              <m:t>o</m:t>
            </m:r>
          </m:sup>
        </m:sSup>
      </m:oMath>
      <w:r>
        <w:t xml:space="preserve">。若只有持股比例，可报告“外资持股加权份额”的变化作为辅助结果，但不能在没有额外映射的情况下直接代入结构模型。</w:t>
      </w:r>
    </w:p>
    <w:bookmarkEnd w:id="22"/>
    <w:bookmarkStart w:id="23" w:name="a.7.4-政策内生性与行业聚合误差"/>
    <w:p>
      <w:pPr>
        <w:pStyle w:val="3"/>
      </w:pPr>
      <w:r>
        <w:t xml:space="preserve">A.7.4　政策内生性与行业聚合误差</w:t>
      </w:r>
    </w:p>
    <w:p>
      <w:pPr>
        <w:pStyle w:val="FirstParagraph"/>
      </w:pPr>
      <w:r>
        <w:t xml:space="preserve">开放顺序可能与细活动既有外资增长或政策优先级相关。除企业固定效应和粗行业×年份固定效应外，应检验改革前外资参与趋势，并优先利用政策承诺时间表、分批开放或相近活动未同步改革形成更有约束力的对照。行业聚合则用不同固定基期权重、full/exact 或加入 partial 的口径重复构造</w:t>
      </w:r>
      <w:r>
        <w:t xml:space="preserve"> </w:t>
      </w:r>
      <m:oMath>
        <m:sSubSup>
          <m:e>
            <m:r>
              <m:t>Z</m:t>
            </m:r>
          </m:e>
          <m:sub>
            <m:r>
              <m:t>j</m:t>
            </m:r>
            <m:r>
              <m:t>t</m:t>
            </m:r>
          </m:sub>
          <m:sup>
            <m:r>
              <m:t>k</m:t>
            </m:r>
          </m:sup>
        </m:sSubSup>
      </m:oMath>
      <w:r>
        <w:t xml:space="preserve">；聚合分母始终使用完整 ISIC 四位行业集合。</w:t>
      </w:r>
    </w:p>
    <w:bookmarkEnd w:id="23"/>
    <w:bookmarkStart w:id="24" w:name="a.7.5-成本反演与一般均衡不确定性"/>
    <w:p>
      <w:pPr>
        <w:pStyle w:val="3"/>
      </w:pPr>
      <w:r>
        <w:t xml:space="preserve">A.7.5　成本反演与一般均衡不确定性</w:t>
      </w:r>
    </w:p>
    <w:p>
      <w:pPr>
        <w:pStyle w:val="FirstParagraph"/>
      </w:pPr>
      <w:r>
        <w:t xml:space="preserve">式（A9）反演的制度型 MP 成本变化取决于企业回归、固定权重、结构弹性和</w:t>
      </w:r>
      <w:r>
        <w:t xml:space="preserve"> </w:t>
      </w:r>
      <m:oMath>
        <m:sSub>
          <m:e>
            <m:r>
              <m:t>ν</m:t>
            </m:r>
          </m:e>
          <m:sub>
            <m:r>
              <m:t>j</m:t>
            </m:r>
          </m:sub>
        </m:sSub>
      </m:oMath>
      <w:r>
        <w:t xml:space="preserve">。可采用分层 bootstrap：重新抽取政策活动簇和企业、重新估计</w:t>
      </w:r>
      <w:r>
        <w:t xml:space="preserve"> </w:t>
      </w:r>
      <m:oMath>
        <m:sSup>
          <m:e>
            <m:acc>
              <m:accPr>
                <m:chr m:val="̂"/>
              </m:accPr>
              <m:e>
                <m:r>
                  <m:t>Δ</m:t>
                </m:r>
                <m:r>
                  <m:t>M</m:t>
                </m:r>
              </m:e>
            </m:acc>
          </m:e>
          <m:sup>
            <m:r>
              <m:t>m</m:t>
            </m:r>
            <m:r>
              <m:t>i</m:t>
            </m:r>
            <m:r>
              <m:t>c</m:t>
            </m:r>
            <m:r>
              <m:t>r</m:t>
            </m:r>
            <m:r>
              <m:t>o</m:t>
            </m:r>
          </m:sup>
        </m:sSup>
      </m:oMath>
      <w:r>
        <w:t xml:space="preserve">、重新反演成本，再重复求解一般均衡。福利区间因此不能只来自企业回归的第二阶段标准误。禁止→允许仍与连续成本反事实分开报告。</w:t>
      </w:r>
    </w:p>
    <w:bookmarkEnd w:id="24"/>
    <w:bookmarkEnd w:id="25"/>
    <w:bookmarkStart w:id="26" w:name="a.8-可复现性与数据接口"/>
    <w:p>
      <w:pPr>
        <w:pStyle w:val="2"/>
      </w:pPr>
      <w:r>
        <w:t xml:space="preserve">A.8　可复现性与数据接口</w:t>
      </w:r>
    </w:p>
    <w:p>
      <w:pPr>
        <w:pStyle w:val="FirstParagraph"/>
      </w:pPr>
      <w:r>
        <w:t xml:space="preserve">实证数据采用“JSONL 主数据 + CSV/Parquet 分析数据”的双层结构。政策法律事实、跨版本活动、企业语义匹配、行业聚合、微观回归、成本反演和一般均衡结果分别保存，不在同一张表中混合不同观察单位。</w:t>
      </w:r>
    </w:p>
    <w:p>
      <w:pPr>
        <w:pStyle w:val="a0"/>
      </w:pPr>
      <w:r>
        <w:t xml:space="preserve">表 A4　最终研究数据库的层级</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trPr>
        <w:tc>
          <w:tcPr/>
          <w:p>
            <w:pPr>
              <w:pStyle w:val="Compact"/>
              <w:jc w:val="left"/>
            </w:pPr>
            <w:r>
              <w:rPr>
                <w:rFonts w:ascii="Times New Roman" w:hAnsi="Times New Roman" w:eastAsia="宋体"/>
                <w:sz w:val="24"/>
              </w:rPr>
              <w:t xml:space="preserve">数据文件</w:t>
            </w:r>
          </w:p>
        </w:tc>
        <w:tc>
          <w:tcPr/>
          <w:p>
            <w:pPr>
              <w:pStyle w:val="Compact"/>
              <w:jc w:val="left"/>
            </w:pPr>
            <w:r>
              <w:rPr>
                <w:rFonts w:ascii="Times New Roman" w:hAnsi="Times New Roman" w:eastAsia="宋体"/>
                <w:sz w:val="24"/>
              </w:rPr>
              <w:t xml:space="preserve">观测单位</w:t>
            </w:r>
          </w:p>
        </w:tc>
        <w:tc>
          <w:tcPr/>
          <w:p>
            <w:pPr>
              <w:pStyle w:val="Compact"/>
              <w:jc w:val="left"/>
            </w:pPr>
            <w:r>
              <w:rPr>
                <w:rFonts w:ascii="Times New Roman" w:hAnsi="Times New Roman" w:eastAsia="宋体"/>
                <w:sz w:val="24"/>
              </w:rPr>
              <w:t xml:space="preserve">核心内容</w:t>
            </w:r>
          </w:p>
        </w:tc>
      </w:tr>
      <w:tr>
        <w:trPr>
          <w:cantSplit/>
        </w:trPr>
        <w:tc>
          <w:tcPr/>
          <w:p>
            <w:r>
              <w:t>policy_units_master.jsonl</w:t>
            </w:r>
          </w:p>
        </w:tc>
        <w:tc>
          <w:tcPr/>
          <w:p>
            <w:r>
              <w:t>政策编码单元×版本</w:t>
            </w:r>
          </w:p>
        </w:tc>
        <w:tc>
          <w:tcPr/>
          <w:p>
            <w:r>
              <w:t>A1 文本字段 + A2 压缩字段；权威主数据</w:t>
            </w:r>
          </w:p>
        </w:tc>
      </w:tr>
      <w:tr>
        <w:trPr>
          <w:cantSplit/>
        </w:trPr>
        <w:tc>
          <w:tcPr/>
          <w:p>
            <w:pPr>
              <w:pStyle w:val="Compact"/>
              <w:jc w:val="left"/>
            </w:pPr>
            <w:r>
              <w:rPr>
                <w:rFonts w:ascii="Times New Roman" w:hAnsi="Times New Roman" w:eastAsia="宋体"/>
                <w:sz w:val="24"/>
              </w:rPr>
              <w:t xml:space="preserve">llm_audit.jsonl</w:t>
            </w:r>
          </w:p>
        </w:tc>
        <w:tc>
          <w:tcPr/>
          <w:p>
            <w:r>
              <w:t>政策编码单元×模型运行</w:t>
            </w:r>
          </w:p>
        </w:tc>
        <w:tc>
          <w:tcPr/>
          <w:p>
            <w:pPr>
              <w:pStyle w:val="Compact"/>
              <w:jc w:val="left"/>
            </w:pPr>
            <w:r>
              <w:rPr>
                <w:rFonts w:ascii="Times New Roman" w:hAnsi="Times New Roman" w:eastAsia="宋体"/>
                <w:sz w:val="24"/>
              </w:rPr>
              <w:t xml:space="preserve">原始模型输出、证据、置信度和人工修改日志</w:t>
            </w:r>
          </w:p>
        </w:tc>
      </w:tr>
      <w:tr>
        <w:trPr>
          <w:cantSplit/>
        </w:trPr>
        <w:tc>
          <w:tcPr/>
          <w:p>
            <w:pPr>
              <w:pStyle w:val="Compact"/>
              <w:jc w:val="left"/>
            </w:pPr>
            <w:r>
              <w:rPr>
                <w:rFonts w:ascii="Times New Roman" w:hAnsi="Times New Roman" w:eastAsia="宋体"/>
                <w:sz w:val="24"/>
              </w:rPr>
              <w:t xml:space="preserve">policy_activity_crossversion.csv</w:t>
            </w:r>
          </w:p>
        </w:tc>
        <w:tc>
          <w:tcPr/>
          <w:p>
            <w:pPr>
              <w:pStyle w:val="Compact"/>
              <w:jc w:val="left"/>
            </w:pPr>
            <w:r>
              <w:rPr>
                <w:rFonts w:ascii="Times New Roman" w:hAnsi="Times New Roman" w:eastAsia="宋体"/>
                <w:sz w:val="24"/>
              </w:rPr>
              <w:t xml:space="preserve">稳定政策活动×版本</w:t>
            </w:r>
          </w:p>
        </w:tc>
        <w:tc>
          <w:tcPr/>
          <w:p>
            <w:r>
              <w:t>policy_activity_id、policy_unit_id、跨版本对齐证据</w:t>
            </w:r>
          </w:p>
        </w:tc>
      </w:tr>
      <w:tr>
        <w:trPr>
          <w:cantSplit/>
        </w:trPr>
        <w:tc>
          <w:tcPr/>
          <w:p>
            <w:pPr>
              <w:pStyle w:val="Compact"/>
              <w:jc w:val="left"/>
            </w:pPr>
            <w:r>
              <w:rPr>
                <w:rFonts w:ascii="Times New Roman" w:hAnsi="Times New Roman" w:eastAsia="宋体"/>
                <w:sz w:val="24"/>
              </w:rPr>
              <w:t xml:space="preserve">industry_crosswalk.csv</w:t>
            </w:r>
          </w:p>
        </w:tc>
        <w:tc>
          <w:tcPr/>
          <w:p>
            <w:pPr>
              <w:pStyle w:val="Compact"/>
              <w:jc w:val="left"/>
            </w:pPr>
            <w:r>
              <w:rPr>
                <w:rFonts w:ascii="Times New Roman" w:hAnsi="Times New Roman" w:eastAsia="宋体"/>
                <w:sz w:val="24"/>
              </w:rPr>
              <w:t xml:space="preserve">政策活动×GB4×ISIC4</w:t>
            </w:r>
          </w:p>
        </w:tc>
        <w:tc>
          <w:tcPr/>
          <w:p>
            <w:pPr>
              <w:pStyle w:val="Compact"/>
              <w:jc w:val="left"/>
            </w:pPr>
            <w:r>
              <w:rPr>
                <w:rFonts w:ascii="Times New Roman" w:hAnsi="Times New Roman" w:eastAsia="宋体"/>
                <w:sz w:val="24"/>
              </w:rPr>
              <w:t xml:space="preserve">GB4、ISIC4、ISIC2、OECD-AMNE、匹配类型和证据</w:t>
            </w:r>
          </w:p>
        </w:tc>
      </w:tr>
      <w:tr>
        <w:trPr>
          <w:cantSplit/>
        </w:trPr>
        <w:tc>
          <w:tcPr/>
          <w:p>
            <w:pPr>
              <w:pStyle w:val="Compact"/>
              <w:jc w:val="left"/>
            </w:pPr>
            <w:r>
              <w:rPr>
                <w:rFonts w:ascii="Times New Roman" w:hAnsi="Times New Roman" w:eastAsia="宋体"/>
                <w:sz w:val="24"/>
              </w:rPr>
              <w:t xml:space="preserve">firm_core_product.csv</w:t>
            </w:r>
          </w:p>
        </w:tc>
        <w:tc>
          <w:tcPr/>
          <w:p>
            <w:pPr>
              <w:pStyle w:val="Compact"/>
              <w:jc w:val="left"/>
            </w:pPr>
            <w:r>
              <w:rPr>
                <w:rFonts w:ascii="Times New Roman" w:hAnsi="Times New Roman" w:eastAsia="宋体"/>
                <w:sz w:val="24"/>
              </w:rPr>
              <w:t xml:space="preserve">企业</w:t>
            </w:r>
          </w:p>
        </w:tc>
        <w:tc>
          <w:tcPr/>
          <w:p>
            <w:pPr>
              <w:pStyle w:val="Compact"/>
              <w:jc w:val="left"/>
            </w:pPr>
            <w:r>
              <w:rPr>
                <w:rFonts w:ascii="Times New Roman" w:hAnsi="Times New Roman" w:eastAsia="宋体"/>
                <w:sz w:val="24"/>
              </w:rPr>
              <w:t xml:space="preserve">企业核心产品/主营业务文本及既有行业代码</w:t>
            </w:r>
          </w:p>
        </w:tc>
      </w:tr>
      <w:tr>
        <w:trPr>
          <w:cantSplit/>
        </w:trPr>
        <w:tc>
          <w:tcPr/>
          <w:p>
            <w:r>
              <w:t>firm_policy_match.csv</w:t>
            </w:r>
          </w:p>
        </w:tc>
        <w:tc>
          <w:tcPr/>
          <w:p>
            <w:pPr>
              <w:pStyle w:val="Compact"/>
              <w:jc w:val="left"/>
            </w:pPr>
            <w:r>
              <w:rPr>
                <w:rFonts w:ascii="Times New Roman" w:hAnsi="Times New Roman" w:eastAsia="宋体"/>
                <w:sz w:val="24"/>
              </w:rPr>
              <w:t xml:space="preserve">企业×候选政策活动</w:t>
            </w:r>
          </w:p>
        </w:tc>
        <w:tc>
          <w:tcPr/>
          <w:p>
            <w:pPr>
              <w:pStyle w:val="Compact"/>
              <w:jc w:val="left"/>
            </w:pPr>
            <w:r>
              <w:rPr>
                <w:rFonts w:ascii="Times New Roman" w:hAnsi="Times New Roman" w:eastAsia="宋体"/>
                <w:sz w:val="24"/>
              </w:rPr>
              <w:t xml:space="preserve">相似度、排名、阈值状态和人工复核状态</w:t>
            </w:r>
          </w:p>
        </w:tc>
      </w:tr>
      <w:tr>
        <w:trPr>
          <w:cantSplit/>
        </w:trPr>
        <w:tc>
          <w:tcPr/>
          <w:p>
            <w:pPr>
              <w:pStyle w:val="Compact"/>
              <w:jc w:val="left"/>
            </w:pPr>
            <w:r>
              <w:rPr>
                <w:rFonts w:ascii="Times New Roman" w:hAnsi="Times New Roman" w:eastAsia="宋体"/>
                <w:sz w:val="24"/>
              </w:rPr>
              <w:t xml:space="preserve">firm_policy_panel.parquet</w:t>
            </w:r>
          </w:p>
        </w:tc>
        <w:tc>
          <w:tcPr/>
          <w:p>
            <w:pPr>
              <w:pStyle w:val="Compact"/>
              <w:jc w:val="left"/>
            </w:pPr>
            <w:r>
              <w:rPr>
                <w:rFonts w:ascii="Times New Roman" w:hAnsi="Times New Roman" w:eastAsia="宋体"/>
                <w:sz w:val="24"/>
              </w:rPr>
              <w:t xml:space="preserve">企业×年份</w:t>
            </w:r>
          </w:p>
        </w:tc>
        <w:tc>
          <w:tcPr/>
          <w:p>
            <w:pPr>
              <w:pStyle w:val="Compact"/>
              <w:jc w:val="left"/>
            </w:pPr>
            <w:r>
              <w:rPr>
                <w:rFonts w:ascii="Times New Roman" w:hAnsi="Times New Roman" w:eastAsia="宋体"/>
                <w:sz w:val="24"/>
              </w:rPr>
              <w:t xml:space="preserve">六类</w:t>
            </w:r>
            <w:r>
              <w:rPr>
                <w:rFonts w:ascii="Times New Roman" w:hAnsi="Times New Roman" w:eastAsia="宋体"/>
                <w:sz w:val="24"/>
              </w:rPr>
              <w:t xml:space="preserve"> </w:t>
            </w:r>
            <m:oMath>
              <m:sSubSup>
                <m:e>
                  <m:r>
                    <m:t>Z</m:t>
                  </m:r>
                </m:e>
                <m:sub>
                  <m:r>
                    <m:t>f</m:t>
                  </m:r>
                  <m:r>
                    <m:t>t</m:t>
                  </m:r>
                </m:sub>
                <m:sup>
                  <m:r>
                    <m:t>k</m:t>
                  </m:r>
                </m:sup>
              </m:sSubSup>
            </m:oMath>
            <w:r>
              <w:rPr>
                <w:rFonts w:ascii="Times New Roman" w:hAnsi="Times New Roman" w:eastAsia="宋体"/>
                <w:sz w:val="24"/>
              </w:rPr>
              <w:t xml:space="preserve"> </w:t>
            </w:r>
            <w:r>
              <w:rPr>
                <w:rFonts w:ascii="Times New Roman" w:hAnsi="Times New Roman" w:eastAsia="宋体"/>
                <w:sz w:val="24"/>
              </w:rPr>
              <w:t xml:space="preserve">及匹配质量字段</w:t>
            </w:r>
          </w:p>
        </w:tc>
      </w:tr>
      <w:tr>
        <w:trPr>
          <w:cantSplit/>
        </w:trPr>
        <w:tc>
          <w:tcPr/>
          <w:p>
            <w:pPr>
              <w:pStyle w:val="Compact"/>
              <w:jc w:val="left"/>
            </w:pPr>
            <w:r>
              <w:rPr>
                <w:rFonts w:ascii="Times New Roman" w:hAnsi="Times New Roman" w:eastAsia="宋体"/>
                <w:sz w:val="24"/>
              </w:rPr>
              <w:t xml:space="preserve">firm_outcome_panel.parquet</w:t>
            </w:r>
          </w:p>
        </w:tc>
        <w:tc>
          <w:tcPr/>
          <w:p>
            <w:pPr>
              <w:pStyle w:val="Compact"/>
              <w:jc w:val="left"/>
            </w:pPr>
            <w:r>
              <w:rPr>
                <w:rFonts w:ascii="Times New Roman" w:hAnsi="Times New Roman" w:eastAsia="宋体"/>
                <w:sz w:val="24"/>
              </w:rPr>
              <w:t xml:space="preserve">企业×年份</w:t>
            </w:r>
          </w:p>
        </w:tc>
        <w:tc>
          <w:tcPr/>
          <w:p>
            <w:pPr>
              <w:pStyle w:val="Compact"/>
              <w:jc w:val="left"/>
            </w:pPr>
            <w:r>
              <w:rPr>
                <w:rFonts w:ascii="Times New Roman" w:hAnsi="Times New Roman" w:eastAsia="宋体"/>
                <w:sz w:val="24"/>
              </w:rPr>
              <w:t xml:space="preserve">外资持股、外资控制、全外资、进入及企业产出</w:t>
            </w:r>
          </w:p>
        </w:tc>
      </w:tr>
      <w:tr>
        <w:trPr>
          <w:cantSplit/>
        </w:trPr>
        <w:tc>
          <w:tcPr/>
          <w:p>
            <w:pPr>
              <w:pStyle w:val="Compact"/>
              <w:jc w:val="left"/>
            </w:pPr>
            <w:r>
              <w:rPr>
                <w:rFonts w:ascii="Times New Roman" w:hAnsi="Times New Roman" w:eastAsia="宋体"/>
                <w:sz w:val="24"/>
              </w:rPr>
              <w:t xml:space="preserve">micro_policy_est.csv</w:t>
            </w:r>
          </w:p>
        </w:tc>
        <w:tc>
          <w:tcPr/>
          <w:p>
            <w:pPr>
              <w:pStyle w:val="Compact"/>
              <w:jc w:val="left"/>
            </w:pPr>
            <w:r>
              <w:rPr>
                <w:rFonts w:ascii="Times New Roman" w:hAnsi="Times New Roman" w:eastAsia="宋体"/>
                <w:sz w:val="24"/>
              </w:rPr>
              <w:t xml:space="preserve">规格×限制类型</w:t>
            </w:r>
          </w:p>
        </w:tc>
        <w:tc>
          <w:tcPr/>
          <w:p>
            <w:pPr>
              <w:pStyle w:val="Compact"/>
              <w:jc w:val="left"/>
            </w:pPr>
            <m:oMath>
              <m:sSub>
                <m:e>
                  <m:acc>
                    <m:accPr>
                      <m:chr m:val="̂"/>
                    </m:accPr>
                    <m:e>
                      <m:r>
                        <m:t>β</m:t>
                      </m:r>
                    </m:e>
                  </m:acc>
                </m:e>
                <m:sub>
                  <m:r>
                    <m:t>k</m:t>
                  </m:r>
                </m:sub>
              </m:sSub>
            </m:oMath>
            <w:r>
              <w:rPr>
                <w:rFonts w:ascii="Times New Roman" w:hAnsi="Times New Roman" w:eastAsia="宋体"/>
                <w:sz w:val="24"/>
              </w:rPr>
              <w:t xml:space="preserve">、标准误、政策簇数和固定效应</w:t>
            </w:r>
          </w:p>
        </w:tc>
      </w:tr>
      <w:tr>
        <w:trPr>
          <w:cantSplit/>
        </w:trPr>
        <w:tc>
          <w:tcPr/>
          <w:p>
            <w:pPr>
              <w:pStyle w:val="Compact"/>
              <w:jc w:val="left"/>
            </w:pPr>
            <w:r>
              <w:rPr>
                <w:rFonts w:ascii="Times New Roman" w:hAnsi="Times New Roman" w:eastAsia="宋体"/>
                <w:sz w:val="24"/>
              </w:rPr>
              <w:t xml:space="preserve">micro_share_moment.csv</w:t>
            </w:r>
          </w:p>
        </w:tc>
        <w:tc>
          <w:tcPr/>
          <w:p>
            <w:pPr>
              <w:pStyle w:val="Compact"/>
              <w:jc w:val="left"/>
            </w:pPr>
            <w:r>
              <w:rPr>
                <w:rFonts w:ascii="Times New Roman" w:hAnsi="Times New Roman" w:eastAsia="宋体"/>
                <w:sz w:val="24"/>
              </w:rPr>
              <w:t xml:space="preserve">OECD-AMNE 行业×改革</w:t>
            </w:r>
          </w:p>
        </w:tc>
        <w:tc>
          <w:tcPr/>
          <w:p>
            <w:pPr>
              <w:pStyle w:val="Compact"/>
              <w:jc w:val="left"/>
            </w:pPr>
            <m:oMath>
              <m:sSubSup>
                <m:e>
                  <m:acc>
                    <m:accPr>
                      <m:chr m:val="̂"/>
                    </m:accPr>
                    <m:e>
                      <m:r>
                        <m:t>Δ</m:t>
                      </m:r>
                      <m:r>
                        <m:t>M</m:t>
                      </m:r>
                    </m:e>
                  </m:acc>
                </m:e>
                <m:sub>
                  <m:r>
                    <m:t>j</m:t>
                  </m:r>
                  <m:r>
                    <m:t>t</m:t>
                  </m:r>
                </m:sub>
                <m:sup>
                  <m:r>
                    <m:t>m</m:t>
                  </m:r>
                  <m:r>
                    <m:t>i</m:t>
                  </m:r>
                  <m:r>
                    <m:t>c</m:t>
                  </m:r>
                  <m:r>
                    <m:t>r</m:t>
                  </m:r>
                  <m:r>
                    <m:t>o</m:t>
                  </m:r>
                  <m:r>
                    <m:rPr>
                      <m:sty m:val="p"/>
                    </m:rPr>
                    <m:t>,</m:t>
                  </m:r>
                  <m:r>
                    <m:t>k</m:t>
                  </m:r>
                </m:sup>
              </m:sSubSup>
            </m:oMath>
            <w:r>
              <w:rPr>
                <w:rFonts w:ascii="Times New Roman" w:hAnsi="Times New Roman" w:eastAsia="宋体"/>
                <w:sz w:val="24"/>
              </w:rPr>
              <w:t xml:space="preserve"> </w:t>
            </w:r>
            <w:r>
              <w:rPr>
                <w:rFonts w:ascii="Times New Roman" w:hAnsi="Times New Roman" w:eastAsia="宋体"/>
                <w:sz w:val="24"/>
              </w:rPr>
              <w:t xml:space="preserve">及固定权重口径</w:t>
            </w:r>
          </w:p>
        </w:tc>
      </w:tr>
      <w:tr>
        <w:trPr>
          <w:cantSplit/>
        </w:trPr>
        <w:tc>
          <w:tcPr/>
          <w:p>
            <w:pPr>
              <w:pStyle w:val="Compact"/>
              <w:jc w:val="left"/>
            </w:pPr>
            <w:r>
              <w:rPr>
                <w:rFonts w:ascii="Times New Roman" w:hAnsi="Times New Roman" w:eastAsia="宋体"/>
                <w:sz w:val="24"/>
              </w:rPr>
              <w:t xml:space="preserve">sector_policy.csv</w:t>
            </w:r>
          </w:p>
        </w:tc>
        <w:tc>
          <w:tcPr/>
          <w:p>
            <w:pPr>
              <w:pStyle w:val="Compact"/>
              <w:jc w:val="left"/>
            </w:pPr>
            <w:r>
              <w:rPr>
                <w:rFonts w:ascii="Times New Roman" w:hAnsi="Times New Roman" w:eastAsia="宋体"/>
                <w:sz w:val="24"/>
              </w:rPr>
              <w:t xml:space="preserve">OECD-AMNE 行业×年份</w:t>
            </w:r>
          </w:p>
        </w:tc>
        <w:tc>
          <w:tcPr/>
          <w:p>
            <w:pPr>
              <w:pStyle w:val="Compact"/>
              <w:jc w:val="left"/>
            </w:pPr>
            <m:oMath>
              <m:sSubSup>
                <m:e>
                  <m:r>
                    <m:t>Z</m:t>
                  </m:r>
                </m:e>
                <m:sub>
                  <m:r>
                    <m:t>j</m:t>
                  </m:r>
                  <m:r>
                    <m:t>t</m:t>
                  </m:r>
                </m:sub>
                <m:sup>
                  <m:r>
                    <m:t>k</m:t>
                  </m:r>
                </m:sup>
              </m:sSubSup>
            </m:oMath>
            <w:r>
              <w:rPr>
                <w:rFonts w:ascii="Times New Roman" w:hAnsi="Times New Roman" w:eastAsia="宋体"/>
                <w:sz w:val="24"/>
              </w:rPr>
              <w:t xml:space="preserve">、禁止份额和覆盖率；宏观检验</w:t>
            </w:r>
          </w:p>
        </w:tc>
      </w:tr>
      <w:tr>
        <w:trPr>
          <w:cantSplit/>
        </w:trPr>
        <w:tc>
          <w:tcPr/>
          <w:p>
            <w:pPr>
              <w:pStyle w:val="Compact"/>
              <w:jc w:val="left"/>
            </w:pPr>
            <w:r>
              <w:rPr>
                <w:rFonts w:ascii="Times New Roman" w:hAnsi="Times New Roman" w:eastAsia="宋体"/>
                <w:sz w:val="24"/>
              </w:rPr>
              <w:t xml:space="preserve">amne_impc.csv / parquet</w:t>
            </w:r>
          </w:p>
        </w:tc>
        <w:tc>
          <w:tcPr/>
          <w:p>
            <w:pPr>
              <w:pStyle w:val="Compact"/>
              <w:jc w:val="left"/>
            </w:pPr>
            <w:r>
              <w:rPr>
                <w:rFonts w:ascii="Times New Roman" w:hAnsi="Times New Roman" w:eastAsia="宋体"/>
                <w:sz w:val="24"/>
              </w:rPr>
              <w:t xml:space="preserve">母国×中国×行业×年份</w:t>
            </w:r>
          </w:p>
        </w:tc>
        <w:tc>
          <w:tcPr/>
          <w:p>
            <w:pPr>
              <w:pStyle w:val="Compact"/>
              <w:jc w:val="left"/>
            </w:pPr>
            <w:r>
              <w:rPr>
                <w:rFonts w:ascii="Times New Roman" w:hAnsi="Times New Roman" w:eastAsia="宋体"/>
                <w:sz w:val="24"/>
              </w:rPr>
              <w:t xml:space="preserve">AMNE 反演的总 MP 成本和</w:t>
            </w:r>
            <w:r>
              <w:rPr>
                <w:rFonts w:ascii="Times New Roman" w:hAnsi="Times New Roman" w:eastAsia="宋体"/>
                <w:sz w:val="24"/>
              </w:rPr>
              <w:t xml:space="preserve"> </w:t>
            </w:r>
            <m:oMath>
              <m:r>
                <m:t>I</m:t>
              </m:r>
              <m:r>
                <m:t>M</m:t>
              </m:r>
              <m:r>
                <m:t>P</m:t>
              </m:r>
              <m:r>
                <m:t>C</m:t>
              </m:r>
              <m:r>
                <m:rPr>
                  <m:sty m:val="p"/>
                </m:rPr>
                <m:t>=</m:t>
              </m:r>
              <m:r>
                <m:t>γ</m:t>
              </m:r>
              <m:r>
                <m:rPr>
                  <m:sty m:val="p"/>
                </m:rPr>
                <m:t>/</m:t>
              </m:r>
              <m:r>
                <m:t>m</m:t>
              </m:r>
            </m:oMath>
          </w:p>
        </w:tc>
      </w:tr>
      <w:tr>
        <w:trPr>
          <w:cantSplit/>
        </w:trPr>
        <w:tc>
          <w:tcPr/>
          <w:p>
            <w:r>
              <w:t>sector_impc_change.csv</w:t>
            </w:r>
          </w:p>
        </w:tc>
        <w:tc>
          <w:tcPr/>
          <w:p>
            <w:pPr>
              <w:pStyle w:val="Compact"/>
              <w:jc w:val="left"/>
            </w:pPr>
            <w:r>
              <w:rPr>
                <w:rFonts w:ascii="Times New Roman" w:hAnsi="Times New Roman" w:eastAsia="宋体"/>
                <w:sz w:val="24"/>
              </w:rPr>
              <w:t xml:space="preserve">OECD-AMNE 行业×改革×限制类型</w:t>
            </w:r>
          </w:p>
        </w:tc>
        <w:tc>
          <w:tcPr/>
          <w:p>
            <w:r>
              <w:t>式（A9）反演得到的制度型 MP 成本变化</w:t>
            </w:r>
          </w:p>
        </w:tc>
      </w:tr>
      <w:tr>
        <w:trPr>
          <w:cantSplit/>
        </w:trPr>
        <w:tc>
          <w:tcPr/>
          <w:p>
            <w:pPr>
              <w:pStyle w:val="Compact"/>
              <w:jc w:val="left"/>
            </w:pPr>
            <w:r>
              <w:rPr>
                <w:rFonts w:ascii="Times New Roman" w:hAnsi="Times New Roman" w:eastAsia="宋体"/>
                <w:sz w:val="24"/>
              </w:rPr>
              <w:t xml:space="preserve">ge_shock.csv</w:t>
            </w:r>
          </w:p>
        </w:tc>
        <w:tc>
          <w:tcPr/>
          <w:p>
            <w:pPr>
              <w:pStyle w:val="Compact"/>
              <w:jc w:val="left"/>
            </w:pPr>
            <w:r>
              <w:rPr>
                <w:rFonts w:ascii="Times New Roman" w:hAnsi="Times New Roman" w:eastAsia="宋体"/>
                <w:sz w:val="24"/>
              </w:rPr>
              <w:t xml:space="preserve">母国×生产国×行业×情景</w:t>
            </w:r>
          </w:p>
        </w:tc>
        <w:tc>
          <w:tcPr/>
          <w:p>
            <w:pPr>
              <w:pStyle w:val="Compact"/>
              <w:jc w:val="left"/>
            </w:pPr>
            <m:oMath>
              <m:acc>
                <m:accPr>
                  <m:chr m:val="̂"/>
                </m:accPr>
                <m:e>
                  <m:r>
                    <m:t>ξ</m:t>
                  </m:r>
                </m:e>
              </m:acc>
            </m:oMath>
            <w:r>
              <w:rPr>
                <w:rFonts w:ascii="Times New Roman" w:hAnsi="Times New Roman" w:eastAsia="宋体"/>
                <w:sz w:val="24"/>
              </w:rPr>
              <w:t xml:space="preserve"> </w:t>
            </w:r>
            <w:r>
              <w:rPr>
                <w:rFonts w:ascii="Times New Roman" w:hAnsi="Times New Roman" w:eastAsia="宋体"/>
                <w:sz w:val="24"/>
              </w:rPr>
              <w:t xml:space="preserve">与禁止准入的可行集合变化</w:t>
            </w:r>
          </w:p>
        </w:tc>
      </w:tr>
      <w:tr>
        <w:trPr>
          <w:cantSplit/>
        </w:trPr>
        <w:tc>
          <w:tcPr/>
          <w:p>
            <w:pPr>
              <w:pStyle w:val="Compact"/>
              <w:jc w:val="left"/>
            </w:pPr>
            <w:r>
              <w:rPr>
                <w:rFonts w:ascii="Times New Roman" w:hAnsi="Times New Roman" w:eastAsia="宋体"/>
                <w:sz w:val="24"/>
              </w:rPr>
              <w:t xml:space="preserve">ge_results.csv</w:t>
            </w:r>
          </w:p>
        </w:tc>
        <w:tc>
          <w:tcPr/>
          <w:p>
            <w:pPr>
              <w:pStyle w:val="Compact"/>
              <w:jc w:val="left"/>
            </w:pPr>
            <w:r>
              <w:rPr>
                <w:rFonts w:ascii="Times New Roman" w:hAnsi="Times New Roman" w:eastAsia="宋体"/>
                <w:sz w:val="24"/>
              </w:rPr>
              <w:t xml:space="preserve">国家或三边流×行业×情景</w:t>
            </w:r>
          </w:p>
        </w:tc>
        <w:tc>
          <w:tcPr/>
          <w:p>
            <w:pPr>
              <w:pStyle w:val="Compact"/>
              <w:jc w:val="left"/>
            </w:pPr>
            <w:r>
              <w:rPr>
                <w:rFonts w:ascii="Times New Roman" w:hAnsi="Times New Roman" w:eastAsia="宋体"/>
                <w:sz w:val="24"/>
              </w:rPr>
              <w:t xml:space="preserve">产出、份额、价格、工资、创新与福利</w:t>
            </w:r>
          </w:p>
        </w:tc>
      </w:tr>
    </w:tbl>
    <w:p>
      <w:pPr>
        <w:pStyle w:val="a0"/>
      </w:pPr>
      <w:r>
        <w:t>master JSONL 是政策法律标签的单一真源；firm_policy_match.csv 保存企业与稳定政策活动的语义匹配全过程；firm_policy_panel.parquet 才是企业回归使用的政策面板。sector_policy.csv 只用于行业政策暴露描述和宏观一致性检验，sector_impc_change.csv 保存式（A9）反演得到的制度型 MP 成本变化，由此避免把“政策暴露”“企业行为效应”“经验 IMPC”和“结构冲击”混在同一数据层。</w:t>
      </w:r>
    </w:p>
    <w:bookmarkEnd w:id="26"/>
    <w:bookmarkStart w:id="27" w:name="a.9-与两篇参考文献的关系"/>
    <w:p>
      <w:pPr>
        <w:pStyle w:val="2"/>
      </w:pPr>
      <w:r>
        <w:t xml:space="preserve">A.9　与两篇参考文献的关系</w:t>
      </w:r>
    </w:p>
    <w:p>
      <w:pPr>
        <w:pStyle w:val="FirstParagraph"/>
      </w:pPr>
      <w:r>
        <w:t xml:space="preserve">对 Eppinger and Ma（2023）的借鉴前移到企业识别层面：政策尽可能匹配到窄经济活动，并利用企业所有权、外资进入等结果检验限制是否具有真实行为后果。本文新增的 policy_activity_id、企业核心产品—政策活动语义匹配和六类限制向量是为适配近年负面清单而构造的测量环节；企业产出、TFP 或持股比例的估计值均不直接当作结构成本。</w:t>
      </w:r>
    </w:p>
    <w:p>
      <w:pPr>
        <w:pStyle w:val="a0"/>
      </w:pPr>
      <w:r>
        <w:t xml:space="preserve">对《中国高水平制度型开放与全球产业链网络重塑》的借鉴集中在</w:t>
      </w:r>
      <w:r>
        <w:t xml:space="preserve"> </w:t>
      </w:r>
      <m:oMath>
        <m:r>
          <m:t>I</m:t>
        </m:r>
        <m:r>
          <m:t>M</m:t>
        </m:r>
        <m:r>
          <m:t>P</m:t>
        </m:r>
        <m:r>
          <m:t>C</m:t>
        </m:r>
        <m:r>
          <m:rPr>
            <m:sty m:val="p"/>
          </m:rPr>
          <m:t>=</m:t>
        </m:r>
        <m:r>
          <m:t>γ</m:t>
        </m:r>
        <m:r>
          <m:rPr>
            <m:sty m:val="p"/>
          </m:rPr>
          <m:t>/</m:t>
        </m:r>
        <m:r>
          <m:t>m</m:t>
        </m:r>
      </m:oMath>
      <w:r>
        <w:t xml:space="preserve"> </w:t>
      </w:r>
      <w:r>
        <w:t xml:space="preserve">的经验成本口径、跨国生产效率</w:t>
      </w:r>
      <w:r>
        <w:t xml:space="preserve"> </w:t>
      </w:r>
      <m:oMath>
        <m:sSubSup>
          <m:e>
            <m:r>
              <m:t>ξ</m:t>
            </m:r>
          </m:e>
          <m:sub>
            <m:r>
              <m:t>i</m:t>
            </m:r>
            <m:r>
              <m:t>m</m:t>
            </m:r>
          </m:sub>
          <m:sup>
            <m:r>
              <m:t>j</m:t>
            </m:r>
          </m:sup>
        </m:sSubSup>
      </m:oMath>
      <w:r>
        <w:t xml:space="preserve">、生产地选择</w:t>
      </w:r>
      <w:r>
        <w:t xml:space="preserve"> </w:t>
      </w:r>
      <m:oMath>
        <m:sSubSup>
          <m:e>
            <m:r>
              <m:t>ψ</m:t>
            </m:r>
          </m:e>
          <m:sub>
            <m:r>
              <m:t>n</m:t>
            </m:r>
            <m:r>
              <m:t>l</m:t>
            </m:r>
            <m:r>
              <m:t>m</m:t>
            </m:r>
          </m:sub>
          <m:sup>
            <m:r>
              <m:t>j</m:t>
            </m:r>
          </m:sup>
        </m:sSubSup>
      </m:oMath>
      <w:r>
        <w:t xml:space="preserve"> </w:t>
      </w:r>
      <w:r>
        <w:t xml:space="preserve">和三边流量</w:t>
      </w:r>
      <w:r>
        <w:t xml:space="preserve"> </w:t>
      </w:r>
      <m:oMath>
        <m:sSubSup>
          <m:e>
            <m:r>
              <m:t>X</m:t>
            </m:r>
          </m:e>
          <m:sub>
            <m:r>
              <m:t>n</m:t>
            </m:r>
            <m:r>
              <m:t>l</m:t>
            </m:r>
            <m:r>
              <m:t>m</m:t>
            </m:r>
          </m:sub>
          <m:sup>
            <m:r>
              <m:t>j</m:t>
            </m:r>
          </m:sup>
        </m:sSubSup>
      </m:oMath>
      <w:r>
        <w:t xml:space="preserve">。本文不再用少量 OECD-AMNE 行业—年份政策变化直接估计六个成本方程，而是先在企业层面识别政策导致的外资行为变化，再将其中与模型可比的外资生产份额变化通过式（A9）反演为制度型 MP 成本变化，最后进入一般均衡。</w:t>
      </w:r>
    </w:p>
    <w:p>
      <w:pPr>
        <w:pStyle w:val="a0"/>
      </w:pPr>
      <w:r>
        <w:t>归纳而言，第一条路径“政策编码单元→企业政策暴露→外资生产份额变化→制度型 MP 成本变化”承担基准识别；第二条路径“政策编码单元→GB4→ISIC4→ISIC2→OECD-AMNE 行业政策暴露→AMNE 经验 IMPC”承担行业描述和宏观验证。二者最终共同约束中国 inward MP 冲击，既保留负面清单细活动信息，也避免在估计开始前把政策变化压缩成少量 OECD-AMNE 行业—年份观测。</w:t>
      </w:r>
    </w:p>
    <w:bookmarkEnd w:id="27"/>
    <w:p w14:paraId="70662F4B" w14:textId="77777777" w:rsidR="002D0A3C" w:rsidRDefault="003B6787">
      <w:pPr>
        <w:pStyle w:val="2"/>
      </w:pPr>
      <w:bookmarkStart w:id="21" w:name="参考文献"/>
      <w:bookmarkEnd w:id="20"/>
      <w:r>
        <w:rPr>
          <w:rFonts w:ascii="Times New Roman" w:eastAsia="宋体" w:hAnsi="Times New Roman"/>
        </w:rPr>
        <w:t>参考文献</w:t>
      </w:r>
    </w:p>
    <w:p w14:paraId="1B315698" w14:textId="77777777" w:rsidR="002D0A3C" w:rsidRDefault="003B6787">
      <w:pPr>
        <w:pStyle w:val="FirstParagraph"/>
        <w:ind w:left="360"/>
      </w:pPr>
      <w:r>
        <w:rPr>
          <w:sz w:val="22"/>
        </w:rPr>
        <w:t>Eppinger, P., and H. Ma. 2023. “Optimal Ownership and Firm Performance: An Analysis of China’s FDI Liberalization.” CESifo Working Paper No. 10551.</w:t>
      </w:r>
    </w:p>
    <w:p w14:paraId="4ED3D2EB" w14:textId="77777777" w:rsidR="002D0A3C" w:rsidRDefault="003B6787">
      <w:pPr>
        <w:pStyle w:val="a0"/>
        <w:rPr>
          <w:lang w:eastAsia="zh-CN"/>
        </w:rPr>
      </w:pPr>
      <w:r>
        <w:rPr>
          <w:lang w:eastAsia="zh-CN"/>
        </w:rPr>
        <w:t>《中国高水平制度型开放与全球产业链网络重塑》，研究稿。</w:t>
      </w:r>
    </w:p>
    <w:bookmarkEnd w:id="0"/>
    <w:bookmarkEnd w:id="21"/>
    <w:p w14:paraId="2F4F6913" w14:textId="77777777" w:rsidR="002D0A3C" w:rsidRDefault="003B6787">
      <w:pPr>
        <w:pStyle w:val="a0"/>
        <w:rPr>
          <w:lang w:eastAsia="zh-CN"/>
        </w:rPr>
      </w:pPr>
      <w:r>
        <w:rPr>
          <w:lang w:eastAsia="zh-CN"/>
        </w:rPr>
        <w:t>国家发展改革委、商务部，</w:t>
      </w:r>
      <w:r>
        <w:rPr>
          <w:lang w:eastAsia="zh-CN"/>
        </w:rPr>
        <w:t>2024</w:t>
      </w:r>
      <w:r>
        <w:rPr>
          <w:lang w:eastAsia="zh-CN"/>
        </w:rPr>
        <w:t>，《外商投资准入特别管理措施（负面清单）（</w:t>
      </w:r>
      <w:r>
        <w:rPr>
          <w:lang w:eastAsia="zh-CN"/>
        </w:rPr>
        <w:t>2024</w:t>
      </w:r>
      <w:r>
        <w:rPr>
          <w:lang w:eastAsia="zh-CN"/>
        </w:rPr>
        <w:t>年版）》。</w:t>
      </w:r>
    </w:p>
    <w:sectPr w:rsidR="002D0A3C">
      <w:footerReference w:type="default" r:id="rId7"/>
      <w:pgSz w:w="11906" w:h="16838"/>
      <w:pgMar w:top="1361" w:right="1474" w:bottom="1361" w:left="1474" w:header="6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2FF6E" w14:textId="77777777" w:rsidR="008D4006" w:rsidRDefault="008D4006">
      <w:pPr>
        <w:spacing w:line="240" w:lineRule="auto"/>
      </w:pPr>
      <w:r>
        <w:separator/>
      </w:r>
    </w:p>
  </w:endnote>
  <w:endnote w:type="continuationSeparator" w:id="0">
    <w:p w14:paraId="79AB45E4" w14:textId="77777777" w:rsidR="008D4006" w:rsidRDefault="008D40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7E89A" w14:textId="77777777" w:rsidR="002D0A3C" w:rsidRDefault="003B6787">
    <w:pPr>
      <w:ind w:firstLine="0"/>
      <w:jc w:val="center"/>
    </w:pPr>
    <w:r>
      <w:rPr>
        <w:sz w:val="21"/>
      </w:rPr>
      <w:fldChar w:fldCharType="begin"/>
    </w:r>
    <w:r>
      <w:rPr>
        <w:sz w:val="21"/>
      </w:rPr>
      <w:instrText xml:space="preserve"> PAGE </w:instrText>
    </w:r>
    <w:r>
      <w:rPr>
        <w:sz w:val="21"/>
      </w:rPr>
      <w:fldChar w:fldCharType="separate"/>
    </w:r>
    <w:r w:rsidR="005A5AC6">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11098" w14:textId="77777777" w:rsidR="008D4006" w:rsidRDefault="008D4006">
      <w:r>
        <w:separator/>
      </w:r>
    </w:p>
  </w:footnote>
  <w:footnote w:type="continuationSeparator" w:id="0">
    <w:p w14:paraId="14EAAD50" w14:textId="77777777" w:rsidR="008D4006" w:rsidRDefault="008D40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BCC69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413426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D0A3C"/>
    <w:rsid w:val="0016713F"/>
    <w:rsid w:val="002648C4"/>
    <w:rsid w:val="002D0A3C"/>
    <w:rsid w:val="00305E6F"/>
    <w:rsid w:val="003B6787"/>
    <w:rsid w:val="005A3CB3"/>
    <w:rsid w:val="005A5AC6"/>
    <w:rsid w:val="005F5C72"/>
    <w:rsid w:val="0069358A"/>
    <w:rsid w:val="006C5C23"/>
    <w:rsid w:val="00791C5A"/>
    <w:rsid w:val="007D2B11"/>
    <w:rsid w:val="0080610B"/>
    <w:rsid w:val="008D4006"/>
    <w:rsid w:val="009B3479"/>
    <w:rsid w:val="00B170E2"/>
    <w:rsid w:val="00BC142D"/>
    <w:rsid w:val="00BC662F"/>
    <w:rsid w:val="00C44E95"/>
    <w:rsid w:val="00C51E76"/>
    <w:rsid w:val="00C70984"/>
    <w:rsid w:val="00C76E2E"/>
    <w:rsid w:val="00C875C1"/>
    <w:rsid w:val="00D12DAA"/>
    <w:rsid w:val="00DE302E"/>
    <w:rsid w:val="00E4343D"/>
    <w:rsid w:val="00FC2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78A08"/>
  <w15:docId w15:val="{727FA8BE-D5E2-4B50-93C3-3E4B7A000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00" w:lineRule="auto"/>
      <w:ind w:firstLine="480"/>
    </w:pPr>
    <w:rPr>
      <w:rFonts w:ascii="Times New Roman" w:eastAsia="宋体" w:hAnsi="Times New Roman"/>
    </w:rPr>
  </w:style>
  <w:style w:type="paragraph" w:styleId="1">
    <w:name w:val="heading 1"/>
    <w:basedOn w:val="a"/>
    <w:next w:val="a0"/>
    <w:uiPriority w:val="9"/>
    <w:qFormat/>
    <w:pPr>
      <w:keepNext/>
      <w:keepLines/>
      <w:spacing w:after="200" w:line="288" w:lineRule="auto"/>
      <w:jc w:val="center"/>
      <w:outlineLvl w:val="0"/>
    </w:pPr>
    <w:rPr>
      <w:rFonts w:asciiTheme="majorHAnsi" w:eastAsiaTheme="majorEastAsia" w:hAnsiTheme="majorHAnsi" w:cstheme="majorBidi"/>
      <w:b/>
      <w:bCs/>
      <w:color w:val="000000"/>
      <w:sz w:val="26"/>
      <w:szCs w:val="32"/>
    </w:rPr>
  </w:style>
  <w:style w:type="paragraph" w:styleId="2">
    <w:name w:val="heading 2"/>
    <w:basedOn w:val="a"/>
    <w:next w:val="a0"/>
    <w:uiPriority w:val="9"/>
    <w:unhideWhenUsed/>
    <w:qFormat/>
    <w:pPr>
      <w:keepNext/>
      <w:keepLines/>
      <w:spacing w:before="200" w:after="80" w:line="288" w:lineRule="auto"/>
      <w:ind w:firstLine="0"/>
      <w:outlineLvl w:val="1"/>
    </w:pPr>
    <w:rPr>
      <w:rFonts w:asciiTheme="majorHAnsi" w:eastAsiaTheme="majorEastAsia" w:hAnsiTheme="majorHAnsi" w:cstheme="majorBidi"/>
      <w:b/>
      <w:bCs/>
      <w:color w:val="000000"/>
      <w:szCs w:val="28"/>
    </w:rPr>
  </w:style>
  <w:style w:type="paragraph" w:styleId="3">
    <w:name w:val="heading 3"/>
    <w:basedOn w:val="a"/>
    <w:next w:val="a0"/>
    <w:uiPriority w:val="9"/>
    <w:unhideWhenUsed/>
    <w:qFormat/>
    <w:pPr>
      <w:keepNext/>
      <w:keepLines/>
      <w:spacing w:before="140" w:after="40" w:line="288" w:lineRule="auto"/>
      <w:ind w:firstLine="0"/>
      <w:outlineLvl w:val="2"/>
    </w:pPr>
    <w:rPr>
      <w:rFonts w:asciiTheme="majorHAnsi" w:eastAsiaTheme="majorEastAsia" w:hAnsiTheme="majorHAnsi" w:cstheme="majorBidi"/>
      <w:b/>
      <w:bCs/>
      <w:color w:val="000000"/>
    </w:rPr>
  </w:style>
  <w:style w:type="paragraph" w:styleId="4">
    <w:name w:val="heading 4"/>
    <w:basedOn w:val="a"/>
    <w:next w:val="a0"/>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TotalTime>
  <Pages>11</Pages>
  <Words>2119</Words>
  <Characters>12084</Characters>
  <Application>Microsoft Office Word</Application>
  <DocSecurity>0</DocSecurity>
  <Lines>100</Lines>
  <Paragraphs>28</Paragraphs>
  <ScaleCrop>false</ScaleCrop>
  <Company/>
  <LinksUpToDate>false</LinksUpToDate>
  <CharactersWithSpaces>14175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基于外资准入负面清单的政策测度、跨国投资成本识别与一般均衡反事实</dc:title>
  <dc:subject>研究附录</dc:subject>
  <dc:creator/>
  <cp:keywords/>
  <cp:lastModifiedBy>镇宇 杨</cp:lastModifiedBy>
  <cp:revision>15</cp:revision>
  <dcterms:created xsi:type="dcterms:W3CDTF">2026-08-29T02:15:00Z</dcterms:created>
  <dcterms:modified xsi:type="dcterms:W3CDTF">2026-08-30T03:40:00Z</dcterms:modified>
</cp:coreProperties>
</file>