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62A93" w14:textId="77777777" w:rsidR="00FB3AB2" w:rsidRDefault="00000000">
      <w:pPr>
        <w:spacing w:after="240"/>
        <w:jc w:val="center"/>
        <w:rPr>
          <w:lang w:eastAsia="zh-CN"/>
        </w:rPr>
      </w:pPr>
      <w:r>
        <w:rPr>
          <w:rFonts w:eastAsia="Noto Sans CJK SC"/>
          <w:b/>
          <w:sz w:val="32"/>
          <w:lang w:val="zh-CN" w:eastAsia="zh-CN"/>
        </w:rPr>
        <w:t>企业国际技术规则接轨的文本测度</w:t>
      </w:r>
    </w:p>
    <w:p w14:paraId="1AACD86A" w14:textId="77777777" w:rsidR="001C1DE8" w:rsidRDefault="00000000" w:rsidP="001C1DE8">
      <w:pPr>
        <w:pStyle w:val="BodyTextCN"/>
        <w:ind w:firstLine="420"/>
        <w:rPr>
          <w:rFonts w:ascii="宋体" w:eastAsia="宋体" w:hAnsi="宋体" w:cs="宋体"/>
          <w:lang w:val="zh-CN" w:eastAsia="zh-CN"/>
        </w:rPr>
      </w:pPr>
      <w:r>
        <w:rPr>
          <w:rFonts w:ascii="宋体" w:eastAsia="宋体" w:hAnsi="宋体" w:cs="宋体" w:hint="eastAsia"/>
          <w:lang w:val="zh-CN" w:eastAsia="zh-CN"/>
        </w:rPr>
        <w:t>企业对国际技术规则的接轨并非单一、可直接观测的行为。世界贸易组织《技术性贸易壁垒协定》将技术法规、标准与合格评定程序区分为不同制度类型，但三者共同构成产品进入境外市场以及生产过程实现跨境兼容所需遵循的技术要求。基于这一制度边界，</w:t>
      </w:r>
      <w:r w:rsidRPr="00852351">
        <w:rPr>
          <w:rFonts w:ascii="宋体" w:eastAsia="宋体" w:hAnsi="宋体" w:cs="宋体" w:hint="eastAsia"/>
          <w:color w:val="0000FF"/>
          <w:lang w:val="zh-CN" w:eastAsia="zh-CN"/>
        </w:rPr>
        <w:t>本文将</w:t>
      </w:r>
      <w:r w:rsidRPr="00852351">
        <w:rPr>
          <w:color w:val="0000FF"/>
          <w:lang w:val="zh-CN" w:eastAsia="zh-CN"/>
        </w:rPr>
        <w:t>“</w:t>
      </w:r>
      <w:r w:rsidRPr="00852351">
        <w:rPr>
          <w:rFonts w:ascii="宋体" w:eastAsia="宋体" w:hAnsi="宋体" w:cs="宋体" w:hint="eastAsia"/>
          <w:color w:val="0000FF"/>
          <w:lang w:val="zh-CN" w:eastAsia="zh-CN"/>
        </w:rPr>
        <w:t>企业国际技术规则接轨</w:t>
      </w:r>
      <w:r w:rsidRPr="00852351">
        <w:rPr>
          <w:color w:val="0000FF"/>
          <w:lang w:val="zh-CN" w:eastAsia="zh-CN"/>
        </w:rPr>
        <w:t>”</w:t>
      </w:r>
      <w:r w:rsidRPr="00852351">
        <w:rPr>
          <w:rFonts w:ascii="宋体" w:eastAsia="宋体" w:hAnsi="宋体" w:cs="宋体" w:hint="eastAsia"/>
          <w:color w:val="0000FF"/>
          <w:lang w:val="zh-CN" w:eastAsia="zh-CN"/>
        </w:rPr>
        <w:t>界定为：企业将国际或区域标准、与国际标准存在明确转化关系的中国国家标准，或者目标市场的技术法规与合格评定要求，转化为自身产品、生产流程或管理体系中的可验证实践。</w:t>
      </w:r>
      <w:r>
        <w:rPr>
          <w:rFonts w:ascii="宋体" w:eastAsia="宋体" w:hAnsi="宋体" w:cs="宋体" w:hint="eastAsia"/>
          <w:lang w:val="zh-CN" w:eastAsia="zh-CN"/>
        </w:rPr>
        <w:t>该构念由直接标准采用、国内标准转化采用和境外合格评定三条可以相互替代的路径共同形成，企业无需同时满足全部路径；任一路径出现主体明确、实体明确且已经实际执行的证据，即表明企业在相应年度发生了国际技术规则接轨。因此，本文将其视为形成性而非反映性构念，并以企业</w:t>
      </w:r>
      <w:r>
        <w:rPr>
          <w:lang w:val="zh-CN" w:eastAsia="zh-CN"/>
        </w:rPr>
        <w:t>—</w:t>
      </w:r>
      <w:r>
        <w:rPr>
          <w:rFonts w:ascii="宋体" w:eastAsia="宋体" w:hAnsi="宋体" w:cs="宋体" w:hint="eastAsia"/>
          <w:lang w:val="zh-CN" w:eastAsia="zh-CN"/>
        </w:rPr>
        <w:t>年度为最终观测层级（</w:t>
      </w:r>
      <w:r>
        <w:rPr>
          <w:lang w:val="zh-CN" w:eastAsia="zh-CN"/>
        </w:rPr>
        <w:t>Diamantopoulos and Winklhofer, 2001</w:t>
      </w:r>
      <w:r>
        <w:rPr>
          <w:rFonts w:ascii="宋体" w:eastAsia="宋体" w:hAnsi="宋体" w:cs="宋体" w:hint="eastAsia"/>
          <w:lang w:val="zh-CN" w:eastAsia="zh-CN"/>
        </w:rPr>
        <w:t>；</w:t>
      </w:r>
      <w:r>
        <w:rPr>
          <w:lang w:val="zh-CN" w:eastAsia="zh-CN"/>
        </w:rPr>
        <w:t>Jarvis, MacKenzie, and Podsakoff, 2003</w:t>
      </w:r>
      <w:r>
        <w:rPr>
          <w:rFonts w:ascii="宋体" w:eastAsia="宋体" w:hAnsi="宋体" w:cs="宋体" w:hint="eastAsia"/>
          <w:lang w:val="zh-CN" w:eastAsia="zh-CN"/>
        </w:rPr>
        <w:t>）。</w:t>
      </w:r>
    </w:p>
    <w:p w14:paraId="3D413F19" w14:textId="1606B726" w:rsidR="00FB3AB2" w:rsidRDefault="00000000" w:rsidP="001C1DE8">
      <w:pPr>
        <w:pStyle w:val="BodyTextCN"/>
        <w:ind w:firstLine="420"/>
        <w:rPr>
          <w:lang w:eastAsia="zh-CN"/>
        </w:rPr>
      </w:pPr>
      <w:r>
        <w:rPr>
          <w:lang w:val="zh-CN" w:eastAsia="zh-CN"/>
        </w:rPr>
        <w:t xml:space="preserve">1. </w:t>
      </w:r>
      <w:r>
        <w:rPr>
          <w:rFonts w:ascii="宋体" w:eastAsia="宋体" w:hAnsi="宋体" w:cs="宋体" w:hint="eastAsia"/>
          <w:lang w:val="zh-CN" w:eastAsia="zh-CN"/>
        </w:rPr>
        <w:t>数据来源与文本单元</w:t>
      </w:r>
    </w:p>
    <w:p w14:paraId="0B1E6572" w14:textId="77777777" w:rsidR="00FB3AB2" w:rsidRDefault="00000000">
      <w:pPr>
        <w:pStyle w:val="BodyTextCN"/>
        <w:ind w:firstLine="420"/>
        <w:rPr>
          <w:lang w:eastAsia="zh-CN"/>
        </w:rPr>
      </w:pPr>
      <w:r>
        <w:rPr>
          <w:rFonts w:ascii="宋体" w:eastAsia="宋体" w:hAnsi="宋体" w:cs="宋体" w:hint="eastAsia"/>
          <w:lang w:val="zh-CN" w:eastAsia="zh-CN"/>
        </w:rPr>
        <w:t>本</w:t>
      </w:r>
      <w:r>
        <w:rPr>
          <w:lang w:val="zh-CN" w:eastAsia="zh-CN"/>
        </w:rPr>
        <w:t>文以中国上市公司年度报告的纯文本文件为原始语料，并从文件名中识别股票代码、公司名称和报告年份。自动化文本测度的关键并非单纯扩大模型调用规模，而是使文本处理规则与研究构念保持一致（</w:t>
      </w:r>
      <w:r>
        <w:rPr>
          <w:lang w:val="zh-CN" w:eastAsia="zh-CN"/>
        </w:rPr>
        <w:t>Grimmer and Stewart, 2013</w:t>
      </w:r>
      <w:r>
        <w:rPr>
          <w:lang w:val="zh-CN" w:eastAsia="zh-CN"/>
        </w:rPr>
        <w:t>；</w:t>
      </w:r>
      <w:r>
        <w:rPr>
          <w:lang w:val="zh-CN" w:eastAsia="zh-CN"/>
        </w:rPr>
        <w:t>Gentzkow, Kelly, and Taddy, 2019</w:t>
      </w:r>
      <w:r>
        <w:rPr>
          <w:lang w:val="zh-CN" w:eastAsia="zh-CN"/>
        </w:rPr>
        <w:t>）。为减少财务报表、股本信息和重复页眉等无关内容的干扰，程序优先保留经营情况、管理层讨论与分析、核心竞争力、环境与社会责任、公司治理、重要事项和董事会报告等更可能披露标准采用、认证和市场准入信息的章节；若章节识别所得有效文本过短，则回退至年报全文，以避免因报告格式差异造成系统性漏检。</w:t>
      </w:r>
    </w:p>
    <w:p w14:paraId="0DB09482" w14:textId="77777777" w:rsidR="001C1DE8" w:rsidRDefault="00000000" w:rsidP="001C1DE8">
      <w:pPr>
        <w:pStyle w:val="BodyTextCN"/>
        <w:ind w:firstLine="420"/>
        <w:rPr>
          <w:rFonts w:ascii="宋体" w:eastAsia="宋体" w:hAnsi="宋体" w:cs="宋体"/>
          <w:lang w:val="zh-CN" w:eastAsia="zh-CN"/>
        </w:rPr>
      </w:pPr>
      <w:r>
        <w:rPr>
          <w:rFonts w:ascii="宋体" w:eastAsia="宋体" w:hAnsi="宋体" w:cs="宋体" w:hint="eastAsia"/>
          <w:lang w:val="zh-CN" w:eastAsia="zh-CN"/>
        </w:rPr>
        <w:t>在目标文本内部，程序统一字符编码与标点形式，删除目录引导线、重复页眉、孤立页码和高密度数值表格。考虑到表格中可能包含标准编号、认证名称和许可证信息，清洗过程并不机械删除全部表格文本，而是设置由</w:t>
      </w:r>
      <w:r>
        <w:rPr>
          <w:lang w:val="zh-CN" w:eastAsia="zh-CN"/>
        </w:rPr>
        <w:t>“</w:t>
      </w:r>
      <w:r>
        <w:rPr>
          <w:rFonts w:ascii="宋体" w:eastAsia="宋体" w:hAnsi="宋体" w:cs="宋体" w:hint="eastAsia"/>
          <w:lang w:val="zh-CN" w:eastAsia="zh-CN"/>
        </w:rPr>
        <w:t>标准</w:t>
      </w:r>
      <w:r>
        <w:rPr>
          <w:lang w:val="zh-CN" w:eastAsia="zh-CN"/>
        </w:rPr>
        <w:t>”“</w:t>
      </w:r>
      <w:r>
        <w:rPr>
          <w:rFonts w:ascii="宋体" w:eastAsia="宋体" w:hAnsi="宋体" w:cs="宋体" w:hint="eastAsia"/>
          <w:lang w:val="zh-CN" w:eastAsia="zh-CN"/>
        </w:rPr>
        <w:t>认证</w:t>
      </w:r>
      <w:r>
        <w:rPr>
          <w:lang w:val="zh-CN" w:eastAsia="zh-CN"/>
        </w:rPr>
        <w:t>”“</w:t>
      </w:r>
      <w:r>
        <w:rPr>
          <w:rFonts w:ascii="宋体" w:eastAsia="宋体" w:hAnsi="宋体" w:cs="宋体" w:hint="eastAsia"/>
          <w:lang w:val="zh-CN" w:eastAsia="zh-CN"/>
        </w:rPr>
        <w:t>许可</w:t>
      </w:r>
      <w:r>
        <w:rPr>
          <w:lang w:val="zh-CN" w:eastAsia="zh-CN"/>
        </w:rPr>
        <w:t>”“</w:t>
      </w:r>
      <w:r>
        <w:rPr>
          <w:rFonts w:ascii="宋体" w:eastAsia="宋体" w:hAnsi="宋体" w:cs="宋体" w:hint="eastAsia"/>
          <w:lang w:val="zh-CN" w:eastAsia="zh-CN"/>
        </w:rPr>
        <w:t>符合</w:t>
      </w:r>
      <w:r>
        <w:rPr>
          <w:lang w:val="zh-CN" w:eastAsia="zh-CN"/>
        </w:rPr>
        <w:t>”</w:t>
      </w:r>
      <w:r>
        <w:rPr>
          <w:rFonts w:ascii="宋体" w:eastAsia="宋体" w:hAnsi="宋体" w:cs="宋体" w:hint="eastAsia"/>
          <w:lang w:val="zh-CN" w:eastAsia="zh-CN"/>
        </w:rPr>
        <w:t>等语义锚点及项目关键词表组成的保护词集合；命中保护词的表格单元及其邻近上下文予以保留。清洗后的文本依照段落和句群切分为文本单元，目标长度为</w:t>
      </w:r>
      <w:r>
        <w:rPr>
          <w:lang w:val="zh-CN" w:eastAsia="zh-CN"/>
        </w:rPr>
        <w:t>600—1,200</w:t>
      </w:r>
      <w:r>
        <w:rPr>
          <w:rFonts w:ascii="宋体" w:eastAsia="宋体" w:hAnsi="宋体" w:cs="宋体" w:hint="eastAsia"/>
          <w:lang w:val="zh-CN" w:eastAsia="zh-CN"/>
        </w:rPr>
        <w:t>个字符，必要时对过短片段进行相邻合并，对过长片段按句界拆分。每个文本单元均保留唯一编号、公司与年份、来源文件、章节标题及原文顺序，使所有模型判断可以追溯至原始年报。</w:t>
      </w:r>
    </w:p>
    <w:p w14:paraId="68D0FDF8" w14:textId="634CA05A" w:rsidR="00FB3AB2" w:rsidRDefault="00000000" w:rsidP="001C1DE8">
      <w:pPr>
        <w:pStyle w:val="BodyTextCN"/>
        <w:ind w:firstLine="420"/>
        <w:rPr>
          <w:lang w:eastAsia="zh-CN"/>
        </w:rPr>
      </w:pPr>
      <w:r>
        <w:rPr>
          <w:lang w:val="zh-CN" w:eastAsia="zh-CN"/>
        </w:rPr>
        <w:t xml:space="preserve">2. </w:t>
      </w:r>
      <w:r>
        <w:rPr>
          <w:rFonts w:ascii="宋体" w:eastAsia="宋体" w:hAnsi="宋体" w:cs="宋体" w:hint="eastAsia"/>
          <w:lang w:val="zh-CN" w:eastAsia="zh-CN"/>
        </w:rPr>
        <w:t>高召回候选识别</w:t>
      </w:r>
    </w:p>
    <w:p w14:paraId="34AC0A61" w14:textId="77777777" w:rsidR="00FB3AB2" w:rsidRDefault="00000000">
      <w:pPr>
        <w:pStyle w:val="BodyTextCN"/>
        <w:ind w:firstLine="420"/>
        <w:rPr>
          <w:lang w:eastAsia="zh-CN"/>
        </w:rPr>
      </w:pPr>
      <w:r>
        <w:rPr>
          <w:rFonts w:ascii="宋体" w:eastAsia="宋体" w:hAnsi="宋体" w:cs="宋体" w:hint="eastAsia"/>
          <w:lang w:val="zh-CN" w:eastAsia="zh-CN"/>
        </w:rPr>
        <w:t>为</w:t>
      </w:r>
      <w:r>
        <w:rPr>
          <w:lang w:val="zh-CN" w:eastAsia="zh-CN"/>
        </w:rPr>
        <w:t>同时降低漏检概率和模型调用成本，本文采用</w:t>
      </w:r>
      <w:r>
        <w:rPr>
          <w:lang w:val="zh-CN" w:eastAsia="zh-CN"/>
        </w:rPr>
        <w:t>“</w:t>
      </w:r>
      <w:r>
        <w:rPr>
          <w:lang w:val="zh-CN" w:eastAsia="zh-CN"/>
        </w:rPr>
        <w:t>规则召回与语义召回取并集</w:t>
      </w:r>
      <w:r>
        <w:rPr>
          <w:lang w:val="zh-CN" w:eastAsia="zh-CN"/>
        </w:rPr>
        <w:t>”</w:t>
      </w:r>
      <w:r>
        <w:rPr>
          <w:lang w:val="zh-CN" w:eastAsia="zh-CN"/>
        </w:rPr>
        <w:t>的高召回级联设计。第一条通道在每个文本单元中匹配标准编号、标准体系、认证、检测、认可、市场准入和管理体系等领域词汇。命中任一词汇的文本单元记为关键词候选，并直接进入后续结构化识别。该领域化词表的作用是稳定召回具有显式编码或固定术语的证据，避免通用语言模型对专业缩写或标准号的遗漏；这一处理也回应了财务文本分析中通用词典容易因语境错配产生测量误差的问题（</w:t>
      </w:r>
      <w:r>
        <w:rPr>
          <w:lang w:val="zh-CN" w:eastAsia="zh-CN"/>
        </w:rPr>
        <w:t>Loughran and McDonald, 2011</w:t>
      </w:r>
      <w:r>
        <w:rPr>
          <w:lang w:val="zh-CN" w:eastAsia="zh-CN"/>
        </w:rPr>
        <w:t>）。</w:t>
      </w:r>
    </w:p>
    <w:p w14:paraId="4BD0F7B7" w14:textId="77777777" w:rsidR="001C1DE8" w:rsidRDefault="00000000" w:rsidP="001C1DE8">
      <w:pPr>
        <w:pStyle w:val="BodyTextCN"/>
        <w:ind w:firstLine="420"/>
        <w:rPr>
          <w:rFonts w:ascii="宋体" w:eastAsia="宋体" w:hAnsi="宋体" w:cs="宋体"/>
          <w:lang w:val="zh-CN" w:eastAsia="zh-CN"/>
        </w:rPr>
      </w:pPr>
      <w:r>
        <w:rPr>
          <w:rFonts w:ascii="宋体" w:eastAsia="宋体" w:hAnsi="宋体" w:cs="宋体" w:hint="eastAsia"/>
          <w:lang w:val="zh-CN" w:eastAsia="zh-CN"/>
        </w:rPr>
        <w:t>第二条通道仅处理未被关键词规则召回的文本单元，由第一阶段大语言模型判断其是否可能涉及国际或区域标准、中国标准、认证与合格评定、境外市场准入、管理体系或标准符合性。第一阶</w:t>
      </w:r>
      <w:r>
        <w:rPr>
          <w:rFonts w:ascii="宋体" w:eastAsia="宋体" w:hAnsi="宋体" w:cs="宋体" w:hint="eastAsia"/>
          <w:lang w:val="zh-CN" w:eastAsia="zh-CN"/>
        </w:rPr>
        <w:lastRenderedPageBreak/>
        <w:t>段只执行相关性筛选，不抽取实体，也不判断企业是否已经采用。模型输出</w:t>
      </w:r>
      <w:r>
        <w:rPr>
          <w:lang w:val="zh-CN" w:eastAsia="zh-CN"/>
        </w:rPr>
        <w:t>related</w:t>
      </w:r>
      <w:r>
        <w:rPr>
          <w:rFonts w:ascii="宋体" w:eastAsia="宋体" w:hAnsi="宋体" w:cs="宋体" w:hint="eastAsia"/>
          <w:lang w:val="zh-CN" w:eastAsia="zh-CN"/>
        </w:rPr>
        <w:t>、</w:t>
      </w:r>
      <w:r>
        <w:rPr>
          <w:lang w:val="zh-CN" w:eastAsia="zh-CN"/>
        </w:rPr>
        <w:t>uncertain</w:t>
      </w:r>
      <w:r>
        <w:rPr>
          <w:rFonts w:ascii="宋体" w:eastAsia="宋体" w:hAnsi="宋体" w:cs="宋体" w:hint="eastAsia"/>
          <w:lang w:val="zh-CN" w:eastAsia="zh-CN"/>
        </w:rPr>
        <w:t>或</w:t>
      </w:r>
      <w:r>
        <w:rPr>
          <w:lang w:val="zh-CN" w:eastAsia="zh-CN"/>
        </w:rPr>
        <w:t>unrelated</w:t>
      </w:r>
      <w:r>
        <w:rPr>
          <w:rFonts w:ascii="宋体" w:eastAsia="宋体" w:hAnsi="宋体" w:cs="宋体" w:hint="eastAsia"/>
          <w:lang w:val="zh-CN" w:eastAsia="zh-CN"/>
        </w:rPr>
        <w:t>；为保持召回优先，</w:t>
      </w:r>
      <w:r>
        <w:rPr>
          <w:lang w:val="zh-CN" w:eastAsia="zh-CN"/>
        </w:rPr>
        <w:t>related</w:t>
      </w:r>
      <w:r>
        <w:rPr>
          <w:rFonts w:ascii="宋体" w:eastAsia="宋体" w:hAnsi="宋体" w:cs="宋体" w:hint="eastAsia"/>
          <w:lang w:val="zh-CN" w:eastAsia="zh-CN"/>
        </w:rPr>
        <w:t>与</w:t>
      </w:r>
      <w:r>
        <w:rPr>
          <w:lang w:val="zh-CN" w:eastAsia="zh-CN"/>
        </w:rPr>
        <w:t>uncertain</w:t>
      </w:r>
      <w:r>
        <w:rPr>
          <w:rFonts w:ascii="宋体" w:eastAsia="宋体" w:hAnsi="宋体" w:cs="宋体" w:hint="eastAsia"/>
          <w:lang w:val="zh-CN" w:eastAsia="zh-CN"/>
        </w:rPr>
        <w:t>均进入下一阶段。设企业</w:t>
      </w:r>
      <w:r>
        <w:rPr>
          <w:lang w:val="zh-CN" w:eastAsia="zh-CN"/>
        </w:rPr>
        <w:t>i</w:t>
      </w:r>
      <w:r>
        <w:rPr>
          <w:rFonts w:ascii="宋体" w:eastAsia="宋体" w:hAnsi="宋体" w:cs="宋体" w:hint="eastAsia"/>
          <w:lang w:val="zh-CN" w:eastAsia="zh-CN"/>
        </w:rPr>
        <w:t>在年份</w:t>
      </w:r>
      <w:r>
        <w:rPr>
          <w:lang w:val="zh-CN" w:eastAsia="zh-CN"/>
        </w:rPr>
        <w:t>t</w:t>
      </w:r>
      <w:r>
        <w:rPr>
          <w:rFonts w:ascii="宋体" w:eastAsia="宋体" w:hAnsi="宋体" w:cs="宋体" w:hint="eastAsia"/>
          <w:lang w:val="zh-CN" w:eastAsia="zh-CN"/>
        </w:rPr>
        <w:t>的关键词候选集合为</w:t>
      </w:r>
      <w:r>
        <w:rPr>
          <w:lang w:val="zh-CN" w:eastAsia="zh-CN"/>
        </w:rPr>
        <w:t>Kᵢₜ</w:t>
      </w:r>
      <w:r>
        <w:rPr>
          <w:rFonts w:ascii="宋体" w:eastAsia="宋体" w:hAnsi="宋体" w:cs="宋体" w:hint="eastAsia"/>
          <w:lang w:val="zh-CN" w:eastAsia="zh-CN"/>
        </w:rPr>
        <w:t>，第一阶段判定为相关或不确定的补充集合为</w:t>
      </w:r>
      <w:r>
        <w:rPr>
          <w:lang w:val="zh-CN" w:eastAsia="zh-CN"/>
        </w:rPr>
        <w:t>Lᵢₜ</w:t>
      </w:r>
      <w:r>
        <w:rPr>
          <w:rFonts w:ascii="宋体" w:eastAsia="宋体" w:hAnsi="宋体" w:cs="宋体" w:hint="eastAsia"/>
          <w:lang w:val="zh-CN" w:eastAsia="zh-CN"/>
        </w:rPr>
        <w:t>，则结构化识别的输入集合为：</w:t>
      </w:r>
    </w:p>
    <w:p w14:paraId="5A27968E" w14:textId="6BFC5EE2" w:rsidR="00FB3AB2" w:rsidRDefault="00000000" w:rsidP="001C1DE8">
      <w:pPr>
        <w:pStyle w:val="BodyTextCN"/>
        <w:ind w:firstLine="420"/>
        <w:jc w:val="center"/>
        <w:rPr>
          <w:lang w:eastAsia="zh-CN"/>
        </w:rPr>
      </w:pPr>
      <w:r>
        <w:rPr>
          <w:rFonts w:ascii="Cambria Math" w:hAnsi="Cambria Math"/>
          <w:i/>
          <w:sz w:val="22"/>
          <w:lang w:val="zh-CN" w:eastAsia="zh-CN"/>
        </w:rPr>
        <w:t>Cᵢₜ = Kᵢₜ ∪ Lᵢₜ</w:t>
      </w:r>
    </w:p>
    <w:p w14:paraId="151B08F4" w14:textId="77777777" w:rsidR="001C1DE8" w:rsidRDefault="00000000" w:rsidP="001C1DE8">
      <w:pPr>
        <w:pStyle w:val="BodyTextCN"/>
        <w:ind w:firstLine="420"/>
        <w:rPr>
          <w:rFonts w:ascii="宋体" w:eastAsia="宋体" w:hAnsi="宋体" w:cs="宋体"/>
          <w:lang w:val="zh-CN" w:eastAsia="zh-CN"/>
        </w:rPr>
      </w:pPr>
      <w:r>
        <w:rPr>
          <w:rFonts w:ascii="宋体" w:eastAsia="宋体" w:hAnsi="宋体" w:cs="宋体" w:hint="eastAsia"/>
          <w:lang w:val="zh-CN" w:eastAsia="zh-CN"/>
        </w:rPr>
        <w:t>该设计不是对全部文本同时运行两条平行分类器，而是先由确定性词汇通道召回显式证据，再用语义模型补充弱表达和隐含表达。候选来源、命中词和模型相关性结果均被保存用于审计，但第二阶段模型只能看到文本正文以及公司、年份等基础元数据，不能看到</w:t>
      </w:r>
      <w:r>
        <w:rPr>
          <w:lang w:val="zh-CN" w:eastAsia="zh-CN"/>
        </w:rPr>
        <w:t>“</w:t>
      </w:r>
      <w:r>
        <w:rPr>
          <w:rFonts w:ascii="宋体" w:eastAsia="宋体" w:hAnsi="宋体" w:cs="宋体" w:hint="eastAsia"/>
          <w:lang w:val="zh-CN" w:eastAsia="zh-CN"/>
        </w:rPr>
        <w:t>由哪条通道召回</w:t>
      </w:r>
      <w:r>
        <w:rPr>
          <w:lang w:val="zh-CN" w:eastAsia="zh-CN"/>
        </w:rPr>
        <w:t>”</w:t>
      </w:r>
      <w:r>
        <w:rPr>
          <w:rFonts w:ascii="宋体" w:eastAsia="宋体" w:hAnsi="宋体" w:cs="宋体" w:hint="eastAsia"/>
          <w:lang w:val="zh-CN" w:eastAsia="zh-CN"/>
        </w:rPr>
        <w:t>的标签，从而避免候选来源直接影响实体类型与采用状态判断。</w:t>
      </w:r>
    </w:p>
    <w:p w14:paraId="774F86D5" w14:textId="0B1DE65C" w:rsidR="00FB3AB2" w:rsidRDefault="00000000" w:rsidP="001C1DE8">
      <w:pPr>
        <w:pStyle w:val="BodyTextCN"/>
        <w:ind w:firstLine="420"/>
        <w:rPr>
          <w:lang w:eastAsia="zh-CN"/>
        </w:rPr>
      </w:pPr>
      <w:r>
        <w:rPr>
          <w:lang w:val="zh-CN" w:eastAsia="zh-CN"/>
        </w:rPr>
        <w:t xml:space="preserve">3. </w:t>
      </w:r>
      <w:r>
        <w:rPr>
          <w:rFonts w:ascii="宋体" w:eastAsia="宋体" w:hAnsi="宋体" w:cs="宋体" w:hint="eastAsia"/>
          <w:lang w:val="zh-CN" w:eastAsia="zh-CN"/>
        </w:rPr>
        <w:t>实体、主体与采用状态识别</w:t>
      </w:r>
    </w:p>
    <w:p w14:paraId="40F4887F" w14:textId="77777777" w:rsidR="00FB3AB2" w:rsidRDefault="00000000">
      <w:pPr>
        <w:pStyle w:val="BodyTextCN"/>
        <w:ind w:firstLine="420"/>
        <w:rPr>
          <w:lang w:eastAsia="zh-CN"/>
        </w:rPr>
      </w:pPr>
      <w:r>
        <w:rPr>
          <w:rFonts w:ascii="宋体" w:eastAsia="宋体" w:hAnsi="宋体" w:cs="宋体" w:hint="eastAsia"/>
          <w:lang w:val="zh-CN" w:eastAsia="zh-CN"/>
        </w:rPr>
        <w:t>所</w:t>
      </w:r>
      <w:r>
        <w:rPr>
          <w:lang w:val="zh-CN" w:eastAsia="zh-CN"/>
        </w:rPr>
        <w:t>有候选文本随后进入第二阶段结构化识别。模型按照</w:t>
      </w:r>
      <w:r>
        <w:rPr>
          <w:lang w:val="zh-CN" w:eastAsia="zh-CN"/>
        </w:rPr>
        <w:t>“</w:t>
      </w:r>
      <w:r>
        <w:rPr>
          <w:lang w:val="zh-CN" w:eastAsia="zh-CN"/>
        </w:rPr>
        <w:t>实体识别</w:t>
      </w:r>
      <w:r>
        <w:rPr>
          <w:lang w:val="zh-CN" w:eastAsia="zh-CN"/>
        </w:rPr>
        <w:t>—</w:t>
      </w:r>
      <w:r>
        <w:rPr>
          <w:lang w:val="zh-CN" w:eastAsia="zh-CN"/>
        </w:rPr>
        <w:t>类别判断</w:t>
      </w:r>
      <w:r>
        <w:rPr>
          <w:lang w:val="zh-CN" w:eastAsia="zh-CN"/>
        </w:rPr>
        <w:t>—</w:t>
      </w:r>
      <w:r>
        <w:rPr>
          <w:lang w:val="zh-CN" w:eastAsia="zh-CN"/>
        </w:rPr>
        <w:t>主体归属</w:t>
      </w:r>
      <w:r>
        <w:rPr>
          <w:lang w:val="zh-CN" w:eastAsia="zh-CN"/>
        </w:rPr>
        <w:t>—</w:t>
      </w:r>
      <w:r>
        <w:rPr>
          <w:lang w:val="zh-CN" w:eastAsia="zh-CN"/>
        </w:rPr>
        <w:t>状态判断</w:t>
      </w:r>
      <w:r>
        <w:rPr>
          <w:lang w:val="zh-CN" w:eastAsia="zh-CN"/>
        </w:rPr>
        <w:t>—</w:t>
      </w:r>
      <w:r>
        <w:rPr>
          <w:lang w:val="zh-CN" w:eastAsia="zh-CN"/>
        </w:rPr>
        <w:t>证据摘录</w:t>
      </w:r>
      <w:r>
        <w:rPr>
          <w:lang w:val="zh-CN" w:eastAsia="zh-CN"/>
        </w:rPr>
        <w:t>”</w:t>
      </w:r>
      <w:r>
        <w:rPr>
          <w:lang w:val="zh-CN" w:eastAsia="zh-CN"/>
        </w:rPr>
        <w:t>的固定顺序输出结构化</w:t>
      </w:r>
      <w:r>
        <w:rPr>
          <w:lang w:val="zh-CN" w:eastAsia="zh-CN"/>
        </w:rPr>
        <w:t>JSON</w:t>
      </w:r>
      <w:r>
        <w:rPr>
          <w:lang w:val="zh-CN" w:eastAsia="zh-CN"/>
        </w:rPr>
        <w:t>；同一文本单元中出现多个不同实体时，每个实体分别形成一条记录。模型不得使用外部知识补充原文未出现的标准编号、主体关系或采用状态，证据字段必须是年报中的连续原文摘录。模型推理温度固定为</w:t>
      </w:r>
      <w:r>
        <w:rPr>
          <w:lang w:val="zh-CN" w:eastAsia="zh-CN"/>
        </w:rPr>
        <w:t>0</w:t>
      </w:r>
      <w:r>
        <w:rPr>
          <w:lang w:val="zh-CN" w:eastAsia="zh-CN"/>
        </w:rPr>
        <w:t>，以降低随机采样对年度指标的影响。</w:t>
      </w:r>
    </w:p>
    <w:tbl>
      <w:tblPr>
        <w:tblStyle w:val="aff1"/>
        <w:tblW w:w="0" w:type="auto"/>
        <w:jc w:val="center"/>
        <w:tblLayout w:type="fixed"/>
        <w:tblLook w:val="04A0" w:firstRow="1" w:lastRow="0" w:firstColumn="1" w:lastColumn="0" w:noHBand="0" w:noVBand="1"/>
      </w:tblPr>
      <w:tblGrid>
        <w:gridCol w:w="907"/>
        <w:gridCol w:w="3402"/>
        <w:gridCol w:w="3005"/>
        <w:gridCol w:w="1757"/>
      </w:tblGrid>
      <w:tr w:rsidR="00FB3AB2" w14:paraId="6692B7D0" w14:textId="77777777">
        <w:trPr>
          <w:cantSplit/>
          <w:tblHeader/>
          <w:jc w:val="center"/>
        </w:trPr>
        <w:tc>
          <w:tcPr>
            <w:tcW w:w="907" w:type="dxa"/>
            <w:shd w:val="clear" w:color="auto" w:fill="D9D9D9"/>
            <w:tcMar>
              <w:top w:w="40" w:type="dxa"/>
              <w:left w:w="60" w:type="dxa"/>
              <w:bottom w:w="40" w:type="dxa"/>
              <w:right w:w="60" w:type="dxa"/>
            </w:tcMar>
            <w:vAlign w:val="center"/>
          </w:tcPr>
          <w:p w14:paraId="0025585E" w14:textId="77777777" w:rsidR="00FB3AB2" w:rsidRDefault="00000000">
            <w:pPr>
              <w:jc w:val="center"/>
            </w:pPr>
            <w:r>
              <w:rPr>
                <w:rFonts w:eastAsia="Noto Sans CJK SC"/>
                <w:b/>
                <w:sz w:val="17"/>
              </w:rPr>
              <w:t>类别</w:t>
            </w:r>
          </w:p>
        </w:tc>
        <w:tc>
          <w:tcPr>
            <w:tcW w:w="3402" w:type="dxa"/>
            <w:shd w:val="clear" w:color="auto" w:fill="D9D9D9"/>
            <w:tcMar>
              <w:top w:w="40" w:type="dxa"/>
              <w:left w:w="60" w:type="dxa"/>
              <w:bottom w:w="40" w:type="dxa"/>
              <w:right w:w="60" w:type="dxa"/>
            </w:tcMar>
            <w:vAlign w:val="center"/>
          </w:tcPr>
          <w:p w14:paraId="33BBB4AA" w14:textId="77777777" w:rsidR="00FB3AB2" w:rsidRDefault="00000000">
            <w:pPr>
              <w:jc w:val="center"/>
            </w:pPr>
            <w:r>
              <w:rPr>
                <w:rFonts w:eastAsia="Noto Sans CJK SC"/>
                <w:b/>
                <w:sz w:val="17"/>
              </w:rPr>
              <w:t>识别对象</w:t>
            </w:r>
          </w:p>
        </w:tc>
        <w:tc>
          <w:tcPr>
            <w:tcW w:w="3005" w:type="dxa"/>
            <w:shd w:val="clear" w:color="auto" w:fill="D9D9D9"/>
            <w:tcMar>
              <w:top w:w="40" w:type="dxa"/>
              <w:left w:w="60" w:type="dxa"/>
              <w:bottom w:w="40" w:type="dxa"/>
              <w:right w:w="60" w:type="dxa"/>
            </w:tcMar>
            <w:vAlign w:val="center"/>
          </w:tcPr>
          <w:p w14:paraId="430E9F2C" w14:textId="77777777" w:rsidR="00FB3AB2" w:rsidRDefault="00000000">
            <w:pPr>
              <w:jc w:val="center"/>
            </w:pPr>
            <w:r>
              <w:rPr>
                <w:rFonts w:eastAsia="Noto Sans CJK SC"/>
                <w:b/>
                <w:sz w:val="17"/>
              </w:rPr>
              <w:t>纳入核心指标的条件</w:t>
            </w:r>
          </w:p>
        </w:tc>
        <w:tc>
          <w:tcPr>
            <w:tcW w:w="1757" w:type="dxa"/>
            <w:shd w:val="clear" w:color="auto" w:fill="D9D9D9"/>
            <w:tcMar>
              <w:top w:w="40" w:type="dxa"/>
              <w:left w:w="60" w:type="dxa"/>
              <w:bottom w:w="40" w:type="dxa"/>
              <w:right w:w="60" w:type="dxa"/>
            </w:tcMar>
            <w:vAlign w:val="center"/>
          </w:tcPr>
          <w:p w14:paraId="22FD32CD" w14:textId="77777777" w:rsidR="00FB3AB2" w:rsidRDefault="00000000">
            <w:pPr>
              <w:jc w:val="center"/>
            </w:pPr>
            <w:r>
              <w:rPr>
                <w:rFonts w:eastAsia="Noto Sans CJK SC"/>
                <w:b/>
                <w:sz w:val="17"/>
              </w:rPr>
              <w:t>理论路径</w:t>
            </w:r>
          </w:p>
        </w:tc>
      </w:tr>
      <w:tr w:rsidR="00FB3AB2" w14:paraId="6BE75CAE" w14:textId="77777777">
        <w:trPr>
          <w:cantSplit/>
          <w:jc w:val="center"/>
        </w:trPr>
        <w:tc>
          <w:tcPr>
            <w:tcW w:w="907" w:type="dxa"/>
            <w:tcMar>
              <w:top w:w="40" w:type="dxa"/>
              <w:left w:w="60" w:type="dxa"/>
              <w:bottom w:w="40" w:type="dxa"/>
              <w:right w:w="60" w:type="dxa"/>
            </w:tcMar>
            <w:vAlign w:val="center"/>
          </w:tcPr>
          <w:p w14:paraId="25A2A27F" w14:textId="77777777" w:rsidR="00FB3AB2" w:rsidRDefault="00000000">
            <w:pPr>
              <w:jc w:val="center"/>
            </w:pPr>
            <w:r>
              <w:rPr>
                <w:sz w:val="17"/>
              </w:rPr>
              <w:t>TYPE_A</w:t>
            </w:r>
          </w:p>
        </w:tc>
        <w:tc>
          <w:tcPr>
            <w:tcW w:w="3402" w:type="dxa"/>
            <w:tcMar>
              <w:top w:w="40" w:type="dxa"/>
              <w:left w:w="60" w:type="dxa"/>
              <w:bottom w:w="40" w:type="dxa"/>
              <w:right w:w="60" w:type="dxa"/>
            </w:tcMar>
            <w:vAlign w:val="center"/>
          </w:tcPr>
          <w:p w14:paraId="6B40A63F" w14:textId="77777777" w:rsidR="00FB3AB2" w:rsidRDefault="00000000">
            <w:pPr>
              <w:jc w:val="both"/>
              <w:rPr>
                <w:lang w:eastAsia="zh-CN"/>
              </w:rPr>
            </w:pPr>
            <w:r>
              <w:rPr>
                <w:sz w:val="17"/>
                <w:lang w:eastAsia="zh-CN"/>
              </w:rPr>
              <w:t>明确国际、区域或跨国行业标准，如</w:t>
            </w:r>
            <w:r>
              <w:rPr>
                <w:sz w:val="17"/>
                <w:lang w:eastAsia="zh-CN"/>
              </w:rPr>
              <w:t>ISO</w:t>
            </w:r>
            <w:r>
              <w:rPr>
                <w:sz w:val="17"/>
                <w:lang w:eastAsia="zh-CN"/>
              </w:rPr>
              <w:t>、</w:t>
            </w:r>
            <w:r>
              <w:rPr>
                <w:sz w:val="17"/>
                <w:lang w:eastAsia="zh-CN"/>
              </w:rPr>
              <w:t>IEC</w:t>
            </w:r>
            <w:r>
              <w:rPr>
                <w:sz w:val="17"/>
                <w:lang w:eastAsia="zh-CN"/>
              </w:rPr>
              <w:t>、</w:t>
            </w:r>
            <w:r>
              <w:rPr>
                <w:sz w:val="17"/>
                <w:lang w:eastAsia="zh-CN"/>
              </w:rPr>
              <w:t>IEEE</w:t>
            </w:r>
            <w:r>
              <w:rPr>
                <w:sz w:val="17"/>
                <w:lang w:eastAsia="zh-CN"/>
              </w:rPr>
              <w:t>、</w:t>
            </w:r>
            <w:r>
              <w:rPr>
                <w:sz w:val="17"/>
                <w:lang w:eastAsia="zh-CN"/>
              </w:rPr>
              <w:t>ITU</w:t>
            </w:r>
            <w:r>
              <w:rPr>
                <w:sz w:val="17"/>
                <w:lang w:eastAsia="zh-CN"/>
              </w:rPr>
              <w:t>、</w:t>
            </w:r>
            <w:r>
              <w:rPr>
                <w:sz w:val="17"/>
                <w:lang w:eastAsia="zh-CN"/>
              </w:rPr>
              <w:t>EN</w:t>
            </w:r>
            <w:r>
              <w:rPr>
                <w:sz w:val="17"/>
                <w:lang w:eastAsia="zh-CN"/>
              </w:rPr>
              <w:t>和</w:t>
            </w:r>
            <w:r>
              <w:rPr>
                <w:sz w:val="17"/>
                <w:lang w:eastAsia="zh-CN"/>
              </w:rPr>
              <w:t>IATF</w:t>
            </w:r>
            <w:r>
              <w:rPr>
                <w:sz w:val="17"/>
                <w:lang w:eastAsia="zh-CN"/>
              </w:rPr>
              <w:t>等</w:t>
            </w:r>
          </w:p>
        </w:tc>
        <w:tc>
          <w:tcPr>
            <w:tcW w:w="3005" w:type="dxa"/>
            <w:tcMar>
              <w:top w:w="40" w:type="dxa"/>
              <w:left w:w="60" w:type="dxa"/>
              <w:bottom w:w="40" w:type="dxa"/>
              <w:right w:w="60" w:type="dxa"/>
            </w:tcMar>
            <w:vAlign w:val="center"/>
          </w:tcPr>
          <w:p w14:paraId="2A369D00" w14:textId="77777777" w:rsidR="00FB3AB2" w:rsidRDefault="00000000">
            <w:pPr>
              <w:jc w:val="both"/>
              <w:rPr>
                <w:lang w:eastAsia="zh-CN"/>
              </w:rPr>
            </w:pPr>
            <w:r>
              <w:rPr>
                <w:sz w:val="17"/>
                <w:lang w:eastAsia="zh-CN"/>
              </w:rPr>
              <w:t>主体属于企业、子公司或企业产品</w:t>
            </w:r>
            <w:r>
              <w:rPr>
                <w:sz w:val="17"/>
                <w:lang w:eastAsia="zh-CN"/>
              </w:rPr>
              <w:t>/</w:t>
            </w:r>
            <w:r>
              <w:rPr>
                <w:sz w:val="17"/>
                <w:lang w:eastAsia="zh-CN"/>
              </w:rPr>
              <w:t>服务，且状态为</w:t>
            </w:r>
            <w:r>
              <w:rPr>
                <w:sz w:val="17"/>
                <w:lang w:eastAsia="zh-CN"/>
              </w:rPr>
              <w:t>ADOPTED</w:t>
            </w:r>
          </w:p>
        </w:tc>
        <w:tc>
          <w:tcPr>
            <w:tcW w:w="1757" w:type="dxa"/>
            <w:tcMar>
              <w:top w:w="40" w:type="dxa"/>
              <w:left w:w="60" w:type="dxa"/>
              <w:bottom w:w="40" w:type="dxa"/>
              <w:right w:w="60" w:type="dxa"/>
            </w:tcMar>
            <w:vAlign w:val="center"/>
          </w:tcPr>
          <w:p w14:paraId="0C31C1E0" w14:textId="77777777" w:rsidR="00FB3AB2" w:rsidRDefault="00000000">
            <w:pPr>
              <w:jc w:val="center"/>
            </w:pPr>
            <w:r>
              <w:rPr>
                <w:sz w:val="17"/>
              </w:rPr>
              <w:t>直接标准接轨</w:t>
            </w:r>
          </w:p>
        </w:tc>
      </w:tr>
      <w:tr w:rsidR="00FB3AB2" w14:paraId="0A55EB7D" w14:textId="77777777">
        <w:trPr>
          <w:cantSplit/>
          <w:jc w:val="center"/>
        </w:trPr>
        <w:tc>
          <w:tcPr>
            <w:tcW w:w="907" w:type="dxa"/>
            <w:tcMar>
              <w:top w:w="40" w:type="dxa"/>
              <w:left w:w="60" w:type="dxa"/>
              <w:bottom w:w="40" w:type="dxa"/>
              <w:right w:w="60" w:type="dxa"/>
            </w:tcMar>
            <w:vAlign w:val="center"/>
          </w:tcPr>
          <w:p w14:paraId="25DB62CB" w14:textId="77777777" w:rsidR="00FB3AB2" w:rsidRDefault="00000000">
            <w:pPr>
              <w:jc w:val="center"/>
            </w:pPr>
            <w:r>
              <w:rPr>
                <w:sz w:val="17"/>
              </w:rPr>
              <w:t>TYPE_B</w:t>
            </w:r>
          </w:p>
        </w:tc>
        <w:tc>
          <w:tcPr>
            <w:tcW w:w="3402" w:type="dxa"/>
            <w:tcMar>
              <w:top w:w="40" w:type="dxa"/>
              <w:left w:w="60" w:type="dxa"/>
              <w:bottom w:w="40" w:type="dxa"/>
              <w:right w:w="60" w:type="dxa"/>
            </w:tcMar>
            <w:vAlign w:val="center"/>
          </w:tcPr>
          <w:p w14:paraId="6C69C8A8" w14:textId="77777777" w:rsidR="00FB3AB2" w:rsidRDefault="00000000">
            <w:pPr>
              <w:jc w:val="both"/>
              <w:rPr>
                <w:lang w:eastAsia="zh-CN"/>
              </w:rPr>
            </w:pPr>
            <w:r>
              <w:rPr>
                <w:sz w:val="17"/>
                <w:lang w:eastAsia="zh-CN"/>
              </w:rPr>
              <w:t>明确中国标准号，如</w:t>
            </w:r>
            <w:r>
              <w:rPr>
                <w:sz w:val="17"/>
                <w:lang w:eastAsia="zh-CN"/>
              </w:rPr>
              <w:t>GB</w:t>
            </w:r>
            <w:r>
              <w:rPr>
                <w:sz w:val="17"/>
                <w:lang w:eastAsia="zh-CN"/>
              </w:rPr>
              <w:t>、</w:t>
            </w:r>
            <w:r>
              <w:rPr>
                <w:sz w:val="17"/>
                <w:lang w:eastAsia="zh-CN"/>
              </w:rPr>
              <w:t>GB/T</w:t>
            </w:r>
            <w:r>
              <w:rPr>
                <w:sz w:val="17"/>
                <w:lang w:eastAsia="zh-CN"/>
              </w:rPr>
              <w:t>及其他中国标准候选</w:t>
            </w:r>
          </w:p>
        </w:tc>
        <w:tc>
          <w:tcPr>
            <w:tcW w:w="3005" w:type="dxa"/>
            <w:tcMar>
              <w:top w:w="40" w:type="dxa"/>
              <w:left w:w="60" w:type="dxa"/>
              <w:bottom w:w="40" w:type="dxa"/>
              <w:right w:w="60" w:type="dxa"/>
            </w:tcMar>
            <w:vAlign w:val="center"/>
          </w:tcPr>
          <w:p w14:paraId="3143B6BD" w14:textId="77777777" w:rsidR="00FB3AB2" w:rsidRDefault="00000000">
            <w:pPr>
              <w:jc w:val="both"/>
              <w:rPr>
                <w:lang w:eastAsia="zh-CN"/>
              </w:rPr>
            </w:pPr>
            <w:r>
              <w:rPr>
                <w:sz w:val="17"/>
                <w:lang w:eastAsia="zh-CN"/>
              </w:rPr>
              <w:t>状态为</w:t>
            </w:r>
            <w:r>
              <w:rPr>
                <w:sz w:val="17"/>
                <w:lang w:eastAsia="zh-CN"/>
              </w:rPr>
              <w:t>ADOPTED</w:t>
            </w:r>
            <w:r>
              <w:rPr>
                <w:sz w:val="17"/>
                <w:lang w:eastAsia="zh-CN"/>
              </w:rPr>
              <w:t>，且相应标准版本可映射到非空国际标准</w:t>
            </w:r>
          </w:p>
        </w:tc>
        <w:tc>
          <w:tcPr>
            <w:tcW w:w="1757" w:type="dxa"/>
            <w:tcMar>
              <w:top w:w="40" w:type="dxa"/>
              <w:left w:w="60" w:type="dxa"/>
              <w:bottom w:w="40" w:type="dxa"/>
              <w:right w:w="60" w:type="dxa"/>
            </w:tcMar>
            <w:vAlign w:val="center"/>
          </w:tcPr>
          <w:p w14:paraId="0DC6451C" w14:textId="77777777" w:rsidR="00FB3AB2" w:rsidRDefault="00000000">
            <w:pPr>
              <w:jc w:val="center"/>
            </w:pPr>
            <w:r>
              <w:rPr>
                <w:sz w:val="17"/>
              </w:rPr>
              <w:t>国内标准转化接轨</w:t>
            </w:r>
          </w:p>
        </w:tc>
      </w:tr>
      <w:tr w:rsidR="00FB3AB2" w14:paraId="3765237F" w14:textId="77777777">
        <w:trPr>
          <w:cantSplit/>
          <w:jc w:val="center"/>
        </w:trPr>
        <w:tc>
          <w:tcPr>
            <w:tcW w:w="907" w:type="dxa"/>
            <w:tcMar>
              <w:top w:w="40" w:type="dxa"/>
              <w:left w:w="60" w:type="dxa"/>
              <w:bottom w:w="40" w:type="dxa"/>
              <w:right w:w="60" w:type="dxa"/>
            </w:tcMar>
            <w:vAlign w:val="center"/>
          </w:tcPr>
          <w:p w14:paraId="1D37C340" w14:textId="77777777" w:rsidR="00FB3AB2" w:rsidRDefault="00000000">
            <w:pPr>
              <w:jc w:val="center"/>
            </w:pPr>
            <w:r>
              <w:rPr>
                <w:sz w:val="17"/>
              </w:rPr>
              <w:t>TYPE_C</w:t>
            </w:r>
          </w:p>
        </w:tc>
        <w:tc>
          <w:tcPr>
            <w:tcW w:w="3402" w:type="dxa"/>
            <w:tcMar>
              <w:top w:w="40" w:type="dxa"/>
              <w:left w:w="60" w:type="dxa"/>
              <w:bottom w:w="40" w:type="dxa"/>
              <w:right w:w="60" w:type="dxa"/>
            </w:tcMar>
            <w:vAlign w:val="center"/>
          </w:tcPr>
          <w:p w14:paraId="7F4A217F" w14:textId="77777777" w:rsidR="00FB3AB2" w:rsidRDefault="00000000">
            <w:pPr>
              <w:jc w:val="both"/>
              <w:rPr>
                <w:lang w:eastAsia="zh-CN"/>
              </w:rPr>
            </w:pPr>
            <w:r>
              <w:rPr>
                <w:sz w:val="17"/>
                <w:lang w:eastAsia="zh-CN"/>
              </w:rPr>
              <w:t>未出现</w:t>
            </w:r>
            <w:r>
              <w:rPr>
                <w:sz w:val="17"/>
                <w:lang w:eastAsia="zh-CN"/>
              </w:rPr>
              <w:t>TYPE_A</w:t>
            </w:r>
            <w:r>
              <w:rPr>
                <w:sz w:val="17"/>
                <w:lang w:eastAsia="zh-CN"/>
              </w:rPr>
              <w:t>标准号，但涉及境外市场准入、监管批准、强制法规或合格评定，如</w:t>
            </w:r>
            <w:r>
              <w:rPr>
                <w:sz w:val="17"/>
                <w:lang w:eastAsia="zh-CN"/>
              </w:rPr>
              <w:t>CE</w:t>
            </w:r>
            <w:r>
              <w:rPr>
                <w:sz w:val="17"/>
                <w:lang w:eastAsia="zh-CN"/>
              </w:rPr>
              <w:t>、</w:t>
            </w:r>
            <w:r>
              <w:rPr>
                <w:sz w:val="17"/>
                <w:lang w:eastAsia="zh-CN"/>
              </w:rPr>
              <w:t>FDA</w:t>
            </w:r>
            <w:r>
              <w:rPr>
                <w:sz w:val="17"/>
                <w:lang w:eastAsia="zh-CN"/>
              </w:rPr>
              <w:t>、</w:t>
            </w:r>
            <w:r>
              <w:rPr>
                <w:sz w:val="17"/>
                <w:lang w:eastAsia="zh-CN"/>
              </w:rPr>
              <w:t>UL</w:t>
            </w:r>
            <w:r>
              <w:rPr>
                <w:sz w:val="17"/>
                <w:lang w:eastAsia="zh-CN"/>
              </w:rPr>
              <w:t>、</w:t>
            </w:r>
            <w:r>
              <w:rPr>
                <w:sz w:val="17"/>
                <w:lang w:eastAsia="zh-CN"/>
              </w:rPr>
              <w:t>REACH</w:t>
            </w:r>
            <w:r>
              <w:rPr>
                <w:sz w:val="17"/>
                <w:lang w:eastAsia="zh-CN"/>
              </w:rPr>
              <w:t>和</w:t>
            </w:r>
            <w:r>
              <w:rPr>
                <w:sz w:val="17"/>
                <w:lang w:eastAsia="zh-CN"/>
              </w:rPr>
              <w:t>RoHS</w:t>
            </w:r>
            <w:r>
              <w:rPr>
                <w:sz w:val="17"/>
                <w:lang w:eastAsia="zh-CN"/>
              </w:rPr>
              <w:t>等</w:t>
            </w:r>
          </w:p>
        </w:tc>
        <w:tc>
          <w:tcPr>
            <w:tcW w:w="3005" w:type="dxa"/>
            <w:tcMar>
              <w:top w:w="40" w:type="dxa"/>
              <w:left w:w="60" w:type="dxa"/>
              <w:bottom w:w="40" w:type="dxa"/>
              <w:right w:w="60" w:type="dxa"/>
            </w:tcMar>
            <w:vAlign w:val="center"/>
          </w:tcPr>
          <w:p w14:paraId="59F40EA1" w14:textId="77777777" w:rsidR="00FB3AB2" w:rsidRDefault="00000000">
            <w:pPr>
              <w:jc w:val="both"/>
              <w:rPr>
                <w:lang w:eastAsia="zh-CN"/>
              </w:rPr>
            </w:pPr>
            <w:r>
              <w:rPr>
                <w:sz w:val="17"/>
                <w:lang w:eastAsia="zh-CN"/>
              </w:rPr>
              <w:t>主体属于企业、子公司或企业产品</w:t>
            </w:r>
            <w:r>
              <w:rPr>
                <w:sz w:val="17"/>
                <w:lang w:eastAsia="zh-CN"/>
              </w:rPr>
              <w:t>/</w:t>
            </w:r>
            <w:r>
              <w:rPr>
                <w:sz w:val="17"/>
                <w:lang w:eastAsia="zh-CN"/>
              </w:rPr>
              <w:t>服务，且状态为</w:t>
            </w:r>
            <w:r>
              <w:rPr>
                <w:sz w:val="17"/>
                <w:lang w:eastAsia="zh-CN"/>
              </w:rPr>
              <w:t>ADOPTED</w:t>
            </w:r>
          </w:p>
        </w:tc>
        <w:tc>
          <w:tcPr>
            <w:tcW w:w="1757" w:type="dxa"/>
            <w:tcMar>
              <w:top w:w="40" w:type="dxa"/>
              <w:left w:w="60" w:type="dxa"/>
              <w:bottom w:w="40" w:type="dxa"/>
              <w:right w:w="60" w:type="dxa"/>
            </w:tcMar>
            <w:vAlign w:val="center"/>
          </w:tcPr>
          <w:p w14:paraId="02E21C52" w14:textId="77777777" w:rsidR="00FB3AB2" w:rsidRDefault="00000000">
            <w:pPr>
              <w:jc w:val="center"/>
            </w:pPr>
            <w:r>
              <w:rPr>
                <w:sz w:val="17"/>
              </w:rPr>
              <w:t>法规与合格评定接轨</w:t>
            </w:r>
          </w:p>
        </w:tc>
      </w:tr>
      <w:tr w:rsidR="00FB3AB2" w14:paraId="6E50E726" w14:textId="77777777">
        <w:trPr>
          <w:cantSplit/>
          <w:jc w:val="center"/>
        </w:trPr>
        <w:tc>
          <w:tcPr>
            <w:tcW w:w="907" w:type="dxa"/>
            <w:tcMar>
              <w:top w:w="40" w:type="dxa"/>
              <w:left w:w="60" w:type="dxa"/>
              <w:bottom w:w="40" w:type="dxa"/>
              <w:right w:w="60" w:type="dxa"/>
            </w:tcMar>
            <w:vAlign w:val="center"/>
          </w:tcPr>
          <w:p w14:paraId="3E0F9156" w14:textId="77777777" w:rsidR="00FB3AB2" w:rsidRDefault="00000000">
            <w:pPr>
              <w:jc w:val="center"/>
            </w:pPr>
            <w:r>
              <w:rPr>
                <w:sz w:val="17"/>
              </w:rPr>
              <w:t>TYPE_D</w:t>
            </w:r>
          </w:p>
        </w:tc>
        <w:tc>
          <w:tcPr>
            <w:tcW w:w="3402" w:type="dxa"/>
            <w:tcMar>
              <w:top w:w="40" w:type="dxa"/>
              <w:left w:w="60" w:type="dxa"/>
              <w:bottom w:w="40" w:type="dxa"/>
              <w:right w:w="60" w:type="dxa"/>
            </w:tcMar>
            <w:vAlign w:val="center"/>
          </w:tcPr>
          <w:p w14:paraId="764764AF" w14:textId="77777777" w:rsidR="00FB3AB2" w:rsidRDefault="00000000">
            <w:pPr>
              <w:jc w:val="both"/>
              <w:rPr>
                <w:lang w:eastAsia="zh-CN"/>
              </w:rPr>
            </w:pPr>
            <w:r>
              <w:rPr>
                <w:sz w:val="17"/>
                <w:lang w:eastAsia="zh-CN"/>
              </w:rPr>
              <w:t>国内认证、一般资质、机构名称及其他无法归入前三类的实体</w:t>
            </w:r>
          </w:p>
        </w:tc>
        <w:tc>
          <w:tcPr>
            <w:tcW w:w="3005" w:type="dxa"/>
            <w:tcMar>
              <w:top w:w="40" w:type="dxa"/>
              <w:left w:w="60" w:type="dxa"/>
              <w:bottom w:w="40" w:type="dxa"/>
              <w:right w:w="60" w:type="dxa"/>
            </w:tcMar>
            <w:vAlign w:val="center"/>
          </w:tcPr>
          <w:p w14:paraId="2BEE829D" w14:textId="77777777" w:rsidR="00FB3AB2" w:rsidRDefault="00000000">
            <w:pPr>
              <w:jc w:val="both"/>
              <w:rPr>
                <w:lang w:eastAsia="zh-CN"/>
              </w:rPr>
            </w:pPr>
            <w:r>
              <w:rPr>
                <w:sz w:val="17"/>
                <w:lang w:eastAsia="zh-CN"/>
              </w:rPr>
              <w:t>不纳入核心指标，仅用于审计</w:t>
            </w:r>
          </w:p>
        </w:tc>
        <w:tc>
          <w:tcPr>
            <w:tcW w:w="1757" w:type="dxa"/>
            <w:tcMar>
              <w:top w:w="40" w:type="dxa"/>
              <w:left w:w="60" w:type="dxa"/>
              <w:bottom w:w="40" w:type="dxa"/>
              <w:right w:w="60" w:type="dxa"/>
            </w:tcMar>
            <w:vAlign w:val="center"/>
          </w:tcPr>
          <w:p w14:paraId="78159062" w14:textId="77777777" w:rsidR="00FB3AB2" w:rsidRDefault="00000000">
            <w:pPr>
              <w:jc w:val="center"/>
            </w:pPr>
            <w:r>
              <w:rPr>
                <w:sz w:val="17"/>
              </w:rPr>
              <w:t>排除类别</w:t>
            </w:r>
          </w:p>
        </w:tc>
      </w:tr>
    </w:tbl>
    <w:p w14:paraId="4E09FCD2" w14:textId="77777777" w:rsidR="001C1DE8" w:rsidRDefault="00000000" w:rsidP="001C1DE8">
      <w:pPr>
        <w:pStyle w:val="BodyTextCN"/>
        <w:ind w:firstLine="420"/>
        <w:rPr>
          <w:rFonts w:ascii="宋体" w:eastAsia="宋体" w:hAnsi="宋体" w:cs="宋体"/>
          <w:lang w:val="zh-CN" w:eastAsia="zh-CN"/>
        </w:rPr>
      </w:pPr>
      <w:r>
        <w:rPr>
          <w:rFonts w:ascii="宋体" w:eastAsia="宋体" w:hAnsi="宋体" w:cs="宋体" w:hint="eastAsia"/>
          <w:lang w:val="zh-CN" w:eastAsia="zh-CN"/>
        </w:rPr>
        <w:t>采用状态分为</w:t>
      </w:r>
      <w:r>
        <w:rPr>
          <w:lang w:val="zh-CN" w:eastAsia="zh-CN"/>
        </w:rPr>
        <w:t>ADOPTED</w:t>
      </w:r>
      <w:r>
        <w:rPr>
          <w:rFonts w:ascii="宋体" w:eastAsia="宋体" w:hAnsi="宋体" w:cs="宋体" w:hint="eastAsia"/>
          <w:lang w:val="zh-CN" w:eastAsia="zh-CN"/>
        </w:rPr>
        <w:t>、</w:t>
      </w:r>
      <w:r>
        <w:rPr>
          <w:lang w:val="zh-CN" w:eastAsia="zh-CN"/>
        </w:rPr>
        <w:t>PENDING</w:t>
      </w:r>
      <w:r>
        <w:rPr>
          <w:rFonts w:ascii="宋体" w:eastAsia="宋体" w:hAnsi="宋体" w:cs="宋体" w:hint="eastAsia"/>
          <w:lang w:val="zh-CN" w:eastAsia="zh-CN"/>
        </w:rPr>
        <w:t>和</w:t>
      </w:r>
      <w:r>
        <w:rPr>
          <w:lang w:val="zh-CN" w:eastAsia="zh-CN"/>
        </w:rPr>
        <w:t>NO</w:t>
      </w:r>
      <w:r>
        <w:rPr>
          <w:rFonts w:ascii="宋体" w:eastAsia="宋体" w:hAnsi="宋体" w:cs="宋体" w:hint="eastAsia"/>
          <w:lang w:val="zh-CN" w:eastAsia="zh-CN"/>
        </w:rPr>
        <w:t>。只有当文本同时满足三项条件时，实体才被标记为</w:t>
      </w:r>
      <w:r>
        <w:rPr>
          <w:lang w:val="zh-CN" w:eastAsia="zh-CN"/>
        </w:rPr>
        <w:t>ADOPTED</w:t>
      </w:r>
      <w:r>
        <w:rPr>
          <w:rFonts w:ascii="宋体" w:eastAsia="宋体" w:hAnsi="宋体" w:cs="宋体" w:hint="eastAsia"/>
          <w:lang w:val="zh-CN" w:eastAsia="zh-CN"/>
        </w:rPr>
        <w:t>：第一，行为主体属于本企业、其子公司或企业产品与服务；第二，标准、认证、法规或准入实体可以明确识别；第三，年报证明企业截至报告期末已经完成采用、执行、符合、认证、注册、批准或体系运行。已经进入申请、认证、导入、整改或审核程序但尚未完成的情形记为</w:t>
      </w:r>
      <w:r>
        <w:rPr>
          <w:lang w:val="zh-CN" w:eastAsia="zh-CN"/>
        </w:rPr>
        <w:t>PENDING</w:t>
      </w:r>
      <w:r>
        <w:rPr>
          <w:rFonts w:ascii="宋体" w:eastAsia="宋体" w:hAnsi="宋体" w:cs="宋体" w:hint="eastAsia"/>
          <w:lang w:val="zh-CN" w:eastAsia="zh-CN"/>
        </w:rPr>
        <w:t>。单纯介绍制度要求、仅说明客户或供应商采用、只有未来计划、主体或时间不清，以及无法证明企业已采取实际行动的情形均记为</w:t>
      </w:r>
      <w:r>
        <w:rPr>
          <w:lang w:val="zh-CN" w:eastAsia="zh-CN"/>
        </w:rPr>
        <w:t>NO</w:t>
      </w:r>
      <w:r>
        <w:rPr>
          <w:rFonts w:ascii="宋体" w:eastAsia="宋体" w:hAnsi="宋体" w:cs="宋体" w:hint="eastAsia"/>
          <w:lang w:val="zh-CN" w:eastAsia="zh-CN"/>
        </w:rPr>
        <w:t>。后续指标只使用</w:t>
      </w:r>
      <w:r>
        <w:rPr>
          <w:lang w:val="zh-CN" w:eastAsia="zh-CN"/>
        </w:rPr>
        <w:t>ADOPTED</w:t>
      </w:r>
      <w:r>
        <w:rPr>
          <w:rFonts w:ascii="宋体" w:eastAsia="宋体" w:hAnsi="宋体" w:cs="宋体" w:hint="eastAsia"/>
          <w:lang w:val="zh-CN" w:eastAsia="zh-CN"/>
        </w:rPr>
        <w:t>记录，因而将</w:t>
      </w:r>
      <w:r>
        <w:rPr>
          <w:lang w:val="zh-CN" w:eastAsia="zh-CN"/>
        </w:rPr>
        <w:t>“</w:t>
      </w:r>
      <w:r>
        <w:rPr>
          <w:rFonts w:ascii="宋体" w:eastAsia="宋体" w:hAnsi="宋体" w:cs="宋体" w:hint="eastAsia"/>
          <w:lang w:val="zh-CN" w:eastAsia="zh-CN"/>
        </w:rPr>
        <w:t>提及某项规则</w:t>
      </w:r>
      <w:r>
        <w:rPr>
          <w:lang w:val="zh-CN" w:eastAsia="zh-CN"/>
        </w:rPr>
        <w:t>”</w:t>
      </w:r>
      <w:r>
        <w:rPr>
          <w:rFonts w:ascii="宋体" w:eastAsia="宋体" w:hAnsi="宋体" w:cs="宋体" w:hint="eastAsia"/>
          <w:lang w:val="zh-CN" w:eastAsia="zh-CN"/>
        </w:rPr>
        <w:t>与</w:t>
      </w:r>
      <w:r>
        <w:rPr>
          <w:lang w:val="zh-CN" w:eastAsia="zh-CN"/>
        </w:rPr>
        <w:t>“</w:t>
      </w:r>
      <w:r>
        <w:rPr>
          <w:rFonts w:ascii="宋体" w:eastAsia="宋体" w:hAnsi="宋体" w:cs="宋体" w:hint="eastAsia"/>
          <w:lang w:val="zh-CN" w:eastAsia="zh-CN"/>
        </w:rPr>
        <w:t>企业实际接轨</w:t>
      </w:r>
      <w:r>
        <w:rPr>
          <w:lang w:val="zh-CN" w:eastAsia="zh-CN"/>
        </w:rPr>
        <w:t>”</w:t>
      </w:r>
      <w:r>
        <w:rPr>
          <w:rFonts w:ascii="宋体" w:eastAsia="宋体" w:hAnsi="宋体" w:cs="宋体" w:hint="eastAsia"/>
          <w:lang w:val="zh-CN" w:eastAsia="zh-CN"/>
        </w:rPr>
        <w:t>严格区分。</w:t>
      </w:r>
    </w:p>
    <w:p w14:paraId="68822567" w14:textId="4B8F284D" w:rsidR="00FB3AB2" w:rsidRDefault="00000000" w:rsidP="001C1DE8">
      <w:pPr>
        <w:pStyle w:val="BodyTextCN"/>
        <w:ind w:firstLine="420"/>
        <w:rPr>
          <w:lang w:eastAsia="zh-CN"/>
        </w:rPr>
      </w:pPr>
      <w:r>
        <w:rPr>
          <w:lang w:val="zh-CN" w:eastAsia="zh-CN"/>
        </w:rPr>
        <w:t xml:space="preserve">4. </w:t>
      </w:r>
      <w:r>
        <w:rPr>
          <w:rFonts w:ascii="宋体" w:eastAsia="宋体" w:hAnsi="宋体" w:cs="宋体" w:hint="eastAsia"/>
          <w:lang w:val="zh-CN" w:eastAsia="zh-CN"/>
        </w:rPr>
        <w:t>中国标准的历史时点映射</w:t>
      </w:r>
    </w:p>
    <w:p w14:paraId="63E1CB90" w14:textId="77777777" w:rsidR="00FB3AB2" w:rsidRDefault="00000000">
      <w:pPr>
        <w:pStyle w:val="BodyTextCN"/>
        <w:ind w:firstLine="420"/>
        <w:rPr>
          <w:lang w:eastAsia="zh-CN"/>
        </w:rPr>
      </w:pPr>
      <w:r>
        <w:rPr>
          <w:rFonts w:ascii="宋体" w:eastAsia="宋体" w:hAnsi="宋体" w:cs="宋体" w:hint="eastAsia"/>
          <w:lang w:val="zh-CN" w:eastAsia="zh-CN"/>
        </w:rPr>
        <w:t>对</w:t>
      </w:r>
      <w:r>
        <w:rPr>
          <w:lang w:val="zh-CN" w:eastAsia="zh-CN"/>
        </w:rPr>
        <w:t>于</w:t>
      </w:r>
      <w:r>
        <w:rPr>
          <w:lang w:val="zh-CN" w:eastAsia="zh-CN"/>
        </w:rPr>
        <w:t>TYPE_B</w:t>
      </w:r>
      <w:r>
        <w:rPr>
          <w:lang w:val="zh-CN" w:eastAsia="zh-CN"/>
        </w:rPr>
        <w:t>实体，文本中的中国标准号本身不足以证明企业与国际技术规则接轨，必须进一步确认该标准在报告期内是否与某项国际标准存在明确采标关系。为此，本文构建版本化的</w:t>
      </w:r>
      <w:r>
        <w:rPr>
          <w:lang w:val="zh-CN" w:eastAsia="zh-CN"/>
        </w:rPr>
        <w:t>GB—</w:t>
      </w:r>
      <w:r>
        <w:rPr>
          <w:lang w:val="zh-CN" w:eastAsia="zh-CN"/>
        </w:rPr>
        <w:t>国际标准映射库，并对标准号进行</w:t>
      </w:r>
      <w:r>
        <w:rPr>
          <w:lang w:val="zh-CN" w:eastAsia="zh-CN"/>
        </w:rPr>
        <w:t>NFKC</w:t>
      </w:r>
      <w:r>
        <w:rPr>
          <w:lang w:val="zh-CN" w:eastAsia="zh-CN"/>
        </w:rPr>
        <w:t>规范化、大小写统一、连接符与空格清理，将基础编号与版本年份分别识别。映射遵循</w:t>
      </w:r>
      <w:r>
        <w:rPr>
          <w:lang w:val="zh-CN" w:eastAsia="zh-CN"/>
        </w:rPr>
        <w:t>“</w:t>
      </w:r>
      <w:r>
        <w:rPr>
          <w:lang w:val="zh-CN" w:eastAsia="zh-CN"/>
        </w:rPr>
        <w:t>年报年份</w:t>
      </w:r>
      <w:r>
        <w:rPr>
          <w:lang w:val="zh-CN" w:eastAsia="zh-CN"/>
        </w:rPr>
        <w:t>—</w:t>
      </w:r>
      <w:r>
        <w:rPr>
          <w:lang w:val="zh-CN" w:eastAsia="zh-CN"/>
        </w:rPr>
        <w:t>当期适用的中国标准版本</w:t>
      </w:r>
      <w:r>
        <w:rPr>
          <w:lang w:val="zh-CN" w:eastAsia="zh-CN"/>
        </w:rPr>
        <w:t>—</w:t>
      </w:r>
      <w:r>
        <w:rPr>
          <w:lang w:val="zh-CN" w:eastAsia="zh-CN"/>
        </w:rPr>
        <w:t>该版本对应的国际标准</w:t>
      </w:r>
      <w:r>
        <w:rPr>
          <w:lang w:val="zh-CN" w:eastAsia="zh-CN"/>
        </w:rPr>
        <w:t>”</w:t>
      </w:r>
      <w:r>
        <w:rPr>
          <w:lang w:val="zh-CN" w:eastAsia="zh-CN"/>
        </w:rPr>
        <w:t>的时间顺序，而不是使用当前最新版本反向解释历史年报。</w:t>
      </w:r>
    </w:p>
    <w:p w14:paraId="25B474B1" w14:textId="77777777" w:rsidR="001C1DE8" w:rsidRDefault="00000000" w:rsidP="001C1DE8">
      <w:pPr>
        <w:pStyle w:val="BodyTextCN"/>
        <w:ind w:firstLine="420"/>
        <w:rPr>
          <w:rFonts w:ascii="宋体" w:eastAsia="宋体" w:hAnsi="宋体" w:cs="宋体"/>
          <w:lang w:val="zh-CN" w:eastAsia="zh-CN"/>
        </w:rPr>
      </w:pPr>
      <w:r>
        <w:rPr>
          <w:rFonts w:ascii="宋体" w:eastAsia="宋体" w:hAnsi="宋体" w:cs="宋体" w:hint="eastAsia"/>
          <w:lang w:val="zh-CN" w:eastAsia="zh-CN"/>
        </w:rPr>
        <w:t>若年报明确写出标准版本年份，程序仅在相同基础编号下执行版本年份精确匹配；不存在精确版本、标准版本晚于报告年份，或该版本截至报告期末尚未实施时，不回退到其他版本。若年报只</w:t>
      </w:r>
      <w:r>
        <w:rPr>
          <w:rFonts w:ascii="宋体" w:eastAsia="宋体" w:hAnsi="宋体" w:cs="宋体" w:hint="eastAsia"/>
          <w:lang w:val="zh-CN" w:eastAsia="zh-CN"/>
        </w:rPr>
        <w:lastRenderedPageBreak/>
        <w:t>披露基础编号而未写版本年份，程序以报告年份</w:t>
      </w:r>
      <w:r>
        <w:rPr>
          <w:lang w:val="zh-CN" w:eastAsia="zh-CN"/>
        </w:rPr>
        <w:t>12</w:t>
      </w:r>
      <w:r>
        <w:rPr>
          <w:rFonts w:ascii="宋体" w:eastAsia="宋体" w:hAnsi="宋体" w:cs="宋体" w:hint="eastAsia"/>
          <w:lang w:val="zh-CN" w:eastAsia="zh-CN"/>
        </w:rPr>
        <w:t>月</w:t>
      </w:r>
      <w:r>
        <w:rPr>
          <w:lang w:val="zh-CN" w:eastAsia="zh-CN"/>
        </w:rPr>
        <w:t>31</w:t>
      </w:r>
      <w:r>
        <w:rPr>
          <w:rFonts w:ascii="宋体" w:eastAsia="宋体" w:hAnsi="宋体" w:cs="宋体" w:hint="eastAsia"/>
          <w:lang w:val="zh-CN" w:eastAsia="zh-CN"/>
        </w:rPr>
        <w:t>日为截止日，从版本年份不晚于报告年份、已经生效且尚未失效的记录中选择最近版本；仅由旧映射表保留且缺少可靠时间元数据的记录不参与自动推断。只有当</w:t>
      </w:r>
      <w:r>
        <w:rPr>
          <w:lang w:val="zh-CN" w:eastAsia="zh-CN"/>
        </w:rPr>
        <w:t>TYPE_B</w:t>
      </w:r>
      <w:r>
        <w:rPr>
          <w:rFonts w:ascii="宋体" w:eastAsia="宋体" w:hAnsi="宋体" w:cs="宋体" w:hint="eastAsia"/>
          <w:lang w:val="zh-CN" w:eastAsia="zh-CN"/>
        </w:rPr>
        <w:t>实体的采用状态为</w:t>
      </w:r>
      <w:r>
        <w:rPr>
          <w:lang w:val="zh-CN" w:eastAsia="zh-CN"/>
        </w:rPr>
        <w:t>ADOPTED</w:t>
      </w:r>
      <w:r>
        <w:rPr>
          <w:rFonts w:ascii="宋体" w:eastAsia="宋体" w:hAnsi="宋体" w:cs="宋体" w:hint="eastAsia"/>
          <w:lang w:val="zh-CN" w:eastAsia="zh-CN"/>
        </w:rPr>
        <w:t>且映射结果包含非空国际标准时，该记录才计入核心指标。映射表中的等同采用、修改采用或其他采标程度作为描述性标签保留，但基准指标不据此赋予不同权重，因此本文测量的是接轨范围而非接轨程度。</w:t>
      </w:r>
    </w:p>
    <w:p w14:paraId="2B5A1170" w14:textId="3757285E" w:rsidR="00FB3AB2" w:rsidRDefault="00000000" w:rsidP="001C1DE8">
      <w:pPr>
        <w:pStyle w:val="BodyTextCN"/>
        <w:ind w:firstLine="420"/>
        <w:rPr>
          <w:lang w:eastAsia="zh-CN"/>
        </w:rPr>
      </w:pPr>
      <w:r>
        <w:rPr>
          <w:lang w:val="zh-CN" w:eastAsia="zh-CN"/>
        </w:rPr>
        <w:t xml:space="preserve">5. </w:t>
      </w:r>
      <w:r>
        <w:rPr>
          <w:rFonts w:ascii="宋体" w:eastAsia="宋体" w:hAnsi="宋体" w:cs="宋体" w:hint="eastAsia"/>
          <w:lang w:val="zh-CN" w:eastAsia="zh-CN"/>
        </w:rPr>
        <w:t>企业</w:t>
      </w:r>
      <w:r>
        <w:rPr>
          <w:lang w:val="zh-CN" w:eastAsia="zh-CN"/>
        </w:rPr>
        <w:t>—</w:t>
      </w:r>
      <w:r>
        <w:rPr>
          <w:rFonts w:ascii="宋体" w:eastAsia="宋体" w:hAnsi="宋体" w:cs="宋体" w:hint="eastAsia"/>
          <w:lang w:val="zh-CN" w:eastAsia="zh-CN"/>
        </w:rPr>
        <w:t>年度指标构造</w:t>
      </w:r>
    </w:p>
    <w:p w14:paraId="40DA729F" w14:textId="77777777" w:rsidR="001C1DE8" w:rsidRDefault="00000000" w:rsidP="001C1DE8">
      <w:pPr>
        <w:pStyle w:val="BodyTextCN"/>
        <w:ind w:firstLine="420"/>
        <w:rPr>
          <w:rFonts w:ascii="宋体" w:eastAsia="宋体" w:hAnsi="宋体" w:cs="宋体"/>
          <w:lang w:val="zh-CN" w:eastAsia="zh-CN"/>
        </w:rPr>
      </w:pPr>
      <w:r>
        <w:rPr>
          <w:rFonts w:ascii="宋体" w:eastAsia="宋体" w:hAnsi="宋体" w:cs="宋体" w:hint="eastAsia"/>
          <w:lang w:val="zh-CN" w:eastAsia="zh-CN"/>
        </w:rPr>
        <w:t>设</w:t>
      </w:r>
      <w:r>
        <w:rPr>
          <w:lang w:val="zh-CN" w:eastAsia="zh-CN"/>
        </w:rPr>
        <w:t>Eᵢₜ</w:t>
      </w:r>
      <w:r>
        <w:rPr>
          <w:rFonts w:ascii="宋体" w:eastAsia="宋体" w:hAnsi="宋体" w:cs="宋体" w:hint="eastAsia"/>
          <w:lang w:val="zh-CN" w:eastAsia="zh-CN"/>
        </w:rPr>
        <w:t>表示企业</w:t>
      </w:r>
      <w:r>
        <w:rPr>
          <w:lang w:val="zh-CN" w:eastAsia="zh-CN"/>
        </w:rPr>
        <w:t>i</w:t>
      </w:r>
      <w:r>
        <w:rPr>
          <w:rFonts w:ascii="宋体" w:eastAsia="宋体" w:hAnsi="宋体" w:cs="宋体" w:hint="eastAsia"/>
          <w:lang w:val="zh-CN" w:eastAsia="zh-CN"/>
        </w:rPr>
        <w:t>在年份</w:t>
      </w:r>
      <w:r>
        <w:rPr>
          <w:lang w:val="zh-CN" w:eastAsia="zh-CN"/>
        </w:rPr>
        <w:t>t</w:t>
      </w:r>
      <w:r>
        <w:rPr>
          <w:rFonts w:ascii="宋体" w:eastAsia="宋体" w:hAnsi="宋体" w:cs="宋体" w:hint="eastAsia"/>
          <w:lang w:val="zh-CN" w:eastAsia="zh-CN"/>
        </w:rPr>
        <w:t>的全部已识别实体。对任一实体</w:t>
      </w:r>
      <w:r>
        <w:rPr>
          <w:lang w:val="zh-CN" w:eastAsia="zh-CN"/>
        </w:rPr>
        <w:t>e</w:t>
      </w:r>
      <w:r>
        <w:rPr>
          <w:rFonts w:ascii="宋体" w:eastAsia="宋体" w:hAnsi="宋体" w:cs="宋体" w:hint="eastAsia"/>
          <w:lang w:val="zh-CN" w:eastAsia="zh-CN"/>
        </w:rPr>
        <w:t>，定义合格接轨记录指示量</w:t>
      </w:r>
      <w:r>
        <w:rPr>
          <w:lang w:val="zh-CN" w:eastAsia="zh-CN"/>
        </w:rPr>
        <w:t>qᵢₜₑ</w:t>
      </w:r>
      <w:r>
        <w:rPr>
          <w:rFonts w:ascii="宋体" w:eastAsia="宋体" w:hAnsi="宋体" w:cs="宋体" w:hint="eastAsia"/>
          <w:lang w:val="zh-CN" w:eastAsia="zh-CN"/>
        </w:rPr>
        <w:t>：当实体属于</w:t>
      </w:r>
      <w:r>
        <w:rPr>
          <w:lang w:val="zh-CN" w:eastAsia="zh-CN"/>
        </w:rPr>
        <w:t>TYPE_A</w:t>
      </w:r>
      <w:r>
        <w:rPr>
          <w:rFonts w:ascii="宋体" w:eastAsia="宋体" w:hAnsi="宋体" w:cs="宋体" w:hint="eastAsia"/>
          <w:lang w:val="zh-CN" w:eastAsia="zh-CN"/>
        </w:rPr>
        <w:t>或</w:t>
      </w:r>
      <w:r>
        <w:rPr>
          <w:lang w:val="zh-CN" w:eastAsia="zh-CN"/>
        </w:rPr>
        <w:t>TYPE_C</w:t>
      </w:r>
      <w:r>
        <w:rPr>
          <w:rFonts w:ascii="宋体" w:eastAsia="宋体" w:hAnsi="宋体" w:cs="宋体" w:hint="eastAsia"/>
          <w:lang w:val="zh-CN" w:eastAsia="zh-CN"/>
        </w:rPr>
        <w:t>且状态为</w:t>
      </w:r>
      <w:r>
        <w:rPr>
          <w:lang w:val="zh-CN" w:eastAsia="zh-CN"/>
        </w:rPr>
        <w:t>ADOPTED</w:t>
      </w:r>
      <w:r>
        <w:rPr>
          <w:rFonts w:ascii="宋体" w:eastAsia="宋体" w:hAnsi="宋体" w:cs="宋体" w:hint="eastAsia"/>
          <w:lang w:val="zh-CN" w:eastAsia="zh-CN"/>
        </w:rPr>
        <w:t>时，</w:t>
      </w:r>
      <w:r>
        <w:rPr>
          <w:lang w:val="zh-CN" w:eastAsia="zh-CN"/>
        </w:rPr>
        <w:t>qᵢₜₑ=1</w:t>
      </w:r>
      <w:r>
        <w:rPr>
          <w:rFonts w:ascii="宋体" w:eastAsia="宋体" w:hAnsi="宋体" w:cs="宋体" w:hint="eastAsia"/>
          <w:lang w:val="zh-CN" w:eastAsia="zh-CN"/>
        </w:rPr>
        <w:t>；当实体属于</w:t>
      </w:r>
      <w:r>
        <w:rPr>
          <w:lang w:val="zh-CN" w:eastAsia="zh-CN"/>
        </w:rPr>
        <w:t>TYPE_B</w:t>
      </w:r>
      <w:r>
        <w:rPr>
          <w:rFonts w:ascii="宋体" w:eastAsia="宋体" w:hAnsi="宋体" w:cs="宋体" w:hint="eastAsia"/>
          <w:lang w:val="zh-CN" w:eastAsia="zh-CN"/>
        </w:rPr>
        <w:t>、状态为</w:t>
      </w:r>
      <w:r>
        <w:rPr>
          <w:lang w:val="zh-CN" w:eastAsia="zh-CN"/>
        </w:rPr>
        <w:t>ADOPTED</w:t>
      </w:r>
      <w:r>
        <w:rPr>
          <w:rFonts w:ascii="宋体" w:eastAsia="宋体" w:hAnsi="宋体" w:cs="宋体" w:hint="eastAsia"/>
          <w:lang w:val="zh-CN" w:eastAsia="zh-CN"/>
        </w:rPr>
        <w:t>且能够映射到非空国际标准时，</w:t>
      </w:r>
      <w:r>
        <w:rPr>
          <w:lang w:val="zh-CN" w:eastAsia="zh-CN"/>
        </w:rPr>
        <w:t>qᵢₜₑ=1</w:t>
      </w:r>
      <w:r>
        <w:rPr>
          <w:rFonts w:ascii="宋体" w:eastAsia="宋体" w:hAnsi="宋体" w:cs="宋体" w:hint="eastAsia"/>
          <w:lang w:val="zh-CN" w:eastAsia="zh-CN"/>
        </w:rPr>
        <w:t>；其他情形均令</w:t>
      </w:r>
      <w:r>
        <w:rPr>
          <w:lang w:val="zh-CN" w:eastAsia="zh-CN"/>
        </w:rPr>
        <w:t>qᵢₜₑ=0</w:t>
      </w:r>
      <w:r>
        <w:rPr>
          <w:rFonts w:ascii="宋体" w:eastAsia="宋体" w:hAnsi="宋体" w:cs="宋体" w:hint="eastAsia"/>
          <w:lang w:val="zh-CN" w:eastAsia="zh-CN"/>
        </w:rPr>
        <w:t>。由此构造两个企业</w:t>
      </w:r>
      <w:r>
        <w:rPr>
          <w:lang w:val="zh-CN" w:eastAsia="zh-CN"/>
        </w:rPr>
        <w:t>—</w:t>
      </w:r>
      <w:r>
        <w:rPr>
          <w:rFonts w:ascii="宋体" w:eastAsia="宋体" w:hAnsi="宋体" w:cs="宋体" w:hint="eastAsia"/>
          <w:lang w:val="zh-CN" w:eastAsia="zh-CN"/>
        </w:rPr>
        <w:t>年度变量。</w:t>
      </w:r>
    </w:p>
    <w:p w14:paraId="46D04928" w14:textId="77777777" w:rsidR="001C1DE8" w:rsidRDefault="00000000" w:rsidP="001C1DE8">
      <w:pPr>
        <w:pStyle w:val="BodyTextCN"/>
        <w:ind w:firstLine="420"/>
        <w:jc w:val="center"/>
        <w:rPr>
          <w:rFonts w:ascii="Cambria Math" w:eastAsia="宋体" w:hAnsi="Cambria Math"/>
          <w:i/>
          <w:sz w:val="22"/>
          <w:lang w:eastAsia="zh-CN"/>
        </w:rPr>
      </w:pPr>
      <w:r w:rsidRPr="001C1DE8">
        <w:rPr>
          <w:rFonts w:ascii="Cambria Math" w:hAnsi="Cambria Math"/>
          <w:i/>
          <w:sz w:val="22"/>
          <w:lang w:eastAsia="zh-CN"/>
        </w:rPr>
        <w:t>Alignment</w:t>
      </w:r>
      <w:r>
        <w:rPr>
          <w:rFonts w:ascii="Cambria Math" w:hAnsi="Cambria Math"/>
          <w:i/>
          <w:sz w:val="22"/>
          <w:lang w:val="zh-CN" w:eastAsia="zh-CN"/>
        </w:rPr>
        <w:t>ᵢ</w:t>
      </w:r>
      <w:r w:rsidRPr="001C1DE8">
        <w:rPr>
          <w:rFonts w:ascii="Cambria Math" w:hAnsi="Cambria Math"/>
          <w:i/>
          <w:sz w:val="22"/>
          <w:lang w:eastAsia="zh-CN"/>
        </w:rPr>
        <w:t xml:space="preserve">ₜ = </w:t>
      </w:r>
      <w:r>
        <w:rPr>
          <w:rFonts w:ascii="Cambria Math" w:hAnsi="Cambria Math"/>
          <w:i/>
          <w:sz w:val="22"/>
          <w:lang w:val="zh-CN" w:eastAsia="zh-CN"/>
        </w:rPr>
        <w:t>𝟙</w:t>
      </w:r>
      <w:r w:rsidRPr="001C1DE8">
        <w:rPr>
          <w:rFonts w:ascii="Cambria Math" w:hAnsi="Cambria Math"/>
          <w:i/>
          <w:sz w:val="22"/>
          <w:lang w:eastAsia="zh-CN"/>
        </w:rPr>
        <w:t>(Breadth</w:t>
      </w:r>
      <w:r>
        <w:rPr>
          <w:rFonts w:ascii="Cambria Math" w:hAnsi="Cambria Math"/>
          <w:i/>
          <w:sz w:val="22"/>
          <w:lang w:val="zh-CN" w:eastAsia="zh-CN"/>
        </w:rPr>
        <w:t>ᵢ</w:t>
      </w:r>
      <w:r w:rsidRPr="001C1DE8">
        <w:rPr>
          <w:rFonts w:ascii="Cambria Math" w:hAnsi="Cambria Math"/>
          <w:i/>
          <w:sz w:val="22"/>
          <w:lang w:eastAsia="zh-CN"/>
        </w:rPr>
        <w:t>ₜ &gt; 0)</w:t>
      </w:r>
    </w:p>
    <w:p w14:paraId="49403B7E" w14:textId="26EF5659" w:rsidR="00FB3AB2" w:rsidRDefault="00000000" w:rsidP="001C1DE8">
      <w:pPr>
        <w:pStyle w:val="BodyTextCN"/>
        <w:ind w:firstLine="420"/>
        <w:jc w:val="center"/>
        <w:rPr>
          <w:lang w:eastAsia="zh-CN"/>
        </w:rPr>
      </w:pPr>
      <w:r>
        <w:rPr>
          <w:rFonts w:ascii="Cambria Math" w:hAnsi="Cambria Math"/>
          <w:i/>
          <w:sz w:val="22"/>
          <w:lang w:val="zh-CN" w:eastAsia="zh-CN"/>
        </w:rPr>
        <w:t>Breadthᵢₜ = Σₑ∈Eᵢₜ qᵢₜₑ</w:t>
      </w:r>
    </w:p>
    <w:p w14:paraId="0F52FE4C" w14:textId="77777777" w:rsidR="001C1DE8" w:rsidRDefault="00000000" w:rsidP="001C1DE8">
      <w:pPr>
        <w:pStyle w:val="BodyTextCN"/>
        <w:ind w:firstLine="420"/>
        <w:rPr>
          <w:rFonts w:ascii="宋体" w:eastAsia="宋体" w:hAnsi="宋体" w:cs="宋体"/>
          <w:lang w:val="zh-CN" w:eastAsia="zh-CN"/>
        </w:rPr>
      </w:pPr>
      <w:r w:rsidRPr="00852351">
        <w:rPr>
          <w:lang w:eastAsia="zh-CN"/>
        </w:rPr>
        <w:t>Alignment</w:t>
      </w:r>
      <w:r>
        <w:rPr>
          <w:lang w:val="zh-CN" w:eastAsia="zh-CN"/>
        </w:rPr>
        <w:t>ᵢ</w:t>
      </w:r>
      <w:r w:rsidRPr="00852351">
        <w:rPr>
          <w:lang w:eastAsia="zh-CN"/>
        </w:rPr>
        <w:t>ₜ</w:t>
      </w:r>
      <w:r>
        <w:rPr>
          <w:rFonts w:ascii="宋体" w:eastAsia="宋体" w:hAnsi="宋体" w:cs="宋体" w:hint="eastAsia"/>
          <w:lang w:val="zh-CN" w:eastAsia="zh-CN"/>
        </w:rPr>
        <w:t>为接轨虚拟变量</w:t>
      </w:r>
      <w:r w:rsidRPr="00852351">
        <w:rPr>
          <w:rFonts w:ascii="宋体" w:eastAsia="宋体" w:hAnsi="宋体" w:cs="宋体" w:hint="eastAsia"/>
          <w:lang w:eastAsia="zh-CN"/>
        </w:rPr>
        <w:t>：</w:t>
      </w:r>
      <w:r>
        <w:rPr>
          <w:rFonts w:ascii="宋体" w:eastAsia="宋体" w:hAnsi="宋体" w:cs="宋体" w:hint="eastAsia"/>
          <w:lang w:val="zh-CN" w:eastAsia="zh-CN"/>
        </w:rPr>
        <w:t>只要企业在该年度存在至少一条合格记录即取</w:t>
      </w:r>
      <w:r w:rsidRPr="00852351">
        <w:rPr>
          <w:lang w:eastAsia="zh-CN"/>
        </w:rPr>
        <w:t>1</w:t>
      </w:r>
      <w:r w:rsidRPr="00852351">
        <w:rPr>
          <w:rFonts w:ascii="宋体" w:eastAsia="宋体" w:hAnsi="宋体" w:cs="宋体" w:hint="eastAsia"/>
          <w:lang w:eastAsia="zh-CN"/>
        </w:rPr>
        <w:t>，</w:t>
      </w:r>
      <w:r>
        <w:rPr>
          <w:rFonts w:ascii="宋体" w:eastAsia="宋体" w:hAnsi="宋体" w:cs="宋体" w:hint="eastAsia"/>
          <w:lang w:val="zh-CN" w:eastAsia="zh-CN"/>
        </w:rPr>
        <w:t>否则取</w:t>
      </w:r>
      <w:r w:rsidRPr="00852351">
        <w:rPr>
          <w:lang w:eastAsia="zh-CN"/>
        </w:rPr>
        <w:t>0</w:t>
      </w:r>
      <w:r w:rsidRPr="00852351">
        <w:rPr>
          <w:rFonts w:ascii="宋体" w:eastAsia="宋体" w:hAnsi="宋体" w:cs="宋体" w:hint="eastAsia"/>
          <w:lang w:eastAsia="zh-CN"/>
        </w:rPr>
        <w:t>，</w:t>
      </w:r>
      <w:r>
        <w:rPr>
          <w:rFonts w:ascii="宋体" w:eastAsia="宋体" w:hAnsi="宋体" w:cs="宋体" w:hint="eastAsia"/>
          <w:lang w:val="zh-CN" w:eastAsia="zh-CN"/>
        </w:rPr>
        <w:t>对应代码中的历史字段</w:t>
      </w:r>
      <w:r w:rsidRPr="00852351">
        <w:rPr>
          <w:lang w:eastAsia="zh-CN"/>
        </w:rPr>
        <w:t>InternationalStandardDummy</w:t>
      </w:r>
      <w:r>
        <w:rPr>
          <w:rFonts w:ascii="宋体" w:eastAsia="宋体" w:hAnsi="宋体" w:cs="宋体" w:hint="eastAsia"/>
          <w:lang w:val="zh-CN" w:eastAsia="zh-CN"/>
        </w:rPr>
        <w:t>。</w:t>
      </w:r>
      <w:r>
        <w:rPr>
          <w:lang w:val="zh-CN" w:eastAsia="zh-CN"/>
        </w:rPr>
        <w:t>Breadthᵢₜ</w:t>
      </w:r>
      <w:r>
        <w:rPr>
          <w:rFonts w:ascii="宋体" w:eastAsia="宋体" w:hAnsi="宋体" w:cs="宋体" w:hint="eastAsia"/>
          <w:lang w:val="zh-CN" w:eastAsia="zh-CN"/>
        </w:rPr>
        <w:t>为接轨广度：计算企业</w:t>
      </w:r>
      <w:r>
        <w:rPr>
          <w:lang w:val="zh-CN" w:eastAsia="zh-CN"/>
        </w:rPr>
        <w:t>—</w:t>
      </w:r>
      <w:r>
        <w:rPr>
          <w:rFonts w:ascii="宋体" w:eastAsia="宋体" w:hAnsi="宋体" w:cs="宋体" w:hint="eastAsia"/>
          <w:lang w:val="zh-CN" w:eastAsia="zh-CN"/>
        </w:rPr>
        <w:t>年度内合格实体名称去重后的数量，对应代码字段</w:t>
      </w:r>
      <w:r>
        <w:rPr>
          <w:lang w:val="zh-CN" w:eastAsia="zh-CN"/>
        </w:rPr>
        <w:t>AdoptedEntityCount</w:t>
      </w:r>
      <w:r>
        <w:rPr>
          <w:rFonts w:ascii="宋体" w:eastAsia="宋体" w:hAnsi="宋体" w:cs="宋体" w:hint="eastAsia"/>
          <w:lang w:val="zh-CN" w:eastAsia="zh-CN"/>
        </w:rPr>
        <w:t>。前者刻画企业是否发生接轨的广延边际，后者刻画年报中可观察到的接轨实体范围。聚合时以所有成功构建文本单元的公司</w:t>
      </w:r>
      <w:r>
        <w:rPr>
          <w:lang w:val="zh-CN" w:eastAsia="zh-CN"/>
        </w:rPr>
        <w:t>—</w:t>
      </w:r>
      <w:r>
        <w:rPr>
          <w:rFonts w:ascii="宋体" w:eastAsia="宋体" w:hAnsi="宋体" w:cs="宋体" w:hint="eastAsia"/>
          <w:lang w:val="zh-CN" w:eastAsia="zh-CN"/>
        </w:rPr>
        <w:t>年份组合作为样本总体；未识别到合格记录的观测仍保留，并赋值为</w:t>
      </w:r>
      <w:r>
        <w:rPr>
          <w:lang w:val="zh-CN" w:eastAsia="zh-CN"/>
        </w:rPr>
        <w:t>0</w:t>
      </w:r>
      <w:r>
        <w:rPr>
          <w:rFonts w:ascii="宋体" w:eastAsia="宋体" w:hAnsi="宋体" w:cs="宋体" w:hint="eastAsia"/>
          <w:lang w:val="zh-CN" w:eastAsia="zh-CN"/>
        </w:rPr>
        <w:t>，从而避免只在正向样本上形成选择性样本。</w:t>
      </w:r>
    </w:p>
    <w:p w14:paraId="2213DC0F" w14:textId="13C53370" w:rsidR="00FB3AB2" w:rsidRDefault="00000000" w:rsidP="001C1DE8">
      <w:pPr>
        <w:pStyle w:val="BodyTextCN"/>
        <w:ind w:firstLine="420"/>
        <w:rPr>
          <w:lang w:eastAsia="zh-CN"/>
        </w:rPr>
      </w:pPr>
      <w:r>
        <w:rPr>
          <w:lang w:val="zh-CN" w:eastAsia="zh-CN"/>
        </w:rPr>
        <w:t xml:space="preserve">6. </w:t>
      </w:r>
      <w:r>
        <w:rPr>
          <w:rFonts w:ascii="宋体" w:eastAsia="宋体" w:hAnsi="宋体" w:cs="宋体" w:hint="eastAsia"/>
          <w:lang w:val="zh-CN" w:eastAsia="zh-CN"/>
        </w:rPr>
        <w:t>稳健性设计与可复现性</w:t>
      </w:r>
    </w:p>
    <w:p w14:paraId="6EEDF33A" w14:textId="77777777" w:rsidR="00FB3AB2" w:rsidRDefault="00000000">
      <w:pPr>
        <w:pStyle w:val="BodyTextCN"/>
        <w:ind w:firstLine="420"/>
        <w:rPr>
          <w:lang w:eastAsia="zh-CN"/>
        </w:rPr>
      </w:pPr>
      <w:r>
        <w:rPr>
          <w:rFonts w:ascii="宋体" w:eastAsia="宋体" w:hAnsi="宋体" w:cs="宋体" w:hint="eastAsia"/>
          <w:lang w:val="zh-CN" w:eastAsia="zh-CN"/>
        </w:rPr>
        <w:t>为</w:t>
      </w:r>
      <w:r>
        <w:rPr>
          <w:lang w:val="zh-CN" w:eastAsia="zh-CN"/>
        </w:rPr>
        <w:t>识别最终指标对候选形成机制的敏感性，本文在基准口径之外设置三种替代测度。第一，关键词口径仅将命中领域词汇的文本单元送入第二阶段，用于检验结果是否主要由显式术语驱动。第二，大模型初筛口径对全部文本单元执行第一阶段语义筛选，并将</w:t>
      </w:r>
      <w:r>
        <w:rPr>
          <w:lang w:val="zh-CN" w:eastAsia="zh-CN"/>
        </w:rPr>
        <w:t>related</w:t>
      </w:r>
      <w:r>
        <w:rPr>
          <w:lang w:val="zh-CN" w:eastAsia="zh-CN"/>
        </w:rPr>
        <w:t>与</w:t>
      </w:r>
      <w:r>
        <w:rPr>
          <w:lang w:val="zh-CN" w:eastAsia="zh-CN"/>
        </w:rPr>
        <w:t>uncertain</w:t>
      </w:r>
      <w:r>
        <w:rPr>
          <w:lang w:val="zh-CN" w:eastAsia="zh-CN"/>
        </w:rPr>
        <w:t>文本送入第二阶段，用于排除关键词通道的影响。第三，全量识别口径取消前置筛选，将目标章节内的全部文本单元直接送入第二阶段，用于评估候选路由可能造成的漏检。四种口径共享完全相同的实体分类、状态判断、</w:t>
      </w:r>
      <w:r>
        <w:rPr>
          <w:lang w:val="zh-CN" w:eastAsia="zh-CN"/>
        </w:rPr>
        <w:t>GB</w:t>
      </w:r>
      <w:r>
        <w:rPr>
          <w:lang w:val="zh-CN" w:eastAsia="zh-CN"/>
        </w:rPr>
        <w:t>历史映射和企业</w:t>
      </w:r>
      <w:r>
        <w:rPr>
          <w:lang w:val="zh-CN" w:eastAsia="zh-CN"/>
        </w:rPr>
        <w:t>—</w:t>
      </w:r>
      <w:r>
        <w:rPr>
          <w:lang w:val="zh-CN" w:eastAsia="zh-CN"/>
        </w:rPr>
        <w:t>年度聚合规则，因此跨方法差异被限定在候选文本形成环节。</w:t>
      </w:r>
    </w:p>
    <w:p w14:paraId="3A82BE3E" w14:textId="77777777" w:rsidR="001C1DE8" w:rsidRDefault="00000000" w:rsidP="001C1DE8">
      <w:pPr>
        <w:pStyle w:val="BodyTextCN"/>
        <w:ind w:firstLine="420"/>
        <w:rPr>
          <w:rFonts w:ascii="宋体" w:eastAsia="宋体" w:hAnsi="宋体" w:cs="宋体"/>
          <w:lang w:val="zh-CN" w:eastAsia="zh-CN"/>
        </w:rPr>
      </w:pPr>
      <w:r>
        <w:rPr>
          <w:rFonts w:ascii="宋体" w:eastAsia="宋体" w:hAnsi="宋体" w:cs="宋体" w:hint="eastAsia"/>
          <w:lang w:val="zh-CN" w:eastAsia="zh-CN"/>
        </w:rPr>
        <w:t>项目对关键词表、提示词、模型与推理参数、</w:t>
      </w:r>
      <w:r>
        <w:rPr>
          <w:lang w:val="zh-CN" w:eastAsia="zh-CN"/>
        </w:rPr>
        <w:t>GB</w:t>
      </w:r>
      <w:r>
        <w:rPr>
          <w:rFonts w:ascii="宋体" w:eastAsia="宋体" w:hAnsi="宋体" w:cs="宋体" w:hint="eastAsia"/>
          <w:lang w:val="zh-CN" w:eastAsia="zh-CN"/>
        </w:rPr>
        <w:t>映射库和程序版本分别留存，并为每次运行记录输入文件、各阶段样本量、失败队列和最终指标分布。模型调用失败的文本单元不会被自动写成</w:t>
      </w:r>
      <w:r>
        <w:rPr>
          <w:lang w:val="zh-CN" w:eastAsia="zh-CN"/>
        </w:rPr>
        <w:t>NO</w:t>
      </w:r>
      <w:r>
        <w:rPr>
          <w:rFonts w:ascii="宋体" w:eastAsia="宋体" w:hAnsi="宋体" w:cs="宋体" w:hint="eastAsia"/>
          <w:lang w:val="zh-CN" w:eastAsia="zh-CN"/>
        </w:rPr>
        <w:t>，而是进入失败队列并在恢复运行时重新处理。这一设计避免将技术性失败误计为企业不存在接轨行为。需要强调的是，零温度、跨口径一致性和完整运行日志提高的是程序稳定性与可复现性，并不能替代对测量准确性的外部验证。</w:t>
      </w:r>
    </w:p>
    <w:p w14:paraId="3C8AA667" w14:textId="55CD27F5" w:rsidR="00FB3AB2" w:rsidRDefault="00000000" w:rsidP="001C1DE8">
      <w:pPr>
        <w:pStyle w:val="BodyTextCN"/>
        <w:ind w:firstLine="420"/>
        <w:rPr>
          <w:lang w:eastAsia="zh-CN"/>
        </w:rPr>
      </w:pPr>
      <w:r>
        <w:rPr>
          <w:lang w:val="zh-CN" w:eastAsia="zh-CN"/>
        </w:rPr>
        <w:t xml:space="preserve">7. </w:t>
      </w:r>
      <w:r>
        <w:rPr>
          <w:rFonts w:ascii="宋体" w:eastAsia="宋体" w:hAnsi="宋体" w:cs="宋体" w:hint="eastAsia"/>
          <w:lang w:val="zh-CN" w:eastAsia="zh-CN"/>
        </w:rPr>
        <w:t>测量解释与边界</w:t>
      </w:r>
    </w:p>
    <w:p w14:paraId="2E1E850D" w14:textId="77777777" w:rsidR="00FB3AB2" w:rsidRDefault="00000000">
      <w:pPr>
        <w:pStyle w:val="BodyTextCN"/>
        <w:ind w:firstLine="420"/>
        <w:rPr>
          <w:lang w:eastAsia="zh-CN"/>
        </w:rPr>
      </w:pPr>
      <w:r>
        <w:rPr>
          <w:rFonts w:ascii="宋体" w:eastAsia="宋体" w:hAnsi="宋体" w:cs="宋体" w:hint="eastAsia"/>
          <w:lang w:val="zh-CN" w:eastAsia="zh-CN"/>
        </w:rPr>
        <w:t>本</w:t>
      </w:r>
      <w:r>
        <w:rPr>
          <w:lang w:val="zh-CN" w:eastAsia="zh-CN"/>
        </w:rPr>
        <w:t>文指标衡量的是企业年报中可观察到的国际技术规则接轨证据，而非企业全部真实接轨活动。企业可能已经采用某项标准或完成境外认证但未在年报中披露，因此零值应解释为</w:t>
      </w:r>
      <w:r>
        <w:rPr>
          <w:lang w:val="zh-CN" w:eastAsia="zh-CN"/>
        </w:rPr>
        <w:t>“</w:t>
      </w:r>
      <w:r>
        <w:rPr>
          <w:lang w:val="zh-CN" w:eastAsia="zh-CN"/>
        </w:rPr>
        <w:t>未观察到合格披露证据</w:t>
      </w:r>
      <w:r>
        <w:rPr>
          <w:lang w:val="zh-CN" w:eastAsia="zh-CN"/>
        </w:rPr>
        <w:t>”</w:t>
      </w:r>
      <w:r>
        <w:rPr>
          <w:lang w:val="zh-CN" w:eastAsia="zh-CN"/>
        </w:rPr>
        <w:t>，不能机械等同于企业现实中从未接轨。反之，本文通过主体归属、明确实体和完成状态三重条件，尽量避免将一般制度介绍、外部主体行为或未来计划误判为企业当期接轨。</w:t>
      </w:r>
    </w:p>
    <w:p w14:paraId="63E31013" w14:textId="77777777" w:rsidR="00FB3AB2" w:rsidRDefault="00000000">
      <w:pPr>
        <w:pStyle w:val="BodyTextCN"/>
        <w:ind w:firstLine="420"/>
        <w:rPr>
          <w:lang w:eastAsia="zh-CN"/>
        </w:rPr>
      </w:pPr>
      <w:r>
        <w:rPr>
          <w:lang w:val="zh-CN" w:eastAsia="zh-CN"/>
        </w:rPr>
        <w:lastRenderedPageBreak/>
        <w:t>此外，基准映射对年报明确写出的</w:t>
      </w:r>
      <w:r>
        <w:rPr>
          <w:lang w:val="zh-CN" w:eastAsia="zh-CN"/>
        </w:rPr>
        <w:t>GB</w:t>
      </w:r>
      <w:r>
        <w:rPr>
          <w:lang w:val="zh-CN" w:eastAsia="zh-CN"/>
        </w:rPr>
        <w:t>版本优先执行精确匹配，并检查版本是否晚于报告年份以及是否尚未实施，但当前程序不因该显式版本在报告期末已经失效而自动删除；因此，少量观测可能反映企业继续执行历史版本的披露，而非当期有效标准的严格遵循。采标程度标签也未作为指标取</w:t>
      </w:r>
      <w:r>
        <w:rPr>
          <w:lang w:val="zh-CN" w:eastAsia="zh-CN"/>
        </w:rPr>
        <w:t>1</w:t>
      </w:r>
      <w:r>
        <w:rPr>
          <w:lang w:val="zh-CN" w:eastAsia="zh-CN"/>
        </w:rPr>
        <w:t>的附加门槛。基于这些规则，</w:t>
      </w:r>
      <w:r>
        <w:rPr>
          <w:lang w:val="zh-CN" w:eastAsia="zh-CN"/>
        </w:rPr>
        <w:t>Alignmentᵢₜ</w:t>
      </w:r>
      <w:r>
        <w:rPr>
          <w:lang w:val="zh-CN" w:eastAsia="zh-CN"/>
        </w:rPr>
        <w:t>和</w:t>
      </w:r>
      <w:r>
        <w:rPr>
          <w:lang w:val="zh-CN" w:eastAsia="zh-CN"/>
        </w:rPr>
        <w:t>Breadthᵢₜ</w:t>
      </w:r>
      <w:r>
        <w:rPr>
          <w:lang w:val="zh-CN" w:eastAsia="zh-CN"/>
        </w:rPr>
        <w:t>应解释为企业披露的国际技术规则接轨范围，而不是标准先进性、合规质量或接轨强度的直接度量。</w:t>
      </w:r>
    </w:p>
    <w:p w14:paraId="7A0DAD4E" w14:textId="77777777" w:rsidR="001C1DE8" w:rsidRDefault="00000000" w:rsidP="001C1DE8">
      <w:pPr>
        <w:pStyle w:val="BodyTextCN"/>
        <w:ind w:firstLine="420"/>
        <w:rPr>
          <w:rFonts w:ascii="宋体" w:eastAsia="宋体" w:hAnsi="宋体" w:cs="宋体"/>
          <w:lang w:val="zh-CN" w:eastAsia="zh-CN"/>
        </w:rPr>
      </w:pPr>
      <w:r>
        <w:rPr>
          <w:rFonts w:ascii="宋体" w:eastAsia="宋体" w:hAnsi="宋体" w:cs="宋体" w:hint="eastAsia"/>
          <w:lang w:val="zh-CN" w:eastAsia="zh-CN"/>
        </w:rPr>
        <w:t>最后</w:t>
      </w:r>
      <w:r w:rsidRPr="00852351">
        <w:rPr>
          <w:rFonts w:ascii="宋体" w:eastAsia="宋体" w:hAnsi="宋体" w:cs="宋体" w:hint="eastAsia"/>
          <w:lang w:eastAsia="zh-CN"/>
        </w:rPr>
        <w:t>，</w:t>
      </w:r>
      <w:r>
        <w:rPr>
          <w:rFonts w:ascii="宋体" w:eastAsia="宋体" w:hAnsi="宋体" w:cs="宋体" w:hint="eastAsia"/>
          <w:lang w:val="zh-CN" w:eastAsia="zh-CN"/>
        </w:rPr>
        <w:t>自动化文本方法本质上是对语言的有误差测量</w:t>
      </w:r>
      <w:r w:rsidRPr="00852351">
        <w:rPr>
          <w:rFonts w:ascii="宋体" w:eastAsia="宋体" w:hAnsi="宋体" w:cs="宋体" w:hint="eastAsia"/>
          <w:lang w:eastAsia="zh-CN"/>
        </w:rPr>
        <w:t>，</w:t>
      </w:r>
      <w:r>
        <w:rPr>
          <w:rFonts w:ascii="宋体" w:eastAsia="宋体" w:hAnsi="宋体" w:cs="宋体" w:hint="eastAsia"/>
          <w:lang w:val="zh-CN" w:eastAsia="zh-CN"/>
        </w:rPr>
        <w:t>模型输出不能以其自身置信度作为效度证明</w:t>
      </w:r>
      <w:r w:rsidRPr="00852351">
        <w:rPr>
          <w:rFonts w:ascii="宋体" w:eastAsia="宋体" w:hAnsi="宋体" w:cs="宋体" w:hint="eastAsia"/>
          <w:lang w:eastAsia="zh-CN"/>
        </w:rPr>
        <w:t>（</w:t>
      </w:r>
      <w:r w:rsidRPr="00852351">
        <w:rPr>
          <w:lang w:eastAsia="zh-CN"/>
        </w:rPr>
        <w:t>Grimmer and Stewart, 2013</w:t>
      </w:r>
      <w:r w:rsidRPr="00852351">
        <w:rPr>
          <w:rFonts w:ascii="宋体" w:eastAsia="宋体" w:hAnsi="宋体" w:cs="宋体" w:hint="eastAsia"/>
          <w:lang w:eastAsia="zh-CN"/>
        </w:rPr>
        <w:t>）</w:t>
      </w:r>
      <w:r>
        <w:rPr>
          <w:rFonts w:ascii="宋体" w:eastAsia="宋体" w:hAnsi="宋体" w:cs="宋体" w:hint="eastAsia"/>
          <w:lang w:val="zh-CN" w:eastAsia="zh-CN"/>
        </w:rPr>
        <w:t>。大语言模型能够显著提高复杂文本标注的规模与一致性，但高质量人工标签仍是评估分类准确率和系统性偏差的必要基准（</w:t>
      </w:r>
      <w:r>
        <w:rPr>
          <w:lang w:val="zh-CN" w:eastAsia="zh-CN"/>
        </w:rPr>
        <w:t>Gilardi, Alizadeh, and Kubli, 2023</w:t>
      </w:r>
      <w:r>
        <w:rPr>
          <w:rFonts w:ascii="宋体" w:eastAsia="宋体" w:hAnsi="宋体" w:cs="宋体" w:hint="eastAsia"/>
          <w:lang w:val="zh-CN" w:eastAsia="zh-CN"/>
        </w:rPr>
        <w:t>）。当前流程尚未完成独立人工标注金标准，因此本文不宣称实体识别或企业</w:t>
      </w:r>
      <w:r>
        <w:rPr>
          <w:lang w:val="zh-CN" w:eastAsia="zh-CN"/>
        </w:rPr>
        <w:t>—</w:t>
      </w:r>
      <w:r>
        <w:rPr>
          <w:rFonts w:ascii="宋体" w:eastAsia="宋体" w:hAnsi="宋体" w:cs="宋体" w:hint="eastAsia"/>
          <w:lang w:val="zh-CN" w:eastAsia="zh-CN"/>
        </w:rPr>
        <w:t>年度指标已经达到特定准确率；在形成正式测量效度结论前，应在冻结代码与提示词后，对分层抽取的文本单元和企业</w:t>
      </w:r>
      <w:r>
        <w:rPr>
          <w:lang w:val="zh-CN" w:eastAsia="zh-CN"/>
        </w:rPr>
        <w:t>—</w:t>
      </w:r>
      <w:r>
        <w:rPr>
          <w:rFonts w:ascii="宋体" w:eastAsia="宋体" w:hAnsi="宋体" w:cs="宋体" w:hint="eastAsia"/>
          <w:lang w:val="zh-CN" w:eastAsia="zh-CN"/>
        </w:rPr>
        <w:t>年度观测开展双人独立标注，并报告精确率、召回率、</w:t>
      </w:r>
      <w:r>
        <w:rPr>
          <w:lang w:val="zh-CN" w:eastAsia="zh-CN"/>
        </w:rPr>
        <w:t>F1</w:t>
      </w:r>
      <w:r>
        <w:rPr>
          <w:rFonts w:ascii="宋体" w:eastAsia="宋体" w:hAnsi="宋体" w:cs="宋体" w:hint="eastAsia"/>
          <w:lang w:val="zh-CN" w:eastAsia="zh-CN"/>
        </w:rPr>
        <w:t>值、编码员一致性以及误差在行业、年份和接轨路径之间的分布。</w:t>
      </w:r>
    </w:p>
    <w:p w14:paraId="44E79E9E" w14:textId="721DBDF7" w:rsidR="00FB3AB2" w:rsidRDefault="00000000" w:rsidP="001C1DE8">
      <w:pPr>
        <w:pStyle w:val="BodyTextCN"/>
        <w:rPr>
          <w:lang w:eastAsia="zh-CN"/>
        </w:rPr>
      </w:pPr>
      <w:r>
        <w:rPr>
          <w:rFonts w:ascii="宋体" w:eastAsia="宋体" w:hAnsi="宋体" w:cs="宋体" w:hint="eastAsia"/>
          <w:lang w:val="zh-CN" w:eastAsia="zh-CN"/>
        </w:rPr>
        <w:t>参考文献</w:t>
      </w:r>
      <w:r w:rsidRPr="00852351">
        <w:rPr>
          <w:rFonts w:ascii="宋体" w:eastAsia="宋体" w:hAnsi="宋体" w:cs="宋体" w:hint="eastAsia"/>
          <w:lang w:eastAsia="zh-CN"/>
        </w:rPr>
        <w:t>（</w:t>
      </w:r>
      <w:r>
        <w:rPr>
          <w:rFonts w:ascii="宋体" w:eastAsia="宋体" w:hAnsi="宋体" w:cs="宋体" w:hint="eastAsia"/>
          <w:lang w:val="zh-CN" w:eastAsia="zh-CN"/>
        </w:rPr>
        <w:t>本节涉及</w:t>
      </w:r>
      <w:r w:rsidRPr="00852351">
        <w:rPr>
          <w:rFonts w:ascii="宋体" w:eastAsia="宋体" w:hAnsi="宋体" w:cs="宋体" w:hint="eastAsia"/>
          <w:lang w:eastAsia="zh-CN"/>
        </w:rPr>
        <w:t>）</w:t>
      </w:r>
    </w:p>
    <w:p w14:paraId="04BCEAEB" w14:textId="77777777" w:rsidR="00FB3AB2" w:rsidRDefault="00000000">
      <w:pPr>
        <w:pStyle w:val="ReferenceCN"/>
      </w:pPr>
      <w:r w:rsidRPr="00852351">
        <w:rPr>
          <w:lang w:eastAsia="zh-CN"/>
        </w:rPr>
        <w:t>Diamantopoulos, A., and H. M. Winklhofer. 2001. “Index Construction with Formative Indicators: An Alternative to Scale Development.” Journal of Marketing Research 38(2): 269–277.</w:t>
      </w:r>
    </w:p>
    <w:p w14:paraId="5E8CF2D7" w14:textId="77777777" w:rsidR="00FB3AB2" w:rsidRDefault="00000000">
      <w:pPr>
        <w:pStyle w:val="ReferenceCN"/>
      </w:pPr>
      <w:r w:rsidRPr="00852351">
        <w:rPr>
          <w:lang w:eastAsia="zh-CN"/>
        </w:rPr>
        <w:t>Gentzkow, M., B. Kelly, and M. Taddy. 2019. “Text as Data.” Journal of Economic Literature 57(3): 535–574.</w:t>
      </w:r>
    </w:p>
    <w:p w14:paraId="604D0828" w14:textId="77777777" w:rsidR="00FB3AB2" w:rsidRDefault="00000000">
      <w:pPr>
        <w:pStyle w:val="ReferenceCN"/>
      </w:pPr>
      <w:r w:rsidRPr="00852351">
        <w:rPr>
          <w:lang w:eastAsia="zh-CN"/>
        </w:rPr>
        <w:t>Gilardi, F., M. Alizadeh, and M. Kubli. 2023. “ChatGPT Outperforms Crowd Workers for Text-Annotation Tasks.” Proceedings of the National Academy of Sciences 120(30): e2305016120.</w:t>
      </w:r>
    </w:p>
    <w:p w14:paraId="063ECF82" w14:textId="77777777" w:rsidR="00FB3AB2" w:rsidRDefault="00000000">
      <w:pPr>
        <w:pStyle w:val="ReferenceCN"/>
      </w:pPr>
      <w:r w:rsidRPr="00852351">
        <w:rPr>
          <w:lang w:eastAsia="zh-CN"/>
        </w:rPr>
        <w:t>Grimmer, J., and B. M. Stewart. 2013. “Text as Data: The Promise and Pitfalls of Automatic Content Analysis Methods for Political Texts.” Political Analysis 21(3): 267–297.</w:t>
      </w:r>
    </w:p>
    <w:p w14:paraId="32AB7410" w14:textId="77777777" w:rsidR="00FB3AB2" w:rsidRDefault="00000000">
      <w:pPr>
        <w:pStyle w:val="ReferenceCN"/>
      </w:pPr>
      <w:r w:rsidRPr="00852351">
        <w:rPr>
          <w:lang w:eastAsia="zh-CN"/>
        </w:rPr>
        <w:t>Jarvis, C. B., S. B. MacKenzie, and P. M. Podsakoff. 2003. “A Critical Review of Construct Indicators and Measurement Model Misspecification in Marketing and Consumer Research.” Journal of Consumer Research 30(2): 199–218.</w:t>
      </w:r>
    </w:p>
    <w:p w14:paraId="76904860" w14:textId="77777777" w:rsidR="00FB3AB2" w:rsidRDefault="00000000">
      <w:pPr>
        <w:pStyle w:val="ReferenceCN"/>
      </w:pPr>
      <w:r w:rsidRPr="00852351">
        <w:rPr>
          <w:lang w:eastAsia="zh-CN"/>
        </w:rPr>
        <w:t>Loughran, T., and B. McDonald. 2011. “When Is a Liability Not a Liability? Textual Analysis, Dictionaries, and 10-Ks.” Journal of Finance 66(1): 35–65.</w:t>
      </w:r>
    </w:p>
    <w:p w14:paraId="18357E6B" w14:textId="77777777" w:rsidR="00FB3AB2" w:rsidRDefault="00000000">
      <w:pPr>
        <w:pStyle w:val="ReferenceCN"/>
      </w:pPr>
      <w:r w:rsidRPr="00852351">
        <w:rPr>
          <w:lang w:eastAsia="zh-CN"/>
        </w:rPr>
        <w:t>World Trade Organization. 1994. Agreement on Technical Barriers to Trade, Annex 1: Terms and Their Definitions for the Purpose of This Agreement.</w:t>
      </w:r>
    </w:p>
    <w:sectPr w:rsidR="00FB3AB2" w:rsidSect="00034616">
      <w:footerReference w:type="default" r:id="rId8"/>
      <w:pgSz w:w="11906" w:h="16838"/>
      <w:pgMar w:top="1361" w:right="1361" w:bottom="1304" w:left="147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22D05" w14:textId="77777777" w:rsidR="008B36D2" w:rsidRDefault="008B36D2">
      <w:pPr>
        <w:spacing w:after="0" w:line="240" w:lineRule="auto"/>
      </w:pPr>
      <w:r>
        <w:separator/>
      </w:r>
    </w:p>
  </w:endnote>
  <w:endnote w:type="continuationSeparator" w:id="0">
    <w:p w14:paraId="037B6B3D" w14:textId="77777777" w:rsidR="008B36D2" w:rsidRDefault="008B3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7E05C" w14:textId="77777777" w:rsidR="00FB3AB2" w:rsidRDefault="00000000">
    <w:pPr>
      <w:pStyle w:val="a7"/>
      <w:jc w:val="center"/>
    </w:pPr>
    <w:r>
      <w:rPr>
        <w:sz w:val="18"/>
      </w:rPr>
      <w:fldChar w:fldCharType="begin"/>
    </w:r>
    <w:r>
      <w:rPr>
        <w:sz w:val="18"/>
      </w:rPr>
      <w:instrText>PAGE</w:instrText>
    </w:r>
    <w:r>
      <w:rPr>
        <w:sz w:val="18"/>
      </w:rPr>
      <w:fldChar w:fldCharType="separate"/>
    </w:r>
    <w:r w:rsidR="00852351">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A8830" w14:textId="77777777" w:rsidR="008B36D2" w:rsidRDefault="008B36D2">
      <w:pPr>
        <w:spacing w:after="0" w:line="240" w:lineRule="auto"/>
      </w:pPr>
      <w:r>
        <w:separator/>
      </w:r>
    </w:p>
  </w:footnote>
  <w:footnote w:type="continuationSeparator" w:id="0">
    <w:p w14:paraId="55DAFB2C" w14:textId="77777777" w:rsidR="008B36D2" w:rsidRDefault="008B36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0375184">
    <w:abstractNumId w:val="8"/>
  </w:num>
  <w:num w:numId="2" w16cid:durableId="667906076">
    <w:abstractNumId w:val="6"/>
  </w:num>
  <w:num w:numId="3" w16cid:durableId="1610041917">
    <w:abstractNumId w:val="5"/>
  </w:num>
  <w:num w:numId="4" w16cid:durableId="585383489">
    <w:abstractNumId w:val="4"/>
  </w:num>
  <w:num w:numId="5" w16cid:durableId="48767463">
    <w:abstractNumId w:val="7"/>
  </w:num>
  <w:num w:numId="6" w16cid:durableId="311443503">
    <w:abstractNumId w:val="3"/>
  </w:num>
  <w:num w:numId="7" w16cid:durableId="2057775932">
    <w:abstractNumId w:val="2"/>
  </w:num>
  <w:num w:numId="8" w16cid:durableId="970748133">
    <w:abstractNumId w:val="1"/>
  </w:num>
  <w:num w:numId="9" w16cid:durableId="108743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0B4"/>
    <w:rsid w:val="001C1DE8"/>
    <w:rsid w:val="0029639D"/>
    <w:rsid w:val="00326F90"/>
    <w:rsid w:val="0070134B"/>
    <w:rsid w:val="00852351"/>
    <w:rsid w:val="008B36D2"/>
    <w:rsid w:val="00AA1D8D"/>
    <w:rsid w:val="00B47730"/>
    <w:rsid w:val="00CB0664"/>
    <w:rsid w:val="00D554DD"/>
    <w:rsid w:val="00FB3A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B1419"/>
  <w14:defaultImageDpi w14:val="300"/>
  <w15:docId w15:val="{79894C3A-55E5-4755-8021-47992A391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Noto Serif CJK SC"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N">
    <w:name w:val="Body Text CN"/>
    <w:pPr>
      <w:spacing w:after="0" w:line="360" w:lineRule="auto"/>
      <w:jc w:val="both"/>
    </w:pPr>
    <w:rPr>
      <w:rFonts w:ascii="Times New Roman" w:eastAsia="Noto Serif CJK SC" w:hAnsi="Times New Roman"/>
      <w:sz w:val="21"/>
    </w:rPr>
  </w:style>
  <w:style w:type="paragraph" w:customStyle="1" w:styleId="Heading1CN">
    <w:name w:val="Heading 1 CN"/>
    <w:pPr>
      <w:keepNext/>
      <w:spacing w:before="200" w:after="80"/>
    </w:pPr>
    <w:rPr>
      <w:rFonts w:ascii="Times New Roman" w:eastAsia="Noto Sans CJK SC" w:hAnsi="Times New Roman"/>
      <w:b/>
      <w:sz w:val="26"/>
    </w:rPr>
  </w:style>
  <w:style w:type="paragraph" w:customStyle="1" w:styleId="Heading2CN">
    <w:name w:val="Heading 2 CN"/>
    <w:pPr>
      <w:keepNext/>
      <w:spacing w:before="120" w:after="80"/>
    </w:pPr>
    <w:rPr>
      <w:rFonts w:ascii="Times New Roman" w:eastAsia="Noto Sans CJK SC" w:hAnsi="Times New Roman"/>
      <w:b/>
      <w:sz w:val="23"/>
    </w:rPr>
  </w:style>
  <w:style w:type="paragraph" w:customStyle="1" w:styleId="ReferenceCN">
    <w:name w:val="Reference CN"/>
    <w:pPr>
      <w:spacing w:after="40" w:line="288" w:lineRule="auto"/>
      <w:ind w:left="420" w:hanging="420"/>
      <w:jc w:val="both"/>
    </w:pPr>
    <w:rPr>
      <w:rFonts w:ascii="Times New Roman" w:eastAsia="Noto Serif CJK SC" w:hAnsi="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867</Words>
  <Characters>4945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企业国际技术规则接轨的文本测度</dc:title>
  <dc:subject>上市公司年报文本测度方法</dc:subject>
  <dc:creator/>
  <cp:keywords>国际技术规则；国际标准；文本分析；大语言模型；年报</cp:keywords>
  <dc:description>generated by python-docx</dc:description>
  <cp:lastModifiedBy>镇宇 杨</cp:lastModifiedBy>
  <cp:revision>3</cp:revision>
  <dcterms:created xsi:type="dcterms:W3CDTF">2013-12-23T23:15:00Z</dcterms:created>
  <dcterms:modified xsi:type="dcterms:W3CDTF">2026-07-23T06:10:00Z</dcterms:modified>
  <cp:category/>
</cp:coreProperties>
</file>