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8BB6" w14:textId="77777777" w:rsidR="005A6D6A" w:rsidRPr="005A6D6A" w:rsidRDefault="005A6D6A" w:rsidP="004D315B">
      <w:pPr>
        <w:spacing w:after="0"/>
        <w:jc w:val="center"/>
        <w:rPr>
          <w:rFonts w:ascii="宋体" w:eastAsia="宋体" w:hAnsi="宋体" w:hint="eastAsia"/>
          <w:b/>
          <w:bCs/>
          <w:sz w:val="24"/>
        </w:rPr>
      </w:pPr>
      <w:r w:rsidRPr="005A6D6A">
        <w:rPr>
          <w:rFonts w:ascii="宋体" w:eastAsia="宋体" w:hAnsi="宋体"/>
          <w:b/>
          <w:bCs/>
          <w:sz w:val="24"/>
        </w:rPr>
        <w:t>企业国际技术规则接轨的概念界定</w:t>
      </w:r>
    </w:p>
    <w:p w14:paraId="45626A22" w14:textId="77777777" w:rsidR="005A6D6A" w:rsidRPr="005A6D6A" w:rsidRDefault="005A6D6A" w:rsidP="00EA37CF">
      <w:pPr>
        <w:spacing w:after="0"/>
        <w:ind w:firstLine="420"/>
        <w:rPr>
          <w:rFonts w:ascii="宋体" w:eastAsia="宋体" w:hAnsi="宋体" w:hint="eastAsia"/>
          <w:sz w:val="24"/>
        </w:rPr>
      </w:pPr>
      <w:r w:rsidRPr="005A6D6A">
        <w:rPr>
          <w:rFonts w:ascii="宋体" w:eastAsia="宋体" w:hAnsi="宋体"/>
          <w:sz w:val="24"/>
        </w:rPr>
        <w:t>随着传统关税壁垒逐步下降，标准、技术法规和合格评定程序日益成为决定企业能否参与跨境交易的重要制度条件。按照世界贸易组织《技术性贸易壁垒协定》的制度框架，技术法规、标准与合格评定程序虽然在强制性和实施形式上存在差异，但共同规定了产品特征、生产过程以及企业证明产品符合相关要求的方式。其中，合格评定程序包括检测、检查、认证、注册、认可和监管批准等活动，其基本功能是向监管部门、交易伙伴和消费者提供产品满足相关技术要求的可信保证。</w:t>
      </w:r>
    </w:p>
    <w:p w14:paraId="6B8E69D9" w14:textId="77777777" w:rsidR="005A6D6A" w:rsidRPr="005A6D6A" w:rsidRDefault="005A6D6A" w:rsidP="00EA37CF">
      <w:pPr>
        <w:spacing w:after="0"/>
        <w:ind w:firstLine="420"/>
        <w:rPr>
          <w:rFonts w:ascii="宋体" w:eastAsia="宋体" w:hAnsi="宋体" w:hint="eastAsia"/>
          <w:sz w:val="24"/>
        </w:rPr>
      </w:pPr>
      <w:r w:rsidRPr="005A6D6A">
        <w:rPr>
          <w:rFonts w:ascii="宋体" w:eastAsia="宋体" w:hAnsi="宋体"/>
          <w:sz w:val="24"/>
        </w:rPr>
        <w:t>基于上述制度背景，</w:t>
      </w:r>
      <w:r w:rsidRPr="00EA37CF">
        <w:rPr>
          <w:rFonts w:ascii="宋体" w:eastAsia="宋体" w:hAnsi="宋体"/>
          <w:color w:val="0000FF"/>
          <w:sz w:val="24"/>
        </w:rPr>
        <w:t>本文将传统的“国际标准采用”概念扩展为“企业国际技术规则接轨”。企业国际技术规则接轨是指企业通过直接采用国际或区域标准、执行与国际标准存在明确采标关系的国内标准，或者满足境外技术法规并完成相关认证、注册、批准或合格评定，使企业产品、生产流程或管理体系与跨境交易中通行或目标市场要求的技术规则相一致的组织行为。</w:t>
      </w:r>
      <w:r w:rsidRPr="005A6D6A">
        <w:rPr>
          <w:rFonts w:ascii="宋体" w:eastAsia="宋体" w:hAnsi="宋体"/>
          <w:sz w:val="24"/>
        </w:rPr>
        <w:t>该概念关注的并非某项规则在法律形式上属于自愿性标准还是强制性法规，而是企业是否已经将外部技术要求转化为内部生产和管理实践，并形成能够被境外监管部门、认证机构或交易伙伴识别的合规证据。</w:t>
      </w:r>
    </w:p>
    <w:p w14:paraId="517F9F52" w14:textId="77777777" w:rsidR="005A6D6A" w:rsidRPr="005A6D6A" w:rsidRDefault="005A6D6A" w:rsidP="00EA37CF">
      <w:pPr>
        <w:spacing w:after="0"/>
        <w:ind w:firstLine="420"/>
        <w:rPr>
          <w:rFonts w:ascii="宋体" w:eastAsia="宋体" w:hAnsi="宋体" w:hint="eastAsia"/>
          <w:sz w:val="24"/>
        </w:rPr>
      </w:pPr>
      <w:r w:rsidRPr="005A6D6A">
        <w:rPr>
          <w:rFonts w:ascii="宋体" w:eastAsia="宋体" w:hAnsi="宋体"/>
          <w:sz w:val="24"/>
        </w:rPr>
        <w:t>这一概念包含三种相互补充的接轨路径。</w:t>
      </w:r>
      <w:r w:rsidRPr="00586FFA">
        <w:rPr>
          <w:rFonts w:ascii="宋体" w:eastAsia="宋体" w:hAnsi="宋体"/>
          <w:color w:val="0000FF"/>
          <w:sz w:val="24"/>
        </w:rPr>
        <w:t>第一，直接标准接轨，即企业直接采用ISO、IEC、IEEE、IATF和EN等国际、区域或跨国行业标准。第二，转化标准接轨，即企业采用与国际标准具有明确等同采用、修改采用或其他采标关系的中国国家标准。第三，合格评定型接轨，即企业按照境外技术法规或市场准入制度取得CE、FDA、UL等认证、注册或监管批准，或者明确满足REACH、RoHS等境外技术要求。</w:t>
      </w:r>
      <w:r w:rsidRPr="005A6D6A">
        <w:rPr>
          <w:rFonts w:ascii="宋体" w:eastAsia="宋体" w:hAnsi="宋体"/>
          <w:sz w:val="24"/>
        </w:rPr>
        <w:t>第三类实体本身并不被视为国际标准，而是企业按照境外技术规则完成符合性证明和获得市场认可的可观察结果。</w:t>
      </w:r>
    </w:p>
    <w:p w14:paraId="280FDF70" w14:textId="77777777" w:rsidR="005A6D6A" w:rsidRPr="005A6D6A" w:rsidRDefault="005A6D6A" w:rsidP="00EA37CF">
      <w:pPr>
        <w:spacing w:after="0"/>
        <w:ind w:firstLine="420"/>
        <w:rPr>
          <w:rFonts w:ascii="宋体" w:eastAsia="宋体" w:hAnsi="宋体" w:hint="eastAsia"/>
          <w:sz w:val="24"/>
        </w:rPr>
      </w:pPr>
      <w:r w:rsidRPr="005A6D6A">
        <w:rPr>
          <w:rFonts w:ascii="宋体" w:eastAsia="宋体" w:hAnsi="宋体"/>
          <w:sz w:val="24"/>
        </w:rPr>
        <w:t>三类路径具有共同的经济实质。一方面，标准和技术规则能够编码产品质量、性能、安全及生产流程要求，减少企业针对不同市场重复调整产品和生产方式的成本；另一方面，第三方认证和监管批准能够缓解企业与消费者、交易伙伴及监管部门之间的信息不对称，为企业产品质量和规则遵循提供具有外部可信度的信号。因此，不同接轨路径均反映企业将国际或境外技术要求嵌入产品、生产流程和管理体系，并跨越国际市场技术性制度边界的实际行为。</w:t>
      </w:r>
    </w:p>
    <w:p w14:paraId="03FB8C94" w14:textId="77777777" w:rsidR="005A6D6A" w:rsidRPr="005A6D6A" w:rsidRDefault="005A6D6A" w:rsidP="00EA37CF">
      <w:pPr>
        <w:spacing w:after="0"/>
        <w:ind w:firstLine="420"/>
        <w:rPr>
          <w:rFonts w:ascii="宋体" w:eastAsia="宋体" w:hAnsi="宋体" w:hint="eastAsia"/>
          <w:sz w:val="24"/>
        </w:rPr>
      </w:pPr>
      <w:r w:rsidRPr="005A6D6A">
        <w:rPr>
          <w:rFonts w:ascii="宋体" w:eastAsia="宋体" w:hAnsi="宋体"/>
          <w:sz w:val="24"/>
        </w:rPr>
        <w:t>在测量上，本文将企业国际技术规则接轨视为由多种异质行为共同构成的形成性概念，而非要求各项指标同时出现的反映性概念。企业可能通过直接采用国际标准、执行国际标准转化的国内标准或完成境外合格评定中的任一路径实现接轨。因此，只要企业在某一年度存在至少一项主体明确、实体明确且已经实际采用、执行、符合或获得批准的接轨证据，即将企业—年度国际技术规则接轨虚拟变量赋值为1，否则赋值为0。该变量刻画企业是否发生国际技术规则接轨的广延边际，而接轨实体数量则用于衡量企业披露的国际技术规则接轨广度。</w:t>
      </w:r>
    </w:p>
    <w:p w14:paraId="07201AC4" w14:textId="77777777" w:rsidR="0008270E" w:rsidRPr="005A6D6A" w:rsidRDefault="0008270E" w:rsidP="00EA37CF">
      <w:pPr>
        <w:spacing w:after="0"/>
        <w:rPr>
          <w:rFonts w:ascii="宋体" w:eastAsia="宋体" w:hAnsi="宋体" w:hint="eastAsia"/>
          <w:sz w:val="24"/>
        </w:rPr>
      </w:pPr>
    </w:p>
    <w:sectPr w:rsidR="0008270E" w:rsidRPr="005A6D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75"/>
    <w:rsid w:val="0008270E"/>
    <w:rsid w:val="004D315B"/>
    <w:rsid w:val="00586FFA"/>
    <w:rsid w:val="005A6D6A"/>
    <w:rsid w:val="006E144D"/>
    <w:rsid w:val="007E2F40"/>
    <w:rsid w:val="00AE6775"/>
    <w:rsid w:val="00EA37CF"/>
    <w:rsid w:val="00FF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73BE"/>
  <w15:chartTrackingRefBased/>
  <w15:docId w15:val="{6F510F0B-A8A8-4DD6-9878-4B2DF4D1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67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67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67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67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67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67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67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7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67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7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67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67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6775"/>
    <w:rPr>
      <w:rFonts w:cstheme="majorBidi"/>
      <w:color w:val="0F4761" w:themeColor="accent1" w:themeShade="BF"/>
      <w:sz w:val="28"/>
      <w:szCs w:val="28"/>
    </w:rPr>
  </w:style>
  <w:style w:type="character" w:customStyle="1" w:styleId="50">
    <w:name w:val="标题 5 字符"/>
    <w:basedOn w:val="a0"/>
    <w:link w:val="5"/>
    <w:uiPriority w:val="9"/>
    <w:semiHidden/>
    <w:rsid w:val="00AE6775"/>
    <w:rPr>
      <w:rFonts w:cstheme="majorBidi"/>
      <w:color w:val="0F4761" w:themeColor="accent1" w:themeShade="BF"/>
      <w:sz w:val="24"/>
    </w:rPr>
  </w:style>
  <w:style w:type="character" w:customStyle="1" w:styleId="60">
    <w:name w:val="标题 6 字符"/>
    <w:basedOn w:val="a0"/>
    <w:link w:val="6"/>
    <w:uiPriority w:val="9"/>
    <w:semiHidden/>
    <w:rsid w:val="00AE6775"/>
    <w:rPr>
      <w:rFonts w:cstheme="majorBidi"/>
      <w:b/>
      <w:bCs/>
      <w:color w:val="0F4761" w:themeColor="accent1" w:themeShade="BF"/>
    </w:rPr>
  </w:style>
  <w:style w:type="character" w:customStyle="1" w:styleId="70">
    <w:name w:val="标题 7 字符"/>
    <w:basedOn w:val="a0"/>
    <w:link w:val="7"/>
    <w:uiPriority w:val="9"/>
    <w:semiHidden/>
    <w:rsid w:val="00AE6775"/>
    <w:rPr>
      <w:rFonts w:cstheme="majorBidi"/>
      <w:b/>
      <w:bCs/>
      <w:color w:val="595959" w:themeColor="text1" w:themeTint="A6"/>
    </w:rPr>
  </w:style>
  <w:style w:type="character" w:customStyle="1" w:styleId="80">
    <w:name w:val="标题 8 字符"/>
    <w:basedOn w:val="a0"/>
    <w:link w:val="8"/>
    <w:uiPriority w:val="9"/>
    <w:semiHidden/>
    <w:rsid w:val="00AE6775"/>
    <w:rPr>
      <w:rFonts w:cstheme="majorBidi"/>
      <w:color w:val="595959" w:themeColor="text1" w:themeTint="A6"/>
    </w:rPr>
  </w:style>
  <w:style w:type="character" w:customStyle="1" w:styleId="90">
    <w:name w:val="标题 9 字符"/>
    <w:basedOn w:val="a0"/>
    <w:link w:val="9"/>
    <w:uiPriority w:val="9"/>
    <w:semiHidden/>
    <w:rsid w:val="00AE6775"/>
    <w:rPr>
      <w:rFonts w:eastAsiaTheme="majorEastAsia" w:cstheme="majorBidi"/>
      <w:color w:val="595959" w:themeColor="text1" w:themeTint="A6"/>
    </w:rPr>
  </w:style>
  <w:style w:type="paragraph" w:styleId="a3">
    <w:name w:val="Title"/>
    <w:basedOn w:val="a"/>
    <w:next w:val="a"/>
    <w:link w:val="a4"/>
    <w:uiPriority w:val="10"/>
    <w:qFormat/>
    <w:rsid w:val="00AE67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7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775"/>
    <w:pPr>
      <w:spacing w:before="160"/>
      <w:jc w:val="center"/>
    </w:pPr>
    <w:rPr>
      <w:i/>
      <w:iCs/>
      <w:color w:val="404040" w:themeColor="text1" w:themeTint="BF"/>
    </w:rPr>
  </w:style>
  <w:style w:type="character" w:customStyle="1" w:styleId="a8">
    <w:name w:val="引用 字符"/>
    <w:basedOn w:val="a0"/>
    <w:link w:val="a7"/>
    <w:uiPriority w:val="29"/>
    <w:rsid w:val="00AE6775"/>
    <w:rPr>
      <w:i/>
      <w:iCs/>
      <w:color w:val="404040" w:themeColor="text1" w:themeTint="BF"/>
    </w:rPr>
  </w:style>
  <w:style w:type="paragraph" w:styleId="a9">
    <w:name w:val="List Paragraph"/>
    <w:basedOn w:val="a"/>
    <w:uiPriority w:val="34"/>
    <w:qFormat/>
    <w:rsid w:val="00AE6775"/>
    <w:pPr>
      <w:ind w:left="720"/>
      <w:contextualSpacing/>
    </w:pPr>
  </w:style>
  <w:style w:type="character" w:styleId="aa">
    <w:name w:val="Intense Emphasis"/>
    <w:basedOn w:val="a0"/>
    <w:uiPriority w:val="21"/>
    <w:qFormat/>
    <w:rsid w:val="00AE6775"/>
    <w:rPr>
      <w:i/>
      <w:iCs/>
      <w:color w:val="0F4761" w:themeColor="accent1" w:themeShade="BF"/>
    </w:rPr>
  </w:style>
  <w:style w:type="paragraph" w:styleId="ab">
    <w:name w:val="Intense Quote"/>
    <w:basedOn w:val="a"/>
    <w:next w:val="a"/>
    <w:link w:val="ac"/>
    <w:uiPriority w:val="30"/>
    <w:qFormat/>
    <w:rsid w:val="00AE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775"/>
    <w:rPr>
      <w:i/>
      <w:iCs/>
      <w:color w:val="0F4761" w:themeColor="accent1" w:themeShade="BF"/>
    </w:rPr>
  </w:style>
  <w:style w:type="character" w:styleId="ad">
    <w:name w:val="Intense Reference"/>
    <w:basedOn w:val="a0"/>
    <w:uiPriority w:val="32"/>
    <w:qFormat/>
    <w:rsid w:val="00AE6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镇宇 杨</dc:creator>
  <cp:keywords/>
  <dc:description/>
  <cp:lastModifiedBy>镇宇 杨</cp:lastModifiedBy>
  <cp:revision>5</cp:revision>
  <dcterms:created xsi:type="dcterms:W3CDTF">2026-07-23T02:08:00Z</dcterms:created>
  <dcterms:modified xsi:type="dcterms:W3CDTF">2026-07-23T06:10:00Z</dcterms:modified>
</cp:coreProperties>
</file>