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2E49A" w14:textId="29F717CB" w:rsidR="006B271F" w:rsidRPr="006B271F" w:rsidRDefault="006B271F" w:rsidP="006B271F">
      <w:pPr>
        <w:jc w:val="center"/>
        <w:rPr>
          <w:rFonts w:ascii="宋体" w:eastAsia="宋体" w:hAnsi="宋体" w:hint="eastAsia"/>
          <w:sz w:val="28"/>
          <w:szCs w:val="28"/>
        </w:rPr>
      </w:pPr>
      <w:r w:rsidRPr="006B271F">
        <w:rPr>
          <w:rFonts w:ascii="宋体" w:eastAsia="宋体" w:hAnsi="宋体" w:hint="eastAsia"/>
          <w:sz w:val="28"/>
          <w:szCs w:val="28"/>
        </w:rPr>
        <w:t>制度</w:t>
      </w:r>
      <w:proofErr w:type="gramStart"/>
      <w:r w:rsidRPr="006B271F">
        <w:rPr>
          <w:rFonts w:ascii="宋体" w:eastAsia="宋体" w:hAnsi="宋体" w:hint="eastAsia"/>
          <w:sz w:val="28"/>
          <w:szCs w:val="28"/>
        </w:rPr>
        <w:t>型开放</w:t>
      </w:r>
      <w:proofErr w:type="gramEnd"/>
      <w:r w:rsidRPr="006B271F">
        <w:rPr>
          <w:rFonts w:ascii="宋体" w:eastAsia="宋体" w:hAnsi="宋体" w:hint="eastAsia"/>
          <w:sz w:val="28"/>
          <w:szCs w:val="28"/>
        </w:rPr>
        <w:t>及四维度测度思路</w:t>
      </w:r>
    </w:p>
    <w:p w14:paraId="16B18FEB" w14:textId="47C3D3FF" w:rsidR="006B271F" w:rsidRDefault="006B271F" w:rsidP="00545AE7">
      <w:pPr>
        <w:rPr>
          <w:rFonts w:ascii="宋体" w:eastAsia="宋体" w:hAnsi="宋体"/>
          <w:b/>
          <w:bCs/>
          <w:sz w:val="24"/>
        </w:rPr>
      </w:pPr>
      <w:r w:rsidRPr="004E6224">
        <w:rPr>
          <w:rFonts w:ascii="宋体" w:eastAsia="宋体" w:hAnsi="宋体" w:hint="eastAsia"/>
          <w:b/>
          <w:bCs/>
          <w:sz w:val="24"/>
        </w:rPr>
        <w:t>·制度</w:t>
      </w:r>
      <w:proofErr w:type="gramStart"/>
      <w:r w:rsidRPr="004E6224">
        <w:rPr>
          <w:rFonts w:ascii="宋体" w:eastAsia="宋体" w:hAnsi="宋体" w:hint="eastAsia"/>
          <w:b/>
          <w:bCs/>
          <w:sz w:val="24"/>
        </w:rPr>
        <w:t>型开放</w:t>
      </w:r>
      <w:proofErr w:type="gramEnd"/>
      <w:r w:rsidRPr="004E6224">
        <w:rPr>
          <w:rFonts w:ascii="宋体" w:eastAsia="宋体" w:hAnsi="宋体" w:hint="eastAsia"/>
          <w:b/>
          <w:bCs/>
          <w:sz w:val="24"/>
        </w:rPr>
        <w:t>概念</w:t>
      </w:r>
    </w:p>
    <w:p w14:paraId="28EC6D32" w14:textId="0747B247" w:rsidR="00C753EB" w:rsidRPr="00C753EB" w:rsidRDefault="00C753EB" w:rsidP="00C753EB">
      <w:pPr>
        <w:spacing w:after="0"/>
        <w:rPr>
          <w:rFonts w:ascii="宋体" w:eastAsia="宋体" w:hAnsi="宋体" w:hint="eastAsia"/>
          <w:sz w:val="24"/>
        </w:rPr>
      </w:pPr>
      <w:r w:rsidRPr="00C753EB">
        <w:rPr>
          <w:rFonts w:ascii="宋体" w:eastAsia="宋体" w:hAnsi="宋体" w:hint="eastAsia"/>
          <w:sz w:val="24"/>
        </w:rPr>
        <w:t>本文所称制度型开放，是指一国通过双边、区域或多边经贸协定，将影响跨境贸易和跨国投资的规则、规制、管理与标准安排，以透明、稳定、可预期、非歧视和</w:t>
      </w:r>
      <w:proofErr w:type="gramStart"/>
      <w:r w:rsidRPr="00C753EB">
        <w:rPr>
          <w:rFonts w:ascii="宋体" w:eastAsia="宋体" w:hAnsi="宋体" w:hint="eastAsia"/>
          <w:sz w:val="24"/>
        </w:rPr>
        <w:t>可</w:t>
      </w:r>
      <w:proofErr w:type="gramEnd"/>
      <w:r w:rsidRPr="00C753EB">
        <w:rPr>
          <w:rFonts w:ascii="宋体" w:eastAsia="宋体" w:hAnsi="宋体" w:hint="eastAsia"/>
          <w:sz w:val="24"/>
        </w:rPr>
        <w:t>执行的制度承诺形式嵌入国际经贸关系之中，从而降低制度性交易成本，扩大贸易与投资的自由化、便利化和深度市场整合水平。</w:t>
      </w:r>
    </w:p>
    <w:p w14:paraId="1125DC07" w14:textId="18307B5E" w:rsidR="00C753EB" w:rsidRPr="00C753EB" w:rsidRDefault="00C753EB" w:rsidP="00C753EB">
      <w:pPr>
        <w:spacing w:after="0"/>
        <w:rPr>
          <w:rFonts w:ascii="宋体" w:eastAsia="宋体" w:hAnsi="宋体" w:hint="eastAsia"/>
          <w:sz w:val="24"/>
        </w:rPr>
      </w:pPr>
      <w:r w:rsidRPr="00C753EB">
        <w:rPr>
          <w:rFonts w:ascii="宋体" w:eastAsia="宋体" w:hAnsi="宋体" w:hint="eastAsia"/>
          <w:sz w:val="24"/>
        </w:rPr>
        <w:t>更适合论文指标章节的操作性定义</w:t>
      </w:r>
      <w:r>
        <w:rPr>
          <w:rFonts w:ascii="宋体" w:eastAsia="宋体" w:hAnsi="宋体" w:hint="eastAsia"/>
          <w:sz w:val="24"/>
        </w:rPr>
        <w:t>:</w:t>
      </w:r>
    </w:p>
    <w:p w14:paraId="43CC563B" w14:textId="7476A93E" w:rsidR="00C753EB" w:rsidRPr="00C753EB" w:rsidRDefault="00C753EB" w:rsidP="00C753EB">
      <w:pPr>
        <w:spacing w:after="0"/>
        <w:rPr>
          <w:rFonts w:ascii="宋体" w:eastAsia="宋体" w:hAnsi="宋体"/>
          <w:sz w:val="24"/>
        </w:rPr>
      </w:pPr>
      <w:r w:rsidRPr="00C753EB">
        <w:rPr>
          <w:rFonts w:ascii="宋体" w:eastAsia="宋体" w:hAnsi="宋体" w:hint="eastAsia"/>
          <w:sz w:val="24"/>
        </w:rPr>
        <w:t>在本文的测度框架中，制度</w:t>
      </w:r>
      <w:proofErr w:type="gramStart"/>
      <w:r w:rsidRPr="00C753EB">
        <w:rPr>
          <w:rFonts w:ascii="宋体" w:eastAsia="宋体" w:hAnsi="宋体" w:hint="eastAsia"/>
          <w:sz w:val="24"/>
        </w:rPr>
        <w:t>型开放</w:t>
      </w:r>
      <w:proofErr w:type="gramEnd"/>
      <w:r w:rsidRPr="00C753EB">
        <w:rPr>
          <w:rFonts w:ascii="宋体" w:eastAsia="宋体" w:hAnsi="宋体" w:hint="eastAsia"/>
          <w:sz w:val="24"/>
        </w:rPr>
        <w:t>不直接等同于关税下降、贸易额增加或外资流入增加，而是指国家间协定文本中所包含的贸易相关和投资相关制度规则的覆盖广度与制度深度。具体而言，若某一国家对在某一年受到更高水平经贸协定约束，且该协定覆盖更多与贸易开放或投资开放相关的制度条款，则该国家对年份的制度</w:t>
      </w:r>
      <w:proofErr w:type="gramStart"/>
      <w:r w:rsidRPr="00C753EB">
        <w:rPr>
          <w:rFonts w:ascii="宋体" w:eastAsia="宋体" w:hAnsi="宋体" w:hint="eastAsia"/>
          <w:sz w:val="24"/>
        </w:rPr>
        <w:t>型开放</w:t>
      </w:r>
      <w:proofErr w:type="gramEnd"/>
      <w:r w:rsidRPr="00C753EB">
        <w:rPr>
          <w:rFonts w:ascii="宋体" w:eastAsia="宋体" w:hAnsi="宋体" w:hint="eastAsia"/>
          <w:sz w:val="24"/>
        </w:rPr>
        <w:t>水平更高。</w:t>
      </w:r>
    </w:p>
    <w:p w14:paraId="09C72546" w14:textId="77777777" w:rsidR="00C753EB" w:rsidRDefault="00C753EB" w:rsidP="00545AE7">
      <w:pPr>
        <w:rPr>
          <w:rFonts w:ascii="宋体" w:eastAsia="宋体" w:hAnsi="宋体" w:hint="eastAsia"/>
          <w:b/>
          <w:bCs/>
          <w:sz w:val="24"/>
        </w:rPr>
      </w:pPr>
    </w:p>
    <w:p w14:paraId="4F345AE1" w14:textId="30906CD8" w:rsidR="00CA080E" w:rsidRPr="00A95192" w:rsidRDefault="004E6224" w:rsidP="009E5619">
      <w:pPr>
        <w:spacing w:after="0"/>
        <w:rPr>
          <w:rFonts w:ascii="宋体" w:eastAsia="宋体" w:hAnsi="宋体" w:hint="eastAsia"/>
          <w:b/>
          <w:bCs/>
          <w:sz w:val="24"/>
        </w:rPr>
      </w:pPr>
      <w:r>
        <w:rPr>
          <w:rFonts w:ascii="宋体" w:eastAsia="宋体" w:hAnsi="宋体" w:hint="eastAsia"/>
          <w:b/>
          <w:bCs/>
          <w:sz w:val="24"/>
        </w:rPr>
        <w:t>相关定义：</w:t>
      </w:r>
    </w:p>
    <w:p w14:paraId="19AC0481" w14:textId="77777777" w:rsidR="0024575E" w:rsidRDefault="0024575E" w:rsidP="009E5619">
      <w:pPr>
        <w:pStyle w:val="ae"/>
        <w:adjustRightInd w:val="0"/>
        <w:snapToGrid w:val="0"/>
        <w:spacing w:before="0" w:beforeAutospacing="0" w:after="0" w:afterAutospacing="0" w:line="360" w:lineRule="auto"/>
        <w:ind w:firstLine="420"/>
        <w:jc w:val="both"/>
        <w:rPr>
          <w:rFonts w:hint="eastAsia"/>
        </w:rPr>
      </w:pPr>
      <w:r>
        <w:rPr>
          <w:rFonts w:hint="eastAsia"/>
          <w:b/>
          <w:bCs/>
        </w:rPr>
        <w:t>江小涓：</w:t>
      </w:r>
      <w:hyperlink r:id="rId8" w:history="1">
        <w:r w:rsidRPr="003D0658">
          <w:rPr>
            <w:rStyle w:val="af7"/>
            <w:b/>
            <w:bCs/>
          </w:rPr>
          <w:t>https://mp.weixin.qq.com/s/ase4tFBQcS7fHdbTrXcTdg</w:t>
        </w:r>
      </w:hyperlink>
      <w:r>
        <w:rPr>
          <w:rFonts w:hint="eastAsia"/>
          <w:b/>
          <w:bCs/>
        </w:rPr>
        <w:t>：</w:t>
      </w:r>
      <w:r w:rsidRPr="00697A4A">
        <w:t>规则、规制、管理、标准的“相通相容”，</w:t>
      </w:r>
      <w:r w:rsidRPr="00697A4A">
        <w:rPr>
          <w:color w:val="0432FF"/>
        </w:rPr>
        <w:t>本质是推动国内相关制度与国际高标准经贸规则的“衔接性改革”</w:t>
      </w:r>
      <w:r w:rsidRPr="00697A4A">
        <w:t>。二十届三中全会通过的《中共中央关于进一步全面深化改革、推进中国式现代化的决定》明确了相通相融的7个方面，即</w:t>
      </w:r>
      <w:r w:rsidRPr="00697A4A">
        <w:rPr>
          <w:color w:val="0432FF"/>
        </w:rPr>
        <w:t>产权保护、产业补贴、环境标准、劳动保护、政府采购、电子商务、金融，均为国际高标准经贸规则的核心议题</w:t>
      </w:r>
      <w:r w:rsidRPr="00697A4A">
        <w:t>，也是我国对接国际规则的重要内容，更是我国国内改革的重要方面。</w:t>
      </w:r>
      <w:r w:rsidRPr="002B28E6">
        <w:rPr>
          <w:color w:val="0033CC"/>
        </w:rPr>
        <w:t>产权保护</w:t>
      </w:r>
      <w:r w:rsidRPr="00697A4A">
        <w:t>要求产权制度进一步改革完善，特别要在专利、商标、版权等方面实现与国际规则接轨的高标准保护。</w:t>
      </w:r>
      <w:r w:rsidRPr="002B28E6">
        <w:rPr>
          <w:color w:val="0033CC"/>
        </w:rPr>
        <w:t>产业补贴</w:t>
      </w:r>
      <w:r w:rsidRPr="00697A4A">
        <w:t>不仅涉及出口企业和产品，更涉及公平竞争减少取消补贴，并</w:t>
      </w:r>
      <w:proofErr w:type="gramStart"/>
      <w:r w:rsidRPr="00697A4A">
        <w:t>使合理</w:t>
      </w:r>
      <w:proofErr w:type="gramEnd"/>
      <w:r w:rsidRPr="00697A4A">
        <w:t>保留的补贴透明化，是促进公平竞争的重要举措。</w:t>
      </w:r>
      <w:r w:rsidRPr="002B28E6">
        <w:rPr>
          <w:color w:val="0033CC"/>
        </w:rPr>
        <w:t>环境标准</w:t>
      </w:r>
      <w:r w:rsidRPr="00697A4A">
        <w:t>是可持续发展的核心议题，引导生产要素在国内外市场上的配置低碳更绿色。</w:t>
      </w:r>
      <w:r w:rsidRPr="002B28E6">
        <w:rPr>
          <w:color w:val="0000FF"/>
        </w:rPr>
        <w:t>劳动保护</w:t>
      </w:r>
      <w:r w:rsidRPr="00697A4A">
        <w:t>要求加强对劳动者权益的保护，在劳动报酬、工作条件、工作时长等方面合</w:t>
      </w:r>
      <w:proofErr w:type="gramStart"/>
      <w:r w:rsidRPr="00697A4A">
        <w:t>规</w:t>
      </w:r>
      <w:proofErr w:type="gramEnd"/>
      <w:r w:rsidRPr="00697A4A">
        <w:t>合法，能够促进劳动者与企业之间的利益平衡。</w:t>
      </w:r>
      <w:r w:rsidRPr="002B28E6">
        <w:rPr>
          <w:color w:val="0033CC"/>
        </w:rPr>
        <w:t>政府采购</w:t>
      </w:r>
      <w:r w:rsidRPr="00697A4A">
        <w:t>要求国内外企业有平等参与的机会，防止破坏市场公平竞争甚至导致腐败行为。</w:t>
      </w:r>
      <w:r w:rsidRPr="002B28E6">
        <w:rPr>
          <w:color w:val="0033CC"/>
        </w:rPr>
        <w:t>电子商务</w:t>
      </w:r>
      <w:r w:rsidRPr="00697A4A">
        <w:t>是一个新的商业领域，要求各国在商品、服务和数据跨境流动、电子支付、网络安全等方面加强国际互认和合作，促进跨境电子商务的公平竞争和健康发展。</w:t>
      </w:r>
      <w:r w:rsidRPr="002B28E6">
        <w:rPr>
          <w:color w:val="0033CC"/>
        </w:rPr>
        <w:t>金融</w:t>
      </w:r>
      <w:r w:rsidRPr="00697A4A">
        <w:t>领域的规则制度相通相融，要求金融资源市场化配置，减少企业在融资方面的不公平，同时在资本流动、金融风险防控等方面的金融监管政策与国际金融规</w:t>
      </w:r>
      <w:r w:rsidRPr="00697A4A">
        <w:lastRenderedPageBreak/>
        <w:t>则接轨，推动金融市场的开放与稳定。上述各个领域中，也有一些不符合我国国情和发展利益的不合理要求，需要在谈判中据理力争，在总体相通相融中维护我方合理权益。</w:t>
      </w:r>
    </w:p>
    <w:p w14:paraId="146BC2D2" w14:textId="2F9B6A2C" w:rsidR="00D4746E" w:rsidRDefault="00526405" w:rsidP="009E5619">
      <w:pPr>
        <w:pStyle w:val="ae"/>
        <w:adjustRightInd w:val="0"/>
        <w:snapToGrid w:val="0"/>
        <w:spacing w:before="0" w:beforeAutospacing="0" w:after="0" w:afterAutospacing="0" w:line="360" w:lineRule="auto"/>
        <w:ind w:firstLine="420"/>
        <w:jc w:val="both"/>
        <w:rPr>
          <w:rFonts w:hint="eastAsia"/>
        </w:rPr>
      </w:pPr>
      <w:proofErr w:type="gramStart"/>
      <w:r w:rsidRPr="00526405">
        <w:rPr>
          <w:b/>
          <w:bCs/>
        </w:rPr>
        <w:t>常娱</w:t>
      </w:r>
      <w:r w:rsidRPr="00526405">
        <w:rPr>
          <w:rFonts w:hint="eastAsia"/>
          <w:b/>
          <w:bCs/>
        </w:rPr>
        <w:t>和</w:t>
      </w:r>
      <w:proofErr w:type="gramEnd"/>
      <w:r w:rsidRPr="00526405">
        <w:rPr>
          <w:rFonts w:hint="eastAsia"/>
          <w:b/>
          <w:bCs/>
        </w:rPr>
        <w:t>钱学锋</w:t>
      </w:r>
      <w:r>
        <w:rPr>
          <w:rFonts w:hint="eastAsia"/>
          <w:b/>
          <w:bCs/>
        </w:rPr>
        <w:t>，2022，《</w:t>
      </w:r>
      <w:r w:rsidRPr="00526405">
        <w:rPr>
          <w:b/>
          <w:bCs/>
        </w:rPr>
        <w:t>制度型开放的内涵、现状与路径</w:t>
      </w:r>
      <w:r>
        <w:rPr>
          <w:rFonts w:hint="eastAsia"/>
          <w:b/>
          <w:bCs/>
        </w:rPr>
        <w:t>》，世界经济研究：</w:t>
      </w:r>
      <w:r w:rsidRPr="00526405">
        <w:t>以2017</w:t>
      </w:r>
      <w:r w:rsidR="00123393">
        <w:rPr>
          <w:rFonts w:hint="eastAsia"/>
        </w:rPr>
        <w:t>-</w:t>
      </w:r>
      <w:r w:rsidRPr="00526405">
        <w:t>2021年的中央文件为标准,结合学者对于制度</w:t>
      </w:r>
      <w:proofErr w:type="gramStart"/>
      <w:r w:rsidRPr="00526405">
        <w:t>型开放</w:t>
      </w:r>
      <w:proofErr w:type="gramEnd"/>
      <w:r w:rsidRPr="00526405">
        <w:t>定义的补充,本文认为制度</w:t>
      </w:r>
      <w:proofErr w:type="gramStart"/>
      <w:r w:rsidRPr="00526405">
        <w:t>型开放</w:t>
      </w:r>
      <w:proofErr w:type="gramEnd"/>
      <w:r w:rsidRPr="00526405">
        <w:t>的定义为:在国际间以及区域间,通过在</w:t>
      </w:r>
      <w:r w:rsidRPr="00123393">
        <w:rPr>
          <w:color w:val="0033CC"/>
        </w:rPr>
        <w:t>贸易规则和规制、投资规则和规制、生产中的管理和标准等</w:t>
      </w:r>
      <w:r w:rsidRPr="00526405">
        <w:t>方面进行协调和融合来促进经济开放。由定义可知,制度</w:t>
      </w:r>
      <w:proofErr w:type="gramStart"/>
      <w:r w:rsidRPr="00526405">
        <w:t>型开放</w:t>
      </w:r>
      <w:proofErr w:type="gramEnd"/>
      <w:r w:rsidRPr="00526405">
        <w:t>包含了</w:t>
      </w:r>
      <w:r w:rsidRPr="00316009">
        <w:rPr>
          <w:color w:val="0000FF"/>
        </w:rPr>
        <w:t>“对外开放”和“自我开放”</w:t>
      </w:r>
      <w:r w:rsidRPr="00526405">
        <w:t>两个层面。“对外开放”更强调</w:t>
      </w:r>
      <w:r w:rsidRPr="00A1797A">
        <w:rPr>
          <w:color w:val="0000FF"/>
        </w:rPr>
        <w:t>与国际通行规则、规制、管理、标准的对标</w:t>
      </w:r>
      <w:r w:rsidRPr="00526405">
        <w:t>,而“自我开放”更强调</w:t>
      </w:r>
      <w:r w:rsidRPr="00A1797A">
        <w:rPr>
          <w:color w:val="0000FF"/>
        </w:rPr>
        <w:t>构建规则和政策统一的国内大市场。</w:t>
      </w:r>
      <w:r w:rsidR="00D4746E" w:rsidRPr="00D4746E">
        <w:t>对</w:t>
      </w:r>
      <w:proofErr w:type="gramStart"/>
      <w:r w:rsidR="00D4746E" w:rsidRPr="00D4746E">
        <w:t>标国际</w:t>
      </w:r>
      <w:proofErr w:type="gramEnd"/>
      <w:r w:rsidR="00D4746E" w:rsidRPr="00D4746E">
        <w:t>通行规则有利于中国充分利用“开放倒逼改革”的作用机制,</w:t>
      </w:r>
      <w:r w:rsidR="00D4746E" w:rsidRPr="004D4CD2">
        <w:t>完善国内制度体系及法律体系。优化营商环境</w:t>
      </w:r>
      <w:r w:rsidR="00D4746E" w:rsidRPr="00D4746E">
        <w:t>有助于实现</w:t>
      </w:r>
      <w:r w:rsidR="00D4746E" w:rsidRPr="004D4CD2">
        <w:rPr>
          <w:color w:val="0000FF"/>
        </w:rPr>
        <w:t>公平竞争、监管透明</w:t>
      </w:r>
      <w:r w:rsidR="00D4746E" w:rsidRPr="00D4746E">
        <w:t>,</w:t>
      </w:r>
      <w:r w:rsidR="00D4746E" w:rsidRPr="00316009">
        <w:rPr>
          <w:color w:val="0000FF"/>
        </w:rPr>
        <w:t>增强中国对于外资企业的吸引力</w:t>
      </w:r>
      <w:r w:rsidR="00D4746E" w:rsidRPr="00D4746E">
        <w:t>,</w:t>
      </w:r>
      <w:r w:rsidR="00D4746E" w:rsidRPr="004D4CD2">
        <w:t>增设相关法律</w:t>
      </w:r>
      <w:r w:rsidR="00D4746E" w:rsidRPr="00D4746E">
        <w:t>可以将制度</w:t>
      </w:r>
      <w:proofErr w:type="gramStart"/>
      <w:r w:rsidR="00D4746E" w:rsidRPr="00D4746E">
        <w:t>型开放</w:t>
      </w:r>
      <w:proofErr w:type="gramEnd"/>
      <w:r w:rsidR="00D4746E" w:rsidRPr="00D4746E">
        <w:t>的成果以法律的形式固定下来,从而</w:t>
      </w:r>
      <w:r w:rsidR="00D4746E" w:rsidRPr="004D4CD2">
        <w:rPr>
          <w:color w:val="0000FF"/>
        </w:rPr>
        <w:t>规避政策的变动性和非透明性等</w:t>
      </w:r>
      <w:r w:rsidR="00D4746E" w:rsidRPr="00D4746E">
        <w:t>内生缺陷。</w:t>
      </w:r>
      <w:r w:rsidR="00D4746E" w:rsidRPr="004D4CD2">
        <w:rPr>
          <w:color w:val="000000" w:themeColor="text1"/>
        </w:rPr>
        <w:t>改进贸易体制</w:t>
      </w:r>
      <w:r w:rsidR="00D4746E" w:rsidRPr="00D4746E">
        <w:t>可以提升贸易体制的包容性和灵活性,为制度变迁减少阻碍。而争夺国际话语权可以提升中国的国际影响力,有利于中国国内规则及制度的“输出”。</w:t>
      </w:r>
    </w:p>
    <w:p w14:paraId="76480A0F" w14:textId="0CB95757" w:rsidR="00A1797A" w:rsidRDefault="00A1797A" w:rsidP="009E5619">
      <w:pPr>
        <w:pStyle w:val="ae"/>
        <w:adjustRightInd w:val="0"/>
        <w:snapToGrid w:val="0"/>
        <w:spacing w:before="0" w:beforeAutospacing="0" w:after="0" w:afterAutospacing="0" w:line="360" w:lineRule="auto"/>
        <w:jc w:val="both"/>
        <w:rPr>
          <w:rFonts w:hint="eastAsia"/>
        </w:rPr>
      </w:pPr>
      <w:r w:rsidRPr="00A1797A">
        <w:t>1.</w:t>
      </w:r>
      <w:r w:rsidRPr="00A1797A">
        <w:rPr>
          <w:color w:val="0000FF"/>
        </w:rPr>
        <w:t>非歧视及国民待遇</w:t>
      </w:r>
      <w:r w:rsidRPr="00A1797A">
        <w:rPr>
          <w:rFonts w:hint="eastAsia"/>
          <w:color w:val="0000FF"/>
        </w:rPr>
        <w:t>：</w:t>
      </w:r>
      <w:r w:rsidRPr="00A1797A">
        <w:t>非歧视及国民待遇的原则贯穿在几乎所有的双边、区域贸易协议中,成为在跨境投资中公认度最高的国际通行规则。</w:t>
      </w:r>
    </w:p>
    <w:p w14:paraId="181EB898" w14:textId="4F64A973" w:rsidR="00A1797A" w:rsidRDefault="00A1797A" w:rsidP="009E5619">
      <w:pPr>
        <w:pStyle w:val="ae"/>
        <w:adjustRightInd w:val="0"/>
        <w:snapToGrid w:val="0"/>
        <w:spacing w:before="0" w:beforeAutospacing="0" w:after="0" w:afterAutospacing="0" w:line="360" w:lineRule="auto"/>
        <w:jc w:val="both"/>
        <w:rPr>
          <w:rFonts w:hint="eastAsia"/>
          <w:color w:val="000000" w:themeColor="text1"/>
        </w:rPr>
      </w:pPr>
      <w:r>
        <w:rPr>
          <w:rFonts w:hint="eastAsia"/>
        </w:rPr>
        <w:t>2.</w:t>
      </w:r>
      <w:r w:rsidRPr="00A1797A">
        <w:rPr>
          <w:color w:val="0000FF"/>
        </w:rPr>
        <w:t>政策统一及市场定价</w:t>
      </w:r>
      <w:r>
        <w:rPr>
          <w:rFonts w:hint="eastAsia"/>
          <w:color w:val="0000FF"/>
        </w:rPr>
        <w:t>：</w:t>
      </w:r>
      <w:r w:rsidRPr="00A1797A">
        <w:rPr>
          <w:color w:val="000000" w:themeColor="text1"/>
        </w:rPr>
        <w:t>WTO要求中国各省份的</w:t>
      </w:r>
      <w:r w:rsidRPr="00A1797A">
        <w:rPr>
          <w:color w:val="0000FF"/>
        </w:rPr>
        <w:t>贸易政策保持统一</w:t>
      </w:r>
      <w:r w:rsidRPr="00A1797A">
        <w:rPr>
          <w:color w:val="000000" w:themeColor="text1"/>
        </w:rPr>
        <w:t>并且</w:t>
      </w:r>
      <w:r w:rsidRPr="00A1797A">
        <w:rPr>
          <w:color w:val="0000FF"/>
        </w:rPr>
        <w:t>让市场机制在资源配置中发挥主导作用</w:t>
      </w:r>
      <w:r w:rsidRPr="00A1797A">
        <w:rPr>
          <w:color w:val="000000" w:themeColor="text1"/>
        </w:rPr>
        <w:t>。WTO协定延续了GATT1994第3条和《农业协定》附件2第3、第4款对价格控制的限制,要求中国</w:t>
      </w:r>
      <w:r w:rsidRPr="00A1797A">
        <w:rPr>
          <w:color w:val="0000FF"/>
        </w:rPr>
        <w:t>取消对货物和服务的多重定价做法</w:t>
      </w:r>
      <w:r w:rsidRPr="00A1797A">
        <w:rPr>
          <w:color w:val="000000" w:themeColor="text1"/>
        </w:rPr>
        <w:t>,</w:t>
      </w:r>
      <w:r w:rsidRPr="00792020">
        <w:rPr>
          <w:color w:val="EE0000"/>
        </w:rPr>
        <w:t>WTO</w:t>
      </w:r>
      <w:r w:rsidR="003F5CC8" w:rsidRPr="00792020">
        <w:rPr>
          <w:rFonts w:hint="eastAsia"/>
          <w:color w:val="EE0000"/>
        </w:rPr>
        <w:t xml:space="preserve"> </w:t>
      </w:r>
      <w:r w:rsidRPr="00792020">
        <w:rPr>
          <w:color w:val="EE0000"/>
        </w:rPr>
        <w:t>plus</w:t>
      </w:r>
      <w:r w:rsidRPr="00A1797A">
        <w:rPr>
          <w:color w:val="000000" w:themeColor="text1"/>
        </w:rPr>
        <w:t>规定了中国有义务</w:t>
      </w:r>
      <w:r w:rsidRPr="00A1797A">
        <w:rPr>
          <w:color w:val="0000FF"/>
        </w:rPr>
        <w:t>保持中央及各地区的政策一致性</w:t>
      </w:r>
      <w:r w:rsidRPr="00A1797A">
        <w:rPr>
          <w:color w:val="000000" w:themeColor="text1"/>
        </w:rPr>
        <w:t>。双边和区域贸易协议中也包含确保信息流通及市场制度构建的条约,以便进一步确保市场机制发挥主导作用。这些条款对中国内部的政策协调提出了较高的要求,也对中国政府提出了</w:t>
      </w:r>
      <w:r w:rsidRPr="00A1797A">
        <w:rPr>
          <w:color w:val="0000FF"/>
        </w:rPr>
        <w:t>减少行政干预、发挥市场主导</w:t>
      </w:r>
      <w:r w:rsidRPr="00A1797A">
        <w:rPr>
          <w:color w:val="000000" w:themeColor="text1"/>
        </w:rPr>
        <w:t>的要求。</w:t>
      </w:r>
    </w:p>
    <w:p w14:paraId="247BA18A" w14:textId="6FB1DF18" w:rsidR="00A1797A" w:rsidRDefault="00141CCD" w:rsidP="009E5619">
      <w:pPr>
        <w:pStyle w:val="ae"/>
        <w:adjustRightInd w:val="0"/>
        <w:snapToGrid w:val="0"/>
        <w:spacing w:before="0" w:beforeAutospacing="0" w:after="0" w:afterAutospacing="0" w:line="360" w:lineRule="auto"/>
        <w:jc w:val="both"/>
        <w:rPr>
          <w:rFonts w:hint="eastAsia"/>
          <w:color w:val="000000" w:themeColor="text1"/>
        </w:rPr>
      </w:pPr>
      <w:r w:rsidRPr="00141CCD">
        <w:rPr>
          <w:color w:val="0000FF"/>
        </w:rPr>
        <w:t>3.产业政策层面的法规对接</w:t>
      </w:r>
      <w:r w:rsidRPr="00141CCD">
        <w:rPr>
          <w:rFonts w:hint="eastAsia"/>
          <w:color w:val="0000FF"/>
        </w:rPr>
        <w:t>：</w:t>
      </w:r>
      <w:r w:rsidRPr="00141CCD">
        <w:rPr>
          <w:color w:val="000000" w:themeColor="text1"/>
        </w:rPr>
        <w:t>双边和多边贸易协议中也涉及国企的</w:t>
      </w:r>
      <w:r w:rsidRPr="00141CCD">
        <w:rPr>
          <w:color w:val="0000FF"/>
        </w:rPr>
        <w:t>竞争中性、国内补贴</w:t>
      </w:r>
      <w:r w:rsidRPr="00141CCD">
        <w:rPr>
          <w:color w:val="000000" w:themeColor="text1"/>
        </w:rPr>
        <w:t>对下游产业的影响等国内经济政策的协调。</w:t>
      </w:r>
    </w:p>
    <w:p w14:paraId="78FFA5A5" w14:textId="1EC89F5C" w:rsidR="00A1797A" w:rsidRDefault="00141CCD" w:rsidP="009E5619">
      <w:pPr>
        <w:pStyle w:val="ae"/>
        <w:adjustRightInd w:val="0"/>
        <w:snapToGrid w:val="0"/>
        <w:spacing w:before="0" w:beforeAutospacing="0" w:after="0" w:afterAutospacing="0" w:line="360" w:lineRule="auto"/>
        <w:jc w:val="both"/>
        <w:rPr>
          <w:rFonts w:hint="eastAsia"/>
          <w:color w:val="000000" w:themeColor="text1"/>
        </w:rPr>
      </w:pPr>
      <w:r w:rsidRPr="00141CCD">
        <w:rPr>
          <w:color w:val="0000FF"/>
        </w:rPr>
        <w:t>4.企业管理层面的法规对接</w:t>
      </w:r>
      <w:r w:rsidRPr="00141CCD">
        <w:rPr>
          <w:rFonts w:hint="eastAsia"/>
          <w:color w:val="0000FF"/>
        </w:rPr>
        <w:t>：</w:t>
      </w:r>
      <w:r w:rsidRPr="00141CCD">
        <w:rPr>
          <w:color w:val="000000" w:themeColor="text1"/>
        </w:rPr>
        <w:t>双边、区域贸易协议中也包括对于企业尤其是国营企业的约束。WTO对于</w:t>
      </w:r>
      <w:r w:rsidRPr="00141CCD">
        <w:rPr>
          <w:color w:val="0000FF"/>
        </w:rPr>
        <w:t>国营贸易企业进口购买的合</w:t>
      </w:r>
      <w:proofErr w:type="gramStart"/>
      <w:r w:rsidRPr="00141CCD">
        <w:rPr>
          <w:color w:val="0000FF"/>
        </w:rPr>
        <w:t>规</w:t>
      </w:r>
      <w:proofErr w:type="gramEnd"/>
      <w:r w:rsidRPr="00141CCD">
        <w:rPr>
          <w:color w:val="0000FF"/>
        </w:rPr>
        <w:t>性和透明性</w:t>
      </w:r>
      <w:r w:rsidRPr="00141CCD">
        <w:rPr>
          <w:color w:val="000000" w:themeColor="text1"/>
        </w:rPr>
        <w:t>都提出了要求,且规定</w:t>
      </w:r>
      <w:r w:rsidRPr="00141CCD">
        <w:rPr>
          <w:color w:val="0000FF"/>
        </w:rPr>
        <w:t>中国政府不得对国营贸易企业的经营施加直接影响或指导。</w:t>
      </w:r>
      <w:r w:rsidRPr="00141CCD">
        <w:rPr>
          <w:color w:val="000000" w:themeColor="text1"/>
        </w:rPr>
        <w:t>WTO要求中国</w:t>
      </w:r>
      <w:r w:rsidRPr="00141CCD">
        <w:rPr>
          <w:color w:val="000000" w:themeColor="text1"/>
        </w:rPr>
        <w:lastRenderedPageBreak/>
        <w:t>应在官方刊物上</w:t>
      </w:r>
      <w:r w:rsidRPr="00141CCD">
        <w:rPr>
          <w:color w:val="0000FF"/>
        </w:rPr>
        <w:t>公布技术法规、产品合格标准等</w:t>
      </w:r>
      <w:r w:rsidRPr="00141CCD">
        <w:rPr>
          <w:color w:val="000000" w:themeColor="text1"/>
        </w:rPr>
        <w:t>涉及产品要求方面的所有信息并且应使之符合《TBT协定》。许多区域贸易协定在世贸组织并未涉及到的领域提供了规则,包括</w:t>
      </w:r>
      <w:r w:rsidRPr="00141CCD">
        <w:rPr>
          <w:color w:val="0000FF"/>
        </w:rPr>
        <w:t>环境、劳动、投资、竞争以及关于服务贸易和人员流动等</w:t>
      </w:r>
      <w:r w:rsidRPr="00141CCD">
        <w:rPr>
          <w:color w:val="000000" w:themeColor="text1"/>
        </w:rPr>
        <w:t>方面。</w:t>
      </w:r>
    </w:p>
    <w:p w14:paraId="693A4434" w14:textId="595910C5" w:rsidR="00A1797A" w:rsidRPr="0022316D" w:rsidRDefault="00FF0693" w:rsidP="009E5619">
      <w:pPr>
        <w:pStyle w:val="ae"/>
        <w:adjustRightInd w:val="0"/>
        <w:snapToGrid w:val="0"/>
        <w:spacing w:before="0" w:beforeAutospacing="0" w:after="0" w:afterAutospacing="0" w:line="360" w:lineRule="auto"/>
        <w:jc w:val="both"/>
        <w:rPr>
          <w:rFonts w:hint="eastAsia"/>
          <w:color w:val="000000" w:themeColor="text1"/>
        </w:rPr>
      </w:pPr>
      <w:r w:rsidRPr="00FF0693">
        <w:rPr>
          <w:color w:val="0000FF"/>
        </w:rPr>
        <w:t>5.与全面制度</w:t>
      </w:r>
      <w:proofErr w:type="gramStart"/>
      <w:r w:rsidRPr="00FF0693">
        <w:rPr>
          <w:color w:val="0000FF"/>
        </w:rPr>
        <w:t>型开放</w:t>
      </w:r>
      <w:proofErr w:type="gramEnd"/>
      <w:r w:rsidRPr="00FF0693">
        <w:rPr>
          <w:color w:val="0000FF"/>
        </w:rPr>
        <w:t>的距离</w:t>
      </w:r>
      <w:r w:rsidRPr="00FF0693">
        <w:rPr>
          <w:rFonts w:hint="eastAsia"/>
          <w:color w:val="0000FF"/>
        </w:rPr>
        <w:t>：</w:t>
      </w:r>
      <w:r w:rsidRPr="00FF0693">
        <w:rPr>
          <w:color w:val="000000" w:themeColor="text1"/>
        </w:rPr>
        <w:t>WTO协议与多边贸易协议中尽管在各国协商的基础上加入了以各国边境内规则融合为目的的条款,然而与真正的制度</w:t>
      </w:r>
      <w:proofErr w:type="gramStart"/>
      <w:r w:rsidRPr="00FF0693">
        <w:rPr>
          <w:color w:val="000000" w:themeColor="text1"/>
        </w:rPr>
        <w:t>型开放</w:t>
      </w:r>
      <w:proofErr w:type="gramEnd"/>
      <w:r w:rsidRPr="00FF0693">
        <w:rPr>
          <w:color w:val="000000" w:themeColor="text1"/>
        </w:rPr>
        <w:t>依然存在差别。首先是</w:t>
      </w:r>
      <w:r w:rsidRPr="00FF0693">
        <w:rPr>
          <w:color w:val="0000FF"/>
        </w:rPr>
        <w:t>停留在建议和要求的层面,而不是法律章程</w:t>
      </w:r>
      <w:r w:rsidRPr="00FF0693">
        <w:rPr>
          <w:color w:val="000000" w:themeColor="text1"/>
        </w:rPr>
        <w:t>。其次是</w:t>
      </w:r>
      <w:r w:rsidRPr="00FF0693">
        <w:rPr>
          <w:color w:val="0000FF"/>
        </w:rPr>
        <w:t>停留在“碎片化”的协议,而不是统一的制度体系</w:t>
      </w:r>
      <w:r w:rsidRPr="00FF0693">
        <w:rPr>
          <w:color w:val="000000" w:themeColor="text1"/>
        </w:rPr>
        <w:t>。</w:t>
      </w:r>
      <w:r>
        <w:rPr>
          <w:rFonts w:hint="eastAsia"/>
          <w:color w:val="000000" w:themeColor="text1"/>
        </w:rPr>
        <w:t>最后</w:t>
      </w:r>
      <w:r w:rsidRPr="00FF0693">
        <w:rPr>
          <w:color w:val="000000" w:themeColor="text1"/>
        </w:rPr>
        <w:t>是</w:t>
      </w:r>
      <w:r w:rsidRPr="00FF0693">
        <w:rPr>
          <w:color w:val="0000FF"/>
        </w:rPr>
        <w:t>停留在“规则优先”的理念,而不是“发展优先”</w:t>
      </w:r>
      <w:r w:rsidRPr="00FF0693">
        <w:rPr>
          <w:color w:val="000000" w:themeColor="text1"/>
        </w:rPr>
        <w:t>。多边贸易协议中一些高要求的市场准入条约对不发达国家的进入造成了阻碍,发达国家的商品则由于贸易协议的签订而获得了更大的自由市场,并未体现出制度</w:t>
      </w:r>
      <w:proofErr w:type="gramStart"/>
      <w:r w:rsidRPr="00FF0693">
        <w:rPr>
          <w:color w:val="000000" w:themeColor="text1"/>
        </w:rPr>
        <w:t>型开放</w:t>
      </w:r>
      <w:proofErr w:type="gramEnd"/>
      <w:r w:rsidRPr="00FF0693">
        <w:rPr>
          <w:color w:val="000000" w:themeColor="text1"/>
        </w:rPr>
        <w:t>“共同发展”的理念。</w:t>
      </w:r>
    </w:p>
    <w:p w14:paraId="4844BD12" w14:textId="77777777" w:rsidR="00DD32FC" w:rsidRDefault="00DD32FC" w:rsidP="009E5619">
      <w:pPr>
        <w:pStyle w:val="ae"/>
        <w:adjustRightInd w:val="0"/>
        <w:snapToGrid w:val="0"/>
        <w:spacing w:before="0" w:beforeAutospacing="0" w:after="0" w:afterAutospacing="0" w:line="360" w:lineRule="auto"/>
        <w:ind w:firstLine="420"/>
        <w:rPr>
          <w:rFonts w:hint="eastAsia"/>
          <w:b/>
          <w:bCs/>
        </w:rPr>
      </w:pPr>
      <w:r w:rsidRPr="00636249">
        <w:rPr>
          <w:b/>
          <w:bCs/>
        </w:rPr>
        <w:t>钱学锋</w:t>
      </w:r>
      <w:r>
        <w:rPr>
          <w:rFonts w:hint="eastAsia"/>
          <w:b/>
          <w:bCs/>
        </w:rPr>
        <w:t>，2024，《</w:t>
      </w:r>
      <w:r w:rsidRPr="00636249">
        <w:rPr>
          <w:b/>
          <w:bCs/>
        </w:rPr>
        <w:t>以制度型开放引领实施自由贸易试验区提升战略</w:t>
      </w:r>
      <w:r>
        <w:rPr>
          <w:rFonts w:hint="eastAsia"/>
          <w:b/>
          <w:bCs/>
        </w:rPr>
        <w:t>》，</w:t>
      </w:r>
      <w:r w:rsidRPr="00636249">
        <w:rPr>
          <w:b/>
          <w:bCs/>
        </w:rPr>
        <w:t>人民论坛·学术前沿</w:t>
      </w:r>
      <w:r>
        <w:rPr>
          <w:rFonts w:hint="eastAsia"/>
          <w:b/>
          <w:bCs/>
        </w:rPr>
        <w:t>：</w:t>
      </w:r>
      <w:r w:rsidRPr="002B28E6">
        <w:t>制度</w:t>
      </w:r>
      <w:proofErr w:type="gramStart"/>
      <w:r w:rsidRPr="002B28E6">
        <w:t>型开放</w:t>
      </w:r>
      <w:proofErr w:type="gramEnd"/>
      <w:r w:rsidRPr="002B28E6">
        <w:t>,这种开放不同于商品和要素流动,强调在</w:t>
      </w:r>
      <w:r w:rsidRPr="002B28E6">
        <w:rPr>
          <w:color w:val="0033CC"/>
        </w:rPr>
        <w:t>规则、规制、管理、标准</w:t>
      </w:r>
      <w:r w:rsidRPr="002B28E6">
        <w:t>等领域与国际接轨,其不仅是为了吸引外资或促进贸易,更重要的是通过制度创新和融合提升本国在全球治理中的话语权和竞争力,是一种形而上的开放。相应地,其主要特征表现在以下几个方面:</w:t>
      </w:r>
      <w:r w:rsidRPr="00140C4E">
        <w:rPr>
          <w:color w:val="0033CC"/>
        </w:rPr>
        <w:t>第一,边境后开放</w:t>
      </w:r>
      <w:r w:rsidRPr="002B28E6">
        <w:t>。与传统的边境上开放不同,制度</w:t>
      </w:r>
      <w:proofErr w:type="gramStart"/>
      <w:r w:rsidRPr="002B28E6">
        <w:t>型开放</w:t>
      </w:r>
      <w:proofErr w:type="gramEnd"/>
      <w:r w:rsidRPr="002B28E6">
        <w:t>更加注重边境后的制度协调,如</w:t>
      </w:r>
      <w:r w:rsidRPr="00140C4E">
        <w:rPr>
          <w:color w:val="0033CC"/>
        </w:rPr>
        <w:t>标准一致化、竞争一致化、监管一致化</w:t>
      </w:r>
      <w:r w:rsidRPr="002B28E6">
        <w:t>等,从而通过制度的对接和标准的统一来消除制度差异引致的经济摩擦。</w:t>
      </w:r>
      <w:r w:rsidRPr="00140C4E">
        <w:rPr>
          <w:color w:val="0033CC"/>
        </w:rPr>
        <w:t>第二,稳定性开放。</w:t>
      </w:r>
      <w:r w:rsidRPr="002B28E6">
        <w:t>制度</w:t>
      </w:r>
      <w:proofErr w:type="gramStart"/>
      <w:r w:rsidRPr="002B28E6">
        <w:t>型开放</w:t>
      </w:r>
      <w:proofErr w:type="gramEnd"/>
      <w:r w:rsidRPr="002B28E6">
        <w:t>具有更强的稳定性,通过制度化的安排</w:t>
      </w:r>
      <w:r w:rsidRPr="00140C4E">
        <w:rPr>
          <w:color w:val="0033CC"/>
        </w:rPr>
        <w:t>减少政策的不确定性</w:t>
      </w:r>
      <w:r w:rsidRPr="002B28E6">
        <w:t>,进而增强市场的预期稳定性。</w:t>
      </w:r>
      <w:r w:rsidRPr="00140C4E">
        <w:rPr>
          <w:color w:val="0033CC"/>
        </w:rPr>
        <w:t>第三,无差别开放。</w:t>
      </w:r>
      <w:r w:rsidRPr="002B28E6">
        <w:t>制度</w:t>
      </w:r>
      <w:proofErr w:type="gramStart"/>
      <w:r w:rsidRPr="002B28E6">
        <w:t>型开放</w:t>
      </w:r>
      <w:proofErr w:type="gramEnd"/>
      <w:r w:rsidRPr="002B28E6">
        <w:t>强调规则的一致性和无差别性,</w:t>
      </w:r>
      <w:r w:rsidRPr="00140C4E">
        <w:rPr>
          <w:color w:val="0033CC"/>
        </w:rPr>
        <w:t>减少或消除不同国家、地区或行业之间的制度差异</w:t>
      </w:r>
      <w:r w:rsidRPr="002B28E6">
        <w:t>。</w:t>
      </w:r>
      <w:r w:rsidRPr="00140C4E">
        <w:rPr>
          <w:color w:val="0033CC"/>
        </w:rPr>
        <w:t>第四,可预期开放。</w:t>
      </w:r>
      <w:r w:rsidRPr="002B28E6">
        <w:t>制度</w:t>
      </w:r>
      <w:proofErr w:type="gramStart"/>
      <w:r w:rsidRPr="002B28E6">
        <w:t>型开放</w:t>
      </w:r>
      <w:proofErr w:type="gramEnd"/>
      <w:r w:rsidRPr="002B28E6">
        <w:t>通过透明的规则和标准,</w:t>
      </w:r>
      <w:r w:rsidRPr="00140C4E">
        <w:rPr>
          <w:color w:val="0033CC"/>
        </w:rPr>
        <w:t>减少政策的不确定性</w:t>
      </w:r>
      <w:r w:rsidRPr="002B28E6">
        <w:t>,使市场主体能够更好地预见和适应制度环境的变化。</w:t>
      </w:r>
      <w:r w:rsidRPr="00140C4E">
        <w:rPr>
          <w:color w:val="0033CC"/>
        </w:rPr>
        <w:t>第五,整体性开放。</w:t>
      </w:r>
      <w:r w:rsidRPr="002B28E6">
        <w:t>制度</w:t>
      </w:r>
      <w:proofErr w:type="gramStart"/>
      <w:r w:rsidRPr="002B28E6">
        <w:t>型开放</w:t>
      </w:r>
      <w:proofErr w:type="gramEnd"/>
      <w:r w:rsidRPr="002B28E6">
        <w:t>强调经济活动的整体性,通过</w:t>
      </w:r>
      <w:r w:rsidRPr="00140C4E">
        <w:rPr>
          <w:color w:val="0033CC"/>
        </w:rPr>
        <w:t>制度的统一和协调</w:t>
      </w:r>
      <w:r w:rsidRPr="002B28E6">
        <w:t>,推动经济的整体开放和融合。</w:t>
      </w:r>
      <w:r w:rsidRPr="00140C4E">
        <w:rPr>
          <w:color w:val="0033CC"/>
        </w:rPr>
        <w:t>第六,深层次开放。</w:t>
      </w:r>
      <w:r w:rsidRPr="002B28E6">
        <w:t>与传统开放相比,制度</w:t>
      </w:r>
      <w:proofErr w:type="gramStart"/>
      <w:r w:rsidRPr="002B28E6">
        <w:t>型开放</w:t>
      </w:r>
      <w:proofErr w:type="gramEnd"/>
      <w:r w:rsidRPr="002B28E6">
        <w:t>更加注重深层次的制度变革,包括</w:t>
      </w:r>
      <w:r w:rsidRPr="00140C4E">
        <w:rPr>
          <w:color w:val="0033CC"/>
        </w:rPr>
        <w:t>法律法规的统一、市场规则的协调、社会文化的兼容</w:t>
      </w:r>
      <w:r w:rsidRPr="002B28E6">
        <w:t>等。</w:t>
      </w:r>
    </w:p>
    <w:p w14:paraId="05FFFACA" w14:textId="4B5F44CA" w:rsidR="00DD32FC" w:rsidRDefault="00DD32FC" w:rsidP="009E5619">
      <w:pPr>
        <w:pStyle w:val="ae"/>
        <w:adjustRightInd w:val="0"/>
        <w:snapToGrid w:val="0"/>
        <w:spacing w:before="0" w:beforeAutospacing="0" w:after="0" w:afterAutospacing="0" w:line="360" w:lineRule="auto"/>
        <w:ind w:firstLine="420"/>
        <w:jc w:val="both"/>
        <w:rPr>
          <w:rFonts w:hint="eastAsia"/>
        </w:rPr>
      </w:pPr>
      <w:r w:rsidRPr="000D43EB">
        <w:t>党的二十届三中全会进一步明确了在</w:t>
      </w:r>
      <w:r w:rsidRPr="000D43EB">
        <w:rPr>
          <w:color w:val="0033CC"/>
        </w:rPr>
        <w:t>产权保护、产业补贴、环境标准、劳动保护、政府采购、电子商务、金融</w:t>
      </w:r>
      <w:r w:rsidRPr="000D43EB">
        <w:t>等具体领域的制度</w:t>
      </w:r>
      <w:proofErr w:type="gramStart"/>
      <w:r w:rsidRPr="000D43EB">
        <w:t>型开放</w:t>
      </w:r>
      <w:proofErr w:type="gramEnd"/>
      <w:r w:rsidRPr="000D43EB">
        <w:t>要求。</w:t>
      </w:r>
    </w:p>
    <w:p w14:paraId="44BBE4EE" w14:textId="3FB96251" w:rsidR="008C3998" w:rsidRPr="00123393" w:rsidRDefault="008C3998" w:rsidP="009E5619">
      <w:pPr>
        <w:pStyle w:val="ae"/>
        <w:adjustRightInd w:val="0"/>
        <w:snapToGrid w:val="0"/>
        <w:spacing w:before="0" w:beforeAutospacing="0" w:after="0" w:afterAutospacing="0" w:line="360" w:lineRule="auto"/>
        <w:ind w:firstLine="420"/>
        <w:jc w:val="both"/>
        <w:rPr>
          <w:rFonts w:hint="eastAsia"/>
          <w:b/>
          <w:bCs/>
        </w:rPr>
      </w:pPr>
      <w:r w:rsidRPr="008C3998">
        <w:rPr>
          <w:b/>
          <w:bCs/>
        </w:rPr>
        <w:t>林跃勤</w:t>
      </w:r>
      <w:r w:rsidRPr="008C3998">
        <w:rPr>
          <w:rFonts w:hint="eastAsia"/>
          <w:b/>
          <w:bCs/>
        </w:rPr>
        <w:t>，2024，《</w:t>
      </w:r>
      <w:r w:rsidRPr="008C3998">
        <w:rPr>
          <w:b/>
          <w:bCs/>
        </w:rPr>
        <w:t>制度型开放促进深层次改革的逻辑机理与基本面向</w:t>
      </w:r>
      <w:r w:rsidRPr="008C3998">
        <w:rPr>
          <w:rFonts w:hint="eastAsia"/>
          <w:b/>
          <w:bCs/>
        </w:rPr>
        <w:t>》，</w:t>
      </w:r>
      <w:r w:rsidRPr="00FF4093">
        <w:rPr>
          <w:b/>
          <w:bCs/>
        </w:rPr>
        <w:t>人民论坛·学术前沿</w:t>
      </w:r>
      <w:r>
        <w:rPr>
          <w:rFonts w:hint="eastAsia"/>
          <w:b/>
          <w:bCs/>
        </w:rPr>
        <w:t>：</w:t>
      </w:r>
      <w:r w:rsidR="00806EB2" w:rsidRPr="00806EB2">
        <w:t>其核心要义可以解释为,参照国际通行先进规则,致力于建立</w:t>
      </w:r>
      <w:r w:rsidR="00806EB2" w:rsidRPr="00806EB2">
        <w:lastRenderedPageBreak/>
        <w:t>一个以公平、透明、法制清晰、规范为特征的现代开放市场经济体制。与基于要素流动的开放相比,制度</w:t>
      </w:r>
      <w:proofErr w:type="gramStart"/>
      <w:r w:rsidR="00806EB2" w:rsidRPr="00806EB2">
        <w:t>型开放包括边境措施</w:t>
      </w:r>
      <w:proofErr w:type="gramEnd"/>
      <w:r w:rsidR="00806EB2" w:rsidRPr="00806EB2">
        <w:t>开放和“边境后”措施开放两个维度。其中,投资领域和服务贸易领域开放属于</w:t>
      </w:r>
      <w:proofErr w:type="gramStart"/>
      <w:r w:rsidR="00806EB2" w:rsidRPr="00806EB2">
        <w:t>边境措施</w:t>
      </w:r>
      <w:proofErr w:type="gramEnd"/>
      <w:r w:rsidR="00806EB2" w:rsidRPr="00806EB2">
        <w:t>开放,而“边境后”措施开放则指国内包括经贸制度规则和政策举措在内的营商环境优化,主要体现在</w:t>
      </w:r>
      <w:r w:rsidR="00806EB2" w:rsidRPr="001B0847">
        <w:rPr>
          <w:color w:val="0033CC"/>
        </w:rPr>
        <w:t>竞争中性、原产地规则、准入限制和补贴规则等</w:t>
      </w:r>
      <w:r w:rsidR="00806EB2" w:rsidRPr="00806EB2">
        <w:t>方面。优化依据不仅包括国内对外部制度规则与经贸合作呈现的制度规则新趋势的认知,也包括对自身规则制度的反思与主动改进。一</w:t>
      </w:r>
      <w:proofErr w:type="gramStart"/>
      <w:r w:rsidR="00806EB2" w:rsidRPr="00806EB2">
        <w:t>国制度型开放</w:t>
      </w:r>
      <w:proofErr w:type="gramEnd"/>
      <w:r w:rsidR="00806EB2" w:rsidRPr="00806EB2">
        <w:t>涉及对不适应开放型经济的生产关系和上层建筑进行调整和完善,使其更适应开放发展的需要,具体体现为设立或完善相关法律法规和各类规则、规制、管理、标准</w:t>
      </w:r>
      <w:r w:rsidR="00806EB2">
        <w:rPr>
          <w:rFonts w:hint="eastAsia"/>
        </w:rPr>
        <w:t>等。</w:t>
      </w:r>
    </w:p>
    <w:p w14:paraId="7A0AE673" w14:textId="23CBB7DB" w:rsidR="00C739C1" w:rsidRDefault="00FF4093" w:rsidP="00F22C2A">
      <w:pPr>
        <w:pStyle w:val="ae"/>
        <w:adjustRightInd w:val="0"/>
        <w:snapToGrid w:val="0"/>
        <w:spacing w:before="0" w:beforeAutospacing="0" w:after="0" w:afterAutospacing="0" w:line="360" w:lineRule="auto"/>
        <w:ind w:firstLine="420"/>
        <w:jc w:val="both"/>
        <w:rPr>
          <w:rFonts w:hint="eastAsia"/>
          <w:color w:val="000000" w:themeColor="text1"/>
        </w:rPr>
      </w:pPr>
      <w:r w:rsidRPr="00FF4093">
        <w:rPr>
          <w:b/>
          <w:bCs/>
        </w:rPr>
        <w:t>洪俊杰</w:t>
      </w:r>
      <w:r w:rsidR="00636249">
        <w:rPr>
          <w:rFonts w:hint="eastAsia"/>
          <w:b/>
          <w:bCs/>
        </w:rPr>
        <w:t>，2024，</w:t>
      </w:r>
      <w:r>
        <w:rPr>
          <w:rFonts w:hint="eastAsia"/>
          <w:b/>
          <w:bCs/>
        </w:rPr>
        <w:t>《</w:t>
      </w:r>
      <w:r w:rsidRPr="00FF4093">
        <w:rPr>
          <w:b/>
          <w:bCs/>
        </w:rPr>
        <w:t>我国推进制度型开放面临的形势、挑战与应对</w:t>
      </w:r>
      <w:r>
        <w:rPr>
          <w:rFonts w:hint="eastAsia"/>
          <w:b/>
          <w:bCs/>
        </w:rPr>
        <w:t>》</w:t>
      </w:r>
      <w:r w:rsidR="00636249">
        <w:rPr>
          <w:rFonts w:hint="eastAsia"/>
          <w:b/>
          <w:bCs/>
        </w:rPr>
        <w:t>，</w:t>
      </w:r>
      <w:r w:rsidRPr="00FF4093">
        <w:rPr>
          <w:b/>
          <w:bCs/>
        </w:rPr>
        <w:t>人民论坛·学术前沿</w:t>
      </w:r>
      <w:r>
        <w:rPr>
          <w:rFonts w:hint="eastAsia"/>
          <w:b/>
          <w:bCs/>
        </w:rPr>
        <w:t>：</w:t>
      </w:r>
      <w:r w:rsidRPr="00FF4093">
        <w:t>制度</w:t>
      </w:r>
      <w:proofErr w:type="gramStart"/>
      <w:r w:rsidRPr="00FF4093">
        <w:t>型开放</w:t>
      </w:r>
      <w:proofErr w:type="gramEnd"/>
      <w:r w:rsidRPr="00FF4093">
        <w:t>是构建更高水平开放型经济新体制的关键,它代表了更高水平的开放,具有更大的开放难度,更具稳定性和系统性,涉及范围更广,更强调包括</w:t>
      </w:r>
      <w:r w:rsidRPr="002B28E6">
        <w:rPr>
          <w:color w:val="0033CC"/>
        </w:rPr>
        <w:t>知识产权、环境保护、技术标准、劳动保护、数据管理</w:t>
      </w:r>
      <w:r w:rsidRPr="00FF4093">
        <w:t>等经济因素和诸多非经济因素在内的“边境内”开放规则。制度</w:t>
      </w:r>
      <w:proofErr w:type="gramStart"/>
      <w:r w:rsidRPr="00FF4093">
        <w:t>型开放</w:t>
      </w:r>
      <w:proofErr w:type="gramEnd"/>
      <w:r w:rsidRPr="00FF4093">
        <w:t>的核心要义和主攻方向主要体现在</w:t>
      </w:r>
      <w:r w:rsidRPr="002B28E6">
        <w:rPr>
          <w:color w:val="0033CC"/>
        </w:rPr>
        <w:t>规则、规制、管理、标准</w:t>
      </w:r>
      <w:r w:rsidRPr="00FF4093">
        <w:t>四大方面,广泛覆盖对外开放各具体领域,且表现为更深层次的开放。制度</w:t>
      </w:r>
      <w:proofErr w:type="gramStart"/>
      <w:r w:rsidRPr="00FF4093">
        <w:t>型开放</w:t>
      </w:r>
      <w:proofErr w:type="gramEnd"/>
      <w:r w:rsidRPr="00FF4093">
        <w:t>作为一种规则体系的开放,强调通过规则制度的引进来和走出去,实现国内基本</w:t>
      </w:r>
      <w:r w:rsidRPr="002B28E6">
        <w:rPr>
          <w:color w:val="0033CC"/>
        </w:rPr>
        <w:t>规则制度框架、管理体制与国际高标准经贸规则的对接</w:t>
      </w:r>
      <w:r w:rsidRPr="00FF4093">
        <w:t>,并注重</w:t>
      </w:r>
      <w:r w:rsidRPr="00D04E28">
        <w:rPr>
          <w:color w:val="0000FF"/>
        </w:rPr>
        <w:t>政策制度的协调性和一致性</w:t>
      </w:r>
      <w:r w:rsidRPr="00FF4093">
        <w:t>。其本质是通过体制创新构建一种更能适应高水平开放型经济新体制的制度体系,更好地在</w:t>
      </w:r>
      <w:r w:rsidRPr="00D04E28">
        <w:rPr>
          <w:color w:val="0000FF"/>
        </w:rPr>
        <w:t>制度层面与国际接轨与互动</w:t>
      </w:r>
      <w:r w:rsidRPr="00FF4093">
        <w:t>,打造一个满足高质量开放发展的</w:t>
      </w:r>
      <w:r w:rsidRPr="00D04E28">
        <w:rPr>
          <w:color w:val="0000FF"/>
        </w:rPr>
        <w:t>公平、透明、有序和高效的制度环境</w:t>
      </w:r>
      <w:r w:rsidRPr="00FF4093">
        <w:t>,不断拓展和深化各领域的高水平开放,实现互利共赢和</w:t>
      </w:r>
      <w:r w:rsidRPr="00D04E28">
        <w:rPr>
          <w:color w:val="0000FF"/>
        </w:rPr>
        <w:t>深度参与国际经济治理</w:t>
      </w:r>
      <w:r w:rsidRPr="00FF4093">
        <w:t>,推动构建一个更为公开统一的全球范围内的开放型经济体系。</w:t>
      </w:r>
    </w:p>
    <w:p w14:paraId="4F4E7FFC" w14:textId="0314B33A" w:rsidR="00A95192" w:rsidRPr="004D1180" w:rsidRDefault="004D1180" w:rsidP="009E5619">
      <w:pPr>
        <w:pStyle w:val="ae"/>
        <w:adjustRightInd w:val="0"/>
        <w:snapToGrid w:val="0"/>
        <w:spacing w:before="0" w:beforeAutospacing="0" w:after="0" w:afterAutospacing="0" w:line="360" w:lineRule="auto"/>
        <w:ind w:firstLine="420"/>
        <w:rPr>
          <w:rFonts w:hint="eastAsia"/>
          <w:b/>
          <w:bCs/>
        </w:rPr>
      </w:pPr>
      <w:r w:rsidRPr="004D1180">
        <w:rPr>
          <w:b/>
          <w:bCs/>
        </w:rPr>
        <w:t>裴长洪</w:t>
      </w:r>
      <w:r w:rsidRPr="004D1180">
        <w:rPr>
          <w:rFonts w:hint="eastAsia"/>
          <w:b/>
          <w:bCs/>
        </w:rPr>
        <w:t>和</w:t>
      </w:r>
      <w:r w:rsidRPr="004D1180">
        <w:rPr>
          <w:b/>
          <w:bCs/>
        </w:rPr>
        <w:t>倪江飞</w:t>
      </w:r>
      <w:r>
        <w:rPr>
          <w:rFonts w:hint="eastAsia"/>
          <w:b/>
          <w:bCs/>
        </w:rPr>
        <w:t>，2024，《</w:t>
      </w:r>
      <w:r w:rsidRPr="004D1180">
        <w:rPr>
          <w:b/>
          <w:bCs/>
        </w:rPr>
        <w:t>我国制度型开放与自由贸易试验区(港)实践创新</w:t>
      </w:r>
      <w:r>
        <w:rPr>
          <w:rFonts w:hint="eastAsia"/>
          <w:b/>
          <w:bCs/>
        </w:rPr>
        <w:t>》，国际贸易研究：</w:t>
      </w:r>
      <w:r w:rsidRPr="004D1180">
        <w:t>所谓制度</w:t>
      </w:r>
      <w:proofErr w:type="gramStart"/>
      <w:r w:rsidRPr="004D1180">
        <w:t>型开放</w:t>
      </w:r>
      <w:proofErr w:type="gramEnd"/>
      <w:r w:rsidRPr="004D1180">
        <w:t>,从理论上说就是改革不适应开放型经济的生产关系和上层建筑,具体表现为在</w:t>
      </w:r>
      <w:r w:rsidRPr="004D1180">
        <w:rPr>
          <w:color w:val="0000FF"/>
        </w:rPr>
        <w:t>边境上和边境后的法律、法规和各类规则、规章</w:t>
      </w:r>
      <w:r w:rsidRPr="004D1180">
        <w:t>。世界资本主义经济体系的生产关系存在两重性,它既具有反映资本主义本质,榨取本国和外国劳动者剩余价值的一面,也有反映世界文明,推动世界生产力发展的另一面,如</w:t>
      </w:r>
      <w:r w:rsidRPr="004D1180">
        <w:rPr>
          <w:color w:val="0000FF"/>
        </w:rPr>
        <w:t>有利于贸易投资自由化、经济全球化的国际规则和多边协议等</w:t>
      </w:r>
      <w:r w:rsidRPr="004D1180">
        <w:t>。我国的制度</w:t>
      </w:r>
      <w:proofErr w:type="gramStart"/>
      <w:r w:rsidRPr="004D1180">
        <w:t>型开放</w:t>
      </w:r>
      <w:proofErr w:type="gramEnd"/>
      <w:r w:rsidRPr="004D1180">
        <w:t>就是最大可能地吸纳这个“文明面”,以完善开放型经济的生产关系。</w:t>
      </w:r>
    </w:p>
    <w:p w14:paraId="5C085889" w14:textId="6D8D8CE5" w:rsidR="006955FE" w:rsidRDefault="004D1180" w:rsidP="009E5619">
      <w:pPr>
        <w:pStyle w:val="ae"/>
        <w:adjustRightInd w:val="0"/>
        <w:snapToGrid w:val="0"/>
        <w:spacing w:before="0" w:beforeAutospacing="0" w:after="0" w:afterAutospacing="0" w:line="360" w:lineRule="auto"/>
        <w:ind w:firstLine="420"/>
        <w:rPr>
          <w:rFonts w:hint="eastAsia"/>
        </w:rPr>
      </w:pPr>
      <w:r w:rsidRPr="004D1180">
        <w:lastRenderedPageBreak/>
        <w:t>制度</w:t>
      </w:r>
      <w:proofErr w:type="gramStart"/>
      <w:r w:rsidRPr="004D1180">
        <w:t>型开放</w:t>
      </w:r>
      <w:proofErr w:type="gramEnd"/>
      <w:r w:rsidRPr="004D1180">
        <w:t>是国内外规则、规制、管理、标准等制度安排的趋同过程。一方面,</w:t>
      </w:r>
      <w:r w:rsidRPr="004D1180">
        <w:rPr>
          <w:color w:val="000000" w:themeColor="text1"/>
        </w:rPr>
        <w:t>对</w:t>
      </w:r>
      <w:proofErr w:type="gramStart"/>
      <w:r w:rsidRPr="004D1180">
        <w:rPr>
          <w:color w:val="000000" w:themeColor="text1"/>
        </w:rPr>
        <w:t>标国际</w:t>
      </w:r>
      <w:proofErr w:type="gramEnd"/>
      <w:r w:rsidRPr="004D1180">
        <w:rPr>
          <w:color w:val="000000" w:themeColor="text1"/>
        </w:rPr>
        <w:t>经贸规则而主动改变国内的治理政策</w:t>
      </w:r>
      <w:r w:rsidRPr="004D1180">
        <w:t>,这个过程就是</w:t>
      </w:r>
      <w:r w:rsidRPr="004D1180">
        <w:rPr>
          <w:color w:val="0000FF"/>
        </w:rPr>
        <w:t>国际经贸规则的“国内化”</w:t>
      </w:r>
      <w:r w:rsidRPr="004D1180">
        <w:t>;另一方面,一国将在实践中被证明优于国际的经贸规则通过多边渠道供各国使用,实现国内规则国际化的过程,就是</w:t>
      </w:r>
      <w:r w:rsidRPr="004D1180">
        <w:rPr>
          <w:color w:val="0000FF"/>
        </w:rPr>
        <w:t>国内经贸规则的“国际化”</w:t>
      </w:r>
      <w:r w:rsidRPr="004D1180">
        <w:t>。按照这个逻辑,我国提出的制度</w:t>
      </w:r>
      <w:proofErr w:type="gramStart"/>
      <w:r w:rsidRPr="004D1180">
        <w:t>型开放</w:t>
      </w:r>
      <w:proofErr w:type="gramEnd"/>
      <w:r w:rsidRPr="004D1180">
        <w:t>,不仅要实现与高标准国际经贸规则的有效衔接,更好地服务更高水平开放型经济新体制构建,更要引领国际经贸规则制定,为构建更加公平合理的国际经贸规则提供中国方案。</w:t>
      </w:r>
    </w:p>
    <w:p w14:paraId="0034F012" w14:textId="672FFAA9" w:rsidR="006955FE" w:rsidRDefault="004D1180" w:rsidP="009E5619">
      <w:pPr>
        <w:pStyle w:val="ae"/>
        <w:adjustRightInd w:val="0"/>
        <w:snapToGrid w:val="0"/>
        <w:spacing w:before="0" w:beforeAutospacing="0" w:after="0" w:afterAutospacing="0" w:line="360" w:lineRule="auto"/>
        <w:ind w:firstLine="420"/>
        <w:rPr>
          <w:rFonts w:hint="eastAsia"/>
        </w:rPr>
      </w:pPr>
      <w:r>
        <w:rPr>
          <w:rFonts w:hint="eastAsia"/>
        </w:rPr>
        <w:t>一些新进展</w:t>
      </w:r>
      <w:r w:rsidR="00C06F67">
        <w:rPr>
          <w:rFonts w:hint="eastAsia"/>
        </w:rPr>
        <w:t>（但不是从四个维度出发）</w:t>
      </w:r>
      <w:r>
        <w:rPr>
          <w:rFonts w:hint="eastAsia"/>
        </w:rPr>
        <w:t>：</w:t>
      </w:r>
    </w:p>
    <w:p w14:paraId="6473131B" w14:textId="650F1F94" w:rsidR="00C06F67" w:rsidRDefault="00C06F67" w:rsidP="009E5619">
      <w:pPr>
        <w:pStyle w:val="ae"/>
        <w:adjustRightInd w:val="0"/>
        <w:snapToGrid w:val="0"/>
        <w:spacing w:before="0" w:beforeAutospacing="0" w:after="0" w:afterAutospacing="0" w:line="360" w:lineRule="auto"/>
        <w:ind w:firstLine="420"/>
        <w:rPr>
          <w:rFonts w:hint="eastAsia"/>
        </w:rPr>
      </w:pPr>
      <w:r w:rsidRPr="00C06F67">
        <w:t>(</w:t>
      </w:r>
      <w:proofErr w:type="gramStart"/>
      <w:r w:rsidRPr="00C06F67">
        <w:t>一</w:t>
      </w:r>
      <w:proofErr w:type="gramEnd"/>
      <w:r w:rsidRPr="00C06F67">
        <w:t>)以</w:t>
      </w:r>
      <w:r w:rsidRPr="00E2592A">
        <w:rPr>
          <w:color w:val="0000FF"/>
        </w:rPr>
        <w:t>准入</w:t>
      </w:r>
      <w:r w:rsidRPr="00C06F67">
        <w:rPr>
          <w:color w:val="0000FF"/>
        </w:rPr>
        <w:t>前国民待遇</w:t>
      </w:r>
      <w:r w:rsidRPr="00C06F67">
        <w:t>加</w:t>
      </w:r>
      <w:r w:rsidRPr="00C06F67">
        <w:rPr>
          <w:color w:val="0000FF"/>
        </w:rPr>
        <w:t>负面清单</w:t>
      </w:r>
      <w:r w:rsidRPr="00C06F67">
        <w:t>为核心的外商投资管理制度,推动我国外资管理模式的历史性转变</w:t>
      </w:r>
    </w:p>
    <w:p w14:paraId="271AEBB0" w14:textId="75C6C30A" w:rsidR="00C06F67" w:rsidRDefault="00C06F67" w:rsidP="009E5619">
      <w:pPr>
        <w:pStyle w:val="ae"/>
        <w:adjustRightInd w:val="0"/>
        <w:snapToGrid w:val="0"/>
        <w:spacing w:before="0" w:beforeAutospacing="0" w:after="0" w:afterAutospacing="0" w:line="360" w:lineRule="auto"/>
        <w:ind w:firstLine="420"/>
        <w:rPr>
          <w:rFonts w:hint="eastAsia"/>
        </w:rPr>
      </w:pPr>
      <w:r w:rsidRPr="00C06F67">
        <w:t>(二)以</w:t>
      </w:r>
      <w:r w:rsidRPr="00C06F67">
        <w:rPr>
          <w:color w:val="0000FF"/>
        </w:rPr>
        <w:t>“单一窗口”</w:t>
      </w:r>
      <w:r w:rsidRPr="00C06F67">
        <w:t>为核心的</w:t>
      </w:r>
      <w:r w:rsidRPr="00C06F67">
        <w:rPr>
          <w:color w:val="0000FF"/>
        </w:rPr>
        <w:t>贸易便利化</w:t>
      </w:r>
      <w:r w:rsidRPr="00C06F67">
        <w:t>管理制度,助推跨境贸易效率提升</w:t>
      </w:r>
    </w:p>
    <w:p w14:paraId="2EC1F2AC" w14:textId="49FDC550" w:rsidR="00C06F67" w:rsidRDefault="00C06F67" w:rsidP="009E5619">
      <w:pPr>
        <w:pStyle w:val="ae"/>
        <w:adjustRightInd w:val="0"/>
        <w:snapToGrid w:val="0"/>
        <w:spacing w:before="0" w:beforeAutospacing="0" w:after="0" w:afterAutospacing="0" w:line="360" w:lineRule="auto"/>
        <w:ind w:firstLine="420"/>
        <w:rPr>
          <w:rFonts w:hint="eastAsia"/>
        </w:rPr>
      </w:pPr>
      <w:r w:rsidRPr="00C06F67">
        <w:t>(三)以自由贸易账户分账核算体系为核心的金融创新,为国家高水平金融开放提供支撑</w:t>
      </w:r>
    </w:p>
    <w:p w14:paraId="248829B8" w14:textId="52F0881D" w:rsidR="00C06F67" w:rsidRDefault="00C06F67" w:rsidP="009E5619">
      <w:pPr>
        <w:pStyle w:val="ae"/>
        <w:adjustRightInd w:val="0"/>
        <w:snapToGrid w:val="0"/>
        <w:spacing w:before="0" w:beforeAutospacing="0" w:after="0" w:afterAutospacing="0" w:line="360" w:lineRule="auto"/>
        <w:ind w:firstLine="420"/>
        <w:rPr>
          <w:rFonts w:hint="eastAsia"/>
        </w:rPr>
      </w:pPr>
      <w:r w:rsidRPr="00C06F67">
        <w:t>(四)以扩大金融开放和推动金融创新为有效途径,稳步推进人民币国际化进程</w:t>
      </w:r>
    </w:p>
    <w:p w14:paraId="7182BE0B" w14:textId="2937247B" w:rsidR="00C06F67" w:rsidRDefault="00C06F67" w:rsidP="009E5619">
      <w:pPr>
        <w:pStyle w:val="ae"/>
        <w:adjustRightInd w:val="0"/>
        <w:snapToGrid w:val="0"/>
        <w:spacing w:before="0" w:beforeAutospacing="0" w:after="0" w:afterAutospacing="0" w:line="360" w:lineRule="auto"/>
        <w:ind w:firstLine="420"/>
        <w:rPr>
          <w:rFonts w:hint="eastAsia"/>
        </w:rPr>
      </w:pPr>
      <w:r w:rsidRPr="00C06F67">
        <w:t>(五)以跨境服务贸易</w:t>
      </w:r>
      <w:r w:rsidRPr="00C06F67">
        <w:rPr>
          <w:color w:val="0000FF"/>
        </w:rPr>
        <w:t>负面清单</w:t>
      </w:r>
      <w:r w:rsidRPr="00C06F67">
        <w:t>为核心的服务贸易管理模式,提升</w:t>
      </w:r>
      <w:r w:rsidRPr="00C06F67">
        <w:rPr>
          <w:color w:val="0000FF"/>
        </w:rPr>
        <w:t>服务业</w:t>
      </w:r>
      <w:r w:rsidRPr="00C06F67">
        <w:t>对外开放度</w:t>
      </w:r>
    </w:p>
    <w:p w14:paraId="540AE8A5" w14:textId="67802EC9" w:rsidR="00C06F67" w:rsidRDefault="00C06F67" w:rsidP="00BF3BD2">
      <w:pPr>
        <w:pStyle w:val="ae"/>
        <w:adjustRightInd w:val="0"/>
        <w:snapToGrid w:val="0"/>
        <w:spacing w:before="0" w:beforeAutospacing="0" w:after="0" w:afterAutospacing="0" w:line="360" w:lineRule="auto"/>
        <w:ind w:firstLine="420"/>
        <w:rPr>
          <w:rFonts w:hint="eastAsia"/>
        </w:rPr>
      </w:pPr>
      <w:r w:rsidRPr="00C06F67">
        <w:t>(六)以</w:t>
      </w:r>
      <w:r w:rsidRPr="00C06F67">
        <w:rPr>
          <w:color w:val="0000FF"/>
        </w:rPr>
        <w:t>“放管服”</w:t>
      </w:r>
      <w:r w:rsidRPr="00C06F67">
        <w:t>为核心的政府职能转变,推动营商环境持续优化</w:t>
      </w:r>
    </w:p>
    <w:p w14:paraId="0EC23326" w14:textId="03082ECC" w:rsidR="00335574" w:rsidRPr="00335574" w:rsidRDefault="00335574" w:rsidP="009E5619">
      <w:pPr>
        <w:pStyle w:val="ae"/>
        <w:adjustRightInd w:val="0"/>
        <w:snapToGrid w:val="0"/>
        <w:spacing w:before="0" w:beforeAutospacing="0" w:after="0" w:afterAutospacing="0" w:line="360" w:lineRule="auto"/>
        <w:ind w:firstLine="420"/>
        <w:rPr>
          <w:rFonts w:hint="eastAsia"/>
          <w:b/>
          <w:bCs/>
        </w:rPr>
      </w:pPr>
      <w:r w:rsidRPr="00335574">
        <w:rPr>
          <w:rFonts w:hint="eastAsia"/>
          <w:b/>
          <w:bCs/>
        </w:rPr>
        <w:t>相关量化：</w:t>
      </w:r>
    </w:p>
    <w:p w14:paraId="2D2D8B9E" w14:textId="63CC1DF3" w:rsidR="00335574" w:rsidRDefault="00552B9E" w:rsidP="009E5619">
      <w:pPr>
        <w:pStyle w:val="ae"/>
        <w:adjustRightInd w:val="0"/>
        <w:snapToGrid w:val="0"/>
        <w:spacing w:before="0" w:beforeAutospacing="0" w:after="0" w:afterAutospacing="0" w:line="360" w:lineRule="auto"/>
        <w:ind w:firstLine="420"/>
        <w:rPr>
          <w:rFonts w:hint="eastAsia"/>
          <w:b/>
          <w:bCs/>
        </w:rPr>
      </w:pPr>
      <w:proofErr w:type="gramStart"/>
      <w:r w:rsidRPr="00552B9E">
        <w:rPr>
          <w:b/>
          <w:bCs/>
        </w:rPr>
        <w:t>卓</w:t>
      </w:r>
      <w:proofErr w:type="gramEnd"/>
      <w:r w:rsidRPr="00552B9E">
        <w:rPr>
          <w:b/>
          <w:bCs/>
        </w:rPr>
        <w:t>乘风</w:t>
      </w:r>
      <w:r>
        <w:rPr>
          <w:rFonts w:hint="eastAsia"/>
          <w:b/>
          <w:bCs/>
        </w:rPr>
        <w:t>和</w:t>
      </w:r>
      <w:r w:rsidRPr="00552B9E">
        <w:rPr>
          <w:b/>
          <w:bCs/>
        </w:rPr>
        <w:t>毛艳华</w:t>
      </w:r>
      <w:r>
        <w:rPr>
          <w:rFonts w:hint="eastAsia"/>
          <w:b/>
          <w:bCs/>
        </w:rPr>
        <w:t>，2023，《</w:t>
      </w:r>
      <w:r w:rsidRPr="00552B9E">
        <w:rPr>
          <w:b/>
          <w:bCs/>
        </w:rPr>
        <w:t>制度型开放与城市经济韧性</w:t>
      </w:r>
      <w:r>
        <w:rPr>
          <w:rFonts w:hint="eastAsia"/>
          <w:b/>
          <w:bCs/>
        </w:rPr>
        <w:t>》，</w:t>
      </w:r>
      <w:r w:rsidRPr="00552B9E">
        <w:rPr>
          <w:b/>
          <w:bCs/>
        </w:rPr>
        <w:t>国际贸易问题</w:t>
      </w:r>
      <w:r w:rsidR="009978CA">
        <w:rPr>
          <w:rFonts w:hint="eastAsia"/>
          <w:b/>
          <w:bCs/>
        </w:rPr>
        <w:t>：</w:t>
      </w:r>
      <w:r w:rsidR="009978CA" w:rsidRPr="009978CA">
        <w:t>主要从自贸试验区制度创新逻辑出发，构建城市层面制度</w:t>
      </w:r>
      <w:proofErr w:type="gramStart"/>
      <w:r w:rsidR="009978CA" w:rsidRPr="009978CA">
        <w:t>型开放</w:t>
      </w:r>
      <w:proofErr w:type="gramEnd"/>
      <w:r w:rsidR="009978CA" w:rsidRPr="009978CA">
        <w:t>测度框架。该文认为，自贸试验区是我国推进制度</w:t>
      </w:r>
      <w:proofErr w:type="gramStart"/>
      <w:r w:rsidR="009978CA" w:rsidRPr="009978CA">
        <w:t>型开放</w:t>
      </w:r>
      <w:proofErr w:type="gramEnd"/>
      <w:r w:rsidR="009978CA" w:rsidRPr="009978CA">
        <w:t>的重要试验田，其制度创新实践能够较好反映制度</w:t>
      </w:r>
      <w:proofErr w:type="gramStart"/>
      <w:r w:rsidR="009978CA" w:rsidRPr="009978CA">
        <w:t>型开放</w:t>
      </w:r>
      <w:proofErr w:type="gramEnd"/>
      <w:r w:rsidR="009978CA" w:rsidRPr="009978CA">
        <w:t>的核心内容。因此，作者从</w:t>
      </w:r>
      <w:r w:rsidR="009978CA" w:rsidRPr="00F64CE3">
        <w:rPr>
          <w:color w:val="0000FF"/>
        </w:rPr>
        <w:t>转变政府职能、创新贸易监管方式、改革投资管理制度、促进金融开放创新和完善法治化建设</w:t>
      </w:r>
      <w:r w:rsidR="009978CA" w:rsidRPr="009978CA">
        <w:t>五个维度构建指标体系，并基于各自贸试验区方案文本、商务部发布的制度创新成果和最佳实践案例建立关键词池。在具体测度上，</w:t>
      </w:r>
      <w:r w:rsidR="009978CA" w:rsidRPr="001A5ECB">
        <w:rPr>
          <w:color w:val="0000FF"/>
        </w:rPr>
        <w:t>文章收集2007—2019年地级市层面的政策文本，将文本按标点切分为单个语料，再采用“前缀+核心词+后缀”“前缀+核心词”“核心词+后缀”以及特定词汇匹配的文本组合识别法，统计各城市各年份制度</w:t>
      </w:r>
      <w:proofErr w:type="gramStart"/>
      <w:r w:rsidR="009978CA" w:rsidRPr="001A5ECB">
        <w:rPr>
          <w:color w:val="0000FF"/>
        </w:rPr>
        <w:t>型开放</w:t>
      </w:r>
      <w:proofErr w:type="gramEnd"/>
      <w:r w:rsidR="009978CA" w:rsidRPr="001A5ECB">
        <w:rPr>
          <w:color w:val="0000FF"/>
        </w:rPr>
        <w:t>相关关键词频数。最后，对关键词频数加1并取自然对数，得到城市层面的制度</w:t>
      </w:r>
      <w:proofErr w:type="gramStart"/>
      <w:r w:rsidR="009978CA" w:rsidRPr="001A5ECB">
        <w:rPr>
          <w:color w:val="0000FF"/>
        </w:rPr>
        <w:t>型开放</w:t>
      </w:r>
      <w:proofErr w:type="gramEnd"/>
      <w:r w:rsidR="009978CA" w:rsidRPr="001A5ECB">
        <w:rPr>
          <w:color w:val="0000FF"/>
        </w:rPr>
        <w:t>综合指数及</w:t>
      </w:r>
      <w:proofErr w:type="gramStart"/>
      <w:r w:rsidR="009978CA" w:rsidRPr="001A5ECB">
        <w:rPr>
          <w:color w:val="0000FF"/>
        </w:rPr>
        <w:t>五个分维度</w:t>
      </w:r>
      <w:proofErr w:type="gramEnd"/>
      <w:r w:rsidR="009978CA" w:rsidRPr="001A5ECB">
        <w:rPr>
          <w:color w:val="0000FF"/>
        </w:rPr>
        <w:t>指数。</w:t>
      </w:r>
      <w:r w:rsidR="009978CA" w:rsidRPr="009978CA">
        <w:t>该方法的</w:t>
      </w:r>
      <w:r w:rsidR="009978CA" w:rsidRPr="009978CA">
        <w:lastRenderedPageBreak/>
        <w:t>优势在于能够将制度</w:t>
      </w:r>
      <w:proofErr w:type="gramStart"/>
      <w:r w:rsidR="009978CA" w:rsidRPr="009978CA">
        <w:t>型开放</w:t>
      </w:r>
      <w:proofErr w:type="gramEnd"/>
      <w:r w:rsidR="009978CA" w:rsidRPr="009978CA">
        <w:t>转化为连续型、城市层面的量化指标，并可进一步识别不同制度创新领域的异质性影响；但其不足在于主要刻画</w:t>
      </w:r>
      <w:proofErr w:type="gramStart"/>
      <w:r w:rsidR="009978CA" w:rsidRPr="009978CA">
        <w:t>国内制度</w:t>
      </w:r>
      <w:proofErr w:type="gramEnd"/>
      <w:r w:rsidR="009978CA" w:rsidRPr="009978CA">
        <w:t>创新和政策文本表达强度，对国际高标准经贸规则嵌入程度的反映相对不足。</w:t>
      </w:r>
    </w:p>
    <w:p w14:paraId="3A8112BC" w14:textId="37461637" w:rsidR="00552B9E" w:rsidRDefault="009978CA" w:rsidP="009E5619">
      <w:pPr>
        <w:pStyle w:val="ae"/>
        <w:adjustRightInd w:val="0"/>
        <w:snapToGrid w:val="0"/>
        <w:spacing w:before="0" w:beforeAutospacing="0" w:after="0" w:afterAutospacing="0" w:line="360" w:lineRule="auto"/>
        <w:ind w:firstLine="420"/>
        <w:rPr>
          <w:rFonts w:hint="eastAsia"/>
        </w:rPr>
      </w:pPr>
      <w:r w:rsidRPr="009978CA">
        <w:rPr>
          <w:b/>
          <w:bCs/>
        </w:rPr>
        <w:t>戴翔</w:t>
      </w:r>
      <w:r>
        <w:rPr>
          <w:rFonts w:hint="eastAsia"/>
          <w:b/>
          <w:bCs/>
        </w:rPr>
        <w:t>、</w:t>
      </w:r>
      <w:r w:rsidRPr="009978CA">
        <w:rPr>
          <w:b/>
          <w:bCs/>
        </w:rPr>
        <w:t>刘长鹏</w:t>
      </w:r>
      <w:r>
        <w:rPr>
          <w:rFonts w:hint="eastAsia"/>
          <w:b/>
          <w:bCs/>
        </w:rPr>
        <w:t>和</w:t>
      </w:r>
      <w:r w:rsidRPr="009978CA">
        <w:rPr>
          <w:b/>
          <w:bCs/>
        </w:rPr>
        <w:t>成鹏东</w:t>
      </w:r>
      <w:r>
        <w:rPr>
          <w:rFonts w:hint="eastAsia"/>
          <w:b/>
          <w:bCs/>
        </w:rPr>
        <w:t>，</w:t>
      </w:r>
      <w:r w:rsidRPr="009978CA">
        <w:rPr>
          <w:b/>
          <w:bCs/>
        </w:rPr>
        <w:t>2024</w:t>
      </w:r>
      <w:r>
        <w:rPr>
          <w:rFonts w:hint="eastAsia"/>
          <w:b/>
          <w:bCs/>
        </w:rPr>
        <w:t>，《</w:t>
      </w:r>
      <w:r w:rsidRPr="009978CA">
        <w:rPr>
          <w:b/>
          <w:bCs/>
        </w:rPr>
        <w:t>制度型开放赋能新质生产力发展:理论与实证</w:t>
      </w:r>
      <w:r>
        <w:rPr>
          <w:rFonts w:hint="eastAsia"/>
          <w:b/>
          <w:bCs/>
        </w:rPr>
        <w:t>》，</w:t>
      </w:r>
      <w:r w:rsidRPr="009978CA">
        <w:rPr>
          <w:b/>
          <w:bCs/>
        </w:rPr>
        <w:t>财贸研究</w:t>
      </w:r>
      <w:r>
        <w:rPr>
          <w:rFonts w:hint="eastAsia"/>
          <w:b/>
          <w:bCs/>
        </w:rPr>
        <w:t>：</w:t>
      </w:r>
      <w:r w:rsidRPr="009978CA">
        <w:t>在</w:t>
      </w:r>
      <w:proofErr w:type="gramStart"/>
      <w:r w:rsidRPr="009978CA">
        <w:t>国内制度</w:t>
      </w:r>
      <w:proofErr w:type="gramEnd"/>
      <w:r w:rsidRPr="009978CA">
        <w:t>创新文本测度的基础上，进一步强调制度</w:t>
      </w:r>
      <w:proofErr w:type="gramStart"/>
      <w:r w:rsidRPr="009978CA">
        <w:t>型开放</w:t>
      </w:r>
      <w:proofErr w:type="gramEnd"/>
      <w:r w:rsidRPr="009978CA">
        <w:t>具有“对内制度创新”和“对外国际经贸规则嵌入”的双向协同特征。该文认为，仅从地方政策文本识别制度创新，容易忽略制度</w:t>
      </w:r>
      <w:proofErr w:type="gramStart"/>
      <w:r w:rsidRPr="009978CA">
        <w:t>型开放</w:t>
      </w:r>
      <w:proofErr w:type="gramEnd"/>
      <w:r w:rsidRPr="009978CA">
        <w:t>中对接国际高标准经贸规则的</w:t>
      </w:r>
      <w:proofErr w:type="gramStart"/>
      <w:r w:rsidRPr="009978CA">
        <w:t>外部维</w:t>
      </w:r>
      <w:proofErr w:type="gramEnd"/>
      <w:r w:rsidRPr="009978CA">
        <w:t>度。因此，在制度</w:t>
      </w:r>
      <w:proofErr w:type="gramStart"/>
      <w:r w:rsidRPr="009978CA">
        <w:t>型开放</w:t>
      </w:r>
      <w:proofErr w:type="gramEnd"/>
      <w:r w:rsidRPr="009978CA">
        <w:t>测度中，作者一方面借鉴</w:t>
      </w:r>
      <w:proofErr w:type="gramStart"/>
      <w:r w:rsidRPr="009978CA">
        <w:t>卓</w:t>
      </w:r>
      <w:proofErr w:type="gramEnd"/>
      <w:r w:rsidRPr="009978CA">
        <w:t>乘风等的政策文本分析方法</w:t>
      </w:r>
      <w:proofErr w:type="gramStart"/>
      <w:r w:rsidRPr="009978CA">
        <w:t>衡量</w:t>
      </w:r>
      <w:r w:rsidRPr="00F64CE3">
        <w:rPr>
          <w:color w:val="0000FF"/>
        </w:rPr>
        <w:t>省域国内制度</w:t>
      </w:r>
      <w:proofErr w:type="gramEnd"/>
      <w:r w:rsidRPr="00F64CE3">
        <w:rPr>
          <w:color w:val="0000FF"/>
        </w:rPr>
        <w:t>创新水平，</w:t>
      </w:r>
      <w:r w:rsidRPr="009978CA">
        <w:t>另一方面以高标准自由贸易协定（FTA）网络嵌入水平衡量</w:t>
      </w:r>
      <w:r w:rsidRPr="00F64CE3">
        <w:rPr>
          <w:color w:val="0000FF"/>
        </w:rPr>
        <w:t>国际经贸规则嵌入程度，</w:t>
      </w:r>
      <w:r w:rsidRPr="009978CA">
        <w:t>并从FTA网络嵌入的广度和深度两个方面刻画地区与国际规则体系的连接程度。在获得</w:t>
      </w:r>
      <w:proofErr w:type="gramStart"/>
      <w:r w:rsidRPr="009978CA">
        <w:t>国内制度</w:t>
      </w:r>
      <w:proofErr w:type="gramEnd"/>
      <w:r w:rsidRPr="009978CA">
        <w:t>创新和外部FTA网络嵌入两个关键维度指标后，</w:t>
      </w:r>
      <w:r w:rsidRPr="001A5ECB">
        <w:rPr>
          <w:color w:val="0000FF"/>
        </w:rPr>
        <w:t>文章借鉴“纵向拉开差距”和“时序二次优化”思路，将静态综合评价与动态时序变化相结合，合成2013—2022年省</w:t>
      </w:r>
      <w:proofErr w:type="gramStart"/>
      <w:r w:rsidRPr="001A5ECB">
        <w:rPr>
          <w:color w:val="0000FF"/>
        </w:rPr>
        <w:t>域制度型开放</w:t>
      </w:r>
      <w:proofErr w:type="gramEnd"/>
      <w:r w:rsidRPr="001A5ECB">
        <w:rPr>
          <w:color w:val="0000FF"/>
        </w:rPr>
        <w:t>动态综合指数。</w:t>
      </w:r>
      <w:r w:rsidRPr="009978CA">
        <w:t>相较于单纯的政策文本频数法，该方法更贴近制度型开放“国内制度改革—国际规则对接”的理论内涵，能够同时反映地方制度创新和国际规则嵌入水平；但由于FTA通常属于国家层面的制度安排，如何将其合理映射到省域层面仍需要进一步说明和检验。</w:t>
      </w:r>
    </w:p>
    <w:p w14:paraId="41CE5F0F" w14:textId="16B1CBDE" w:rsidR="001A5ECB" w:rsidRPr="001A5ECB" w:rsidRDefault="001A5ECB" w:rsidP="009E5619">
      <w:pPr>
        <w:pStyle w:val="ae"/>
        <w:adjustRightInd w:val="0"/>
        <w:snapToGrid w:val="0"/>
        <w:spacing w:before="0" w:beforeAutospacing="0" w:after="0" w:afterAutospacing="0" w:line="360" w:lineRule="auto"/>
        <w:ind w:firstLine="420"/>
        <w:rPr>
          <w:rFonts w:hint="eastAsia"/>
        </w:rPr>
      </w:pPr>
      <w:proofErr w:type="gramStart"/>
      <w:r w:rsidRPr="001A5ECB">
        <w:rPr>
          <w:b/>
          <w:bCs/>
        </w:rPr>
        <w:t>考秀梅</w:t>
      </w:r>
      <w:proofErr w:type="gramEnd"/>
      <w:r>
        <w:rPr>
          <w:rFonts w:hint="eastAsia"/>
          <w:b/>
          <w:bCs/>
        </w:rPr>
        <w:t>和</w:t>
      </w:r>
      <w:r w:rsidRPr="001A5ECB">
        <w:rPr>
          <w:b/>
          <w:bCs/>
        </w:rPr>
        <w:t>谢申祥</w:t>
      </w:r>
      <w:r>
        <w:rPr>
          <w:rFonts w:hint="eastAsia"/>
          <w:b/>
          <w:bCs/>
        </w:rPr>
        <w:t>，2025，《</w:t>
      </w:r>
      <w:r w:rsidRPr="001A5ECB">
        <w:rPr>
          <w:b/>
          <w:bCs/>
        </w:rPr>
        <w:t>制度型开放的市场整合效应——基于市场准入负面清单试点的准自然实验</w:t>
      </w:r>
      <w:r>
        <w:rPr>
          <w:rFonts w:hint="eastAsia"/>
          <w:b/>
          <w:bCs/>
        </w:rPr>
        <w:t>》，财经研究：</w:t>
      </w:r>
      <w:r w:rsidRPr="00797AA2">
        <w:rPr>
          <w:color w:val="0000FF"/>
        </w:rPr>
        <w:t>市场准入负面清单制度</w:t>
      </w:r>
      <w:r w:rsidRPr="001A5ECB">
        <w:t>是我国对外开放进程中的一项重要制度创新，其与国际通行规则的对接满足了制度</w:t>
      </w:r>
      <w:proofErr w:type="gramStart"/>
      <w:r w:rsidRPr="001A5ECB">
        <w:t>型开放</w:t>
      </w:r>
      <w:proofErr w:type="gramEnd"/>
      <w:r w:rsidRPr="001A5ECB">
        <w:t>发展的根本要求，是制度</w:t>
      </w:r>
      <w:proofErr w:type="gramStart"/>
      <w:r w:rsidRPr="001A5ECB">
        <w:t>型开放</w:t>
      </w:r>
      <w:proofErr w:type="gramEnd"/>
      <w:r w:rsidRPr="001A5ECB">
        <w:t>政策的典型代表之一。</w:t>
      </w:r>
      <w:r w:rsidRPr="00720012">
        <w:rPr>
          <w:rFonts w:hint="eastAsia"/>
          <w:color w:val="0000FF"/>
        </w:rPr>
        <w:t>核心解释变量</w:t>
      </w:r>
      <m:oMath>
        <m:sSub>
          <m:sSubPr>
            <m:ctrlPr>
              <w:rPr>
                <w:rFonts w:ascii="Cambria Math" w:hAnsi="Cambria Math"/>
                <w:i/>
                <w:color w:val="0000FF"/>
              </w:rPr>
            </m:ctrlPr>
          </m:sSubPr>
          <m:e>
            <m:r>
              <w:rPr>
                <w:rFonts w:ascii="Cambria Math" w:hAnsi="Cambria Math"/>
                <w:color w:val="0000FF"/>
              </w:rPr>
              <m:t>Neglist</m:t>
            </m:r>
          </m:e>
          <m:sub>
            <m:r>
              <w:rPr>
                <w:rFonts w:ascii="Cambria Math" w:hAnsi="Cambria Math"/>
                <w:color w:val="0000FF"/>
              </w:rPr>
              <m:t>ijt</m:t>
            </m:r>
          </m:sub>
        </m:sSub>
      </m:oMath>
      <w:r w:rsidRPr="00720012">
        <w:rPr>
          <w:rFonts w:hint="eastAsia"/>
          <w:color w:val="0000FF"/>
        </w:rPr>
        <w:t>表示地区</w:t>
      </w:r>
      <w:proofErr w:type="spellStart"/>
      <w:r w:rsidRPr="00720012">
        <w:rPr>
          <w:rFonts w:hint="eastAsia"/>
          <w:color w:val="0000FF"/>
        </w:rPr>
        <w:t>i</w:t>
      </w:r>
      <w:proofErr w:type="spellEnd"/>
      <w:r w:rsidRPr="00720012">
        <w:rPr>
          <w:rFonts w:hint="eastAsia"/>
          <w:color w:val="0000FF"/>
        </w:rPr>
        <w:t>与地区j之间负面清单实施状态的变化。</w:t>
      </w:r>
      <w:r>
        <w:rPr>
          <w:rFonts w:hint="eastAsia"/>
        </w:rPr>
        <w:t>具体而言，</w:t>
      </w:r>
      <w:r w:rsidRPr="00797AA2">
        <w:rPr>
          <w:rFonts w:hint="eastAsia"/>
          <w:color w:val="0000FF"/>
        </w:rPr>
        <w:t>本文以省际组合</w:t>
      </w:r>
      <w:proofErr w:type="spellStart"/>
      <w:r w:rsidRPr="00797AA2">
        <w:rPr>
          <w:rFonts w:hint="eastAsia"/>
          <w:color w:val="0000FF"/>
        </w:rPr>
        <w:t>i</w:t>
      </w:r>
      <w:proofErr w:type="spellEnd"/>
      <w:r w:rsidRPr="00797AA2">
        <w:rPr>
          <w:rFonts w:hint="eastAsia"/>
          <w:color w:val="0000FF"/>
        </w:rPr>
        <w:t>—j为单位，以其中的单边省份</w:t>
      </w:r>
      <w:proofErr w:type="spellStart"/>
      <w:r w:rsidRPr="00797AA2">
        <w:rPr>
          <w:rFonts w:hint="eastAsia"/>
          <w:color w:val="0000FF"/>
        </w:rPr>
        <w:t>i</w:t>
      </w:r>
      <w:proofErr w:type="spellEnd"/>
      <w:r w:rsidRPr="00797AA2">
        <w:rPr>
          <w:rFonts w:hint="eastAsia"/>
          <w:color w:val="0000FF"/>
        </w:rPr>
        <w:t>为焦点省份，为该焦点省份定义处理组与控制组。例如，以省份A为焦点省份，将省际组合A—B作为A—C的控制组，其中省份B为非试点地区，省份C为试点地区。对于省际组合</w:t>
      </w:r>
      <w:proofErr w:type="spellStart"/>
      <w:r w:rsidRPr="00797AA2">
        <w:rPr>
          <w:rFonts w:hint="eastAsia"/>
          <w:color w:val="0000FF"/>
        </w:rPr>
        <w:t>i</w:t>
      </w:r>
      <w:proofErr w:type="spellEnd"/>
      <w:r w:rsidRPr="00797AA2">
        <w:rPr>
          <w:rFonts w:hint="eastAsia"/>
          <w:color w:val="0000FF"/>
        </w:rPr>
        <w:t>—j，若省份j在t年开始实施负面清单，则在t年及之后取值为1，否则为0。</w:t>
      </w:r>
    </w:p>
    <w:p w14:paraId="3CC79D72" w14:textId="5AE05826" w:rsidR="000D0339" w:rsidRDefault="000D0339" w:rsidP="00BF3BD2">
      <w:pPr>
        <w:pStyle w:val="ae"/>
        <w:adjustRightInd w:val="0"/>
        <w:snapToGrid w:val="0"/>
        <w:spacing w:before="0" w:beforeAutospacing="0" w:after="0" w:afterAutospacing="0" w:line="360" w:lineRule="auto"/>
        <w:ind w:firstLine="420"/>
        <w:rPr>
          <w:rFonts w:hint="eastAsia"/>
        </w:rPr>
      </w:pPr>
      <w:r w:rsidRPr="000D0339">
        <w:rPr>
          <w:b/>
          <w:bCs/>
        </w:rPr>
        <w:t>刘珊</w:t>
      </w:r>
      <w:r>
        <w:rPr>
          <w:rFonts w:hint="eastAsia"/>
          <w:b/>
          <w:bCs/>
        </w:rPr>
        <w:t>、</w:t>
      </w:r>
      <w:r w:rsidRPr="000D0339">
        <w:rPr>
          <w:b/>
          <w:bCs/>
        </w:rPr>
        <w:t>马莉莉</w:t>
      </w:r>
      <w:r>
        <w:rPr>
          <w:rFonts w:hint="eastAsia"/>
          <w:b/>
          <w:bCs/>
        </w:rPr>
        <w:t>和</w:t>
      </w:r>
      <w:r w:rsidRPr="000D0339">
        <w:rPr>
          <w:b/>
          <w:bCs/>
        </w:rPr>
        <w:t>郭家琛</w:t>
      </w:r>
      <w:r>
        <w:rPr>
          <w:rFonts w:hint="eastAsia"/>
          <w:b/>
          <w:bCs/>
        </w:rPr>
        <w:t>，2024，《</w:t>
      </w:r>
      <w:r w:rsidRPr="000D0339">
        <w:rPr>
          <w:b/>
          <w:bCs/>
        </w:rPr>
        <w:t>制度型开放与企业全要素生产率——来自准自然实验的证据</w:t>
      </w:r>
      <w:r>
        <w:rPr>
          <w:rFonts w:hint="eastAsia"/>
          <w:b/>
          <w:bCs/>
        </w:rPr>
        <w:t>》，国际贸易问题：</w:t>
      </w:r>
      <w:r w:rsidRPr="000D0339">
        <w:t>并未直接构建“制度型开放综合指数”，而是</w:t>
      </w:r>
      <w:r w:rsidRPr="00E2592A">
        <w:rPr>
          <w:color w:val="0000FF"/>
        </w:rPr>
        <w:t>将自由贸易试验区设立视为制度</w:t>
      </w:r>
      <w:proofErr w:type="gramStart"/>
      <w:r w:rsidRPr="00E2592A">
        <w:rPr>
          <w:color w:val="0000FF"/>
        </w:rPr>
        <w:t>型开放</w:t>
      </w:r>
      <w:proofErr w:type="gramEnd"/>
      <w:r w:rsidRPr="00E2592A">
        <w:rPr>
          <w:color w:val="0000FF"/>
        </w:rPr>
        <w:t>的准自然实验</w:t>
      </w:r>
      <w:r w:rsidRPr="000D0339">
        <w:t>，用企业所在城市是否设立自贸区来构造核心解释变量FTZ：</w:t>
      </w:r>
      <w:r w:rsidRPr="00E2592A">
        <w:rPr>
          <w:color w:val="0000FF"/>
        </w:rPr>
        <w:t>若企业注册地所在城市在某一</w:t>
      </w:r>
      <w:r w:rsidRPr="00E2592A">
        <w:rPr>
          <w:color w:val="0000FF"/>
        </w:rPr>
        <w:lastRenderedPageBreak/>
        <w:t>年成为自贸区试点城市，则该企业当年及以后年份赋值为1，否则为0</w:t>
      </w:r>
      <w:r w:rsidRPr="000D0339">
        <w:t>，并基于2011—2021年A股上市公司面板数据，采用多期双重差分模型（DID）识别制度</w:t>
      </w:r>
      <w:proofErr w:type="gramStart"/>
      <w:r w:rsidRPr="000D0339">
        <w:t>型开放</w:t>
      </w:r>
      <w:proofErr w:type="gramEnd"/>
      <w:r w:rsidRPr="000D0339">
        <w:t>对企业全要素生产率的影响；被解释变量主要为LP法测算的企业全要素生产率，并使用OP法、GMM法进行稳健性检验。</w:t>
      </w:r>
    </w:p>
    <w:p w14:paraId="21E70E29" w14:textId="548463E8" w:rsidR="000E3BE1" w:rsidRDefault="000E3BE1" w:rsidP="000E3BE1">
      <w:pPr>
        <w:pStyle w:val="ae"/>
        <w:adjustRightInd w:val="0"/>
        <w:snapToGrid w:val="0"/>
        <w:spacing w:before="0" w:beforeAutospacing="0" w:after="0" w:afterAutospacing="0" w:line="360" w:lineRule="auto"/>
        <w:ind w:firstLine="420"/>
        <w:rPr>
          <w:rFonts w:hint="eastAsia"/>
        </w:rPr>
      </w:pPr>
      <w:r w:rsidRPr="000E3BE1">
        <w:rPr>
          <w:b/>
          <w:bCs/>
        </w:rPr>
        <w:t>聂新伟</w:t>
      </w:r>
      <w:r w:rsidRPr="000E3BE1">
        <w:rPr>
          <w:rFonts w:hint="eastAsia"/>
          <w:b/>
          <w:bCs/>
        </w:rPr>
        <w:t>和</w:t>
      </w:r>
      <w:r w:rsidRPr="000E3BE1">
        <w:rPr>
          <w:b/>
          <w:bCs/>
        </w:rPr>
        <w:t>薛钦源</w:t>
      </w:r>
      <w:r w:rsidRPr="000E3BE1">
        <w:rPr>
          <w:rFonts w:hint="eastAsia"/>
          <w:b/>
          <w:bCs/>
        </w:rPr>
        <w:t>，2022，《</w:t>
      </w:r>
      <w:r w:rsidRPr="000E3BE1">
        <w:rPr>
          <w:b/>
          <w:bCs/>
        </w:rPr>
        <w:t>中国制度型开放水平的测度评价及政策优化</w:t>
      </w:r>
      <w:r w:rsidRPr="000E3BE1">
        <w:rPr>
          <w:rFonts w:hint="eastAsia"/>
          <w:b/>
          <w:bCs/>
        </w:rPr>
        <w:t>》，区域经济评论：</w:t>
      </w:r>
      <w:r w:rsidRPr="000E3BE1">
        <w:rPr>
          <w:rFonts w:hint="eastAsia"/>
        </w:rPr>
        <w:t>区域</w:t>
      </w:r>
      <w:r w:rsidRPr="000E3BE1">
        <w:t>制度</w:t>
      </w:r>
      <w:proofErr w:type="gramStart"/>
      <w:r w:rsidRPr="000E3BE1">
        <w:t>型开放</w:t>
      </w:r>
      <w:proofErr w:type="gramEnd"/>
      <w:r w:rsidRPr="000E3BE1">
        <w:t>水平评价将从</w:t>
      </w:r>
      <w:r w:rsidRPr="008B5C6F">
        <w:rPr>
          <w:color w:val="0000FF"/>
        </w:rPr>
        <w:t>营商环境、投资贸易自由化便利化水平和制度创新</w:t>
      </w:r>
      <w:r w:rsidRPr="000E3BE1">
        <w:t>三个维度展开。</w:t>
      </w:r>
    </w:p>
    <w:tbl>
      <w:tblPr>
        <w:tblStyle w:val="af3"/>
        <w:tblW w:w="0" w:type="auto"/>
        <w:jc w:val="center"/>
        <w:tblLook w:val="04A0" w:firstRow="1" w:lastRow="0" w:firstColumn="1" w:lastColumn="0" w:noHBand="0" w:noVBand="1"/>
      </w:tblPr>
      <w:tblGrid>
        <w:gridCol w:w="1659"/>
        <w:gridCol w:w="1880"/>
        <w:gridCol w:w="567"/>
        <w:gridCol w:w="2530"/>
        <w:gridCol w:w="1660"/>
      </w:tblGrid>
      <w:tr w:rsidR="000E3BE1" w14:paraId="0D4FF8A3" w14:textId="77777777" w:rsidTr="00CF128A">
        <w:trPr>
          <w:jc w:val="center"/>
        </w:trPr>
        <w:tc>
          <w:tcPr>
            <w:tcW w:w="1659" w:type="dxa"/>
            <w:vAlign w:val="center"/>
          </w:tcPr>
          <w:p w14:paraId="2EF001C4" w14:textId="4EADCE70" w:rsidR="000E3BE1" w:rsidRDefault="000E3BE1" w:rsidP="000E3BE1">
            <w:pPr>
              <w:pStyle w:val="ae"/>
              <w:adjustRightInd w:val="0"/>
              <w:snapToGrid w:val="0"/>
              <w:spacing w:before="0" w:beforeAutospacing="0" w:after="0" w:afterAutospacing="0" w:line="360" w:lineRule="auto"/>
              <w:jc w:val="center"/>
              <w:rPr>
                <w:rFonts w:hint="eastAsia"/>
              </w:rPr>
            </w:pPr>
            <w:proofErr w:type="gramStart"/>
            <w:r w:rsidRPr="000E3BE1">
              <w:t>维度层</w:t>
            </w:r>
            <w:proofErr w:type="gramEnd"/>
          </w:p>
        </w:tc>
        <w:tc>
          <w:tcPr>
            <w:tcW w:w="1880" w:type="dxa"/>
            <w:vAlign w:val="center"/>
          </w:tcPr>
          <w:p w14:paraId="48808256" w14:textId="62BF6F4F" w:rsidR="000E3BE1" w:rsidRDefault="000E3BE1" w:rsidP="000E3BE1">
            <w:pPr>
              <w:pStyle w:val="ae"/>
              <w:adjustRightInd w:val="0"/>
              <w:snapToGrid w:val="0"/>
              <w:spacing w:before="0" w:beforeAutospacing="0" w:after="0" w:afterAutospacing="0" w:line="360" w:lineRule="auto"/>
              <w:jc w:val="center"/>
              <w:rPr>
                <w:rFonts w:hint="eastAsia"/>
              </w:rPr>
            </w:pPr>
            <w:r w:rsidRPr="000E3BE1">
              <w:t>基础指标</w:t>
            </w:r>
          </w:p>
        </w:tc>
        <w:tc>
          <w:tcPr>
            <w:tcW w:w="567" w:type="dxa"/>
            <w:vAlign w:val="center"/>
          </w:tcPr>
          <w:p w14:paraId="0514F7AF" w14:textId="052DA68F" w:rsidR="000E3BE1" w:rsidRDefault="000E3BE1" w:rsidP="000E3BE1">
            <w:pPr>
              <w:pStyle w:val="ae"/>
              <w:adjustRightInd w:val="0"/>
              <w:snapToGrid w:val="0"/>
              <w:spacing w:before="0" w:beforeAutospacing="0" w:after="0" w:afterAutospacing="0" w:line="360" w:lineRule="auto"/>
              <w:jc w:val="center"/>
              <w:rPr>
                <w:rFonts w:hint="eastAsia"/>
              </w:rPr>
            </w:pPr>
            <w:r w:rsidRPr="000E3BE1">
              <w:t>编号</w:t>
            </w:r>
          </w:p>
        </w:tc>
        <w:tc>
          <w:tcPr>
            <w:tcW w:w="2530" w:type="dxa"/>
            <w:vAlign w:val="center"/>
          </w:tcPr>
          <w:p w14:paraId="106EB145" w14:textId="722098EE" w:rsidR="000E3BE1" w:rsidRDefault="000E3BE1" w:rsidP="000E3BE1">
            <w:pPr>
              <w:pStyle w:val="ae"/>
              <w:adjustRightInd w:val="0"/>
              <w:snapToGrid w:val="0"/>
              <w:spacing w:before="0" w:beforeAutospacing="0" w:after="0" w:afterAutospacing="0" w:line="360" w:lineRule="auto"/>
              <w:jc w:val="center"/>
              <w:rPr>
                <w:rFonts w:hint="eastAsia"/>
              </w:rPr>
            </w:pPr>
            <w:r w:rsidRPr="000E3BE1">
              <w:t>指标含义</w:t>
            </w:r>
          </w:p>
        </w:tc>
        <w:tc>
          <w:tcPr>
            <w:tcW w:w="1660" w:type="dxa"/>
            <w:vAlign w:val="center"/>
          </w:tcPr>
          <w:p w14:paraId="01935C7E" w14:textId="1E30E368" w:rsidR="000E3BE1" w:rsidRDefault="000E3BE1" w:rsidP="000E3BE1">
            <w:pPr>
              <w:pStyle w:val="ae"/>
              <w:adjustRightInd w:val="0"/>
              <w:snapToGrid w:val="0"/>
              <w:spacing w:before="0" w:beforeAutospacing="0" w:after="0" w:afterAutospacing="0" w:line="360" w:lineRule="auto"/>
              <w:jc w:val="center"/>
              <w:rPr>
                <w:rFonts w:hint="eastAsia"/>
              </w:rPr>
            </w:pPr>
            <w:r w:rsidRPr="000E3BE1">
              <w:t>数据来源</w:t>
            </w:r>
          </w:p>
        </w:tc>
      </w:tr>
      <w:tr w:rsidR="000E3BE1" w14:paraId="0D5FD0C7" w14:textId="77777777" w:rsidTr="00CF128A">
        <w:trPr>
          <w:jc w:val="center"/>
        </w:trPr>
        <w:tc>
          <w:tcPr>
            <w:tcW w:w="1659" w:type="dxa"/>
            <w:vMerge w:val="restart"/>
            <w:vAlign w:val="center"/>
          </w:tcPr>
          <w:p w14:paraId="500234CB" w14:textId="7401FE2F" w:rsidR="000E3BE1" w:rsidRDefault="000E3BE1" w:rsidP="000E3BE1">
            <w:pPr>
              <w:pStyle w:val="ae"/>
              <w:adjustRightInd w:val="0"/>
              <w:snapToGrid w:val="0"/>
              <w:spacing w:before="0" w:beforeAutospacing="0" w:after="0" w:afterAutospacing="0" w:line="360" w:lineRule="auto"/>
              <w:jc w:val="center"/>
              <w:rPr>
                <w:rFonts w:hint="eastAsia"/>
              </w:rPr>
            </w:pPr>
            <w:r w:rsidRPr="000E3BE1">
              <w:t>营商环境</w:t>
            </w:r>
          </w:p>
        </w:tc>
        <w:tc>
          <w:tcPr>
            <w:tcW w:w="1880" w:type="dxa"/>
            <w:vAlign w:val="center"/>
          </w:tcPr>
          <w:p w14:paraId="7FB04232" w14:textId="69AE8953" w:rsidR="000E3BE1" w:rsidRDefault="000E3BE1" w:rsidP="000E3BE1">
            <w:pPr>
              <w:pStyle w:val="ae"/>
              <w:adjustRightInd w:val="0"/>
              <w:snapToGrid w:val="0"/>
              <w:spacing w:before="0" w:beforeAutospacing="0" w:after="0" w:afterAutospacing="0" w:line="360" w:lineRule="auto"/>
              <w:jc w:val="center"/>
              <w:rPr>
                <w:rFonts w:hint="eastAsia"/>
              </w:rPr>
            </w:pPr>
            <w:r w:rsidRPr="000E3BE1">
              <w:t>市场化指数评分</w:t>
            </w:r>
          </w:p>
        </w:tc>
        <w:tc>
          <w:tcPr>
            <w:tcW w:w="567" w:type="dxa"/>
            <w:vAlign w:val="center"/>
          </w:tcPr>
          <w:p w14:paraId="27E876A5" w14:textId="5BF292B0"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A1</w:t>
            </w:r>
          </w:p>
        </w:tc>
        <w:tc>
          <w:tcPr>
            <w:tcW w:w="2530" w:type="dxa"/>
            <w:vAlign w:val="center"/>
          </w:tcPr>
          <w:p w14:paraId="1C1C62CC" w14:textId="371BDB23" w:rsidR="000E3BE1" w:rsidRDefault="000E3BE1" w:rsidP="000E3BE1">
            <w:pPr>
              <w:pStyle w:val="ae"/>
              <w:adjustRightInd w:val="0"/>
              <w:snapToGrid w:val="0"/>
              <w:spacing w:before="0" w:beforeAutospacing="0" w:after="0" w:afterAutospacing="0" w:line="360" w:lineRule="auto"/>
              <w:jc w:val="center"/>
              <w:rPr>
                <w:rFonts w:hint="eastAsia"/>
              </w:rPr>
            </w:pPr>
            <w:r w:rsidRPr="000E3BE1">
              <w:t>全面反映市场化进展水平</w:t>
            </w:r>
          </w:p>
        </w:tc>
        <w:tc>
          <w:tcPr>
            <w:tcW w:w="1660" w:type="dxa"/>
            <w:vAlign w:val="center"/>
          </w:tcPr>
          <w:p w14:paraId="0806F132" w14:textId="03669668" w:rsidR="000E3BE1" w:rsidRDefault="000E3BE1" w:rsidP="000E3BE1">
            <w:pPr>
              <w:pStyle w:val="ae"/>
              <w:adjustRightInd w:val="0"/>
              <w:snapToGrid w:val="0"/>
              <w:spacing w:before="0" w:beforeAutospacing="0" w:after="0" w:afterAutospacing="0" w:line="360" w:lineRule="auto"/>
              <w:jc w:val="center"/>
              <w:rPr>
                <w:rFonts w:hint="eastAsia"/>
              </w:rPr>
            </w:pPr>
            <w:r w:rsidRPr="000E3BE1">
              <w:t>樊纲等市场化指数</w:t>
            </w:r>
          </w:p>
        </w:tc>
      </w:tr>
      <w:tr w:rsidR="000E3BE1" w14:paraId="59E38BA3" w14:textId="77777777" w:rsidTr="00CF128A">
        <w:trPr>
          <w:jc w:val="center"/>
        </w:trPr>
        <w:tc>
          <w:tcPr>
            <w:tcW w:w="1659" w:type="dxa"/>
            <w:vMerge/>
            <w:vAlign w:val="center"/>
          </w:tcPr>
          <w:p w14:paraId="2FD90BF4"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34AC692E" w14:textId="4002C25B" w:rsidR="000E3BE1" w:rsidRDefault="000E3BE1" w:rsidP="000E3BE1">
            <w:pPr>
              <w:pStyle w:val="ae"/>
              <w:adjustRightInd w:val="0"/>
              <w:snapToGrid w:val="0"/>
              <w:spacing w:before="0" w:beforeAutospacing="0" w:after="0" w:afterAutospacing="0" w:line="360" w:lineRule="auto"/>
              <w:jc w:val="center"/>
              <w:rPr>
                <w:rFonts w:hint="eastAsia"/>
              </w:rPr>
            </w:pPr>
            <w:r w:rsidRPr="000E3BE1">
              <w:t>政商关系健康指数</w:t>
            </w:r>
          </w:p>
        </w:tc>
        <w:tc>
          <w:tcPr>
            <w:tcW w:w="567" w:type="dxa"/>
            <w:vAlign w:val="center"/>
          </w:tcPr>
          <w:p w14:paraId="554BE5DF" w14:textId="7F7B2255"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A2</w:t>
            </w:r>
          </w:p>
        </w:tc>
        <w:tc>
          <w:tcPr>
            <w:tcW w:w="2530" w:type="dxa"/>
            <w:vAlign w:val="center"/>
          </w:tcPr>
          <w:p w14:paraId="5BBE85E2" w14:textId="51462AED" w:rsidR="000E3BE1" w:rsidRDefault="000E3BE1" w:rsidP="000E3BE1">
            <w:pPr>
              <w:pStyle w:val="ae"/>
              <w:adjustRightInd w:val="0"/>
              <w:snapToGrid w:val="0"/>
              <w:spacing w:before="0" w:beforeAutospacing="0" w:after="0" w:afterAutospacing="0" w:line="360" w:lineRule="auto"/>
              <w:jc w:val="center"/>
              <w:rPr>
                <w:rFonts w:hint="eastAsia"/>
              </w:rPr>
            </w:pPr>
            <w:r w:rsidRPr="000E3BE1">
              <w:t>市场竞争环境的公平性</w:t>
            </w:r>
          </w:p>
        </w:tc>
        <w:tc>
          <w:tcPr>
            <w:tcW w:w="1660" w:type="dxa"/>
            <w:vAlign w:val="center"/>
          </w:tcPr>
          <w:p w14:paraId="37232231" w14:textId="390858B6" w:rsidR="000E3BE1" w:rsidRDefault="000E3BE1" w:rsidP="000E3BE1">
            <w:pPr>
              <w:pStyle w:val="ae"/>
              <w:adjustRightInd w:val="0"/>
              <w:snapToGrid w:val="0"/>
              <w:spacing w:before="0" w:beforeAutospacing="0" w:after="0" w:afterAutospacing="0" w:line="360" w:lineRule="auto"/>
              <w:jc w:val="center"/>
              <w:rPr>
                <w:rFonts w:hint="eastAsia"/>
              </w:rPr>
            </w:pPr>
            <w:r w:rsidRPr="000E3BE1">
              <w:t>中国政商关系报告</w:t>
            </w:r>
          </w:p>
        </w:tc>
      </w:tr>
      <w:tr w:rsidR="000E3BE1" w14:paraId="10B4EB44" w14:textId="77777777" w:rsidTr="00CF128A">
        <w:trPr>
          <w:jc w:val="center"/>
        </w:trPr>
        <w:tc>
          <w:tcPr>
            <w:tcW w:w="1659" w:type="dxa"/>
            <w:vMerge/>
            <w:vAlign w:val="center"/>
          </w:tcPr>
          <w:p w14:paraId="0970E441"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4AF144A4" w14:textId="3D12CBF4" w:rsidR="000E3BE1" w:rsidRDefault="000E3BE1" w:rsidP="000E3BE1">
            <w:pPr>
              <w:pStyle w:val="ae"/>
              <w:adjustRightInd w:val="0"/>
              <w:snapToGrid w:val="0"/>
              <w:spacing w:before="0" w:beforeAutospacing="0" w:after="0" w:afterAutospacing="0" w:line="360" w:lineRule="auto"/>
              <w:jc w:val="center"/>
              <w:rPr>
                <w:rFonts w:hint="eastAsia"/>
              </w:rPr>
            </w:pPr>
            <w:r w:rsidRPr="000E3BE1">
              <w:t>司法文明指数</w:t>
            </w:r>
          </w:p>
        </w:tc>
        <w:tc>
          <w:tcPr>
            <w:tcW w:w="567" w:type="dxa"/>
            <w:vAlign w:val="center"/>
          </w:tcPr>
          <w:p w14:paraId="24E315CE" w14:textId="23E32AEE"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A3</w:t>
            </w:r>
          </w:p>
        </w:tc>
        <w:tc>
          <w:tcPr>
            <w:tcW w:w="2530" w:type="dxa"/>
            <w:vAlign w:val="center"/>
          </w:tcPr>
          <w:p w14:paraId="36C84B97" w14:textId="1DE02DCA" w:rsidR="000E3BE1" w:rsidRDefault="000E3BE1" w:rsidP="000E3BE1">
            <w:pPr>
              <w:pStyle w:val="ae"/>
              <w:adjustRightInd w:val="0"/>
              <w:snapToGrid w:val="0"/>
              <w:spacing w:before="0" w:beforeAutospacing="0" w:after="0" w:afterAutospacing="0" w:line="360" w:lineRule="auto"/>
              <w:jc w:val="center"/>
              <w:rPr>
                <w:rFonts w:hint="eastAsia"/>
              </w:rPr>
            </w:pPr>
            <w:r w:rsidRPr="000E3BE1">
              <w:t>司法质量(法治水平)</w:t>
            </w:r>
          </w:p>
        </w:tc>
        <w:tc>
          <w:tcPr>
            <w:tcW w:w="1660" w:type="dxa"/>
            <w:vAlign w:val="center"/>
          </w:tcPr>
          <w:p w14:paraId="3D08ABD5" w14:textId="2D6AC00D" w:rsidR="000E3BE1" w:rsidRDefault="000E3BE1" w:rsidP="000E3BE1">
            <w:pPr>
              <w:pStyle w:val="ae"/>
              <w:adjustRightInd w:val="0"/>
              <w:snapToGrid w:val="0"/>
              <w:spacing w:before="0" w:beforeAutospacing="0" w:after="0" w:afterAutospacing="0" w:line="360" w:lineRule="auto"/>
              <w:jc w:val="center"/>
              <w:rPr>
                <w:rFonts w:hint="eastAsia"/>
              </w:rPr>
            </w:pPr>
            <w:r w:rsidRPr="000E3BE1">
              <w:t>中国司法文明指数报告</w:t>
            </w:r>
          </w:p>
        </w:tc>
      </w:tr>
      <w:tr w:rsidR="000E3BE1" w14:paraId="29A4401B" w14:textId="77777777" w:rsidTr="00CF128A">
        <w:trPr>
          <w:jc w:val="center"/>
        </w:trPr>
        <w:tc>
          <w:tcPr>
            <w:tcW w:w="1659" w:type="dxa"/>
            <w:vMerge w:val="restart"/>
            <w:vAlign w:val="center"/>
          </w:tcPr>
          <w:p w14:paraId="07B23DDD" w14:textId="75F99784" w:rsidR="000E3BE1" w:rsidRDefault="000E3BE1" w:rsidP="000E3BE1">
            <w:pPr>
              <w:pStyle w:val="ae"/>
              <w:adjustRightInd w:val="0"/>
              <w:snapToGrid w:val="0"/>
              <w:spacing w:before="0" w:beforeAutospacing="0" w:after="0" w:afterAutospacing="0" w:line="360" w:lineRule="auto"/>
              <w:jc w:val="center"/>
              <w:rPr>
                <w:rFonts w:hint="eastAsia"/>
              </w:rPr>
            </w:pPr>
            <w:r w:rsidRPr="000E3BE1">
              <w:t>投资贸易自由化便利化程度</w:t>
            </w:r>
          </w:p>
        </w:tc>
        <w:tc>
          <w:tcPr>
            <w:tcW w:w="1880" w:type="dxa"/>
            <w:vAlign w:val="center"/>
          </w:tcPr>
          <w:p w14:paraId="5BFBF690" w14:textId="7099116B" w:rsidR="000E3BE1" w:rsidRDefault="000E3BE1" w:rsidP="000E3BE1">
            <w:pPr>
              <w:pStyle w:val="ae"/>
              <w:adjustRightInd w:val="0"/>
              <w:snapToGrid w:val="0"/>
              <w:spacing w:before="0" w:beforeAutospacing="0" w:after="0" w:afterAutospacing="0" w:line="360" w:lineRule="auto"/>
              <w:jc w:val="center"/>
              <w:rPr>
                <w:rFonts w:hint="eastAsia"/>
              </w:rPr>
            </w:pPr>
            <w:r w:rsidRPr="000E3BE1">
              <w:t>对外直接投资规模(万美元)</w:t>
            </w:r>
          </w:p>
        </w:tc>
        <w:tc>
          <w:tcPr>
            <w:tcW w:w="567" w:type="dxa"/>
            <w:vAlign w:val="center"/>
          </w:tcPr>
          <w:p w14:paraId="6C2EE3C0" w14:textId="67E7F291"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B1</w:t>
            </w:r>
          </w:p>
        </w:tc>
        <w:tc>
          <w:tcPr>
            <w:tcW w:w="2530" w:type="dxa"/>
            <w:vAlign w:val="center"/>
          </w:tcPr>
          <w:p w14:paraId="5DE43D1A" w14:textId="47ECD452" w:rsidR="000E3BE1" w:rsidRDefault="000E3BE1" w:rsidP="000E3BE1">
            <w:pPr>
              <w:pStyle w:val="ae"/>
              <w:adjustRightInd w:val="0"/>
              <w:snapToGrid w:val="0"/>
              <w:spacing w:before="0" w:beforeAutospacing="0" w:after="0" w:afterAutospacing="0" w:line="360" w:lineRule="auto"/>
              <w:jc w:val="center"/>
              <w:rPr>
                <w:rFonts w:hint="eastAsia"/>
              </w:rPr>
            </w:pPr>
            <w:r w:rsidRPr="000E3BE1">
              <w:t>资本走出</w:t>
            </w:r>
            <w:proofErr w:type="gramStart"/>
            <w:r w:rsidRPr="000E3BE1">
              <w:t>去水平</w:t>
            </w:r>
            <w:proofErr w:type="gramEnd"/>
          </w:p>
        </w:tc>
        <w:tc>
          <w:tcPr>
            <w:tcW w:w="1660" w:type="dxa"/>
            <w:vAlign w:val="center"/>
          </w:tcPr>
          <w:p w14:paraId="1808EE22" w14:textId="7CF40A64" w:rsidR="000E3BE1" w:rsidRDefault="000E3BE1" w:rsidP="000E3BE1">
            <w:pPr>
              <w:pStyle w:val="ae"/>
              <w:adjustRightInd w:val="0"/>
              <w:snapToGrid w:val="0"/>
              <w:spacing w:before="0" w:beforeAutospacing="0" w:after="0" w:afterAutospacing="0" w:line="360" w:lineRule="auto"/>
              <w:jc w:val="center"/>
              <w:rPr>
                <w:rFonts w:hint="eastAsia"/>
              </w:rPr>
            </w:pPr>
            <w:r w:rsidRPr="000E3BE1">
              <w:t>各省(区、市)统计年鉴</w:t>
            </w:r>
          </w:p>
        </w:tc>
      </w:tr>
      <w:tr w:rsidR="000E3BE1" w14:paraId="46A07265" w14:textId="77777777" w:rsidTr="00CF128A">
        <w:trPr>
          <w:jc w:val="center"/>
        </w:trPr>
        <w:tc>
          <w:tcPr>
            <w:tcW w:w="1659" w:type="dxa"/>
            <w:vMerge/>
            <w:vAlign w:val="center"/>
          </w:tcPr>
          <w:p w14:paraId="1D3C16AA"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253E3CD8" w14:textId="400343C9" w:rsidR="000E3BE1" w:rsidRDefault="000E3BE1" w:rsidP="000E3BE1">
            <w:pPr>
              <w:pStyle w:val="ae"/>
              <w:adjustRightInd w:val="0"/>
              <w:snapToGrid w:val="0"/>
              <w:spacing w:before="0" w:beforeAutospacing="0" w:after="0" w:afterAutospacing="0" w:line="360" w:lineRule="auto"/>
              <w:jc w:val="center"/>
              <w:rPr>
                <w:rFonts w:hint="eastAsia"/>
              </w:rPr>
            </w:pPr>
            <w:r w:rsidRPr="000E3BE1">
              <w:t>对外贸易依存度(%)</w:t>
            </w:r>
          </w:p>
        </w:tc>
        <w:tc>
          <w:tcPr>
            <w:tcW w:w="567" w:type="dxa"/>
            <w:vAlign w:val="center"/>
          </w:tcPr>
          <w:p w14:paraId="5FB0F013" w14:textId="7BBCA51C"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B2</w:t>
            </w:r>
          </w:p>
        </w:tc>
        <w:tc>
          <w:tcPr>
            <w:tcW w:w="2530" w:type="dxa"/>
            <w:vAlign w:val="center"/>
          </w:tcPr>
          <w:p w14:paraId="21F6FF4B" w14:textId="67419C31" w:rsidR="000E3BE1" w:rsidRDefault="000E3BE1" w:rsidP="000E3BE1">
            <w:pPr>
              <w:pStyle w:val="ae"/>
              <w:adjustRightInd w:val="0"/>
              <w:snapToGrid w:val="0"/>
              <w:spacing w:before="0" w:beforeAutospacing="0" w:after="0" w:afterAutospacing="0" w:line="360" w:lineRule="auto"/>
              <w:jc w:val="center"/>
              <w:rPr>
                <w:rFonts w:hint="eastAsia"/>
              </w:rPr>
            </w:pPr>
            <w:r w:rsidRPr="000E3BE1">
              <w:t>货物贸易规模水平</w:t>
            </w:r>
          </w:p>
        </w:tc>
        <w:tc>
          <w:tcPr>
            <w:tcW w:w="1660" w:type="dxa"/>
            <w:vAlign w:val="center"/>
          </w:tcPr>
          <w:p w14:paraId="1BAC936D" w14:textId="518C47AB" w:rsidR="000E3BE1" w:rsidRDefault="000E3BE1" w:rsidP="000E3BE1">
            <w:pPr>
              <w:pStyle w:val="ae"/>
              <w:adjustRightInd w:val="0"/>
              <w:snapToGrid w:val="0"/>
              <w:spacing w:before="0" w:beforeAutospacing="0" w:after="0" w:afterAutospacing="0" w:line="360" w:lineRule="auto"/>
              <w:jc w:val="center"/>
              <w:rPr>
                <w:rFonts w:hint="eastAsia"/>
              </w:rPr>
            </w:pPr>
            <w:r w:rsidRPr="000E3BE1">
              <w:t>各省(区、市)统计年鉴</w:t>
            </w:r>
          </w:p>
        </w:tc>
      </w:tr>
      <w:tr w:rsidR="000E3BE1" w14:paraId="0CC5414A" w14:textId="77777777" w:rsidTr="00CF128A">
        <w:trPr>
          <w:jc w:val="center"/>
        </w:trPr>
        <w:tc>
          <w:tcPr>
            <w:tcW w:w="1659" w:type="dxa"/>
            <w:vMerge/>
            <w:vAlign w:val="center"/>
          </w:tcPr>
          <w:p w14:paraId="21408596"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4351809E" w14:textId="75F3ADA6" w:rsidR="000E3BE1" w:rsidRDefault="000E3BE1" w:rsidP="000E3BE1">
            <w:pPr>
              <w:pStyle w:val="ae"/>
              <w:adjustRightInd w:val="0"/>
              <w:snapToGrid w:val="0"/>
              <w:spacing w:before="0" w:beforeAutospacing="0" w:after="0" w:afterAutospacing="0" w:line="360" w:lineRule="auto"/>
              <w:jc w:val="center"/>
              <w:rPr>
                <w:rFonts w:hint="eastAsia"/>
              </w:rPr>
            </w:pPr>
            <w:r w:rsidRPr="000E3BE1">
              <w:t>外商直接投资(亿美元)</w:t>
            </w:r>
          </w:p>
        </w:tc>
        <w:tc>
          <w:tcPr>
            <w:tcW w:w="567" w:type="dxa"/>
            <w:vAlign w:val="center"/>
          </w:tcPr>
          <w:p w14:paraId="28BFFEEC" w14:textId="7D797235"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B3</w:t>
            </w:r>
          </w:p>
        </w:tc>
        <w:tc>
          <w:tcPr>
            <w:tcW w:w="2530" w:type="dxa"/>
            <w:vAlign w:val="center"/>
          </w:tcPr>
          <w:p w14:paraId="68A36F2F" w14:textId="7F1180B8" w:rsidR="000E3BE1" w:rsidRDefault="000E3BE1" w:rsidP="000E3BE1">
            <w:pPr>
              <w:pStyle w:val="ae"/>
              <w:adjustRightInd w:val="0"/>
              <w:snapToGrid w:val="0"/>
              <w:spacing w:before="0" w:beforeAutospacing="0" w:after="0" w:afterAutospacing="0" w:line="360" w:lineRule="auto"/>
              <w:jc w:val="center"/>
              <w:rPr>
                <w:rFonts w:hint="eastAsia"/>
              </w:rPr>
            </w:pPr>
            <w:r w:rsidRPr="000E3BE1">
              <w:t>外资引进来水平</w:t>
            </w:r>
          </w:p>
        </w:tc>
        <w:tc>
          <w:tcPr>
            <w:tcW w:w="1660" w:type="dxa"/>
            <w:vAlign w:val="center"/>
          </w:tcPr>
          <w:p w14:paraId="60ED5AE7" w14:textId="1CCC1710" w:rsidR="000E3BE1" w:rsidRDefault="000E3BE1" w:rsidP="000E3BE1">
            <w:pPr>
              <w:pStyle w:val="ae"/>
              <w:adjustRightInd w:val="0"/>
              <w:snapToGrid w:val="0"/>
              <w:spacing w:before="0" w:beforeAutospacing="0" w:after="0" w:afterAutospacing="0" w:line="360" w:lineRule="auto"/>
              <w:jc w:val="center"/>
              <w:rPr>
                <w:rFonts w:hint="eastAsia"/>
              </w:rPr>
            </w:pPr>
            <w:r w:rsidRPr="000E3BE1">
              <w:t>各省(区、市)统计年鉴</w:t>
            </w:r>
          </w:p>
        </w:tc>
      </w:tr>
      <w:tr w:rsidR="000E3BE1" w14:paraId="73ACECFE" w14:textId="77777777" w:rsidTr="00CF128A">
        <w:trPr>
          <w:jc w:val="center"/>
        </w:trPr>
        <w:tc>
          <w:tcPr>
            <w:tcW w:w="1659" w:type="dxa"/>
            <w:vMerge/>
            <w:vAlign w:val="center"/>
          </w:tcPr>
          <w:p w14:paraId="6B1972AE"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4A51735F" w14:textId="11E07181" w:rsidR="000E3BE1" w:rsidRDefault="000E3BE1" w:rsidP="000E3BE1">
            <w:pPr>
              <w:pStyle w:val="ae"/>
              <w:adjustRightInd w:val="0"/>
              <w:snapToGrid w:val="0"/>
              <w:spacing w:before="0" w:beforeAutospacing="0" w:after="0" w:afterAutospacing="0" w:line="360" w:lineRule="auto"/>
              <w:jc w:val="center"/>
              <w:rPr>
                <w:rFonts w:hint="eastAsia"/>
              </w:rPr>
            </w:pPr>
            <w:r w:rsidRPr="000E3BE1">
              <w:t>经济服务化水平(“三产”占比(%))</w:t>
            </w:r>
          </w:p>
        </w:tc>
        <w:tc>
          <w:tcPr>
            <w:tcW w:w="567" w:type="dxa"/>
            <w:vAlign w:val="center"/>
          </w:tcPr>
          <w:p w14:paraId="31C3EE96" w14:textId="5184A7ED"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B4</w:t>
            </w:r>
          </w:p>
        </w:tc>
        <w:tc>
          <w:tcPr>
            <w:tcW w:w="2530" w:type="dxa"/>
            <w:vAlign w:val="center"/>
          </w:tcPr>
          <w:p w14:paraId="44A4B99F" w14:textId="59726C8C" w:rsidR="000E3BE1" w:rsidRDefault="000E3BE1" w:rsidP="000E3BE1">
            <w:pPr>
              <w:pStyle w:val="ae"/>
              <w:adjustRightInd w:val="0"/>
              <w:snapToGrid w:val="0"/>
              <w:spacing w:before="0" w:beforeAutospacing="0" w:after="0" w:afterAutospacing="0" w:line="360" w:lineRule="auto"/>
              <w:jc w:val="center"/>
              <w:rPr>
                <w:rFonts w:hint="eastAsia"/>
              </w:rPr>
            </w:pPr>
            <w:r w:rsidRPr="000E3BE1">
              <w:t>服务业开放程度</w:t>
            </w:r>
          </w:p>
        </w:tc>
        <w:tc>
          <w:tcPr>
            <w:tcW w:w="1660" w:type="dxa"/>
            <w:vAlign w:val="center"/>
          </w:tcPr>
          <w:p w14:paraId="7E71ED63" w14:textId="1BB2FED7" w:rsidR="000E3BE1" w:rsidRDefault="000E3BE1" w:rsidP="000E3BE1">
            <w:pPr>
              <w:pStyle w:val="ae"/>
              <w:adjustRightInd w:val="0"/>
              <w:snapToGrid w:val="0"/>
              <w:spacing w:before="0" w:beforeAutospacing="0" w:after="0" w:afterAutospacing="0" w:line="360" w:lineRule="auto"/>
              <w:jc w:val="center"/>
              <w:rPr>
                <w:rFonts w:hint="eastAsia"/>
              </w:rPr>
            </w:pPr>
            <w:r w:rsidRPr="000E3BE1">
              <w:t>各省(区、市)统计年鉴</w:t>
            </w:r>
          </w:p>
        </w:tc>
      </w:tr>
      <w:tr w:rsidR="000E3BE1" w14:paraId="079C57BF" w14:textId="77777777" w:rsidTr="00CF128A">
        <w:trPr>
          <w:jc w:val="center"/>
        </w:trPr>
        <w:tc>
          <w:tcPr>
            <w:tcW w:w="1659" w:type="dxa"/>
            <w:vMerge w:val="restart"/>
            <w:vAlign w:val="center"/>
          </w:tcPr>
          <w:p w14:paraId="2573EC26" w14:textId="46812050" w:rsidR="000E3BE1" w:rsidRDefault="000E3BE1" w:rsidP="000E3BE1">
            <w:pPr>
              <w:pStyle w:val="ae"/>
              <w:adjustRightInd w:val="0"/>
              <w:snapToGrid w:val="0"/>
              <w:spacing w:before="0" w:beforeAutospacing="0" w:after="0" w:afterAutospacing="0" w:line="360" w:lineRule="auto"/>
              <w:jc w:val="center"/>
              <w:rPr>
                <w:rFonts w:hint="eastAsia"/>
              </w:rPr>
            </w:pPr>
            <w:r w:rsidRPr="000E3BE1">
              <w:t>制度创新</w:t>
            </w:r>
          </w:p>
        </w:tc>
        <w:tc>
          <w:tcPr>
            <w:tcW w:w="1880" w:type="dxa"/>
            <w:vAlign w:val="center"/>
          </w:tcPr>
          <w:p w14:paraId="6B373D60" w14:textId="69C53C8A" w:rsidR="000E3BE1" w:rsidRDefault="000E3BE1" w:rsidP="000E3BE1">
            <w:pPr>
              <w:pStyle w:val="ae"/>
              <w:adjustRightInd w:val="0"/>
              <w:snapToGrid w:val="0"/>
              <w:spacing w:before="0" w:beforeAutospacing="0" w:after="0" w:afterAutospacing="0" w:line="360" w:lineRule="auto"/>
              <w:jc w:val="center"/>
              <w:rPr>
                <w:rFonts w:hint="eastAsia"/>
              </w:rPr>
            </w:pPr>
            <w:r w:rsidRPr="000E3BE1">
              <w:t>保税和海关特殊监管区进出口总额(亿元)</w:t>
            </w:r>
          </w:p>
        </w:tc>
        <w:tc>
          <w:tcPr>
            <w:tcW w:w="567" w:type="dxa"/>
            <w:vAlign w:val="center"/>
          </w:tcPr>
          <w:p w14:paraId="413A8855" w14:textId="32A3D521"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C1</w:t>
            </w:r>
          </w:p>
        </w:tc>
        <w:tc>
          <w:tcPr>
            <w:tcW w:w="2530" w:type="dxa"/>
            <w:vAlign w:val="center"/>
          </w:tcPr>
          <w:p w14:paraId="7D8CF37A" w14:textId="5EBC9F98" w:rsidR="000E3BE1" w:rsidRDefault="000E3BE1" w:rsidP="000E3BE1">
            <w:pPr>
              <w:pStyle w:val="ae"/>
              <w:adjustRightInd w:val="0"/>
              <w:snapToGrid w:val="0"/>
              <w:spacing w:before="0" w:beforeAutospacing="0" w:after="0" w:afterAutospacing="0" w:line="360" w:lineRule="auto"/>
              <w:jc w:val="center"/>
              <w:rPr>
                <w:rFonts w:hint="eastAsia"/>
              </w:rPr>
            </w:pPr>
            <w:r w:rsidRPr="000E3BE1">
              <w:t>贸易自由便利创新水平</w:t>
            </w:r>
          </w:p>
        </w:tc>
        <w:tc>
          <w:tcPr>
            <w:tcW w:w="1660" w:type="dxa"/>
            <w:vAlign w:val="center"/>
          </w:tcPr>
          <w:p w14:paraId="23657DEB" w14:textId="404761B0" w:rsidR="000E3BE1" w:rsidRDefault="000E3BE1" w:rsidP="000E3BE1">
            <w:pPr>
              <w:pStyle w:val="ae"/>
              <w:adjustRightInd w:val="0"/>
              <w:snapToGrid w:val="0"/>
              <w:spacing w:before="0" w:beforeAutospacing="0" w:after="0" w:afterAutospacing="0" w:line="360" w:lineRule="auto"/>
              <w:jc w:val="center"/>
              <w:rPr>
                <w:rFonts w:hint="eastAsia"/>
              </w:rPr>
            </w:pPr>
            <w:r w:rsidRPr="000E3BE1">
              <w:t>海关总署</w:t>
            </w:r>
          </w:p>
        </w:tc>
      </w:tr>
      <w:tr w:rsidR="000E3BE1" w14:paraId="02790F56" w14:textId="77777777" w:rsidTr="00CF128A">
        <w:trPr>
          <w:jc w:val="center"/>
        </w:trPr>
        <w:tc>
          <w:tcPr>
            <w:tcW w:w="1659" w:type="dxa"/>
            <w:vMerge/>
            <w:vAlign w:val="center"/>
          </w:tcPr>
          <w:p w14:paraId="6A2B9077"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24522536" w14:textId="6861C9F6" w:rsidR="000E3BE1" w:rsidRDefault="000E3BE1" w:rsidP="000E3BE1">
            <w:pPr>
              <w:pStyle w:val="ae"/>
              <w:adjustRightInd w:val="0"/>
              <w:snapToGrid w:val="0"/>
              <w:spacing w:before="0" w:beforeAutospacing="0" w:after="0" w:afterAutospacing="0" w:line="360" w:lineRule="auto"/>
              <w:jc w:val="center"/>
              <w:rPr>
                <w:rFonts w:hint="eastAsia"/>
              </w:rPr>
            </w:pPr>
            <w:r w:rsidRPr="000E3BE1">
              <w:t>负面清单得分</w:t>
            </w:r>
          </w:p>
        </w:tc>
        <w:tc>
          <w:tcPr>
            <w:tcW w:w="567" w:type="dxa"/>
            <w:vAlign w:val="center"/>
          </w:tcPr>
          <w:p w14:paraId="7E6A5C62" w14:textId="33F99199"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C2</w:t>
            </w:r>
          </w:p>
        </w:tc>
        <w:tc>
          <w:tcPr>
            <w:tcW w:w="2530" w:type="dxa"/>
            <w:vAlign w:val="center"/>
          </w:tcPr>
          <w:p w14:paraId="51671EA7" w14:textId="3EEC5EEB" w:rsidR="000E3BE1" w:rsidRDefault="000E3BE1" w:rsidP="000E3BE1">
            <w:pPr>
              <w:pStyle w:val="ae"/>
              <w:adjustRightInd w:val="0"/>
              <w:snapToGrid w:val="0"/>
              <w:spacing w:before="0" w:beforeAutospacing="0" w:after="0" w:afterAutospacing="0" w:line="360" w:lineRule="auto"/>
              <w:jc w:val="center"/>
              <w:rPr>
                <w:rFonts w:hint="eastAsia"/>
              </w:rPr>
            </w:pPr>
            <w:r w:rsidRPr="000E3BE1">
              <w:t>开放权限大小</w:t>
            </w:r>
          </w:p>
        </w:tc>
        <w:tc>
          <w:tcPr>
            <w:tcW w:w="1660" w:type="dxa"/>
            <w:vAlign w:val="center"/>
          </w:tcPr>
          <w:p w14:paraId="7C0FBAAA" w14:textId="6E9032C9" w:rsidR="000E3BE1" w:rsidRDefault="000E3BE1" w:rsidP="000E3BE1">
            <w:pPr>
              <w:pStyle w:val="ae"/>
              <w:adjustRightInd w:val="0"/>
              <w:snapToGrid w:val="0"/>
              <w:spacing w:before="0" w:beforeAutospacing="0" w:after="0" w:afterAutospacing="0" w:line="360" w:lineRule="auto"/>
              <w:jc w:val="center"/>
              <w:rPr>
                <w:rFonts w:hint="eastAsia"/>
              </w:rPr>
            </w:pPr>
            <w:r w:rsidRPr="000E3BE1">
              <w:t>中国商务部</w:t>
            </w:r>
          </w:p>
        </w:tc>
      </w:tr>
      <w:tr w:rsidR="000E3BE1" w14:paraId="3DE354C9" w14:textId="77777777" w:rsidTr="00CF128A">
        <w:trPr>
          <w:jc w:val="center"/>
        </w:trPr>
        <w:tc>
          <w:tcPr>
            <w:tcW w:w="1659" w:type="dxa"/>
            <w:vMerge/>
            <w:vAlign w:val="center"/>
          </w:tcPr>
          <w:p w14:paraId="1CA158AD"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74D395C6" w14:textId="27A0FBF7" w:rsidR="000E3BE1" w:rsidRDefault="000E3BE1" w:rsidP="000E3BE1">
            <w:pPr>
              <w:pStyle w:val="ae"/>
              <w:adjustRightInd w:val="0"/>
              <w:snapToGrid w:val="0"/>
              <w:spacing w:before="0" w:beforeAutospacing="0" w:after="0" w:afterAutospacing="0" w:line="360" w:lineRule="auto"/>
              <w:jc w:val="center"/>
              <w:rPr>
                <w:rFonts w:hint="eastAsia"/>
              </w:rPr>
            </w:pPr>
            <w:r w:rsidRPr="000E3BE1">
              <w:t>制度创新推广案例个数</w:t>
            </w:r>
          </w:p>
        </w:tc>
        <w:tc>
          <w:tcPr>
            <w:tcW w:w="567" w:type="dxa"/>
            <w:vAlign w:val="center"/>
          </w:tcPr>
          <w:p w14:paraId="7425BE38" w14:textId="02B4DB49"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C3</w:t>
            </w:r>
          </w:p>
        </w:tc>
        <w:tc>
          <w:tcPr>
            <w:tcW w:w="2530" w:type="dxa"/>
            <w:vAlign w:val="center"/>
          </w:tcPr>
          <w:p w14:paraId="66FF5CC2" w14:textId="30695ABB" w:rsidR="000E3BE1" w:rsidRDefault="000E3BE1" w:rsidP="000E3BE1">
            <w:pPr>
              <w:pStyle w:val="ae"/>
              <w:adjustRightInd w:val="0"/>
              <w:snapToGrid w:val="0"/>
              <w:spacing w:before="0" w:beforeAutospacing="0" w:after="0" w:afterAutospacing="0" w:line="360" w:lineRule="auto"/>
              <w:jc w:val="center"/>
              <w:rPr>
                <w:rFonts w:hint="eastAsia"/>
              </w:rPr>
            </w:pPr>
            <w:r w:rsidRPr="000E3BE1">
              <w:t>制度创新成果可复制性</w:t>
            </w:r>
          </w:p>
        </w:tc>
        <w:tc>
          <w:tcPr>
            <w:tcW w:w="1660" w:type="dxa"/>
            <w:vAlign w:val="center"/>
          </w:tcPr>
          <w:p w14:paraId="6D966666" w14:textId="75AFC42F" w:rsidR="000E3BE1" w:rsidRDefault="000E3BE1" w:rsidP="000E3BE1">
            <w:pPr>
              <w:pStyle w:val="ae"/>
              <w:adjustRightInd w:val="0"/>
              <w:snapToGrid w:val="0"/>
              <w:spacing w:before="0" w:beforeAutospacing="0" w:after="0" w:afterAutospacing="0" w:line="360" w:lineRule="auto"/>
              <w:jc w:val="center"/>
              <w:rPr>
                <w:rFonts w:hint="eastAsia"/>
              </w:rPr>
            </w:pPr>
            <w:r w:rsidRPr="000E3BE1">
              <w:t>中国商务部</w:t>
            </w:r>
          </w:p>
        </w:tc>
      </w:tr>
      <w:tr w:rsidR="000E3BE1" w14:paraId="50E20A87" w14:textId="77777777" w:rsidTr="00CF128A">
        <w:trPr>
          <w:jc w:val="center"/>
        </w:trPr>
        <w:tc>
          <w:tcPr>
            <w:tcW w:w="1659" w:type="dxa"/>
            <w:vMerge/>
            <w:vAlign w:val="center"/>
          </w:tcPr>
          <w:p w14:paraId="7503B2C9"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29EECE52" w14:textId="2EC8A693" w:rsidR="000E3BE1" w:rsidRDefault="000E3BE1" w:rsidP="000E3BE1">
            <w:pPr>
              <w:pStyle w:val="ae"/>
              <w:adjustRightInd w:val="0"/>
              <w:snapToGrid w:val="0"/>
              <w:spacing w:before="0" w:beforeAutospacing="0" w:after="0" w:afterAutospacing="0" w:line="360" w:lineRule="auto"/>
              <w:jc w:val="center"/>
              <w:rPr>
                <w:rFonts w:hint="eastAsia"/>
              </w:rPr>
            </w:pPr>
            <w:r w:rsidRPr="000E3BE1">
              <w:t>重点发展产业个数</w:t>
            </w:r>
          </w:p>
        </w:tc>
        <w:tc>
          <w:tcPr>
            <w:tcW w:w="567" w:type="dxa"/>
            <w:vAlign w:val="center"/>
          </w:tcPr>
          <w:p w14:paraId="496DD8A9" w14:textId="7D34AEA1"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C4</w:t>
            </w:r>
          </w:p>
        </w:tc>
        <w:tc>
          <w:tcPr>
            <w:tcW w:w="2530" w:type="dxa"/>
            <w:vAlign w:val="center"/>
          </w:tcPr>
          <w:p w14:paraId="161DA011" w14:textId="2C5A681B" w:rsidR="000E3BE1" w:rsidRDefault="000E3BE1" w:rsidP="000E3BE1">
            <w:pPr>
              <w:pStyle w:val="ae"/>
              <w:adjustRightInd w:val="0"/>
              <w:snapToGrid w:val="0"/>
              <w:spacing w:before="0" w:beforeAutospacing="0" w:after="0" w:afterAutospacing="0" w:line="360" w:lineRule="auto"/>
              <w:jc w:val="center"/>
              <w:rPr>
                <w:rFonts w:hint="eastAsia"/>
              </w:rPr>
            </w:pPr>
            <w:r w:rsidRPr="000E3BE1">
              <w:t>重点产业开放机制创新</w:t>
            </w:r>
          </w:p>
        </w:tc>
        <w:tc>
          <w:tcPr>
            <w:tcW w:w="1660" w:type="dxa"/>
            <w:vAlign w:val="center"/>
          </w:tcPr>
          <w:p w14:paraId="09926965" w14:textId="3DC30074" w:rsidR="000E3BE1" w:rsidRDefault="000E3BE1" w:rsidP="000E3BE1">
            <w:pPr>
              <w:pStyle w:val="ae"/>
              <w:adjustRightInd w:val="0"/>
              <w:snapToGrid w:val="0"/>
              <w:spacing w:before="0" w:beforeAutospacing="0" w:after="0" w:afterAutospacing="0" w:line="360" w:lineRule="auto"/>
              <w:jc w:val="center"/>
              <w:rPr>
                <w:rFonts w:hint="eastAsia"/>
              </w:rPr>
            </w:pPr>
            <w:r w:rsidRPr="000E3BE1">
              <w:t>中国商务部</w:t>
            </w:r>
          </w:p>
        </w:tc>
      </w:tr>
    </w:tbl>
    <w:p w14:paraId="67629B20" w14:textId="4343350B" w:rsidR="000E3BE1" w:rsidRPr="008B5C6F" w:rsidRDefault="0076253E" w:rsidP="0076253E">
      <w:pPr>
        <w:pStyle w:val="ae"/>
        <w:adjustRightInd w:val="0"/>
        <w:snapToGrid w:val="0"/>
        <w:spacing w:before="0" w:beforeAutospacing="0" w:after="0" w:afterAutospacing="0" w:line="360" w:lineRule="auto"/>
        <w:ind w:firstLine="420"/>
        <w:rPr>
          <w:rFonts w:hint="eastAsia"/>
          <w:color w:val="0000FF"/>
        </w:rPr>
      </w:pPr>
      <w:r w:rsidRPr="0076253E">
        <w:t>利用</w:t>
      </w:r>
      <w:proofErr w:type="gramStart"/>
      <w:r w:rsidRPr="0076253E">
        <w:t>熵权—</w:t>
      </w:r>
      <w:proofErr w:type="gramEnd"/>
      <w:r w:rsidRPr="0076253E">
        <w:t>TOPSISI距离函数法对构建的指标体系进行量化建模,具体包含以下三个方面的内容:</w:t>
      </w:r>
      <w:r w:rsidRPr="008B5C6F">
        <w:rPr>
          <w:color w:val="0000FF"/>
        </w:rPr>
        <w:t>对原始数据进行标准化处理;</w:t>
      </w:r>
      <w:proofErr w:type="gramStart"/>
      <w:r w:rsidRPr="008B5C6F">
        <w:rPr>
          <w:color w:val="0000FF"/>
        </w:rPr>
        <w:t>利用熵权法</w:t>
      </w:r>
      <w:proofErr w:type="gramEnd"/>
      <w:r w:rsidRPr="008B5C6F">
        <w:rPr>
          <w:color w:val="0000FF"/>
        </w:rPr>
        <w:t>对构建的指标体系进行指标权重测算;根据TOPSISI距离函数模型对中国区域综合开放水平进行测算。</w:t>
      </w:r>
    </w:p>
    <w:p w14:paraId="4C049C10" w14:textId="77777777" w:rsidR="000E3BE1" w:rsidRPr="0024575E" w:rsidRDefault="000E3BE1" w:rsidP="0076253E">
      <w:pPr>
        <w:pStyle w:val="ae"/>
        <w:adjustRightInd w:val="0"/>
        <w:snapToGrid w:val="0"/>
        <w:spacing w:before="0" w:beforeAutospacing="0" w:after="0" w:afterAutospacing="0" w:line="360" w:lineRule="auto"/>
        <w:rPr>
          <w:rFonts w:hint="eastAsia"/>
          <w:b/>
          <w:bCs/>
        </w:rPr>
      </w:pPr>
    </w:p>
    <w:p w14:paraId="748E7B62" w14:textId="1EA500E2" w:rsidR="006B271F" w:rsidRDefault="00881040" w:rsidP="00EB7AE8">
      <w:pPr>
        <w:pStyle w:val="a9"/>
        <w:numPr>
          <w:ilvl w:val="0"/>
          <w:numId w:val="3"/>
        </w:numPr>
        <w:rPr>
          <w:rFonts w:ascii="宋体" w:eastAsia="宋体" w:hAnsi="宋体" w:hint="eastAsia"/>
          <w:b/>
          <w:bCs/>
          <w:sz w:val="24"/>
        </w:rPr>
      </w:pPr>
      <w:proofErr w:type="gramStart"/>
      <w:r w:rsidRPr="00EB7AE8">
        <w:rPr>
          <w:rFonts w:ascii="宋体" w:eastAsia="宋体" w:hAnsi="宋体"/>
          <w:b/>
          <w:bCs/>
          <w:sz w:val="24"/>
        </w:rPr>
        <w:t>规则维</w:t>
      </w:r>
      <w:proofErr w:type="gramEnd"/>
      <w:r w:rsidRPr="00EB7AE8">
        <w:rPr>
          <w:rFonts w:ascii="宋体" w:eastAsia="宋体" w:hAnsi="宋体"/>
          <w:b/>
          <w:bCs/>
          <w:sz w:val="24"/>
        </w:rPr>
        <w:t>度：</w:t>
      </w:r>
    </w:p>
    <w:p w14:paraId="33A12AA1" w14:textId="15772547" w:rsidR="004E6224" w:rsidRPr="004E6224" w:rsidRDefault="004E6224" w:rsidP="004E6224">
      <w:pPr>
        <w:rPr>
          <w:rFonts w:ascii="宋体" w:eastAsia="宋体" w:hAnsi="宋体" w:hint="eastAsia"/>
          <w:b/>
          <w:bCs/>
          <w:sz w:val="24"/>
        </w:rPr>
      </w:pPr>
      <w:r>
        <w:rPr>
          <w:rFonts w:ascii="宋体" w:eastAsia="宋体" w:hAnsi="宋体" w:hint="eastAsia"/>
          <w:b/>
          <w:bCs/>
          <w:sz w:val="24"/>
        </w:rPr>
        <w:t>相关定义：</w:t>
      </w:r>
    </w:p>
    <w:p w14:paraId="094FD80A" w14:textId="599F0364" w:rsidR="00EB7AE8" w:rsidRDefault="00EB7AE8" w:rsidP="00EB7AE8">
      <w:pPr>
        <w:pStyle w:val="ae"/>
        <w:adjustRightInd w:val="0"/>
        <w:snapToGrid w:val="0"/>
        <w:spacing w:before="0" w:beforeAutospacing="0" w:after="0" w:afterAutospacing="0" w:line="360" w:lineRule="auto"/>
        <w:ind w:firstLine="420"/>
        <w:jc w:val="both"/>
        <w:rPr>
          <w:rFonts w:hint="eastAsia"/>
        </w:rPr>
      </w:pPr>
      <w:r>
        <w:rPr>
          <w:rFonts w:hint="eastAsia"/>
          <w:b/>
          <w:bCs/>
        </w:rPr>
        <w:t>肖宇，社科院</w:t>
      </w:r>
      <w:hyperlink r:id="rId9" w:history="1">
        <w:r w:rsidRPr="003D0658">
          <w:rPr>
            <w:rStyle w:val="af7"/>
            <w:b/>
            <w:bCs/>
          </w:rPr>
          <w:t>https://mp.weixin.qq.com/s/b8kJGZl1dGPVw08j9Vcfxg</w:t>
        </w:r>
      </w:hyperlink>
      <w:r>
        <w:rPr>
          <w:rFonts w:hint="eastAsia"/>
          <w:b/>
          <w:bCs/>
        </w:rPr>
        <w:t>：</w:t>
      </w:r>
      <w:r w:rsidRPr="009F3D05">
        <w:t>指的是中国和世界上其他国家与地区</w:t>
      </w:r>
      <w:r w:rsidRPr="009F3D05">
        <w:rPr>
          <w:color w:val="0432FF"/>
        </w:rPr>
        <w:t>规则对标和融合</w:t>
      </w:r>
      <w:r w:rsidRPr="009F3D05">
        <w:t>，尤其是要借鉴成熟市场经济体的法律法规和监管模式，主动采纳和融入国际上通行的关于</w:t>
      </w:r>
      <w:r w:rsidRPr="009F3D05">
        <w:rPr>
          <w:color w:val="0432FF"/>
        </w:rPr>
        <w:t>市场经济、公平法治和平等竞争的基本规则</w:t>
      </w:r>
      <w:r w:rsidRPr="009F3D05">
        <w:t>。确保不同所有制的企业在生产要素获取、市场准入、政府采购和监管要求等方面享有平等待遇。通过聚焦做好知识产权保护、提高环境保护和劳工标准，为国有企业、民营企业和外资企业在同一规则体系下竞争提供稳定可预期的制度环境。</w:t>
      </w:r>
    </w:p>
    <w:p w14:paraId="6BB2811B" w14:textId="0BDF6C98" w:rsidR="00FF6009" w:rsidRDefault="00FF6009" w:rsidP="00511774">
      <w:pPr>
        <w:pStyle w:val="ae"/>
        <w:adjustRightInd w:val="0"/>
        <w:snapToGrid w:val="0"/>
        <w:spacing w:before="0" w:beforeAutospacing="0" w:after="0" w:afterAutospacing="0" w:line="360" w:lineRule="auto"/>
        <w:ind w:firstLine="420"/>
        <w:jc w:val="both"/>
        <w:rPr>
          <w:rFonts w:hint="eastAsia"/>
          <w:b/>
          <w:bCs/>
        </w:rPr>
      </w:pPr>
      <w:proofErr w:type="gramStart"/>
      <w:r w:rsidRPr="00526405">
        <w:rPr>
          <w:b/>
          <w:bCs/>
        </w:rPr>
        <w:t>常娱</w:t>
      </w:r>
      <w:r w:rsidRPr="00526405">
        <w:rPr>
          <w:rFonts w:hint="eastAsia"/>
          <w:b/>
          <w:bCs/>
        </w:rPr>
        <w:t>和</w:t>
      </w:r>
      <w:proofErr w:type="gramEnd"/>
      <w:r w:rsidRPr="00526405">
        <w:rPr>
          <w:rFonts w:hint="eastAsia"/>
          <w:b/>
          <w:bCs/>
        </w:rPr>
        <w:t>钱学锋</w:t>
      </w:r>
      <w:r>
        <w:rPr>
          <w:rFonts w:hint="eastAsia"/>
          <w:b/>
          <w:bCs/>
        </w:rPr>
        <w:t>，2022，《</w:t>
      </w:r>
      <w:r w:rsidRPr="00526405">
        <w:rPr>
          <w:b/>
          <w:bCs/>
        </w:rPr>
        <w:t>制度型开放的内涵、现状与路径</w:t>
      </w:r>
      <w:r>
        <w:rPr>
          <w:rFonts w:hint="eastAsia"/>
          <w:b/>
          <w:bCs/>
        </w:rPr>
        <w:t>》，世界经济研究：</w:t>
      </w:r>
      <w:r w:rsidR="00511774">
        <w:rPr>
          <w:rFonts w:hint="eastAsia"/>
          <w:b/>
          <w:bCs/>
        </w:rPr>
        <w:t>见文献最后启示部分</w:t>
      </w:r>
    </w:p>
    <w:p w14:paraId="0A3A577F" w14:textId="1320F0DA" w:rsidR="00511774" w:rsidRPr="00FF6009" w:rsidRDefault="00511774" w:rsidP="00511774">
      <w:pPr>
        <w:pStyle w:val="ae"/>
        <w:adjustRightInd w:val="0"/>
        <w:snapToGrid w:val="0"/>
        <w:spacing w:before="0" w:beforeAutospacing="0" w:after="0" w:afterAutospacing="0" w:line="360" w:lineRule="auto"/>
        <w:ind w:firstLine="420"/>
        <w:jc w:val="both"/>
        <w:rPr>
          <w:rFonts w:hint="eastAsia"/>
          <w:b/>
          <w:bCs/>
        </w:rPr>
      </w:pPr>
      <w:r w:rsidRPr="00FF4093">
        <w:rPr>
          <w:b/>
          <w:bCs/>
        </w:rPr>
        <w:t>洪俊杰</w:t>
      </w:r>
      <w:r>
        <w:rPr>
          <w:rFonts w:hint="eastAsia"/>
          <w:b/>
          <w:bCs/>
        </w:rPr>
        <w:t>，2024，《</w:t>
      </w:r>
      <w:r w:rsidRPr="00FF4093">
        <w:rPr>
          <w:b/>
          <w:bCs/>
        </w:rPr>
        <w:t>我国推进制度型开放面临的形势、挑战与应对</w:t>
      </w:r>
      <w:r>
        <w:rPr>
          <w:rFonts w:hint="eastAsia"/>
          <w:b/>
          <w:bCs/>
        </w:rPr>
        <w:t>》，</w:t>
      </w:r>
      <w:r w:rsidRPr="00FF4093">
        <w:rPr>
          <w:b/>
          <w:bCs/>
        </w:rPr>
        <w:t>人民论坛·学术前沿</w:t>
      </w:r>
      <w:r>
        <w:rPr>
          <w:rFonts w:hint="eastAsia"/>
          <w:b/>
          <w:bCs/>
        </w:rPr>
        <w:t>：见文献最后做法部分</w:t>
      </w:r>
    </w:p>
    <w:p w14:paraId="2679830B" w14:textId="05285EDE" w:rsidR="00EB7AE8" w:rsidRPr="000D43EB" w:rsidRDefault="000D43EB" w:rsidP="000D43EB">
      <w:pPr>
        <w:ind w:firstLine="420"/>
        <w:rPr>
          <w:rFonts w:ascii="宋体" w:eastAsia="宋体" w:hAnsi="宋体" w:hint="eastAsia"/>
          <w:sz w:val="24"/>
        </w:rPr>
      </w:pPr>
      <w:r w:rsidRPr="000D43EB">
        <w:rPr>
          <w:rFonts w:ascii="宋体" w:eastAsia="宋体" w:hAnsi="宋体"/>
          <w:b/>
          <w:bCs/>
          <w:sz w:val="24"/>
        </w:rPr>
        <w:t>钱学锋，2024，《以制度型开放引领实施自由贸易试验区提升战略》，人民论坛·学术前沿：</w:t>
      </w:r>
      <w:r w:rsidRPr="000D43EB">
        <w:rPr>
          <w:rFonts w:ascii="宋体" w:eastAsia="宋体" w:hAnsi="宋体"/>
          <w:sz w:val="24"/>
        </w:rPr>
        <w:t>一是规则开放,即主动对接国际经贸规则,注重本土规则的输出。其核心内容正</w:t>
      </w:r>
      <w:proofErr w:type="gramStart"/>
      <w:r w:rsidRPr="000D43EB">
        <w:rPr>
          <w:rFonts w:ascii="宋体" w:eastAsia="宋体" w:hAnsi="宋体"/>
          <w:sz w:val="24"/>
        </w:rPr>
        <w:t>由促进</w:t>
      </w:r>
      <w:proofErr w:type="gramEnd"/>
      <w:r w:rsidRPr="000D43EB">
        <w:rPr>
          <w:rFonts w:ascii="宋体" w:eastAsia="宋体" w:hAnsi="宋体"/>
          <w:sz w:val="24"/>
        </w:rPr>
        <w:t>国际商品和要素自由流动过渡到</w:t>
      </w:r>
      <w:r w:rsidRPr="000D43EB">
        <w:rPr>
          <w:rFonts w:ascii="宋体" w:eastAsia="宋体" w:hAnsi="宋体"/>
          <w:color w:val="0033CC"/>
          <w:sz w:val="24"/>
        </w:rPr>
        <w:t>劳工标准、绿色发展、知识产权保护、竞争中性</w:t>
      </w:r>
      <w:r w:rsidRPr="000D43EB">
        <w:rPr>
          <w:rFonts w:ascii="宋体" w:eastAsia="宋体" w:hAnsi="宋体"/>
          <w:sz w:val="24"/>
        </w:rPr>
        <w:t>等方面的协调和融合。因此,稳步扩大制度</w:t>
      </w:r>
      <w:proofErr w:type="gramStart"/>
      <w:r w:rsidRPr="000D43EB">
        <w:rPr>
          <w:rFonts w:ascii="宋体" w:eastAsia="宋体" w:hAnsi="宋体"/>
          <w:sz w:val="24"/>
        </w:rPr>
        <w:t>型开放</w:t>
      </w:r>
      <w:proofErr w:type="gramEnd"/>
      <w:r w:rsidRPr="000D43EB">
        <w:rPr>
          <w:rFonts w:ascii="宋体" w:eastAsia="宋体" w:hAnsi="宋体"/>
          <w:sz w:val="24"/>
        </w:rPr>
        <w:t>,一方面,要促进</w:t>
      </w:r>
      <w:r w:rsidRPr="000D43EB">
        <w:rPr>
          <w:rFonts w:ascii="宋体" w:eastAsia="宋体" w:hAnsi="宋体"/>
          <w:color w:val="000000" w:themeColor="text1"/>
          <w:sz w:val="24"/>
        </w:rPr>
        <w:t>国内体制机制与高标准国际经贸规则的对接,</w:t>
      </w:r>
      <w:r w:rsidRPr="000D43EB">
        <w:rPr>
          <w:rFonts w:ascii="宋体" w:eastAsia="宋体" w:hAnsi="宋体"/>
          <w:color w:val="0033CC"/>
          <w:sz w:val="24"/>
        </w:rPr>
        <w:t>降低“边境内”交易成本;</w:t>
      </w:r>
      <w:r w:rsidRPr="000D43EB">
        <w:rPr>
          <w:rFonts w:ascii="宋体" w:eastAsia="宋体" w:hAnsi="宋体"/>
          <w:sz w:val="24"/>
        </w:rPr>
        <w:t>另一方面,要推动中国由</w:t>
      </w:r>
      <w:r w:rsidRPr="000D43EB">
        <w:rPr>
          <w:rFonts w:ascii="宋体" w:eastAsia="宋体" w:hAnsi="宋体"/>
          <w:color w:val="0033CC"/>
          <w:sz w:val="24"/>
        </w:rPr>
        <w:t>规则接受者向规则制定者转变</w:t>
      </w:r>
      <w:r w:rsidRPr="000D43EB">
        <w:rPr>
          <w:rFonts w:ascii="宋体" w:eastAsia="宋体" w:hAnsi="宋体"/>
          <w:sz w:val="24"/>
        </w:rPr>
        <w:t>,在规则制定中表达中国诉求。</w:t>
      </w:r>
    </w:p>
    <w:p w14:paraId="1E9305BD" w14:textId="78CC25C4" w:rsidR="00EB7AE8" w:rsidRPr="00913A04" w:rsidRDefault="00913A04" w:rsidP="00913A04">
      <w:pPr>
        <w:ind w:firstLine="420"/>
        <w:rPr>
          <w:rFonts w:ascii="宋体" w:eastAsia="宋体" w:hAnsi="宋体" w:hint="eastAsia"/>
          <w:color w:val="000000" w:themeColor="text1"/>
          <w:sz w:val="24"/>
        </w:rPr>
      </w:pPr>
      <w:r w:rsidRPr="00913A04">
        <w:rPr>
          <w:rFonts w:ascii="宋体" w:eastAsia="宋体" w:hAnsi="宋体"/>
          <w:color w:val="000000" w:themeColor="text1"/>
          <w:sz w:val="24"/>
        </w:rPr>
        <w:t>规则方面。中国</w:t>
      </w:r>
      <w:r w:rsidRPr="00913A04">
        <w:rPr>
          <w:rFonts w:ascii="宋体" w:eastAsia="宋体" w:hAnsi="宋体"/>
          <w:color w:val="0033CC"/>
          <w:sz w:val="24"/>
        </w:rPr>
        <w:t>对接</w:t>
      </w:r>
      <w:r w:rsidRPr="00792020">
        <w:rPr>
          <w:rFonts w:ascii="宋体" w:eastAsia="宋体" w:hAnsi="宋体"/>
          <w:color w:val="EE0000"/>
          <w:sz w:val="24"/>
        </w:rPr>
        <w:t>RCEP、CPTPP、DEPA</w:t>
      </w:r>
      <w:r w:rsidRPr="00913A04">
        <w:rPr>
          <w:rFonts w:ascii="宋体" w:eastAsia="宋体" w:hAnsi="宋体"/>
          <w:color w:val="0033CC"/>
          <w:sz w:val="24"/>
        </w:rPr>
        <w:t>等国际高标准经贸规则</w:t>
      </w:r>
      <w:r w:rsidRPr="00913A04">
        <w:rPr>
          <w:rFonts w:ascii="宋体" w:eastAsia="宋体" w:hAnsi="宋体"/>
          <w:color w:val="000000" w:themeColor="text1"/>
          <w:sz w:val="24"/>
        </w:rPr>
        <w:t>,全面落实</w:t>
      </w:r>
      <w:r w:rsidRPr="00913A04">
        <w:rPr>
          <w:rFonts w:ascii="宋体" w:eastAsia="宋体" w:hAnsi="宋体"/>
          <w:color w:val="0033CC"/>
          <w:sz w:val="24"/>
        </w:rPr>
        <w:t>负面清单管理制度。</w:t>
      </w:r>
    </w:p>
    <w:p w14:paraId="011A4BB5" w14:textId="28062ED3" w:rsidR="00913A04" w:rsidRPr="00F64CE3" w:rsidRDefault="00F64CE3" w:rsidP="00340DC0">
      <w:pPr>
        <w:tabs>
          <w:tab w:val="left" w:pos="660"/>
        </w:tabs>
        <w:rPr>
          <w:rFonts w:ascii="宋体" w:eastAsia="宋体" w:hAnsi="宋体" w:hint="eastAsia"/>
          <w:b/>
          <w:bCs/>
          <w:sz w:val="24"/>
        </w:rPr>
      </w:pPr>
      <w:r>
        <w:rPr>
          <w:rFonts w:ascii="宋体" w:eastAsia="宋体" w:hAnsi="宋体" w:hint="eastAsia"/>
          <w:b/>
          <w:bCs/>
          <w:sz w:val="24"/>
        </w:rPr>
        <w:lastRenderedPageBreak/>
        <w:tab/>
      </w:r>
      <w:r w:rsidRPr="00F64CE3">
        <w:rPr>
          <w:rFonts w:ascii="宋体" w:eastAsia="宋体" w:hAnsi="宋体"/>
          <w:b/>
          <w:bCs/>
          <w:sz w:val="24"/>
        </w:rPr>
        <w:t>林峰</w:t>
      </w:r>
      <w:r>
        <w:rPr>
          <w:rFonts w:ascii="宋体" w:eastAsia="宋体" w:hAnsi="宋体" w:hint="eastAsia"/>
          <w:b/>
          <w:bCs/>
          <w:sz w:val="24"/>
        </w:rPr>
        <w:t>，2026，《</w:t>
      </w:r>
      <w:r w:rsidRPr="00F64CE3">
        <w:rPr>
          <w:rFonts w:ascii="宋体" w:eastAsia="宋体" w:hAnsi="宋体"/>
          <w:b/>
          <w:bCs/>
          <w:sz w:val="24"/>
        </w:rPr>
        <w:t>稳步扩大制度型开放的理论逻辑、现实挑战与实践方略</w:t>
      </w:r>
      <w:r>
        <w:rPr>
          <w:rFonts w:ascii="宋体" w:eastAsia="宋体" w:hAnsi="宋体" w:hint="eastAsia"/>
          <w:b/>
          <w:bCs/>
          <w:sz w:val="24"/>
        </w:rPr>
        <w:t>》，财贸研究：</w:t>
      </w:r>
      <w:r w:rsidRPr="00F64CE3">
        <w:rPr>
          <w:rFonts w:ascii="宋体" w:eastAsia="宋体" w:hAnsi="宋体"/>
          <w:sz w:val="24"/>
        </w:rPr>
        <w:t>以主动对接国际高标准经贸规则为牵引,构建制度</w:t>
      </w:r>
      <w:proofErr w:type="gramStart"/>
      <w:r w:rsidRPr="00F64CE3">
        <w:rPr>
          <w:rFonts w:ascii="宋体" w:eastAsia="宋体" w:hAnsi="宋体"/>
          <w:sz w:val="24"/>
        </w:rPr>
        <w:t>型开放</w:t>
      </w:r>
      <w:proofErr w:type="gramEnd"/>
      <w:r w:rsidRPr="00F64CE3">
        <w:rPr>
          <w:rFonts w:ascii="宋体" w:eastAsia="宋体" w:hAnsi="宋体"/>
          <w:sz w:val="24"/>
        </w:rPr>
        <w:t>的外部衔接机制。在全球经贸规则体系加速重构的背景下,制度</w:t>
      </w:r>
      <w:proofErr w:type="gramStart"/>
      <w:r w:rsidRPr="00F64CE3">
        <w:rPr>
          <w:rFonts w:ascii="宋体" w:eastAsia="宋体" w:hAnsi="宋体"/>
          <w:sz w:val="24"/>
        </w:rPr>
        <w:t>型开放</w:t>
      </w:r>
      <w:proofErr w:type="gramEnd"/>
      <w:r w:rsidRPr="00F64CE3">
        <w:rPr>
          <w:rFonts w:ascii="宋体" w:eastAsia="宋体" w:hAnsi="宋体"/>
          <w:sz w:val="24"/>
        </w:rPr>
        <w:t>的重点在于主动</w:t>
      </w:r>
      <w:r w:rsidRPr="00F64CE3">
        <w:rPr>
          <w:rFonts w:ascii="宋体" w:eastAsia="宋体" w:hAnsi="宋体"/>
          <w:color w:val="0000FF"/>
          <w:sz w:val="24"/>
        </w:rPr>
        <w:t>对接高标准规则,</w:t>
      </w:r>
      <w:r w:rsidRPr="00F64CE3">
        <w:rPr>
          <w:rFonts w:ascii="宋体" w:eastAsia="宋体" w:hAnsi="宋体"/>
          <w:sz w:val="24"/>
        </w:rPr>
        <w:t>提升中国参与全球经济治理的能力。从制度</w:t>
      </w:r>
      <w:proofErr w:type="gramStart"/>
      <w:r w:rsidRPr="00F64CE3">
        <w:rPr>
          <w:rFonts w:ascii="宋体" w:eastAsia="宋体" w:hAnsi="宋体"/>
          <w:sz w:val="24"/>
        </w:rPr>
        <w:t>型开放</w:t>
      </w:r>
      <w:proofErr w:type="gramEnd"/>
      <w:r w:rsidRPr="00F64CE3">
        <w:rPr>
          <w:rFonts w:ascii="宋体" w:eastAsia="宋体" w:hAnsi="宋体"/>
          <w:sz w:val="24"/>
        </w:rPr>
        <w:t>的实践逻辑看,高标准规则对接并非简单的规则移植或文本引人,而是通过制度调整、规则协调和执行机制优化,降低规则衔接中的不确定性和制度摩擦。在具体推进中,应坚持多边规则与区域规则并行:一方面,坚定维护以WTO为核心的多边贸易体制,</w:t>
      </w:r>
      <w:r w:rsidRPr="00F64CE3">
        <w:rPr>
          <w:rFonts w:ascii="宋体" w:eastAsia="宋体" w:hAnsi="宋体"/>
          <w:color w:val="0000FF"/>
          <w:sz w:val="24"/>
        </w:rPr>
        <w:t>积极参与数字贸易等前沿领域的规则讨论和制度改革</w:t>
      </w:r>
      <w:r w:rsidRPr="00F64CE3">
        <w:rPr>
          <w:rFonts w:ascii="宋体" w:eastAsia="宋体" w:hAnsi="宋体"/>
          <w:sz w:val="24"/>
        </w:rPr>
        <w:t>,推动建设开放型世界经济;另一方面,</w:t>
      </w:r>
      <w:r w:rsidRPr="00F64CE3">
        <w:rPr>
          <w:rFonts w:ascii="宋体" w:eastAsia="宋体" w:hAnsi="宋体"/>
          <w:color w:val="0000FF"/>
          <w:sz w:val="24"/>
        </w:rPr>
        <w:t>主动对标</w:t>
      </w:r>
      <w:r w:rsidRPr="00792020">
        <w:rPr>
          <w:rFonts w:ascii="宋体" w:eastAsia="宋体" w:hAnsi="宋体"/>
          <w:color w:val="EE0000"/>
          <w:sz w:val="24"/>
        </w:rPr>
        <w:t>CPTPP</w:t>
      </w:r>
      <w:r w:rsidR="00A54986" w:rsidRPr="00792020">
        <w:rPr>
          <w:rFonts w:ascii="宋体" w:eastAsia="宋体" w:hAnsi="宋体" w:hint="eastAsia"/>
          <w:color w:val="EE0000"/>
          <w:sz w:val="24"/>
        </w:rPr>
        <w:t>、</w:t>
      </w:r>
      <w:r w:rsidRPr="00792020">
        <w:rPr>
          <w:rFonts w:ascii="宋体" w:eastAsia="宋体" w:hAnsi="宋体"/>
          <w:color w:val="EE0000"/>
          <w:sz w:val="24"/>
        </w:rPr>
        <w:t>DEPA</w:t>
      </w:r>
      <w:r w:rsidRPr="00F64CE3">
        <w:rPr>
          <w:rFonts w:ascii="宋体" w:eastAsia="宋体" w:hAnsi="宋体"/>
          <w:color w:val="0000FF"/>
          <w:sz w:val="24"/>
        </w:rPr>
        <w:t>等国际高标准经贸协定</w:t>
      </w:r>
      <w:r w:rsidRPr="00F64CE3">
        <w:rPr>
          <w:rFonts w:ascii="宋体" w:eastAsia="宋体" w:hAnsi="宋体"/>
          <w:sz w:val="24"/>
        </w:rPr>
        <w:t>,系统梳理中国在政府采购、数字贸易、劳工标准等方面与国际规则之间的差距,推动相关制度的前瞻性调整与规则衔接</w:t>
      </w:r>
    </w:p>
    <w:p w14:paraId="45619677" w14:textId="6D1C7EA6" w:rsidR="005E58D6" w:rsidRPr="005E58D6" w:rsidRDefault="005E58D6" w:rsidP="005E58D6">
      <w:pPr>
        <w:rPr>
          <w:rFonts w:ascii="宋体" w:eastAsia="宋体" w:hAnsi="宋体" w:hint="eastAsia"/>
          <w:b/>
          <w:bCs/>
          <w:sz w:val="24"/>
        </w:rPr>
      </w:pPr>
      <w:r>
        <w:rPr>
          <w:rFonts w:ascii="宋体" w:eastAsia="宋体" w:hAnsi="宋体" w:hint="eastAsia"/>
          <w:b/>
          <w:bCs/>
          <w:sz w:val="24"/>
        </w:rPr>
        <w:t>相关数据库或官方文件：</w:t>
      </w:r>
    </w:p>
    <w:p w14:paraId="1D22E2E0" w14:textId="4601DBDE" w:rsidR="00A20CE7" w:rsidRPr="00A20CE7" w:rsidRDefault="00A20CE7" w:rsidP="00A20CE7">
      <w:pPr>
        <w:ind w:firstLine="420"/>
        <w:rPr>
          <w:rFonts w:ascii="宋体" w:eastAsia="宋体" w:hAnsi="宋体" w:hint="eastAsia"/>
          <w:b/>
          <w:bCs/>
          <w:sz w:val="24"/>
        </w:rPr>
      </w:pPr>
      <w:r w:rsidRPr="00A20CE7">
        <w:rPr>
          <w:rFonts w:ascii="宋体" w:eastAsia="宋体" w:hAnsi="宋体"/>
          <w:b/>
          <w:bCs/>
          <w:sz w:val="24"/>
        </w:rPr>
        <w:t>1.深度贸易协定数据库</w:t>
      </w:r>
      <w:r w:rsidR="00717505" w:rsidRPr="00A20CE7">
        <w:rPr>
          <w:rFonts w:ascii="宋体" w:eastAsia="宋体" w:hAnsi="宋体"/>
          <w:b/>
          <w:bCs/>
          <w:sz w:val="24"/>
        </w:rPr>
        <w:t>DTA</w:t>
      </w:r>
    </w:p>
    <w:p w14:paraId="02EBFF95" w14:textId="209AA35D" w:rsidR="00F32416" w:rsidRDefault="00EC3694" w:rsidP="00A20CE7">
      <w:pPr>
        <w:ind w:firstLine="420"/>
        <w:rPr>
          <w:rFonts w:ascii="宋体" w:eastAsia="宋体" w:hAnsi="宋体" w:hint="eastAsia"/>
          <w:sz w:val="24"/>
        </w:rPr>
      </w:pPr>
      <w:r w:rsidRPr="00EC3694">
        <w:rPr>
          <w:rFonts w:ascii="宋体" w:eastAsia="宋体" w:hAnsi="宋体"/>
          <w:sz w:val="24"/>
        </w:rPr>
        <w:t>世界银行 Deep Trade Agreements Database，DTA，是当前国际上测度深度贸易协定内容和规则深度</w:t>
      </w:r>
      <w:r w:rsidRPr="001560A2">
        <w:rPr>
          <w:rFonts w:ascii="宋体" w:eastAsia="宋体" w:hAnsi="宋体"/>
          <w:sz w:val="24"/>
        </w:rPr>
        <w:t>最具权威性和使用最广泛的国际数据库</w:t>
      </w:r>
      <w:r w:rsidRPr="00EC3694">
        <w:rPr>
          <w:rFonts w:ascii="宋体" w:eastAsia="宋体" w:hAnsi="宋体"/>
          <w:sz w:val="24"/>
        </w:rPr>
        <w:t xml:space="preserve">。其 DTA 1.0 横向深度数据库对 1958—2023 年间签署并通报 WTO 的 400 </w:t>
      </w:r>
      <w:proofErr w:type="gramStart"/>
      <w:r w:rsidRPr="00EC3694">
        <w:rPr>
          <w:rFonts w:ascii="宋体" w:eastAsia="宋体" w:hAnsi="宋体"/>
          <w:sz w:val="24"/>
        </w:rPr>
        <w:t>个</w:t>
      </w:r>
      <w:proofErr w:type="gramEnd"/>
      <w:r w:rsidRPr="00EC3694">
        <w:rPr>
          <w:rFonts w:ascii="宋体" w:eastAsia="宋体" w:hAnsi="宋体"/>
          <w:sz w:val="24"/>
        </w:rPr>
        <w:t xml:space="preserve">优惠贸易协定进行编码，覆盖 52 </w:t>
      </w:r>
      <w:proofErr w:type="gramStart"/>
      <w:r w:rsidRPr="00EC3694">
        <w:rPr>
          <w:rFonts w:ascii="宋体" w:eastAsia="宋体" w:hAnsi="宋体"/>
          <w:sz w:val="24"/>
        </w:rPr>
        <w:t>个</w:t>
      </w:r>
      <w:proofErr w:type="gramEnd"/>
      <w:r w:rsidRPr="00EC3694">
        <w:rPr>
          <w:rFonts w:ascii="宋体" w:eastAsia="宋体" w:hAnsi="宋体"/>
          <w:sz w:val="24"/>
        </w:rPr>
        <w:t>政策领域，并提供</w:t>
      </w:r>
      <w:r w:rsidRPr="00BE4914">
        <w:rPr>
          <w:rFonts w:ascii="宋体" w:eastAsia="宋体" w:hAnsi="宋体"/>
          <w:color w:val="0000FF"/>
          <w:sz w:val="24"/>
        </w:rPr>
        <w:t>各政策领域是否</w:t>
      </w:r>
      <w:proofErr w:type="gramStart"/>
      <w:r w:rsidRPr="00BE4914">
        <w:rPr>
          <w:rFonts w:ascii="宋体" w:eastAsia="宋体" w:hAnsi="宋体"/>
          <w:color w:val="0000FF"/>
          <w:sz w:val="24"/>
        </w:rPr>
        <w:t>被协定</w:t>
      </w:r>
      <w:proofErr w:type="gramEnd"/>
      <w:r w:rsidRPr="00BE4914">
        <w:rPr>
          <w:rFonts w:ascii="宋体" w:eastAsia="宋体" w:hAnsi="宋体"/>
          <w:color w:val="0000FF"/>
          <w:sz w:val="24"/>
        </w:rPr>
        <w:t>覆盖及是否具有法律可执行性</w:t>
      </w:r>
      <w:r w:rsidRPr="00EC3694">
        <w:rPr>
          <w:rFonts w:ascii="宋体" w:eastAsia="宋体" w:hAnsi="宋体"/>
          <w:sz w:val="24"/>
        </w:rPr>
        <w:t>的信息，因此可直接支撑</w:t>
      </w:r>
      <w:r w:rsidRPr="00BE4914">
        <w:rPr>
          <w:rFonts w:ascii="宋体" w:eastAsia="宋体" w:hAnsi="宋体"/>
          <w:color w:val="0000FF"/>
          <w:sz w:val="24"/>
        </w:rPr>
        <w:t>“规则覆盖广度”“规则法律可执行性”</w:t>
      </w:r>
      <w:r w:rsidRPr="00EC3694">
        <w:rPr>
          <w:rFonts w:ascii="宋体" w:eastAsia="宋体" w:hAnsi="宋体"/>
          <w:sz w:val="24"/>
        </w:rPr>
        <w:t xml:space="preserve">等指标构造。其 DTA 2.0 纵向深度数据库进一步对 18 </w:t>
      </w:r>
      <w:proofErr w:type="gramStart"/>
      <w:r w:rsidRPr="00EC3694">
        <w:rPr>
          <w:rFonts w:ascii="宋体" w:eastAsia="宋体" w:hAnsi="宋体"/>
          <w:sz w:val="24"/>
        </w:rPr>
        <w:t>个</w:t>
      </w:r>
      <w:proofErr w:type="gramEnd"/>
      <w:r w:rsidRPr="00EC3694">
        <w:rPr>
          <w:rFonts w:ascii="宋体" w:eastAsia="宋体" w:hAnsi="宋体"/>
          <w:sz w:val="24"/>
        </w:rPr>
        <w:t>高频政策领域的具体条款进行细分，涵盖</w:t>
      </w:r>
      <w:r w:rsidRPr="00BE4914">
        <w:rPr>
          <w:rFonts w:ascii="宋体" w:eastAsia="宋体" w:hAnsi="宋体"/>
          <w:color w:val="0000FF"/>
          <w:sz w:val="24"/>
        </w:rPr>
        <w:t>协定目标、实质性承诺、透明度、程序和执行机制等</w:t>
      </w:r>
      <w:r w:rsidRPr="00EC3694">
        <w:rPr>
          <w:rFonts w:ascii="宋体" w:eastAsia="宋体" w:hAnsi="宋体"/>
          <w:sz w:val="24"/>
        </w:rPr>
        <w:t>内容，因此可用于构造</w:t>
      </w:r>
      <w:r w:rsidRPr="00BE4914">
        <w:rPr>
          <w:rFonts w:ascii="宋体" w:eastAsia="宋体" w:hAnsi="宋体"/>
          <w:color w:val="0000FF"/>
          <w:sz w:val="24"/>
        </w:rPr>
        <w:t>“透明度条款”“程序性规则”“执行机制条款”等</w:t>
      </w:r>
      <w:r w:rsidRPr="00EC3694">
        <w:rPr>
          <w:rFonts w:ascii="宋体" w:eastAsia="宋体" w:hAnsi="宋体"/>
          <w:sz w:val="24"/>
        </w:rPr>
        <w:t>更细粒度指标。</w:t>
      </w:r>
      <w:r w:rsidR="0078116D" w:rsidRPr="0078116D">
        <w:rPr>
          <w:rFonts w:ascii="宋体" w:eastAsia="宋体" w:hAnsi="宋体"/>
          <w:sz w:val="24"/>
        </w:rPr>
        <w:t>Hofmann et al.（2017, 2019）</w:t>
      </w:r>
      <w:r w:rsidR="00F32416" w:rsidRPr="00F32416">
        <w:rPr>
          <w:rFonts w:ascii="宋体" w:eastAsia="宋体" w:hAnsi="宋体"/>
          <w:sz w:val="24"/>
        </w:rPr>
        <w:t>的研究是该数据库横向深度测度的重要方法基础，其核心思路是根据协定所覆盖的</w:t>
      </w:r>
      <w:r w:rsidR="00F32416" w:rsidRPr="0057040A">
        <w:rPr>
          <w:rFonts w:ascii="宋体" w:eastAsia="宋体" w:hAnsi="宋体"/>
          <w:color w:val="0000FF"/>
          <w:sz w:val="24"/>
        </w:rPr>
        <w:t>政策领域及其法律可执行性</w:t>
      </w:r>
      <w:r w:rsidR="00F32416" w:rsidRPr="00F32416">
        <w:rPr>
          <w:rFonts w:ascii="宋体" w:eastAsia="宋体" w:hAnsi="宋体"/>
          <w:sz w:val="24"/>
        </w:rPr>
        <w:t>衡量协定深度，为按照 WTO-plus 与 WTO-extra 政策领域识别和量化贸易协定规则深度提供经典文献支撑。</w:t>
      </w:r>
    </w:p>
    <w:p w14:paraId="18838978" w14:textId="2B44A148" w:rsidR="00A20CE7" w:rsidRPr="00A20CE7" w:rsidRDefault="00A20CE7" w:rsidP="00A20CE7">
      <w:pPr>
        <w:ind w:firstLine="420"/>
        <w:rPr>
          <w:rFonts w:ascii="宋体" w:eastAsia="宋体" w:hAnsi="宋体" w:hint="eastAsia"/>
          <w:b/>
          <w:bCs/>
          <w:sz w:val="24"/>
        </w:rPr>
      </w:pPr>
      <w:r w:rsidRPr="00A20CE7">
        <w:rPr>
          <w:rFonts w:ascii="宋体" w:eastAsia="宋体" w:hAnsi="宋体"/>
          <w:b/>
          <w:bCs/>
          <w:sz w:val="24"/>
        </w:rPr>
        <w:t>2.DESTA数据库</w:t>
      </w:r>
    </w:p>
    <w:p w14:paraId="1753C1B9" w14:textId="52B12367" w:rsidR="0057040A" w:rsidRDefault="0057040A" w:rsidP="00A20CE7">
      <w:pPr>
        <w:ind w:firstLine="420"/>
        <w:rPr>
          <w:rFonts w:ascii="宋体" w:eastAsia="宋体" w:hAnsi="宋体" w:hint="eastAsia"/>
          <w:sz w:val="24"/>
        </w:rPr>
      </w:pPr>
      <w:r w:rsidRPr="0057040A">
        <w:rPr>
          <w:rFonts w:ascii="宋体" w:eastAsia="宋体" w:hAnsi="宋体"/>
          <w:sz w:val="24"/>
        </w:rPr>
        <w:t>DESTA，即 Design of Trade Agreements Database，可译为“贸易协定设计数据库”，是国际政治经济学和国际贸易政治经济学研究中常用的优惠贸易协定文本编码数据库。该数据库系统收集 1945 年以来签署的优惠贸易协定设计特征，重点关注</w:t>
      </w:r>
      <w:r w:rsidRPr="00FB2F72">
        <w:rPr>
          <w:rFonts w:ascii="宋体" w:eastAsia="宋体" w:hAnsi="宋体"/>
          <w:color w:val="0000FF"/>
          <w:sz w:val="24"/>
        </w:rPr>
        <w:t>协定深度、议题覆盖、市场准入承诺设计、制度化安排、争端解决机制以及灵活性条款等</w:t>
      </w:r>
      <w:r w:rsidRPr="0057040A">
        <w:rPr>
          <w:rFonts w:ascii="宋体" w:eastAsia="宋体" w:hAnsi="宋体"/>
          <w:sz w:val="24"/>
        </w:rPr>
        <w:t>内容。因此，DESTA 可用于支撑</w:t>
      </w:r>
      <w:r w:rsidRPr="00FB2F72">
        <w:rPr>
          <w:rFonts w:ascii="宋体" w:eastAsia="宋体" w:hAnsi="宋体"/>
          <w:color w:val="0000FF"/>
          <w:sz w:val="24"/>
        </w:rPr>
        <w:t>“协定规则设计”“规则深度”“市场准入承诺范围”“争端解决与执行机制”“灵活性条款”</w:t>
      </w:r>
      <w:r w:rsidRPr="0057040A">
        <w:rPr>
          <w:rFonts w:ascii="宋体" w:eastAsia="宋体" w:hAnsi="宋体"/>
          <w:sz w:val="24"/>
        </w:rPr>
        <w:t>等指标构造。</w:t>
      </w:r>
      <w:r w:rsidR="0078116D" w:rsidRPr="0078116D">
        <w:rPr>
          <w:rFonts w:ascii="宋体" w:eastAsia="宋体" w:hAnsi="宋体"/>
          <w:sz w:val="24"/>
        </w:rPr>
        <w:t>Dür et al.（2014）</w:t>
      </w:r>
      <w:r w:rsidRPr="0057040A">
        <w:rPr>
          <w:rFonts w:ascii="宋体" w:eastAsia="宋体" w:hAnsi="宋体"/>
          <w:sz w:val="24"/>
        </w:rPr>
        <w:t>关于 DESTA 的研究表明，优惠贸易协定并非同质化安排，而是在条款覆盖、制度化程度、执行机制和灵活性设计等方面存在系统差异，这些差异可以通过文本编码转化为量化指标。</w:t>
      </w:r>
    </w:p>
    <w:p w14:paraId="47E5EB11" w14:textId="2798431F" w:rsidR="00A20CE7" w:rsidRPr="00A20CE7" w:rsidRDefault="00A20CE7" w:rsidP="00A20CE7">
      <w:pPr>
        <w:ind w:firstLine="420"/>
        <w:rPr>
          <w:rFonts w:ascii="宋体" w:eastAsia="宋体" w:hAnsi="宋体" w:hint="eastAsia"/>
          <w:b/>
          <w:bCs/>
          <w:sz w:val="24"/>
        </w:rPr>
      </w:pPr>
      <w:r w:rsidRPr="00A20CE7">
        <w:rPr>
          <w:rFonts w:ascii="宋体" w:eastAsia="宋体" w:hAnsi="宋体"/>
          <w:b/>
          <w:bCs/>
          <w:sz w:val="24"/>
        </w:rPr>
        <w:t>3.中国官方文件：支撑“高标准经贸规则对接”</w:t>
      </w:r>
    </w:p>
    <w:p w14:paraId="5A77BD4C" w14:textId="66A70983" w:rsidR="00A20CE7" w:rsidRPr="00A20CE7" w:rsidRDefault="00A20CE7" w:rsidP="00A20CE7">
      <w:pPr>
        <w:ind w:firstLine="420"/>
        <w:rPr>
          <w:rFonts w:ascii="宋体" w:eastAsia="宋体" w:hAnsi="宋体" w:hint="eastAsia"/>
          <w:sz w:val="24"/>
        </w:rPr>
      </w:pPr>
      <w:r w:rsidRPr="00A20CE7">
        <w:rPr>
          <w:rFonts w:ascii="宋体" w:eastAsia="宋体" w:hAnsi="宋体"/>
          <w:sz w:val="24"/>
        </w:rPr>
        <w:lastRenderedPageBreak/>
        <w:t>党的二十届三中全会相关权威解读提出，制度</w:t>
      </w:r>
      <w:proofErr w:type="gramStart"/>
      <w:r w:rsidRPr="00A20CE7">
        <w:rPr>
          <w:rFonts w:ascii="宋体" w:eastAsia="宋体" w:hAnsi="宋体"/>
          <w:sz w:val="24"/>
        </w:rPr>
        <w:t>型开放</w:t>
      </w:r>
      <w:proofErr w:type="gramEnd"/>
      <w:r w:rsidRPr="00A20CE7">
        <w:rPr>
          <w:rFonts w:ascii="宋体" w:eastAsia="宋体" w:hAnsi="宋体"/>
          <w:sz w:val="24"/>
        </w:rPr>
        <w:t>要主动对接国际高标准经贸规则，在</w:t>
      </w:r>
      <w:r w:rsidRPr="00062E34">
        <w:rPr>
          <w:rFonts w:ascii="宋体" w:eastAsia="宋体" w:hAnsi="宋体"/>
          <w:color w:val="0000FF"/>
          <w:sz w:val="24"/>
        </w:rPr>
        <w:t>产权保护、产业补贴、环境标准、劳动保护、政府采购、电子商务、金融</w:t>
      </w:r>
      <w:r w:rsidRPr="00A20CE7">
        <w:rPr>
          <w:rFonts w:ascii="宋体" w:eastAsia="宋体" w:hAnsi="宋体"/>
          <w:sz w:val="24"/>
        </w:rPr>
        <w:t>等领域实现规则、规制、管理、标准相通相容。这可以直接支撑我们把CPTPP、DEPA、RCEP、USMCA、WTO规则中的这些领域作为</w:t>
      </w:r>
      <w:proofErr w:type="gramStart"/>
      <w:r w:rsidRPr="00A20CE7">
        <w:rPr>
          <w:rFonts w:ascii="宋体" w:eastAsia="宋体" w:hAnsi="宋体"/>
          <w:sz w:val="24"/>
        </w:rPr>
        <w:t>规则维</w:t>
      </w:r>
      <w:proofErr w:type="gramEnd"/>
      <w:r w:rsidRPr="00A20CE7">
        <w:rPr>
          <w:rFonts w:ascii="宋体" w:eastAsia="宋体" w:hAnsi="宋体"/>
          <w:sz w:val="24"/>
        </w:rPr>
        <w:t>度的主题词和条款编码对象。</w:t>
      </w:r>
    </w:p>
    <w:p w14:paraId="3EA5E972" w14:textId="3124D389" w:rsidR="00A20CE7" w:rsidRPr="00A20CE7" w:rsidRDefault="00A20CE7" w:rsidP="00A20CE7">
      <w:pPr>
        <w:ind w:firstLine="420"/>
        <w:rPr>
          <w:rFonts w:ascii="宋体" w:eastAsia="宋体" w:hAnsi="宋体" w:hint="eastAsia"/>
          <w:b/>
          <w:bCs/>
          <w:sz w:val="24"/>
        </w:rPr>
      </w:pPr>
      <w:r w:rsidRPr="00A20CE7">
        <w:rPr>
          <w:rFonts w:ascii="宋体" w:eastAsia="宋体" w:hAnsi="宋体"/>
          <w:b/>
          <w:bCs/>
          <w:sz w:val="24"/>
        </w:rPr>
        <w:t>4.负面清单制度：支撑“规则开放度”和“准入开放度”</w:t>
      </w:r>
    </w:p>
    <w:p w14:paraId="7FFBE8E0" w14:textId="49E1A477" w:rsidR="004440A3" w:rsidRDefault="00A20CE7" w:rsidP="00C3591C">
      <w:pPr>
        <w:ind w:firstLine="420"/>
        <w:rPr>
          <w:rFonts w:ascii="宋体" w:eastAsia="宋体" w:hAnsi="宋体" w:hint="eastAsia"/>
          <w:sz w:val="24"/>
        </w:rPr>
      </w:pPr>
      <w:r w:rsidRPr="00F64CE3">
        <w:rPr>
          <w:rFonts w:ascii="宋体" w:eastAsia="宋体" w:hAnsi="宋体"/>
          <w:color w:val="0000FF"/>
          <w:sz w:val="24"/>
        </w:rPr>
        <w:t>市场准入负面清单、外资准入负面清单</w:t>
      </w:r>
      <w:r w:rsidRPr="00A20CE7">
        <w:rPr>
          <w:rFonts w:ascii="宋体" w:eastAsia="宋体" w:hAnsi="宋体"/>
          <w:sz w:val="24"/>
        </w:rPr>
        <w:t>是中国制度</w:t>
      </w:r>
      <w:proofErr w:type="gramStart"/>
      <w:r w:rsidRPr="00A20CE7">
        <w:rPr>
          <w:rFonts w:ascii="宋体" w:eastAsia="宋体" w:hAnsi="宋体"/>
          <w:sz w:val="24"/>
        </w:rPr>
        <w:t>型开放</w:t>
      </w:r>
      <w:proofErr w:type="gramEnd"/>
      <w:r w:rsidRPr="00A20CE7">
        <w:rPr>
          <w:rFonts w:ascii="宋体" w:eastAsia="宋体" w:hAnsi="宋体"/>
          <w:sz w:val="24"/>
        </w:rPr>
        <w:t>的重要载体。官方和学术研究都把负面清单制度视为推动市场准入透明化、降低地方保护和制度性交易成本的重要改革工具。因此，</w:t>
      </w:r>
      <w:r w:rsidRPr="00F64CE3">
        <w:rPr>
          <w:rFonts w:ascii="宋体" w:eastAsia="宋体" w:hAnsi="宋体"/>
          <w:color w:val="0000FF"/>
          <w:sz w:val="24"/>
        </w:rPr>
        <w:t>负面清单事项数量、限制事项占比、禁止类事项占比、服务业限制强度</w:t>
      </w:r>
      <w:r w:rsidRPr="00A20CE7">
        <w:rPr>
          <w:rFonts w:ascii="宋体" w:eastAsia="宋体" w:hAnsi="宋体"/>
          <w:sz w:val="24"/>
        </w:rPr>
        <w:t>，都可以作为规则开放度或准入开放度指标。</w:t>
      </w:r>
    </w:p>
    <w:p w14:paraId="61E794F4" w14:textId="077F8502" w:rsidR="00340DC0" w:rsidRPr="00340DC0" w:rsidRDefault="00340DC0" w:rsidP="00340DC0">
      <w:pPr>
        <w:ind w:firstLine="420"/>
        <w:rPr>
          <w:rFonts w:ascii="宋体" w:eastAsia="宋体" w:hAnsi="宋体" w:hint="eastAsia"/>
          <w:sz w:val="24"/>
        </w:rPr>
      </w:pPr>
      <w:r>
        <w:rPr>
          <w:rFonts w:ascii="宋体" w:eastAsia="宋体" w:hAnsi="宋体" w:hint="eastAsia"/>
          <w:sz w:val="24"/>
        </w:rPr>
        <w:t>综上，</w:t>
      </w:r>
      <w:proofErr w:type="gramStart"/>
      <w:r w:rsidRPr="00927B2C">
        <w:rPr>
          <w:rFonts w:ascii="宋体" w:eastAsia="宋体" w:hAnsi="宋体"/>
          <w:sz w:val="24"/>
        </w:rPr>
        <w:t>规则维度关注</w:t>
      </w:r>
      <w:proofErr w:type="gramEnd"/>
      <w:r w:rsidRPr="00927B2C">
        <w:rPr>
          <w:rFonts w:ascii="宋体" w:eastAsia="宋体" w:hAnsi="宋体"/>
          <w:sz w:val="24"/>
        </w:rPr>
        <w:t>的是一国或地区是否主动对接国际高标准经贸规则，尤其是CPTPP、DEPA、RCEP、高标准双边投资协定、数字贸易协定、WTO-plus与WTO-extra条款等。World</w:t>
      </w:r>
      <w:r>
        <w:rPr>
          <w:rFonts w:ascii="宋体" w:eastAsia="宋体" w:hAnsi="宋体" w:hint="eastAsia"/>
          <w:sz w:val="24"/>
        </w:rPr>
        <w:t xml:space="preserve"> </w:t>
      </w:r>
      <w:r w:rsidRPr="00927B2C">
        <w:rPr>
          <w:rFonts w:ascii="宋体" w:eastAsia="宋体" w:hAnsi="宋体"/>
          <w:sz w:val="24"/>
        </w:rPr>
        <w:t>Bank</w:t>
      </w:r>
      <w:r>
        <w:rPr>
          <w:rFonts w:ascii="宋体" w:eastAsia="宋体" w:hAnsi="宋体" w:hint="eastAsia"/>
          <w:sz w:val="24"/>
        </w:rPr>
        <w:t xml:space="preserve"> </w:t>
      </w:r>
      <w:r w:rsidRPr="00927B2C">
        <w:rPr>
          <w:rFonts w:ascii="宋体" w:eastAsia="宋体" w:hAnsi="宋体"/>
          <w:sz w:val="24"/>
        </w:rPr>
        <w:t>DTA和DESTA的共同启示是：规则开放不能只看是否签署协定，而要看协定条款是否覆盖更广政策领域、是否具有法律可执行性、是否包含透明度和执行机制。</w:t>
      </w:r>
    </w:p>
    <w:tbl>
      <w:tblPr>
        <w:tblStyle w:val="af3"/>
        <w:tblW w:w="10485" w:type="dxa"/>
        <w:jc w:val="center"/>
        <w:tblLook w:val="04A0" w:firstRow="1" w:lastRow="0" w:firstColumn="1" w:lastColumn="0" w:noHBand="0" w:noVBand="1"/>
      </w:tblPr>
      <w:tblGrid>
        <w:gridCol w:w="1026"/>
        <w:gridCol w:w="1663"/>
        <w:gridCol w:w="2132"/>
        <w:gridCol w:w="1133"/>
        <w:gridCol w:w="2125"/>
        <w:gridCol w:w="2406"/>
      </w:tblGrid>
      <w:tr w:rsidR="00522168" w14:paraId="473C6B28" w14:textId="77777777" w:rsidTr="00D06560">
        <w:trPr>
          <w:jc w:val="center"/>
        </w:trPr>
        <w:tc>
          <w:tcPr>
            <w:tcW w:w="1026" w:type="dxa"/>
            <w:vAlign w:val="center"/>
          </w:tcPr>
          <w:p w14:paraId="0538F31B" w14:textId="608FF13F" w:rsidR="00522168" w:rsidRPr="00522168" w:rsidRDefault="00522168" w:rsidP="00522168">
            <w:pPr>
              <w:rPr>
                <w:rFonts w:ascii="宋体" w:eastAsia="宋体" w:hAnsi="宋体" w:hint="eastAsia"/>
                <w:sz w:val="18"/>
                <w:szCs w:val="18"/>
              </w:rPr>
            </w:pPr>
            <w:r w:rsidRPr="00522168">
              <w:rPr>
                <w:rFonts w:ascii="宋体" w:eastAsia="宋体" w:hAnsi="宋体"/>
                <w:b/>
                <w:sz w:val="18"/>
                <w:szCs w:val="18"/>
              </w:rPr>
              <w:t>指标名称</w:t>
            </w:r>
          </w:p>
        </w:tc>
        <w:tc>
          <w:tcPr>
            <w:tcW w:w="1663" w:type="dxa"/>
            <w:vAlign w:val="center"/>
          </w:tcPr>
          <w:p w14:paraId="74D3162B" w14:textId="0D26E9F0" w:rsidR="00522168" w:rsidRPr="00522168" w:rsidRDefault="00522168" w:rsidP="00522168">
            <w:pPr>
              <w:rPr>
                <w:rFonts w:ascii="宋体" w:eastAsia="宋体" w:hAnsi="宋体" w:hint="eastAsia"/>
                <w:sz w:val="18"/>
                <w:szCs w:val="18"/>
              </w:rPr>
            </w:pPr>
            <w:r w:rsidRPr="00522168">
              <w:rPr>
                <w:rFonts w:ascii="宋体" w:eastAsia="宋体" w:hAnsi="宋体"/>
                <w:b/>
                <w:sz w:val="18"/>
                <w:szCs w:val="18"/>
              </w:rPr>
              <w:t>文献/官方依据</w:t>
            </w:r>
          </w:p>
        </w:tc>
        <w:tc>
          <w:tcPr>
            <w:tcW w:w="2132" w:type="dxa"/>
            <w:vAlign w:val="center"/>
          </w:tcPr>
          <w:p w14:paraId="610654C6" w14:textId="28E94CD1" w:rsidR="00522168" w:rsidRPr="00522168" w:rsidRDefault="00522168" w:rsidP="00522168">
            <w:pPr>
              <w:rPr>
                <w:rFonts w:ascii="宋体" w:eastAsia="宋体" w:hAnsi="宋体" w:hint="eastAsia"/>
                <w:sz w:val="18"/>
                <w:szCs w:val="18"/>
              </w:rPr>
            </w:pPr>
            <w:r w:rsidRPr="00522168">
              <w:rPr>
                <w:rFonts w:ascii="宋体" w:eastAsia="宋体" w:hAnsi="宋体"/>
                <w:b/>
                <w:sz w:val="18"/>
                <w:szCs w:val="18"/>
              </w:rPr>
              <w:t>具体可操作变量或方法</w:t>
            </w:r>
          </w:p>
        </w:tc>
        <w:tc>
          <w:tcPr>
            <w:tcW w:w="1133" w:type="dxa"/>
            <w:vAlign w:val="center"/>
          </w:tcPr>
          <w:p w14:paraId="4AEF1229" w14:textId="1934C359" w:rsidR="00522168" w:rsidRPr="00522168" w:rsidRDefault="00522168" w:rsidP="00522168">
            <w:pPr>
              <w:rPr>
                <w:rFonts w:ascii="宋体" w:eastAsia="宋体" w:hAnsi="宋体" w:hint="eastAsia"/>
                <w:sz w:val="18"/>
                <w:szCs w:val="18"/>
              </w:rPr>
            </w:pPr>
            <w:r w:rsidRPr="00522168">
              <w:rPr>
                <w:rFonts w:ascii="宋体" w:eastAsia="宋体" w:hAnsi="宋体"/>
                <w:b/>
                <w:sz w:val="18"/>
                <w:szCs w:val="18"/>
              </w:rPr>
              <w:t>含义</w:t>
            </w:r>
          </w:p>
        </w:tc>
        <w:tc>
          <w:tcPr>
            <w:tcW w:w="2125" w:type="dxa"/>
            <w:vAlign w:val="center"/>
          </w:tcPr>
          <w:p w14:paraId="50988DC1" w14:textId="1836E382" w:rsidR="00522168" w:rsidRPr="00522168" w:rsidRDefault="00522168" w:rsidP="00522168">
            <w:pPr>
              <w:rPr>
                <w:rFonts w:ascii="宋体" w:eastAsia="宋体" w:hAnsi="宋体" w:hint="eastAsia"/>
                <w:sz w:val="18"/>
                <w:szCs w:val="18"/>
              </w:rPr>
            </w:pPr>
            <w:r w:rsidRPr="00522168">
              <w:rPr>
                <w:rFonts w:ascii="宋体" w:eastAsia="宋体" w:hAnsi="宋体"/>
                <w:b/>
                <w:sz w:val="18"/>
                <w:szCs w:val="18"/>
              </w:rPr>
              <w:t>数据来源（重点）</w:t>
            </w:r>
          </w:p>
        </w:tc>
        <w:tc>
          <w:tcPr>
            <w:tcW w:w="2406" w:type="dxa"/>
            <w:vAlign w:val="center"/>
          </w:tcPr>
          <w:p w14:paraId="0782FD4F" w14:textId="0CC2B238" w:rsidR="00522168" w:rsidRPr="00522168" w:rsidRDefault="00522168" w:rsidP="00522168">
            <w:pPr>
              <w:rPr>
                <w:rFonts w:ascii="宋体" w:eastAsia="宋体" w:hAnsi="宋体" w:hint="eastAsia"/>
                <w:sz w:val="18"/>
                <w:szCs w:val="18"/>
              </w:rPr>
            </w:pPr>
            <w:r w:rsidRPr="00522168">
              <w:rPr>
                <w:rFonts w:ascii="宋体" w:eastAsia="宋体" w:hAnsi="宋体"/>
                <w:b/>
                <w:sz w:val="18"/>
                <w:szCs w:val="18"/>
              </w:rPr>
              <w:t>计算方法</w:t>
            </w:r>
          </w:p>
        </w:tc>
      </w:tr>
      <w:tr w:rsidR="00522168" w14:paraId="5DF632C0" w14:textId="77777777" w:rsidTr="00D06560">
        <w:trPr>
          <w:jc w:val="center"/>
        </w:trPr>
        <w:tc>
          <w:tcPr>
            <w:tcW w:w="1026" w:type="dxa"/>
            <w:vAlign w:val="center"/>
          </w:tcPr>
          <w:p w14:paraId="4C931384" w14:textId="3F18496F" w:rsidR="00522168" w:rsidRPr="00522168" w:rsidRDefault="00522168" w:rsidP="009A302C">
            <w:pPr>
              <w:rPr>
                <w:rFonts w:hint="eastAsia"/>
                <w:sz w:val="18"/>
                <w:szCs w:val="18"/>
              </w:rPr>
            </w:pPr>
            <w:r w:rsidRPr="00522168">
              <w:rPr>
                <w:rFonts w:ascii="宋体" w:eastAsia="宋体" w:hAnsi="宋体"/>
                <w:sz w:val="18"/>
                <w:szCs w:val="18"/>
              </w:rPr>
              <w:t>协定规则深度指数</w:t>
            </w:r>
            <w:r w:rsidR="00D06560">
              <w:rPr>
                <w:rFonts w:ascii="宋体" w:eastAsia="宋体" w:hAnsi="宋体" w:hint="eastAsia"/>
                <w:sz w:val="18"/>
                <w:szCs w:val="18"/>
              </w:rPr>
              <w:t>（贸、跨-投资章节）</w:t>
            </w:r>
          </w:p>
        </w:tc>
        <w:tc>
          <w:tcPr>
            <w:tcW w:w="1663" w:type="dxa"/>
            <w:vAlign w:val="center"/>
          </w:tcPr>
          <w:p w14:paraId="416088F1" w14:textId="4E07881E" w:rsidR="00522168" w:rsidRPr="00522168" w:rsidRDefault="00522168" w:rsidP="009A302C">
            <w:pPr>
              <w:rPr>
                <w:rFonts w:hint="eastAsia"/>
                <w:sz w:val="18"/>
                <w:szCs w:val="18"/>
              </w:rPr>
            </w:pPr>
            <w:proofErr w:type="gramStart"/>
            <w:r w:rsidRPr="00522168">
              <w:rPr>
                <w:rFonts w:ascii="宋体" w:eastAsia="宋体" w:hAnsi="宋体"/>
                <w:sz w:val="18"/>
                <w:szCs w:val="18"/>
              </w:rPr>
              <w:t>常娱和</w:t>
            </w:r>
            <w:proofErr w:type="gramEnd"/>
            <w:r w:rsidRPr="00522168">
              <w:rPr>
                <w:rFonts w:ascii="宋体" w:eastAsia="宋体" w:hAnsi="宋体"/>
                <w:sz w:val="18"/>
                <w:szCs w:val="18"/>
              </w:rPr>
              <w:t>钱学锋（2022）；钱学锋（2024）；World Bank DTA；DESTA；</w:t>
            </w:r>
            <w:r w:rsidR="0078116D" w:rsidRPr="0078116D">
              <w:rPr>
                <w:rFonts w:ascii="宋体" w:eastAsia="宋体" w:hAnsi="宋体"/>
                <w:sz w:val="18"/>
                <w:szCs w:val="18"/>
              </w:rPr>
              <w:t>Dür et al.（2014）</w:t>
            </w:r>
            <w:r w:rsidRPr="00522168">
              <w:rPr>
                <w:rFonts w:ascii="宋体" w:eastAsia="宋体" w:hAnsi="宋体"/>
                <w:sz w:val="18"/>
                <w:szCs w:val="18"/>
              </w:rPr>
              <w:t>；</w:t>
            </w:r>
            <w:r w:rsidR="0078116D" w:rsidRPr="0078116D">
              <w:rPr>
                <w:rFonts w:ascii="宋体" w:eastAsia="宋体" w:hAnsi="宋体"/>
                <w:sz w:val="18"/>
                <w:szCs w:val="18"/>
              </w:rPr>
              <w:t>Hofmann et al.（2017, 2019）</w:t>
            </w:r>
          </w:p>
        </w:tc>
        <w:tc>
          <w:tcPr>
            <w:tcW w:w="2132" w:type="dxa"/>
            <w:vAlign w:val="center"/>
          </w:tcPr>
          <w:p w14:paraId="2F726529" w14:textId="77777777" w:rsidR="00522168" w:rsidRPr="00522168" w:rsidRDefault="00522168" w:rsidP="009A302C">
            <w:pPr>
              <w:rPr>
                <w:rFonts w:hint="eastAsia"/>
                <w:sz w:val="18"/>
                <w:szCs w:val="18"/>
              </w:rPr>
            </w:pPr>
            <w:r w:rsidRPr="00522168">
              <w:rPr>
                <w:rFonts w:ascii="宋体" w:eastAsia="宋体" w:hAnsi="宋体"/>
                <w:sz w:val="18"/>
                <w:szCs w:val="18"/>
              </w:rPr>
              <w:t>以中国已签署或重点对接的RCEP、CPTPP、DEPA、USMCA、WTO规则、BIT/FTA文本为对象，按货物贸易、服务贸易、投资、政府采购、竞争政策、国有企业、知识产权、电子商务/数据跨境、劳工、环境、争端解决等领域编码。</w:t>
            </w:r>
          </w:p>
        </w:tc>
        <w:tc>
          <w:tcPr>
            <w:tcW w:w="1133" w:type="dxa"/>
            <w:vAlign w:val="center"/>
          </w:tcPr>
          <w:p w14:paraId="529FA70B" w14:textId="77777777" w:rsidR="00522168" w:rsidRPr="00522168" w:rsidRDefault="00522168" w:rsidP="009A302C">
            <w:pPr>
              <w:rPr>
                <w:rFonts w:hint="eastAsia"/>
                <w:sz w:val="18"/>
                <w:szCs w:val="18"/>
              </w:rPr>
            </w:pPr>
            <w:r w:rsidRPr="00522168">
              <w:rPr>
                <w:rFonts w:ascii="宋体" w:eastAsia="宋体" w:hAnsi="宋体"/>
                <w:sz w:val="18"/>
                <w:szCs w:val="18"/>
              </w:rPr>
              <w:t>衡量一国或地区对接国际高标准经贸规则的广度与深度。</w:t>
            </w:r>
          </w:p>
        </w:tc>
        <w:tc>
          <w:tcPr>
            <w:tcW w:w="2125" w:type="dxa"/>
            <w:vAlign w:val="center"/>
          </w:tcPr>
          <w:p w14:paraId="51D81FF8" w14:textId="77777777" w:rsidR="00522168" w:rsidRPr="00522168" w:rsidRDefault="00522168" w:rsidP="009A302C">
            <w:pPr>
              <w:rPr>
                <w:rFonts w:hint="eastAsia"/>
                <w:sz w:val="18"/>
                <w:szCs w:val="18"/>
              </w:rPr>
            </w:pPr>
            <w:r w:rsidRPr="00522168">
              <w:rPr>
                <w:rFonts w:ascii="宋体" w:eastAsia="宋体" w:hAnsi="宋体"/>
                <w:sz w:val="18"/>
                <w:szCs w:val="18"/>
              </w:rPr>
              <w:t>World Bank Deep Trade Agreements Database（DTA 1.0/2.0）；DESTA；WTO RTA Database；中国自由贸易区服务网；商务部FTA文本；CPTPP、DEPA、RCEP、USMCA官方文本。</w:t>
            </w:r>
          </w:p>
        </w:tc>
        <w:tc>
          <w:tcPr>
            <w:tcW w:w="2406" w:type="dxa"/>
            <w:vAlign w:val="center"/>
          </w:tcPr>
          <w:p w14:paraId="6B4F582A" w14:textId="77777777" w:rsidR="00522168" w:rsidRPr="00522168" w:rsidRDefault="00522168" w:rsidP="009A302C">
            <w:pPr>
              <w:rPr>
                <w:rFonts w:hint="eastAsia"/>
                <w:sz w:val="18"/>
                <w:szCs w:val="18"/>
              </w:rPr>
            </w:pPr>
            <w:r w:rsidRPr="00522168">
              <w:rPr>
                <w:rFonts w:ascii="宋体" w:eastAsia="宋体" w:hAnsi="宋体"/>
                <w:sz w:val="18"/>
                <w:szCs w:val="18"/>
              </w:rPr>
              <w:t>领域得分0—3：0=未涉及，1=原则性表述，2=具体义务，3=具体义务且具有执行/争端解决机制。指数=各领域得分加权平均，或“已覆盖高标准领域数/设定领域总数”。</w:t>
            </w:r>
          </w:p>
        </w:tc>
      </w:tr>
      <w:tr w:rsidR="00522168" w14:paraId="4F99CE83" w14:textId="77777777" w:rsidTr="00D06560">
        <w:trPr>
          <w:jc w:val="center"/>
        </w:trPr>
        <w:tc>
          <w:tcPr>
            <w:tcW w:w="1026" w:type="dxa"/>
            <w:vAlign w:val="center"/>
          </w:tcPr>
          <w:p w14:paraId="4905D461" w14:textId="38556084" w:rsidR="00522168" w:rsidRPr="00522168" w:rsidRDefault="00522168" w:rsidP="009A302C">
            <w:pPr>
              <w:rPr>
                <w:rFonts w:hint="eastAsia"/>
                <w:sz w:val="18"/>
                <w:szCs w:val="18"/>
              </w:rPr>
            </w:pPr>
            <w:r w:rsidRPr="00522168">
              <w:rPr>
                <w:rFonts w:ascii="宋体" w:eastAsia="宋体" w:hAnsi="宋体"/>
                <w:sz w:val="18"/>
                <w:szCs w:val="18"/>
              </w:rPr>
              <w:t>WTO-plus/WTO-extra规则覆盖指数</w:t>
            </w:r>
            <w:r w:rsidR="00D06560">
              <w:rPr>
                <w:rFonts w:ascii="宋体" w:eastAsia="宋体" w:hAnsi="宋体" w:hint="eastAsia"/>
                <w:sz w:val="18"/>
                <w:szCs w:val="18"/>
              </w:rPr>
              <w:t>（贸）</w:t>
            </w:r>
          </w:p>
        </w:tc>
        <w:tc>
          <w:tcPr>
            <w:tcW w:w="1663" w:type="dxa"/>
            <w:vAlign w:val="center"/>
          </w:tcPr>
          <w:p w14:paraId="7FB164E7" w14:textId="3E75DA7F" w:rsidR="00522168" w:rsidRPr="00522168" w:rsidRDefault="00522168" w:rsidP="009A302C">
            <w:pPr>
              <w:rPr>
                <w:rFonts w:hint="eastAsia"/>
                <w:sz w:val="18"/>
                <w:szCs w:val="18"/>
              </w:rPr>
            </w:pPr>
            <w:r w:rsidRPr="00522168">
              <w:rPr>
                <w:rFonts w:ascii="宋体" w:eastAsia="宋体" w:hAnsi="宋体"/>
                <w:sz w:val="18"/>
                <w:szCs w:val="18"/>
              </w:rPr>
              <w:t>DTA关于WTO-plus与WTO-extra政策领域的编码思想；</w:t>
            </w:r>
            <w:r w:rsidR="0078116D" w:rsidRPr="0078116D">
              <w:rPr>
                <w:rFonts w:ascii="宋体" w:eastAsia="宋体" w:hAnsi="宋体"/>
                <w:sz w:val="18"/>
                <w:szCs w:val="18"/>
              </w:rPr>
              <w:t>Horn et al.（2010）</w:t>
            </w:r>
          </w:p>
        </w:tc>
        <w:tc>
          <w:tcPr>
            <w:tcW w:w="2132" w:type="dxa"/>
            <w:vAlign w:val="center"/>
          </w:tcPr>
          <w:p w14:paraId="5378DFB0" w14:textId="77777777" w:rsidR="00522168" w:rsidRPr="00522168" w:rsidRDefault="00522168" w:rsidP="009A302C">
            <w:pPr>
              <w:rPr>
                <w:rFonts w:hint="eastAsia"/>
                <w:sz w:val="18"/>
                <w:szCs w:val="18"/>
              </w:rPr>
            </w:pPr>
            <w:proofErr w:type="gramStart"/>
            <w:r w:rsidRPr="00522168">
              <w:rPr>
                <w:rFonts w:ascii="宋体" w:eastAsia="宋体" w:hAnsi="宋体"/>
                <w:sz w:val="18"/>
                <w:szCs w:val="18"/>
              </w:rPr>
              <w:t>将协定</w:t>
            </w:r>
            <w:proofErr w:type="gramEnd"/>
            <w:r w:rsidRPr="00522168">
              <w:rPr>
                <w:rFonts w:ascii="宋体" w:eastAsia="宋体" w:hAnsi="宋体"/>
                <w:sz w:val="18"/>
                <w:szCs w:val="18"/>
              </w:rPr>
              <w:t>条款区分为WTO-plus（WTO已有但承诺更深，如服务、投资、知识产权）和WTO-extra（WTO框架外议题，如竞争、环境、劳工、数字贸易、国企、反腐败）。</w:t>
            </w:r>
          </w:p>
        </w:tc>
        <w:tc>
          <w:tcPr>
            <w:tcW w:w="1133" w:type="dxa"/>
            <w:vAlign w:val="center"/>
          </w:tcPr>
          <w:p w14:paraId="5F2A40D2" w14:textId="77777777" w:rsidR="00522168" w:rsidRPr="00522168" w:rsidRDefault="00522168" w:rsidP="009A302C">
            <w:pPr>
              <w:rPr>
                <w:rFonts w:hint="eastAsia"/>
                <w:sz w:val="18"/>
                <w:szCs w:val="18"/>
              </w:rPr>
            </w:pPr>
            <w:r w:rsidRPr="00522168">
              <w:rPr>
                <w:rFonts w:ascii="宋体" w:eastAsia="宋体" w:hAnsi="宋体"/>
                <w:sz w:val="18"/>
                <w:szCs w:val="18"/>
              </w:rPr>
              <w:t>衡量规则开放是否超越传统关税和边境措施，进入高标准、边境</w:t>
            </w:r>
            <w:proofErr w:type="gramStart"/>
            <w:r w:rsidRPr="00522168">
              <w:rPr>
                <w:rFonts w:ascii="宋体" w:eastAsia="宋体" w:hAnsi="宋体"/>
                <w:sz w:val="18"/>
                <w:szCs w:val="18"/>
              </w:rPr>
              <w:t>后制度</w:t>
            </w:r>
            <w:proofErr w:type="gramEnd"/>
            <w:r w:rsidRPr="00522168">
              <w:rPr>
                <w:rFonts w:ascii="宋体" w:eastAsia="宋体" w:hAnsi="宋体"/>
                <w:sz w:val="18"/>
                <w:szCs w:val="18"/>
              </w:rPr>
              <w:t>议题。</w:t>
            </w:r>
          </w:p>
        </w:tc>
        <w:tc>
          <w:tcPr>
            <w:tcW w:w="2125" w:type="dxa"/>
            <w:vAlign w:val="center"/>
          </w:tcPr>
          <w:p w14:paraId="7305A8FA" w14:textId="77777777" w:rsidR="00522168" w:rsidRPr="00522168" w:rsidRDefault="00522168" w:rsidP="009A302C">
            <w:pPr>
              <w:rPr>
                <w:rFonts w:hint="eastAsia"/>
                <w:sz w:val="18"/>
                <w:szCs w:val="18"/>
              </w:rPr>
            </w:pPr>
            <w:r w:rsidRPr="00522168">
              <w:rPr>
                <w:rFonts w:ascii="宋体" w:eastAsia="宋体" w:hAnsi="宋体"/>
                <w:sz w:val="18"/>
                <w:szCs w:val="18"/>
              </w:rPr>
              <w:t>World Bank DTA政策领域编码；DESTA条款编码；WTO协定文本；CPTPP、DEPA、USMCA、RCEP文本。</w:t>
            </w:r>
          </w:p>
        </w:tc>
        <w:tc>
          <w:tcPr>
            <w:tcW w:w="2406" w:type="dxa"/>
            <w:vAlign w:val="center"/>
          </w:tcPr>
          <w:p w14:paraId="3B308637" w14:textId="77777777" w:rsidR="00522168" w:rsidRPr="00522168" w:rsidRDefault="00522168" w:rsidP="009A302C">
            <w:pPr>
              <w:rPr>
                <w:rFonts w:hint="eastAsia"/>
                <w:sz w:val="18"/>
                <w:szCs w:val="18"/>
              </w:rPr>
            </w:pPr>
            <w:r w:rsidRPr="00522168">
              <w:rPr>
                <w:rFonts w:ascii="宋体" w:eastAsia="宋体" w:hAnsi="宋体"/>
                <w:sz w:val="18"/>
                <w:szCs w:val="18"/>
              </w:rPr>
              <w:t>WTO-plus指数=被覆盖且可执行的WTO-plus领域数/设定WTO-plus领域总数；WTO-extra指数=被覆盖且可执行的WTO-extra领域数/设定WTO-extra领域总数。</w:t>
            </w:r>
          </w:p>
        </w:tc>
      </w:tr>
      <w:tr w:rsidR="00522168" w14:paraId="63B390B6" w14:textId="77777777" w:rsidTr="00D06560">
        <w:trPr>
          <w:jc w:val="center"/>
        </w:trPr>
        <w:tc>
          <w:tcPr>
            <w:tcW w:w="1026" w:type="dxa"/>
            <w:vAlign w:val="center"/>
          </w:tcPr>
          <w:p w14:paraId="5A944BF5" w14:textId="7D9A2E74" w:rsidR="00522168" w:rsidRPr="00522168" w:rsidRDefault="00522168" w:rsidP="009A302C">
            <w:pPr>
              <w:rPr>
                <w:rFonts w:hint="eastAsia"/>
                <w:sz w:val="18"/>
                <w:szCs w:val="18"/>
              </w:rPr>
            </w:pPr>
            <w:r w:rsidRPr="00522168">
              <w:rPr>
                <w:rFonts w:ascii="宋体" w:eastAsia="宋体" w:hAnsi="宋体"/>
                <w:sz w:val="18"/>
                <w:szCs w:val="18"/>
              </w:rPr>
              <w:t>负面清单开放度指数</w:t>
            </w:r>
            <w:r w:rsidR="00D06560">
              <w:rPr>
                <w:rFonts w:ascii="宋体" w:eastAsia="宋体" w:hAnsi="宋体" w:hint="eastAsia"/>
                <w:sz w:val="18"/>
                <w:szCs w:val="18"/>
              </w:rPr>
              <w:t>（跨）</w:t>
            </w:r>
          </w:p>
        </w:tc>
        <w:tc>
          <w:tcPr>
            <w:tcW w:w="1663" w:type="dxa"/>
            <w:vAlign w:val="center"/>
          </w:tcPr>
          <w:p w14:paraId="0632E414" w14:textId="77777777" w:rsidR="00522168" w:rsidRPr="00522168" w:rsidRDefault="00522168" w:rsidP="009A302C">
            <w:pPr>
              <w:rPr>
                <w:rFonts w:hint="eastAsia"/>
                <w:sz w:val="18"/>
                <w:szCs w:val="18"/>
              </w:rPr>
            </w:pPr>
            <w:r w:rsidRPr="00522168">
              <w:rPr>
                <w:rFonts w:ascii="宋体" w:eastAsia="宋体" w:hAnsi="宋体"/>
                <w:sz w:val="18"/>
                <w:szCs w:val="18"/>
              </w:rPr>
              <w:t>洪俊杰（2024）；</w:t>
            </w:r>
            <w:proofErr w:type="gramStart"/>
            <w:r w:rsidRPr="00522168">
              <w:rPr>
                <w:rFonts w:ascii="宋体" w:eastAsia="宋体" w:hAnsi="宋体"/>
                <w:sz w:val="18"/>
                <w:szCs w:val="18"/>
              </w:rPr>
              <w:t>常娱和</w:t>
            </w:r>
            <w:proofErr w:type="gramEnd"/>
            <w:r w:rsidRPr="00522168">
              <w:rPr>
                <w:rFonts w:ascii="宋体" w:eastAsia="宋体" w:hAnsi="宋体"/>
                <w:sz w:val="18"/>
                <w:szCs w:val="18"/>
              </w:rPr>
              <w:t>钱学锋（2022）；钱学锋（2024）；市场准入负面清单和外资</w:t>
            </w:r>
            <w:r w:rsidRPr="00522168">
              <w:rPr>
                <w:rFonts w:ascii="宋体" w:eastAsia="宋体" w:hAnsi="宋体"/>
                <w:sz w:val="18"/>
                <w:szCs w:val="18"/>
              </w:rPr>
              <w:lastRenderedPageBreak/>
              <w:t>准入负面清单官方制度。</w:t>
            </w:r>
          </w:p>
        </w:tc>
        <w:tc>
          <w:tcPr>
            <w:tcW w:w="2132" w:type="dxa"/>
            <w:vAlign w:val="center"/>
          </w:tcPr>
          <w:p w14:paraId="69648038" w14:textId="77777777" w:rsidR="00522168" w:rsidRPr="00522168" w:rsidRDefault="00522168" w:rsidP="009A302C">
            <w:pPr>
              <w:rPr>
                <w:rFonts w:hint="eastAsia"/>
                <w:sz w:val="18"/>
                <w:szCs w:val="18"/>
              </w:rPr>
            </w:pPr>
            <w:r w:rsidRPr="00522168">
              <w:rPr>
                <w:rFonts w:ascii="宋体" w:eastAsia="宋体" w:hAnsi="宋体"/>
                <w:sz w:val="18"/>
                <w:szCs w:val="18"/>
              </w:rPr>
              <w:lastRenderedPageBreak/>
              <w:t>统计外资准入负面清单、市场准入负面清单、自贸区/海南自由贸易港负面清单中的禁止类、限制类、许可类事</w:t>
            </w:r>
            <w:r w:rsidRPr="00522168">
              <w:rPr>
                <w:rFonts w:ascii="宋体" w:eastAsia="宋体" w:hAnsi="宋体"/>
                <w:sz w:val="18"/>
                <w:szCs w:val="18"/>
              </w:rPr>
              <w:lastRenderedPageBreak/>
              <w:t>项，并可按行业归类。</w:t>
            </w:r>
          </w:p>
        </w:tc>
        <w:tc>
          <w:tcPr>
            <w:tcW w:w="1133" w:type="dxa"/>
            <w:vAlign w:val="center"/>
          </w:tcPr>
          <w:p w14:paraId="4F97E3F2" w14:textId="77777777" w:rsidR="00522168" w:rsidRPr="00522168" w:rsidRDefault="00522168" w:rsidP="009A302C">
            <w:pPr>
              <w:rPr>
                <w:rFonts w:hint="eastAsia"/>
                <w:sz w:val="18"/>
                <w:szCs w:val="18"/>
              </w:rPr>
            </w:pPr>
            <w:r w:rsidRPr="00522168">
              <w:rPr>
                <w:rFonts w:ascii="宋体" w:eastAsia="宋体" w:hAnsi="宋体"/>
                <w:sz w:val="18"/>
                <w:szCs w:val="18"/>
              </w:rPr>
              <w:lastRenderedPageBreak/>
              <w:t>衡量市场准入规则是否更加透明、统一和开放。</w:t>
            </w:r>
          </w:p>
        </w:tc>
        <w:tc>
          <w:tcPr>
            <w:tcW w:w="2125" w:type="dxa"/>
            <w:vAlign w:val="center"/>
          </w:tcPr>
          <w:p w14:paraId="1110A192" w14:textId="77777777" w:rsidR="00522168" w:rsidRPr="00522168" w:rsidRDefault="00522168" w:rsidP="009A302C">
            <w:pPr>
              <w:rPr>
                <w:rFonts w:hint="eastAsia"/>
                <w:sz w:val="18"/>
                <w:szCs w:val="18"/>
              </w:rPr>
            </w:pPr>
            <w:proofErr w:type="gramStart"/>
            <w:r w:rsidRPr="00522168">
              <w:rPr>
                <w:rFonts w:ascii="宋体" w:eastAsia="宋体" w:hAnsi="宋体"/>
                <w:sz w:val="18"/>
                <w:szCs w:val="18"/>
              </w:rPr>
              <w:t>国家发改委</w:t>
            </w:r>
            <w:proofErr w:type="gramEnd"/>
            <w:r w:rsidRPr="00522168">
              <w:rPr>
                <w:rFonts w:ascii="宋体" w:eastAsia="宋体" w:hAnsi="宋体"/>
                <w:sz w:val="18"/>
                <w:szCs w:val="18"/>
              </w:rPr>
              <w:t>、商务部、市场监管总局发布的《市场准入负面清单》；商务部、</w:t>
            </w:r>
            <w:proofErr w:type="gramStart"/>
            <w:r w:rsidRPr="00522168">
              <w:rPr>
                <w:rFonts w:ascii="宋体" w:eastAsia="宋体" w:hAnsi="宋体"/>
                <w:sz w:val="18"/>
                <w:szCs w:val="18"/>
              </w:rPr>
              <w:t>国家发改委</w:t>
            </w:r>
            <w:proofErr w:type="gramEnd"/>
            <w:r w:rsidRPr="00522168">
              <w:rPr>
                <w:rFonts w:ascii="宋体" w:eastAsia="宋体" w:hAnsi="宋体"/>
                <w:sz w:val="18"/>
                <w:szCs w:val="18"/>
              </w:rPr>
              <w:t>《外商投资准入特别管</w:t>
            </w:r>
            <w:r w:rsidRPr="00522168">
              <w:rPr>
                <w:rFonts w:ascii="宋体" w:eastAsia="宋体" w:hAnsi="宋体"/>
                <w:sz w:val="18"/>
                <w:szCs w:val="18"/>
              </w:rPr>
              <w:lastRenderedPageBreak/>
              <w:t>理措施（负面清单）》；自贸试验区负面清单；海南自由贸易港负面清单；地方准入事项清单。</w:t>
            </w:r>
          </w:p>
        </w:tc>
        <w:tc>
          <w:tcPr>
            <w:tcW w:w="2406" w:type="dxa"/>
            <w:vAlign w:val="center"/>
          </w:tcPr>
          <w:p w14:paraId="46130BAC" w14:textId="77777777" w:rsidR="00522168" w:rsidRPr="00522168" w:rsidRDefault="00522168" w:rsidP="009A302C">
            <w:pPr>
              <w:rPr>
                <w:rFonts w:hint="eastAsia"/>
                <w:sz w:val="18"/>
                <w:szCs w:val="18"/>
              </w:rPr>
            </w:pPr>
            <w:r w:rsidRPr="00522168">
              <w:rPr>
                <w:rFonts w:ascii="宋体" w:eastAsia="宋体" w:hAnsi="宋体"/>
                <w:sz w:val="18"/>
                <w:szCs w:val="18"/>
              </w:rPr>
              <w:lastRenderedPageBreak/>
              <w:t>负向</w:t>
            </w:r>
            <w:proofErr w:type="gramStart"/>
            <w:r w:rsidRPr="00522168">
              <w:rPr>
                <w:rFonts w:ascii="宋体" w:eastAsia="宋体" w:hAnsi="宋体"/>
                <w:sz w:val="18"/>
                <w:szCs w:val="18"/>
              </w:rPr>
              <w:t>限制项先标准化</w:t>
            </w:r>
            <w:proofErr w:type="gramEnd"/>
            <w:r w:rsidRPr="00522168">
              <w:rPr>
                <w:rFonts w:ascii="宋体" w:eastAsia="宋体" w:hAnsi="宋体"/>
                <w:sz w:val="18"/>
                <w:szCs w:val="18"/>
              </w:rPr>
              <w:t>后反向处理：开放度=1−标准化限制强度。限制强度可设为禁止类×1、限制类×0.6、许可/备案类×0.3后加总；</w:t>
            </w:r>
            <w:r w:rsidRPr="00522168">
              <w:rPr>
                <w:rFonts w:ascii="宋体" w:eastAsia="宋体" w:hAnsi="宋体"/>
                <w:sz w:val="18"/>
                <w:szCs w:val="18"/>
              </w:rPr>
              <w:lastRenderedPageBreak/>
              <w:t>行业开放度=1−该行业限制强度标准化值。</w:t>
            </w:r>
          </w:p>
        </w:tc>
      </w:tr>
      <w:tr w:rsidR="00522168" w14:paraId="4AA7D2F2" w14:textId="77777777" w:rsidTr="00D06560">
        <w:trPr>
          <w:jc w:val="center"/>
        </w:trPr>
        <w:tc>
          <w:tcPr>
            <w:tcW w:w="1026" w:type="dxa"/>
            <w:vAlign w:val="center"/>
          </w:tcPr>
          <w:p w14:paraId="7AC37E0A" w14:textId="2FE19EE9" w:rsidR="00522168" w:rsidRPr="00522168" w:rsidRDefault="00522168" w:rsidP="009A302C">
            <w:pPr>
              <w:rPr>
                <w:rFonts w:hint="eastAsia"/>
                <w:sz w:val="18"/>
                <w:szCs w:val="18"/>
              </w:rPr>
            </w:pPr>
            <w:r w:rsidRPr="00522168">
              <w:rPr>
                <w:rFonts w:ascii="宋体" w:eastAsia="宋体" w:hAnsi="宋体"/>
                <w:sz w:val="18"/>
                <w:szCs w:val="18"/>
              </w:rPr>
              <w:lastRenderedPageBreak/>
              <w:t>服务业开放承诺指数</w:t>
            </w:r>
            <w:r w:rsidR="00D06560">
              <w:rPr>
                <w:rFonts w:ascii="宋体" w:eastAsia="宋体" w:hAnsi="宋体" w:hint="eastAsia"/>
                <w:sz w:val="18"/>
                <w:szCs w:val="18"/>
              </w:rPr>
              <w:t>（贸、跨-商业部分）</w:t>
            </w:r>
          </w:p>
        </w:tc>
        <w:tc>
          <w:tcPr>
            <w:tcW w:w="1663" w:type="dxa"/>
            <w:vAlign w:val="center"/>
          </w:tcPr>
          <w:p w14:paraId="38C7435D" w14:textId="77777777" w:rsidR="00522168" w:rsidRPr="00522168" w:rsidRDefault="00522168" w:rsidP="009A302C">
            <w:pPr>
              <w:rPr>
                <w:rFonts w:hint="eastAsia"/>
                <w:sz w:val="18"/>
                <w:szCs w:val="18"/>
              </w:rPr>
            </w:pPr>
            <w:r w:rsidRPr="00522168">
              <w:rPr>
                <w:rFonts w:ascii="宋体" w:eastAsia="宋体" w:hAnsi="宋体"/>
                <w:sz w:val="18"/>
                <w:szCs w:val="18"/>
              </w:rPr>
              <w:t>OECD STRI；GATS；RCEP、CPTPP服务贸易和投资章节；服务业是规制开放短板和重点领域。</w:t>
            </w:r>
          </w:p>
        </w:tc>
        <w:tc>
          <w:tcPr>
            <w:tcW w:w="2132" w:type="dxa"/>
            <w:vAlign w:val="center"/>
          </w:tcPr>
          <w:p w14:paraId="4F7018D5" w14:textId="77777777" w:rsidR="00522168" w:rsidRPr="00522168" w:rsidRDefault="00522168" w:rsidP="009A302C">
            <w:pPr>
              <w:rPr>
                <w:rFonts w:hint="eastAsia"/>
                <w:sz w:val="18"/>
                <w:szCs w:val="18"/>
              </w:rPr>
            </w:pPr>
            <w:r w:rsidRPr="00522168">
              <w:rPr>
                <w:rFonts w:ascii="宋体" w:eastAsia="宋体" w:hAnsi="宋体"/>
                <w:sz w:val="18"/>
                <w:szCs w:val="18"/>
              </w:rPr>
              <w:t>按金融、电信、运输、专业服务、医疗、教育、数字服务等部门编码服务业准入限制、外资股比、高管国籍、跨境交付、商业存在、自然人流动限制。</w:t>
            </w:r>
          </w:p>
        </w:tc>
        <w:tc>
          <w:tcPr>
            <w:tcW w:w="1133" w:type="dxa"/>
            <w:vAlign w:val="center"/>
          </w:tcPr>
          <w:p w14:paraId="1A757940" w14:textId="77777777" w:rsidR="00522168" w:rsidRPr="00522168" w:rsidRDefault="00522168" w:rsidP="009A302C">
            <w:pPr>
              <w:rPr>
                <w:rFonts w:hint="eastAsia"/>
                <w:sz w:val="18"/>
                <w:szCs w:val="18"/>
              </w:rPr>
            </w:pPr>
            <w:r w:rsidRPr="00522168">
              <w:rPr>
                <w:rFonts w:ascii="宋体" w:eastAsia="宋体" w:hAnsi="宋体"/>
                <w:sz w:val="18"/>
                <w:szCs w:val="18"/>
              </w:rPr>
              <w:t>衡量服务贸易和服务业投资的制度开放水平。</w:t>
            </w:r>
          </w:p>
        </w:tc>
        <w:tc>
          <w:tcPr>
            <w:tcW w:w="2125" w:type="dxa"/>
            <w:vAlign w:val="center"/>
          </w:tcPr>
          <w:p w14:paraId="27B945DF" w14:textId="77777777" w:rsidR="00522168" w:rsidRPr="00522168" w:rsidRDefault="00522168" w:rsidP="009A302C">
            <w:pPr>
              <w:rPr>
                <w:rFonts w:hint="eastAsia"/>
                <w:sz w:val="18"/>
                <w:szCs w:val="18"/>
              </w:rPr>
            </w:pPr>
            <w:r w:rsidRPr="00522168">
              <w:rPr>
                <w:rFonts w:ascii="宋体" w:eastAsia="宋体" w:hAnsi="宋体"/>
                <w:sz w:val="18"/>
                <w:szCs w:val="18"/>
              </w:rPr>
              <w:t>OECD Services Trade Restrictiveness Index；GATS承诺表；RCEP/CPTPP服务贸易承诺表；商务部跨境服务贸易负面清单；自贸区服务开放政策。</w:t>
            </w:r>
          </w:p>
        </w:tc>
        <w:tc>
          <w:tcPr>
            <w:tcW w:w="2406" w:type="dxa"/>
            <w:vAlign w:val="center"/>
          </w:tcPr>
          <w:p w14:paraId="09BA49A4" w14:textId="77777777" w:rsidR="00522168" w:rsidRPr="00522168" w:rsidRDefault="00522168" w:rsidP="009A302C">
            <w:pPr>
              <w:rPr>
                <w:rFonts w:hint="eastAsia"/>
                <w:sz w:val="18"/>
                <w:szCs w:val="18"/>
              </w:rPr>
            </w:pPr>
            <w:r w:rsidRPr="00522168">
              <w:rPr>
                <w:rFonts w:ascii="宋体" w:eastAsia="宋体" w:hAnsi="宋体"/>
                <w:sz w:val="18"/>
                <w:szCs w:val="18"/>
              </w:rPr>
              <w:t>开放承诺指数=1−限制强度标准化值；若用STRI，直接取1−STRI；若自建编码，</w:t>
            </w:r>
            <w:proofErr w:type="gramStart"/>
            <w:r w:rsidRPr="00522168">
              <w:rPr>
                <w:rFonts w:ascii="宋体" w:eastAsia="宋体" w:hAnsi="宋体"/>
                <w:sz w:val="18"/>
                <w:szCs w:val="18"/>
              </w:rPr>
              <w:t>按限制</w:t>
            </w:r>
            <w:proofErr w:type="gramEnd"/>
            <w:r w:rsidRPr="00522168">
              <w:rPr>
                <w:rFonts w:ascii="宋体" w:eastAsia="宋体" w:hAnsi="宋体"/>
                <w:sz w:val="18"/>
                <w:szCs w:val="18"/>
              </w:rPr>
              <w:t>事项数量和强度加权反向标准化。</w:t>
            </w:r>
          </w:p>
        </w:tc>
      </w:tr>
      <w:tr w:rsidR="00522168" w14:paraId="004E618F" w14:textId="77777777" w:rsidTr="00D06560">
        <w:trPr>
          <w:jc w:val="center"/>
        </w:trPr>
        <w:tc>
          <w:tcPr>
            <w:tcW w:w="1026" w:type="dxa"/>
            <w:vAlign w:val="center"/>
          </w:tcPr>
          <w:p w14:paraId="23547ADD" w14:textId="390BA3AE" w:rsidR="00522168" w:rsidRPr="00522168" w:rsidRDefault="00522168" w:rsidP="009A302C">
            <w:pPr>
              <w:rPr>
                <w:rFonts w:hint="eastAsia"/>
                <w:sz w:val="18"/>
                <w:szCs w:val="18"/>
              </w:rPr>
            </w:pPr>
            <w:r w:rsidRPr="00522168">
              <w:rPr>
                <w:rFonts w:ascii="宋体" w:eastAsia="宋体" w:hAnsi="宋体"/>
                <w:sz w:val="18"/>
                <w:szCs w:val="18"/>
              </w:rPr>
              <w:t>高标准规则文本相似度</w:t>
            </w:r>
            <w:r w:rsidR="00D06560">
              <w:rPr>
                <w:rFonts w:ascii="宋体" w:eastAsia="宋体" w:hAnsi="宋体" w:hint="eastAsia"/>
                <w:sz w:val="18"/>
                <w:szCs w:val="18"/>
              </w:rPr>
              <w:t>（贸、跨）</w:t>
            </w:r>
          </w:p>
        </w:tc>
        <w:tc>
          <w:tcPr>
            <w:tcW w:w="1663" w:type="dxa"/>
            <w:vAlign w:val="center"/>
          </w:tcPr>
          <w:p w14:paraId="7AFA27CE" w14:textId="77777777" w:rsidR="00522168" w:rsidRPr="00522168" w:rsidRDefault="00522168" w:rsidP="009A302C">
            <w:pPr>
              <w:rPr>
                <w:rFonts w:hint="eastAsia"/>
                <w:sz w:val="18"/>
                <w:szCs w:val="18"/>
              </w:rPr>
            </w:pPr>
            <w:proofErr w:type="gramStart"/>
            <w:r w:rsidRPr="00522168">
              <w:rPr>
                <w:rFonts w:ascii="宋体" w:eastAsia="宋体" w:hAnsi="宋体"/>
                <w:sz w:val="18"/>
                <w:szCs w:val="18"/>
              </w:rPr>
              <w:t>常娱和</w:t>
            </w:r>
            <w:proofErr w:type="gramEnd"/>
            <w:r w:rsidRPr="00522168">
              <w:rPr>
                <w:rFonts w:ascii="宋体" w:eastAsia="宋体" w:hAnsi="宋体"/>
                <w:sz w:val="18"/>
                <w:szCs w:val="18"/>
              </w:rPr>
              <w:t>钱学锋（2022）；钱学锋（2024）；洪俊杰（2024）；</w:t>
            </w:r>
            <w:proofErr w:type="gramStart"/>
            <w:r w:rsidRPr="00522168">
              <w:rPr>
                <w:rFonts w:ascii="宋体" w:eastAsia="宋体" w:hAnsi="宋体"/>
                <w:sz w:val="18"/>
                <w:szCs w:val="18"/>
              </w:rPr>
              <w:t>戴翔等</w:t>
            </w:r>
            <w:proofErr w:type="gramEnd"/>
            <w:r w:rsidRPr="00522168">
              <w:rPr>
                <w:rFonts w:ascii="宋体" w:eastAsia="宋体" w:hAnsi="宋体"/>
                <w:sz w:val="18"/>
                <w:szCs w:val="18"/>
              </w:rPr>
              <w:t>（2024）强调“国内制度创新+国际规则嵌入”。</w:t>
            </w:r>
          </w:p>
        </w:tc>
        <w:tc>
          <w:tcPr>
            <w:tcW w:w="2132" w:type="dxa"/>
            <w:vAlign w:val="center"/>
          </w:tcPr>
          <w:p w14:paraId="69D5FA87" w14:textId="77777777" w:rsidR="00522168" w:rsidRPr="00522168" w:rsidRDefault="00522168" w:rsidP="009A302C">
            <w:pPr>
              <w:rPr>
                <w:rFonts w:hint="eastAsia"/>
                <w:sz w:val="18"/>
                <w:szCs w:val="18"/>
              </w:rPr>
            </w:pPr>
            <w:r w:rsidRPr="00522168">
              <w:rPr>
                <w:rFonts w:ascii="宋体" w:eastAsia="宋体" w:hAnsi="宋体"/>
                <w:sz w:val="18"/>
                <w:szCs w:val="18"/>
              </w:rPr>
              <w:t>将国内政策法规文本与CPTPP、DEPA、USMCA、EU协定、WTO规则对应章节进行关键词匹配、主题覆盖或BERT/SBERT语义相似度计算。</w:t>
            </w:r>
          </w:p>
        </w:tc>
        <w:tc>
          <w:tcPr>
            <w:tcW w:w="1133" w:type="dxa"/>
            <w:vAlign w:val="center"/>
          </w:tcPr>
          <w:p w14:paraId="50F8EE13" w14:textId="77777777" w:rsidR="00522168" w:rsidRPr="00522168" w:rsidRDefault="00522168" w:rsidP="009A302C">
            <w:pPr>
              <w:rPr>
                <w:rFonts w:hint="eastAsia"/>
                <w:sz w:val="18"/>
                <w:szCs w:val="18"/>
              </w:rPr>
            </w:pPr>
            <w:r w:rsidRPr="00522168">
              <w:rPr>
                <w:rFonts w:ascii="宋体" w:eastAsia="宋体" w:hAnsi="宋体"/>
                <w:sz w:val="18"/>
                <w:szCs w:val="18"/>
              </w:rPr>
              <w:t>衡量</w:t>
            </w:r>
            <w:proofErr w:type="gramStart"/>
            <w:r w:rsidRPr="00522168">
              <w:rPr>
                <w:rFonts w:ascii="宋体" w:eastAsia="宋体" w:hAnsi="宋体"/>
                <w:sz w:val="18"/>
                <w:szCs w:val="18"/>
              </w:rPr>
              <w:t>国内制度</w:t>
            </w:r>
            <w:proofErr w:type="gramEnd"/>
            <w:r w:rsidRPr="00522168">
              <w:rPr>
                <w:rFonts w:ascii="宋体" w:eastAsia="宋体" w:hAnsi="宋体"/>
                <w:sz w:val="18"/>
                <w:szCs w:val="18"/>
              </w:rPr>
              <w:t>文本与国际高标准规则之间的衔接程度。</w:t>
            </w:r>
          </w:p>
        </w:tc>
        <w:tc>
          <w:tcPr>
            <w:tcW w:w="2125" w:type="dxa"/>
            <w:vAlign w:val="center"/>
          </w:tcPr>
          <w:p w14:paraId="78D2315B" w14:textId="77777777" w:rsidR="00522168" w:rsidRPr="00522168" w:rsidRDefault="00522168" w:rsidP="009A302C">
            <w:pPr>
              <w:rPr>
                <w:rFonts w:hint="eastAsia"/>
                <w:sz w:val="18"/>
                <w:szCs w:val="18"/>
              </w:rPr>
            </w:pPr>
            <w:r w:rsidRPr="00522168">
              <w:rPr>
                <w:rFonts w:ascii="宋体" w:eastAsia="宋体" w:hAnsi="宋体"/>
                <w:sz w:val="18"/>
                <w:szCs w:val="18"/>
              </w:rPr>
              <w:t>国家法律法规数据库；国务院、商务部、</w:t>
            </w:r>
            <w:proofErr w:type="gramStart"/>
            <w:r w:rsidRPr="00522168">
              <w:rPr>
                <w:rFonts w:ascii="宋体" w:eastAsia="宋体" w:hAnsi="宋体"/>
                <w:sz w:val="18"/>
                <w:szCs w:val="18"/>
              </w:rPr>
              <w:t>发改委</w:t>
            </w:r>
            <w:proofErr w:type="gramEnd"/>
            <w:r w:rsidRPr="00522168">
              <w:rPr>
                <w:rFonts w:ascii="宋体" w:eastAsia="宋体" w:hAnsi="宋体"/>
                <w:sz w:val="18"/>
                <w:szCs w:val="18"/>
              </w:rPr>
              <w:t>、市场监管总局、海关总署政策文本；自贸试验区制度创新文件；海南自由贸易港法规；CPTPP、DEPA、USMCA、EU协定官方文本。</w:t>
            </w:r>
          </w:p>
        </w:tc>
        <w:tc>
          <w:tcPr>
            <w:tcW w:w="2406" w:type="dxa"/>
            <w:vAlign w:val="center"/>
          </w:tcPr>
          <w:p w14:paraId="32BC63D3" w14:textId="77777777" w:rsidR="00522168" w:rsidRPr="00522168" w:rsidRDefault="00522168" w:rsidP="009A302C">
            <w:pPr>
              <w:rPr>
                <w:rFonts w:hint="eastAsia"/>
                <w:sz w:val="18"/>
                <w:szCs w:val="18"/>
              </w:rPr>
            </w:pPr>
            <w:r w:rsidRPr="00522168">
              <w:rPr>
                <w:rFonts w:ascii="宋体" w:eastAsia="宋体" w:hAnsi="宋体"/>
                <w:sz w:val="18"/>
                <w:szCs w:val="18"/>
              </w:rPr>
              <w:t>文本预处理后按条款/段落向量化，计算国内文本与高标准规则文本的最大相似度或平均相似度；也可用“命中高标准主题词数/主题词总数”。</w:t>
            </w:r>
          </w:p>
        </w:tc>
      </w:tr>
    </w:tbl>
    <w:p w14:paraId="59B21DDD" w14:textId="77777777" w:rsidR="00985277" w:rsidRPr="00D06560" w:rsidRDefault="00985277" w:rsidP="00545AE7">
      <w:pPr>
        <w:rPr>
          <w:rFonts w:ascii="宋体" w:eastAsia="宋体" w:hAnsi="宋体" w:hint="eastAsia"/>
          <w:sz w:val="24"/>
        </w:rPr>
      </w:pPr>
    </w:p>
    <w:p w14:paraId="1FADF689" w14:textId="057D36CB" w:rsidR="006B271F" w:rsidRDefault="00881040" w:rsidP="00EB7AE8">
      <w:pPr>
        <w:pStyle w:val="a9"/>
        <w:numPr>
          <w:ilvl w:val="0"/>
          <w:numId w:val="3"/>
        </w:numPr>
        <w:rPr>
          <w:rFonts w:ascii="宋体" w:eastAsia="宋体" w:hAnsi="宋体" w:hint="eastAsia"/>
          <w:b/>
          <w:bCs/>
          <w:sz w:val="24"/>
        </w:rPr>
      </w:pPr>
      <w:r w:rsidRPr="00EB7AE8">
        <w:rPr>
          <w:rFonts w:ascii="宋体" w:eastAsia="宋体" w:hAnsi="宋体"/>
          <w:b/>
          <w:bCs/>
          <w:sz w:val="24"/>
        </w:rPr>
        <w:t>规制维度：</w:t>
      </w:r>
    </w:p>
    <w:p w14:paraId="5657A3D6" w14:textId="22304660" w:rsidR="004E6224" w:rsidRPr="004E6224" w:rsidRDefault="004E6224" w:rsidP="004E6224">
      <w:pPr>
        <w:rPr>
          <w:rFonts w:ascii="宋体" w:eastAsia="宋体" w:hAnsi="宋体" w:hint="eastAsia"/>
          <w:b/>
          <w:bCs/>
          <w:sz w:val="24"/>
        </w:rPr>
      </w:pPr>
      <w:r>
        <w:rPr>
          <w:rFonts w:ascii="宋体" w:eastAsia="宋体" w:hAnsi="宋体" w:hint="eastAsia"/>
          <w:b/>
          <w:bCs/>
          <w:sz w:val="24"/>
        </w:rPr>
        <w:t>相关定义：</w:t>
      </w:r>
    </w:p>
    <w:p w14:paraId="7D2E7154" w14:textId="04450404" w:rsidR="00EB7AE8" w:rsidRDefault="00EB7AE8" w:rsidP="00EB7AE8">
      <w:pPr>
        <w:pStyle w:val="ae"/>
        <w:adjustRightInd w:val="0"/>
        <w:snapToGrid w:val="0"/>
        <w:spacing w:before="0" w:beforeAutospacing="0" w:after="0" w:afterAutospacing="0" w:line="360" w:lineRule="auto"/>
        <w:ind w:firstLine="420"/>
        <w:jc w:val="both"/>
        <w:rPr>
          <w:rFonts w:hint="eastAsia"/>
        </w:rPr>
      </w:pPr>
      <w:r>
        <w:rPr>
          <w:rFonts w:hint="eastAsia"/>
          <w:b/>
          <w:bCs/>
        </w:rPr>
        <w:t>肖宇，社科院</w:t>
      </w:r>
      <w:hyperlink r:id="rId10" w:history="1">
        <w:r w:rsidR="00792020" w:rsidRPr="00C342F8">
          <w:rPr>
            <w:rStyle w:val="af7"/>
            <w:b/>
            <w:bCs/>
          </w:rPr>
          <w:t>https://mp.weixin.qq.com/s/b8kJGZl1dGPVw08j9Vcfxg</w:t>
        </w:r>
      </w:hyperlink>
      <w:r>
        <w:rPr>
          <w:rFonts w:hint="eastAsia"/>
          <w:b/>
          <w:bCs/>
        </w:rPr>
        <w:t>：</w:t>
      </w:r>
      <w:r w:rsidRPr="009F3D05">
        <w:t>强调的是不同国家之间</w:t>
      </w:r>
      <w:r w:rsidRPr="009F3D05">
        <w:rPr>
          <w:color w:val="0432FF"/>
        </w:rPr>
        <w:t>法律法规监管上的协调</w:t>
      </w:r>
      <w:r w:rsidRPr="009F3D05">
        <w:t>。这种协调不仅体现在外资准入，也需要在监管规则上与国际通行标准对标对表，并通过提高监管透明度，推进政府监管模式的现代化和国际化。比如，在制定关乎行业竞争的技术标准时，不光考虑内资企业合理关切，也要征询外资企业意见，做到内外资企业一视同仁，降低行业监管的“玻璃门”。此外，</w:t>
      </w:r>
      <w:r w:rsidRPr="009F3D05">
        <w:rPr>
          <w:color w:val="0432FF"/>
        </w:rPr>
        <w:t>服务业不仅是目前规制开放主阵地，也是当前稳步推进制度</w:t>
      </w:r>
      <w:proofErr w:type="gramStart"/>
      <w:r w:rsidRPr="009F3D05">
        <w:rPr>
          <w:color w:val="0432FF"/>
        </w:rPr>
        <w:t>型开放</w:t>
      </w:r>
      <w:proofErr w:type="gramEnd"/>
      <w:r w:rsidRPr="009F3D05">
        <w:rPr>
          <w:color w:val="0432FF"/>
        </w:rPr>
        <w:t>短板所在。</w:t>
      </w:r>
      <w:r w:rsidRPr="009F3D05">
        <w:t>规制开放就是要全面推进我国金融业与巴塞尔协议Ⅲ对接、试行医疗行业认可国际临床试验数据、在电信领域推行网络中立性原则、加大引进优质教育资源等。</w:t>
      </w:r>
    </w:p>
    <w:p w14:paraId="25FA8B04" w14:textId="77777777" w:rsidR="00F6240B" w:rsidRDefault="00F6240B" w:rsidP="00F6240B">
      <w:pPr>
        <w:pStyle w:val="ae"/>
        <w:adjustRightInd w:val="0"/>
        <w:snapToGrid w:val="0"/>
        <w:spacing w:before="0" w:beforeAutospacing="0" w:after="0" w:afterAutospacing="0" w:line="360" w:lineRule="auto"/>
        <w:ind w:firstLine="420"/>
        <w:jc w:val="both"/>
        <w:rPr>
          <w:rFonts w:hint="eastAsia"/>
          <w:b/>
          <w:bCs/>
        </w:rPr>
      </w:pPr>
      <w:proofErr w:type="gramStart"/>
      <w:r w:rsidRPr="00526405">
        <w:rPr>
          <w:b/>
          <w:bCs/>
        </w:rPr>
        <w:t>常娱</w:t>
      </w:r>
      <w:r w:rsidRPr="00526405">
        <w:rPr>
          <w:rFonts w:hint="eastAsia"/>
          <w:b/>
          <w:bCs/>
        </w:rPr>
        <w:t>和</w:t>
      </w:r>
      <w:proofErr w:type="gramEnd"/>
      <w:r w:rsidRPr="00526405">
        <w:rPr>
          <w:rFonts w:hint="eastAsia"/>
          <w:b/>
          <w:bCs/>
        </w:rPr>
        <w:t>钱学锋</w:t>
      </w:r>
      <w:r>
        <w:rPr>
          <w:rFonts w:hint="eastAsia"/>
          <w:b/>
          <w:bCs/>
        </w:rPr>
        <w:t>，2022，《</w:t>
      </w:r>
      <w:r w:rsidRPr="00526405">
        <w:rPr>
          <w:b/>
          <w:bCs/>
        </w:rPr>
        <w:t>制度型开放的内涵、现状与路径</w:t>
      </w:r>
      <w:r>
        <w:rPr>
          <w:rFonts w:hint="eastAsia"/>
          <w:b/>
          <w:bCs/>
        </w:rPr>
        <w:t>》，世界经济研究：见文献最后启示部分</w:t>
      </w:r>
    </w:p>
    <w:p w14:paraId="3C5BBFCF" w14:textId="34BE29A8" w:rsidR="00FF6009" w:rsidRPr="00F6240B" w:rsidRDefault="00F6240B" w:rsidP="00F6240B">
      <w:pPr>
        <w:pStyle w:val="ae"/>
        <w:adjustRightInd w:val="0"/>
        <w:snapToGrid w:val="0"/>
        <w:spacing w:before="0" w:beforeAutospacing="0" w:after="0" w:afterAutospacing="0" w:line="360" w:lineRule="auto"/>
        <w:ind w:firstLine="420"/>
        <w:jc w:val="both"/>
        <w:rPr>
          <w:rFonts w:hint="eastAsia"/>
          <w:b/>
          <w:bCs/>
        </w:rPr>
      </w:pPr>
      <w:r w:rsidRPr="00FF4093">
        <w:rPr>
          <w:b/>
          <w:bCs/>
        </w:rPr>
        <w:t>洪俊杰</w:t>
      </w:r>
      <w:r>
        <w:rPr>
          <w:rFonts w:hint="eastAsia"/>
          <w:b/>
          <w:bCs/>
        </w:rPr>
        <w:t>，2024，《</w:t>
      </w:r>
      <w:r w:rsidRPr="00FF4093">
        <w:rPr>
          <w:b/>
          <w:bCs/>
        </w:rPr>
        <w:t>我国推进制度型开放面临的形势、挑战与应对</w:t>
      </w:r>
      <w:r>
        <w:rPr>
          <w:rFonts w:hint="eastAsia"/>
          <w:b/>
          <w:bCs/>
        </w:rPr>
        <w:t>》，</w:t>
      </w:r>
      <w:r w:rsidRPr="00FF4093">
        <w:rPr>
          <w:b/>
          <w:bCs/>
        </w:rPr>
        <w:t>人民论坛·学术前沿</w:t>
      </w:r>
      <w:r>
        <w:rPr>
          <w:rFonts w:hint="eastAsia"/>
          <w:b/>
          <w:bCs/>
        </w:rPr>
        <w:t>：（见文献最后做法部分）</w:t>
      </w:r>
    </w:p>
    <w:p w14:paraId="505D037A" w14:textId="18C01907" w:rsidR="003D08EA" w:rsidRDefault="003D08EA" w:rsidP="003D08EA">
      <w:pPr>
        <w:pStyle w:val="ae"/>
        <w:adjustRightInd w:val="0"/>
        <w:snapToGrid w:val="0"/>
        <w:spacing w:before="0" w:beforeAutospacing="0" w:after="0" w:afterAutospacing="0" w:line="360" w:lineRule="auto"/>
        <w:ind w:firstLine="420"/>
        <w:jc w:val="both"/>
        <w:rPr>
          <w:rFonts w:hint="eastAsia"/>
        </w:rPr>
      </w:pPr>
      <w:r w:rsidRPr="000D43EB">
        <w:rPr>
          <w:b/>
          <w:bCs/>
        </w:rPr>
        <w:lastRenderedPageBreak/>
        <w:t>钱学锋，2024，《以制度型开放引领实施自由贸易试验区提升战略》，人民论坛·学术前沿：</w:t>
      </w:r>
      <w:r w:rsidRPr="003D08EA">
        <w:t>即加强对规制的动态评估,增强规制的协调透明。规制通常是指一国相关政府部门依法订立的,在一定程度上与国际规则相互衔接或适应的,甚至是基于国际规则直接或间接转化而成的法律法规及各类规章制度,是一国对外开放制度环境的重要体现。</w:t>
      </w:r>
      <w:r w:rsidRPr="003D08EA">
        <w:rPr>
          <w:color w:val="0033CC"/>
        </w:rPr>
        <w:t>规制是出现在市场失灵和私法失灵之后的事后纠正行为。</w:t>
      </w:r>
      <w:r w:rsidRPr="003D08EA">
        <w:t>稳步扩大制度</w:t>
      </w:r>
      <w:proofErr w:type="gramStart"/>
      <w:r w:rsidRPr="003D08EA">
        <w:t>型开放</w:t>
      </w:r>
      <w:proofErr w:type="gramEnd"/>
      <w:r w:rsidRPr="003D08EA">
        <w:t>,要对照高水平国际规制,</w:t>
      </w:r>
      <w:r w:rsidRPr="003D08EA">
        <w:rPr>
          <w:color w:val="0033CC"/>
        </w:rPr>
        <w:t>如</w:t>
      </w:r>
      <w:r w:rsidRPr="00723853">
        <w:rPr>
          <w:color w:val="EE0000"/>
        </w:rPr>
        <w:t>CPTPP、DEPA、USMCA</w:t>
      </w:r>
      <w:r w:rsidRPr="003D08EA">
        <w:rPr>
          <w:color w:val="0033CC"/>
        </w:rPr>
        <w:t>中关于竞争政策、政府采购、知识产权、监管一致性、透明度和反腐败、数据跨境流动</w:t>
      </w:r>
      <w:r w:rsidRPr="003D08EA">
        <w:t>等方面的规制条款,有序调整和完善规制相关的法律法规和政策规章,推动构建以开放、协调、公平、透明、高效、规范等为根本特征的高水平社会主义市场经济体制。</w:t>
      </w:r>
    </w:p>
    <w:p w14:paraId="1889AA97" w14:textId="1C8CE7D4" w:rsidR="003D08EA" w:rsidRDefault="00913A04" w:rsidP="00913A04">
      <w:pPr>
        <w:pStyle w:val="ae"/>
        <w:adjustRightInd w:val="0"/>
        <w:snapToGrid w:val="0"/>
        <w:spacing w:before="0" w:beforeAutospacing="0" w:after="0" w:afterAutospacing="0" w:line="360" w:lineRule="auto"/>
        <w:ind w:firstLine="420"/>
        <w:jc w:val="both"/>
        <w:rPr>
          <w:rFonts w:hint="eastAsia"/>
        </w:rPr>
      </w:pPr>
      <w:r w:rsidRPr="00913A04">
        <w:t>规制方面。中国进展主要体现在</w:t>
      </w:r>
      <w:r w:rsidRPr="00913A04">
        <w:rPr>
          <w:color w:val="0033CC"/>
        </w:rPr>
        <w:t>加强竞争政策、知识产权、数据流动等</w:t>
      </w:r>
      <w:r w:rsidRPr="00913A04">
        <w:t>领域的体制机制建设与内外协调。</w:t>
      </w:r>
    </w:p>
    <w:p w14:paraId="46804DAE" w14:textId="421E431E" w:rsidR="00723853" w:rsidRDefault="00F64CE3" w:rsidP="00340DC0">
      <w:pPr>
        <w:pStyle w:val="ae"/>
        <w:adjustRightInd w:val="0"/>
        <w:snapToGrid w:val="0"/>
        <w:spacing w:before="0" w:beforeAutospacing="0" w:after="0" w:afterAutospacing="0" w:line="360" w:lineRule="auto"/>
        <w:ind w:firstLine="420"/>
        <w:jc w:val="both"/>
        <w:rPr>
          <w:rFonts w:hint="eastAsia"/>
          <w:b/>
          <w:bCs/>
        </w:rPr>
      </w:pPr>
      <w:r w:rsidRPr="00F64CE3">
        <w:rPr>
          <w:b/>
          <w:bCs/>
        </w:rPr>
        <w:t>林峰</w:t>
      </w:r>
      <w:r>
        <w:rPr>
          <w:rFonts w:hint="eastAsia"/>
          <w:b/>
          <w:bCs/>
        </w:rPr>
        <w:t>，2026，《</w:t>
      </w:r>
      <w:r w:rsidRPr="00F64CE3">
        <w:rPr>
          <w:b/>
          <w:bCs/>
        </w:rPr>
        <w:t>稳步扩大制度型开放的理论逻辑、现实挑战与实践方略</w:t>
      </w:r>
      <w:r>
        <w:rPr>
          <w:rFonts w:hint="eastAsia"/>
          <w:b/>
          <w:bCs/>
        </w:rPr>
        <w:t>》，财贸研究：</w:t>
      </w:r>
      <w:r w:rsidRPr="00F64CE3">
        <w:t>以规制体系改革为重点,夯实制度</w:t>
      </w:r>
      <w:proofErr w:type="gramStart"/>
      <w:r w:rsidRPr="00F64CE3">
        <w:t>型开放</w:t>
      </w:r>
      <w:proofErr w:type="gramEnd"/>
      <w:r w:rsidRPr="00F64CE3">
        <w:t>的内部制度基础。稳步扩大制度</w:t>
      </w:r>
      <w:proofErr w:type="gramStart"/>
      <w:r w:rsidRPr="00F64CE3">
        <w:t>型开放</w:t>
      </w:r>
      <w:proofErr w:type="gramEnd"/>
      <w:r w:rsidRPr="00F64CE3">
        <w:t>,既要</w:t>
      </w:r>
      <w:r w:rsidRPr="00F64CE3">
        <w:rPr>
          <w:color w:val="0000FF"/>
        </w:rPr>
        <w:t>拓展外部规则对接的广度,也要强化内部制度供给的深度</w:t>
      </w:r>
      <w:r w:rsidRPr="00F64CE3">
        <w:t>。推进规制体系改革,其核心在于通过制度集成与规则统一,降低制度性摩擦成本,提升制度执行的整体效能,从而为制度</w:t>
      </w:r>
      <w:proofErr w:type="gramStart"/>
      <w:r w:rsidRPr="00F64CE3">
        <w:t>型开放</w:t>
      </w:r>
      <w:proofErr w:type="gramEnd"/>
      <w:r w:rsidRPr="00F64CE3">
        <w:t>提供稳定、可预期的制度环境。以</w:t>
      </w:r>
      <w:r w:rsidRPr="00F64CE3">
        <w:rPr>
          <w:color w:val="0000FF"/>
        </w:rPr>
        <w:t>负面清单管理模式</w:t>
      </w:r>
      <w:r w:rsidRPr="00F64CE3">
        <w:t>为例,通过确立“法无禁止即可为”的基本原则,中国持续缩减全国版和自贸试验区</w:t>
      </w:r>
      <w:proofErr w:type="gramStart"/>
      <w:r w:rsidRPr="00F64CE3">
        <w:t>版外资准</w:t>
      </w:r>
      <w:proofErr w:type="gramEnd"/>
      <w:r w:rsidRPr="00F64CE3">
        <w:t>人负面清单,已实现制造业领域外资准人限制全面“清零”,并有序扩大医疗、增值电信等服务业开放范围。这一制度改革并非仅表现为市场准人门槛的持续放宽,而是通过推动开放规制方式的系统性转型,实现由以事前审批为主向以</w:t>
      </w:r>
      <w:r w:rsidRPr="00F64CE3">
        <w:rPr>
          <w:color w:val="0000FF"/>
        </w:rPr>
        <w:t>事中事后监管</w:t>
      </w:r>
      <w:r w:rsidRPr="00F64CE3">
        <w:t>为核心的转变,引导政府职能更加聚焦于规则执行、风险防控和市场秩序维护。在此规则框架下,</w:t>
      </w:r>
      <w:r w:rsidRPr="00F64CE3">
        <w:rPr>
          <w:color w:val="0000FF"/>
        </w:rPr>
        <w:t>公平竞争审查、反垄断执法和知识产权保护等事中事后监管机制</w:t>
      </w:r>
      <w:r w:rsidRPr="00F64CE3">
        <w:t>协同推进,通过</w:t>
      </w:r>
      <w:r w:rsidRPr="00F64CE3">
        <w:rPr>
          <w:color w:val="0000FF"/>
        </w:rPr>
        <w:t>统一竞争规则、执法标准与权利保护边界</w:t>
      </w:r>
      <w:r w:rsidRPr="00F64CE3">
        <w:t>,逐步形成稳定、透明的市场规制体系,进而提升制度</w:t>
      </w:r>
      <w:proofErr w:type="gramStart"/>
      <w:r w:rsidRPr="00F64CE3">
        <w:t>型开放</w:t>
      </w:r>
      <w:proofErr w:type="gramEnd"/>
      <w:r w:rsidRPr="00F64CE3">
        <w:t>的整体效能。</w:t>
      </w:r>
    </w:p>
    <w:p w14:paraId="562D9754" w14:textId="1BD2A3D5" w:rsidR="00AB323E" w:rsidRPr="00AB323E" w:rsidRDefault="00AB323E" w:rsidP="00AB323E">
      <w:pPr>
        <w:rPr>
          <w:rFonts w:ascii="宋体" w:eastAsia="宋体" w:hAnsi="宋体" w:hint="eastAsia"/>
          <w:b/>
          <w:bCs/>
          <w:sz w:val="24"/>
        </w:rPr>
      </w:pPr>
      <w:r w:rsidRPr="00AB323E">
        <w:rPr>
          <w:rFonts w:ascii="宋体" w:eastAsia="宋体" w:hAnsi="宋体" w:hint="eastAsia"/>
          <w:b/>
          <w:bCs/>
          <w:sz w:val="24"/>
        </w:rPr>
        <w:t>相关数据库或官方文件</w:t>
      </w:r>
      <w:r>
        <w:rPr>
          <w:rFonts w:ascii="宋体" w:eastAsia="宋体" w:hAnsi="宋体" w:hint="eastAsia"/>
          <w:b/>
          <w:bCs/>
          <w:sz w:val="24"/>
        </w:rPr>
        <w:t>：</w:t>
      </w:r>
    </w:p>
    <w:p w14:paraId="6FF96A1A" w14:textId="20D39BD6"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1.OECD</w:t>
      </w:r>
      <w:r w:rsidR="004D4261">
        <w:rPr>
          <w:rFonts w:ascii="宋体" w:eastAsia="宋体" w:hAnsi="宋体" w:hint="eastAsia"/>
          <w:b/>
          <w:bCs/>
          <w:sz w:val="24"/>
        </w:rPr>
        <w:t xml:space="preserve"> </w:t>
      </w:r>
      <w:r w:rsidRPr="00C3591C">
        <w:rPr>
          <w:rFonts w:ascii="宋体" w:eastAsia="宋体" w:hAnsi="宋体"/>
          <w:b/>
          <w:bCs/>
          <w:sz w:val="24"/>
        </w:rPr>
        <w:t>STRI</w:t>
      </w:r>
    </w:p>
    <w:p w14:paraId="28E36AFE" w14:textId="77777777" w:rsidR="000F0CDD" w:rsidRDefault="005E58D6" w:rsidP="00AB323E">
      <w:pPr>
        <w:ind w:firstLine="420"/>
        <w:rPr>
          <w:rFonts w:ascii="宋体" w:eastAsia="宋体" w:hAnsi="宋体" w:hint="eastAsia"/>
          <w:sz w:val="24"/>
        </w:rPr>
      </w:pPr>
      <w:r w:rsidRPr="005E58D6">
        <w:rPr>
          <w:rFonts w:ascii="宋体" w:eastAsia="宋体" w:hAnsi="宋体"/>
          <w:sz w:val="24"/>
        </w:rPr>
        <w:t>OECD Services Trade Restrictiveness Index，STRI，是目前国际上</w:t>
      </w:r>
      <w:proofErr w:type="gramStart"/>
      <w:r w:rsidRPr="005E58D6">
        <w:rPr>
          <w:rFonts w:ascii="宋体" w:eastAsia="宋体" w:hAnsi="宋体"/>
          <w:sz w:val="24"/>
        </w:rPr>
        <w:t>最</w:t>
      </w:r>
      <w:proofErr w:type="gramEnd"/>
      <w:r w:rsidRPr="005E58D6">
        <w:rPr>
          <w:rFonts w:ascii="宋体" w:eastAsia="宋体" w:hAnsi="宋体"/>
          <w:sz w:val="24"/>
        </w:rPr>
        <w:t xml:space="preserve">权威、最常用的服务贸易监管限制指数之一。该指数提供 51 </w:t>
      </w:r>
      <w:proofErr w:type="gramStart"/>
      <w:r w:rsidRPr="005E58D6">
        <w:rPr>
          <w:rFonts w:ascii="宋体" w:eastAsia="宋体" w:hAnsi="宋体"/>
          <w:sz w:val="24"/>
        </w:rPr>
        <w:t>个</w:t>
      </w:r>
      <w:proofErr w:type="gramEnd"/>
      <w:r w:rsidRPr="005E58D6">
        <w:rPr>
          <w:rFonts w:ascii="宋体" w:eastAsia="宋体" w:hAnsi="宋体"/>
          <w:sz w:val="24"/>
        </w:rPr>
        <w:t xml:space="preserve">国家、22 </w:t>
      </w:r>
      <w:proofErr w:type="gramStart"/>
      <w:r w:rsidRPr="005E58D6">
        <w:rPr>
          <w:rFonts w:ascii="宋体" w:eastAsia="宋体" w:hAnsi="宋体"/>
          <w:sz w:val="24"/>
        </w:rPr>
        <w:t>个</w:t>
      </w:r>
      <w:proofErr w:type="gramEnd"/>
      <w:r w:rsidRPr="005E58D6">
        <w:rPr>
          <w:rFonts w:ascii="宋体" w:eastAsia="宋体" w:hAnsi="宋体"/>
          <w:sz w:val="24"/>
        </w:rPr>
        <w:t>关键</w:t>
      </w:r>
      <w:r w:rsidRPr="005E58D6">
        <w:rPr>
          <w:rFonts w:ascii="宋体" w:eastAsia="宋体" w:hAnsi="宋体"/>
          <w:sz w:val="24"/>
        </w:rPr>
        <w:lastRenderedPageBreak/>
        <w:t>服务部门的年度可比数据，用于量化影响</w:t>
      </w:r>
      <w:r w:rsidRPr="00756DD6">
        <w:rPr>
          <w:rFonts w:ascii="宋体" w:eastAsia="宋体" w:hAnsi="宋体"/>
          <w:color w:val="0000FF"/>
          <w:sz w:val="24"/>
        </w:rPr>
        <w:t>服务贸易的监管限制和政策壁垒</w:t>
      </w:r>
      <w:r w:rsidRPr="005E58D6">
        <w:rPr>
          <w:rFonts w:ascii="宋体" w:eastAsia="宋体" w:hAnsi="宋体"/>
          <w:sz w:val="24"/>
        </w:rPr>
        <w:t>。OECD 明确指出，STRI 可用于识别服务市场中的监管瓶颈，并分析其对服务贸易和经济表现的影响。因此，STRI 可为本文构造</w:t>
      </w:r>
      <w:r w:rsidRPr="00AB323E">
        <w:rPr>
          <w:rFonts w:ascii="宋体" w:eastAsia="宋体" w:hAnsi="宋体"/>
          <w:color w:val="0000FF"/>
          <w:sz w:val="24"/>
        </w:rPr>
        <w:t>“服务业开放度”“跨境服务贸易限制”“外国服务提供者准入与经营限制”“服务业外资股权限制”</w:t>
      </w:r>
      <w:r w:rsidRPr="005E58D6">
        <w:rPr>
          <w:rFonts w:ascii="宋体" w:eastAsia="宋体" w:hAnsi="宋体"/>
          <w:sz w:val="24"/>
        </w:rPr>
        <w:t>等指标提供重要依据。STRI 方法论文说明，该指数取值介于 0—1 之间，0 表示开放市场，1 表示对外国服务提供者完全封闭，并采用二元计分和加权合成方法。尽管 STRI 的直接编码对象主要是</w:t>
      </w:r>
      <w:proofErr w:type="gramStart"/>
      <w:r w:rsidRPr="005E58D6">
        <w:rPr>
          <w:rFonts w:ascii="宋体" w:eastAsia="宋体" w:hAnsi="宋体"/>
          <w:sz w:val="24"/>
        </w:rPr>
        <w:t>各国服务</w:t>
      </w:r>
      <w:proofErr w:type="gramEnd"/>
      <w:r w:rsidRPr="005E58D6">
        <w:rPr>
          <w:rFonts w:ascii="宋体" w:eastAsia="宋体" w:hAnsi="宋体"/>
          <w:sz w:val="24"/>
        </w:rPr>
        <w:t>贸易相关法律法规和监管措施，而非贸易协定文本，但其限制性措施识别、二元赋值和加权合成方法，可为开展“限制性规则/限制性条款编码”提供重要方法参照。</w:t>
      </w:r>
    </w:p>
    <w:p w14:paraId="3D2206C6" w14:textId="5279E217" w:rsidR="00C3591C" w:rsidRPr="00C3591C" w:rsidRDefault="00C3591C" w:rsidP="00AB323E">
      <w:pPr>
        <w:ind w:firstLine="420"/>
        <w:rPr>
          <w:rFonts w:ascii="宋体" w:eastAsia="宋体" w:hAnsi="宋体" w:hint="eastAsia"/>
          <w:b/>
          <w:bCs/>
          <w:sz w:val="24"/>
        </w:rPr>
      </w:pPr>
      <w:r w:rsidRPr="00C3591C">
        <w:rPr>
          <w:rFonts w:ascii="宋体" w:eastAsia="宋体" w:hAnsi="宋体"/>
          <w:b/>
          <w:bCs/>
          <w:sz w:val="24"/>
        </w:rPr>
        <w:t>2.OECD</w:t>
      </w:r>
      <w:r w:rsidR="00E83BEE">
        <w:rPr>
          <w:rFonts w:ascii="宋体" w:eastAsia="宋体" w:hAnsi="宋体" w:hint="eastAsia"/>
          <w:b/>
          <w:bCs/>
          <w:sz w:val="24"/>
        </w:rPr>
        <w:t xml:space="preserve"> </w:t>
      </w:r>
      <w:r w:rsidRPr="00C3591C">
        <w:rPr>
          <w:rFonts w:ascii="宋体" w:eastAsia="宋体" w:hAnsi="宋体"/>
          <w:b/>
          <w:bCs/>
          <w:sz w:val="24"/>
        </w:rPr>
        <w:t>FDI</w:t>
      </w:r>
      <w:r w:rsidR="00E83BEE">
        <w:rPr>
          <w:rFonts w:ascii="宋体" w:eastAsia="宋体" w:hAnsi="宋体" w:hint="eastAsia"/>
          <w:b/>
          <w:bCs/>
          <w:sz w:val="24"/>
        </w:rPr>
        <w:t xml:space="preserve"> </w:t>
      </w:r>
      <w:r w:rsidRPr="00C3591C">
        <w:rPr>
          <w:rFonts w:ascii="宋体" w:eastAsia="宋体" w:hAnsi="宋体"/>
          <w:b/>
          <w:bCs/>
          <w:sz w:val="24"/>
        </w:rPr>
        <w:t>Regulatory</w:t>
      </w:r>
      <w:r w:rsidR="00E83BEE">
        <w:rPr>
          <w:rFonts w:ascii="宋体" w:eastAsia="宋体" w:hAnsi="宋体" w:hint="eastAsia"/>
          <w:b/>
          <w:bCs/>
          <w:sz w:val="24"/>
        </w:rPr>
        <w:t xml:space="preserve"> </w:t>
      </w:r>
      <w:r w:rsidRPr="00C3591C">
        <w:rPr>
          <w:rFonts w:ascii="宋体" w:eastAsia="宋体" w:hAnsi="宋体"/>
          <w:b/>
          <w:bCs/>
          <w:sz w:val="24"/>
        </w:rPr>
        <w:t>Restrictiveness</w:t>
      </w:r>
      <w:r w:rsidR="00E83BEE">
        <w:rPr>
          <w:rFonts w:ascii="宋体" w:eastAsia="宋体" w:hAnsi="宋体" w:hint="eastAsia"/>
          <w:b/>
          <w:bCs/>
          <w:sz w:val="24"/>
        </w:rPr>
        <w:t xml:space="preserve"> </w:t>
      </w:r>
      <w:r w:rsidRPr="00C3591C">
        <w:rPr>
          <w:rFonts w:ascii="宋体" w:eastAsia="宋体" w:hAnsi="宋体"/>
          <w:b/>
          <w:bCs/>
          <w:sz w:val="24"/>
        </w:rPr>
        <w:t>Index</w:t>
      </w:r>
    </w:p>
    <w:p w14:paraId="27C79545" w14:textId="2EB652CE" w:rsidR="00277DA0" w:rsidRDefault="00277DA0" w:rsidP="00277DA0">
      <w:pPr>
        <w:ind w:firstLine="420"/>
        <w:rPr>
          <w:rFonts w:ascii="宋体" w:eastAsia="宋体" w:hAnsi="宋体" w:hint="eastAsia"/>
          <w:sz w:val="24"/>
        </w:rPr>
      </w:pPr>
      <w:r w:rsidRPr="00277DA0">
        <w:rPr>
          <w:rFonts w:ascii="宋体" w:eastAsia="宋体" w:hAnsi="宋体"/>
          <w:sz w:val="24"/>
        </w:rPr>
        <w:t>OECD FDI Regulatory Restrictiveness Index 是国际上衡量</w:t>
      </w:r>
      <w:r w:rsidRPr="00756DD6">
        <w:rPr>
          <w:rFonts w:ascii="宋体" w:eastAsia="宋体" w:hAnsi="宋体"/>
          <w:color w:val="0000FF"/>
          <w:sz w:val="24"/>
        </w:rPr>
        <w:t>外商直接投资法定限制和市场准入壁垒</w:t>
      </w:r>
      <w:r w:rsidRPr="00277DA0">
        <w:rPr>
          <w:rFonts w:ascii="宋体" w:eastAsia="宋体" w:hAnsi="宋体"/>
          <w:sz w:val="24"/>
        </w:rPr>
        <w:t>的权威指标之一。该指数主要从四类规则衡量一国对外资的限制程度：</w:t>
      </w:r>
      <w:r w:rsidRPr="00756DD6">
        <w:rPr>
          <w:rFonts w:ascii="宋体" w:eastAsia="宋体" w:hAnsi="宋体"/>
          <w:color w:val="0000FF"/>
          <w:sz w:val="24"/>
        </w:rPr>
        <w:t>外资股权限制、歧视性筛选或事前审批机制、关键外籍人员限制，以及其他经营性限制，例如土地和房地产取得限制等</w:t>
      </w:r>
      <w:r w:rsidRPr="00277DA0">
        <w:rPr>
          <w:rFonts w:ascii="宋体" w:eastAsia="宋体" w:hAnsi="宋体"/>
          <w:sz w:val="24"/>
        </w:rPr>
        <w:t>。OECD 明确指出，该指数主要基于各国官方法律法规中的法定限制进行编码，只计入歧视外国投资者或对外国投资者构成额外负担的限制性措施。因此，该指数非常适合作为构造</w:t>
      </w:r>
      <w:r w:rsidRPr="00277DA0">
        <w:rPr>
          <w:rFonts w:ascii="宋体" w:eastAsia="宋体" w:hAnsi="宋体"/>
          <w:color w:val="0000FF"/>
          <w:sz w:val="24"/>
        </w:rPr>
        <w:t>“外资准入限制指数”或“制度型跨国投资开放指数中准入限制维度”</w:t>
      </w:r>
      <w:r w:rsidRPr="00277DA0">
        <w:rPr>
          <w:rFonts w:ascii="宋体" w:eastAsia="宋体" w:hAnsi="宋体"/>
          <w:sz w:val="24"/>
        </w:rPr>
        <w:t>的方法依据。</w:t>
      </w:r>
    </w:p>
    <w:p w14:paraId="61EC9952" w14:textId="6989B73D" w:rsidR="00C3591C" w:rsidRPr="00C3591C" w:rsidRDefault="00C3591C" w:rsidP="00277DA0">
      <w:pPr>
        <w:ind w:firstLine="420"/>
        <w:rPr>
          <w:rFonts w:ascii="宋体" w:eastAsia="宋体" w:hAnsi="宋体" w:hint="eastAsia"/>
          <w:b/>
          <w:bCs/>
          <w:sz w:val="24"/>
        </w:rPr>
      </w:pPr>
      <w:r w:rsidRPr="00C3591C">
        <w:rPr>
          <w:rFonts w:ascii="宋体" w:eastAsia="宋体" w:hAnsi="宋体"/>
          <w:b/>
          <w:bCs/>
          <w:sz w:val="24"/>
        </w:rPr>
        <w:t>3.OECD</w:t>
      </w:r>
      <w:r w:rsidR="00E83BEE">
        <w:rPr>
          <w:rFonts w:ascii="宋体" w:eastAsia="宋体" w:hAnsi="宋体" w:hint="eastAsia"/>
          <w:b/>
          <w:bCs/>
          <w:sz w:val="24"/>
        </w:rPr>
        <w:t xml:space="preserve"> </w:t>
      </w:r>
      <w:r w:rsidRPr="00C3591C">
        <w:rPr>
          <w:rFonts w:ascii="宋体" w:eastAsia="宋体" w:hAnsi="宋体"/>
          <w:b/>
          <w:bCs/>
          <w:sz w:val="24"/>
        </w:rPr>
        <w:t>PMR</w:t>
      </w:r>
    </w:p>
    <w:p w14:paraId="70B25ABB" w14:textId="3F050EDD" w:rsidR="00756DD6" w:rsidRDefault="00756DD6" w:rsidP="00756DD6">
      <w:pPr>
        <w:ind w:firstLine="420"/>
        <w:rPr>
          <w:rFonts w:ascii="宋体" w:eastAsia="宋体" w:hAnsi="宋体" w:hint="eastAsia"/>
          <w:sz w:val="24"/>
        </w:rPr>
      </w:pPr>
      <w:r w:rsidRPr="00756DD6">
        <w:rPr>
          <w:rFonts w:ascii="宋体" w:eastAsia="宋体" w:hAnsi="宋体"/>
          <w:sz w:val="24"/>
        </w:rPr>
        <w:t>OECD Product Market Regulation，PMR，是衡量一国法律法规如何影响企业进入、经营、扩张和竞争的重要国际指标。OECD 将产品市场规制定义为塑造企业如何进入、经营和竞争的一组法律法规；</w:t>
      </w:r>
      <w:r w:rsidRPr="00756DD6">
        <w:rPr>
          <w:rFonts w:ascii="宋体" w:eastAsia="宋体" w:hAnsi="宋体"/>
          <w:color w:val="0000FF"/>
          <w:sz w:val="24"/>
        </w:rPr>
        <w:t>PMR 指标则通过识别法律法规中嵌入的进入壁垒、扩张壁垒和竞争壁垒，衡量监管框架在多大程度上促进或阻碍竞争。</w:t>
      </w:r>
      <w:r w:rsidRPr="00756DD6">
        <w:rPr>
          <w:rFonts w:ascii="宋体" w:eastAsia="宋体" w:hAnsi="宋体"/>
          <w:sz w:val="24"/>
        </w:rPr>
        <w:t>PMR 经济整体指标覆盖许可制度、公共采购、国有企业治理、价格管制、法规评估、行政监管负担以及贸易投资壁垒等政策领域。因此，PMR 可为规制维度中的</w:t>
      </w:r>
      <w:r w:rsidRPr="00756DD6">
        <w:rPr>
          <w:rFonts w:ascii="宋体" w:eastAsia="宋体" w:hAnsi="宋体"/>
          <w:color w:val="0000FF"/>
          <w:sz w:val="24"/>
        </w:rPr>
        <w:t>“竞争友好型监管”“国有企业竞争扭曲”“国内外企业准入壁垒”“公共采购竞争限制”“行政准入壁垒”“许可和审批制度复杂度”等</w:t>
      </w:r>
      <w:r w:rsidRPr="00756DD6">
        <w:rPr>
          <w:rFonts w:ascii="宋体" w:eastAsia="宋体" w:hAnsi="宋体"/>
          <w:sz w:val="24"/>
        </w:rPr>
        <w:t>指标提供重要依据。需要注意的是，</w:t>
      </w:r>
      <w:proofErr w:type="gramStart"/>
      <w:r w:rsidRPr="00756DD6">
        <w:rPr>
          <w:rFonts w:ascii="宋体" w:eastAsia="宋体" w:hAnsi="宋体"/>
          <w:sz w:val="24"/>
        </w:rPr>
        <w:t>若专门</w:t>
      </w:r>
      <w:proofErr w:type="gramEnd"/>
      <w:r w:rsidRPr="00756DD6">
        <w:rPr>
          <w:rFonts w:ascii="宋体" w:eastAsia="宋体" w:hAnsi="宋体"/>
          <w:sz w:val="24"/>
        </w:rPr>
        <w:t>衡量外资准入限制，OECD FDI Regulatory Restrictiveness Index 比 PMR 更直接；若衡量政府采购协定文本承诺，则 DTA 或 WTO GPA 相关数据更为直接。</w:t>
      </w:r>
    </w:p>
    <w:p w14:paraId="21C54D8E" w14:textId="0A0EB13E" w:rsidR="00C3591C" w:rsidRPr="00C3591C" w:rsidRDefault="00C3591C" w:rsidP="00756DD6">
      <w:pPr>
        <w:ind w:firstLine="420"/>
        <w:rPr>
          <w:rFonts w:ascii="宋体" w:eastAsia="宋体" w:hAnsi="宋体" w:hint="eastAsia"/>
          <w:b/>
          <w:bCs/>
          <w:sz w:val="24"/>
        </w:rPr>
      </w:pPr>
      <w:r w:rsidRPr="00C3591C">
        <w:rPr>
          <w:rFonts w:ascii="宋体" w:eastAsia="宋体" w:hAnsi="宋体"/>
          <w:b/>
          <w:bCs/>
          <w:sz w:val="24"/>
        </w:rPr>
        <w:t>4.World</w:t>
      </w:r>
      <w:r w:rsidR="00E83BEE">
        <w:rPr>
          <w:rFonts w:ascii="宋体" w:eastAsia="宋体" w:hAnsi="宋体" w:hint="eastAsia"/>
          <w:b/>
          <w:bCs/>
          <w:sz w:val="24"/>
        </w:rPr>
        <w:t xml:space="preserve"> </w:t>
      </w:r>
      <w:r w:rsidRPr="00C3591C">
        <w:rPr>
          <w:rFonts w:ascii="宋体" w:eastAsia="宋体" w:hAnsi="宋体"/>
          <w:b/>
          <w:bCs/>
          <w:sz w:val="24"/>
        </w:rPr>
        <w:t>Bank</w:t>
      </w:r>
      <w:r w:rsidR="00E83BEE">
        <w:rPr>
          <w:rFonts w:ascii="宋体" w:eastAsia="宋体" w:hAnsi="宋体" w:hint="eastAsia"/>
          <w:b/>
          <w:bCs/>
          <w:sz w:val="24"/>
        </w:rPr>
        <w:t xml:space="preserve"> </w:t>
      </w:r>
      <w:r w:rsidRPr="00C3591C">
        <w:rPr>
          <w:rFonts w:ascii="宋体" w:eastAsia="宋体" w:hAnsi="宋体"/>
          <w:b/>
          <w:bCs/>
          <w:sz w:val="24"/>
        </w:rPr>
        <w:t>WGI：支撑“监管质量”和“法治环境”</w:t>
      </w:r>
    </w:p>
    <w:p w14:paraId="464906C1" w14:textId="7389E6B5" w:rsidR="000636C0" w:rsidRDefault="000636C0" w:rsidP="000636C0">
      <w:pPr>
        <w:ind w:firstLine="420"/>
        <w:rPr>
          <w:rFonts w:ascii="宋体" w:eastAsia="宋体" w:hAnsi="宋体" w:hint="eastAsia"/>
          <w:sz w:val="24"/>
        </w:rPr>
      </w:pPr>
      <w:r w:rsidRPr="000636C0">
        <w:rPr>
          <w:rFonts w:ascii="宋体" w:eastAsia="宋体" w:hAnsi="宋体"/>
          <w:sz w:val="24"/>
        </w:rPr>
        <w:t>World Bank Worldwide Governance Indicators，WGI，是国际上广泛使用的国家层面治理质量指标体系，提供六个治理维度。其中，Regulatory Quality、Government Effectiveness、Rule of Law 和 Control of Corruption 分别可为制度</w:t>
      </w:r>
      <w:proofErr w:type="gramStart"/>
      <w:r w:rsidRPr="000636C0">
        <w:rPr>
          <w:rFonts w:ascii="宋体" w:eastAsia="宋体" w:hAnsi="宋体"/>
          <w:sz w:val="24"/>
        </w:rPr>
        <w:t>型开放</w:t>
      </w:r>
      <w:proofErr w:type="gramEnd"/>
      <w:r w:rsidRPr="000636C0">
        <w:rPr>
          <w:rFonts w:ascii="宋体" w:eastAsia="宋体" w:hAnsi="宋体"/>
          <w:sz w:val="24"/>
        </w:rPr>
        <w:t>研究中的</w:t>
      </w:r>
      <w:r w:rsidRPr="000636C0">
        <w:rPr>
          <w:rFonts w:ascii="宋体" w:eastAsia="宋体" w:hAnsi="宋体"/>
          <w:color w:val="0000FF"/>
          <w:sz w:val="24"/>
        </w:rPr>
        <w:t>监管质量、政府治理能力、法治环境和廉政环境</w:t>
      </w:r>
      <w:r w:rsidRPr="000636C0">
        <w:rPr>
          <w:rFonts w:ascii="宋体" w:eastAsia="宋体" w:hAnsi="宋体"/>
          <w:sz w:val="24"/>
        </w:rPr>
        <w:t>提供外部参照。WGI 一直基于多</w:t>
      </w:r>
      <w:proofErr w:type="gramStart"/>
      <w:r w:rsidRPr="000636C0">
        <w:rPr>
          <w:rFonts w:ascii="宋体" w:eastAsia="宋体" w:hAnsi="宋体"/>
          <w:sz w:val="24"/>
        </w:rPr>
        <w:t>源数据</w:t>
      </w:r>
      <w:proofErr w:type="gramEnd"/>
      <w:r w:rsidRPr="000636C0">
        <w:rPr>
          <w:rFonts w:ascii="宋体" w:eastAsia="宋体" w:hAnsi="宋体"/>
          <w:sz w:val="24"/>
        </w:rPr>
        <w:t>合成治理质量指标，综合使</w:t>
      </w:r>
      <w:r w:rsidRPr="000636C0">
        <w:rPr>
          <w:rFonts w:ascii="宋体" w:eastAsia="宋体" w:hAnsi="宋体"/>
          <w:sz w:val="24"/>
        </w:rPr>
        <w:lastRenderedPageBreak/>
        <w:t>用调查、专家评估以及国际组织、非政府组织、学术机构和商业数据提供者等数据来源；2025 年版 WGI 进一步对数据源筛选、指标映射和聚合模型进行了方法修订，并引入锚</w:t>
      </w:r>
      <w:proofErr w:type="gramStart"/>
      <w:r w:rsidRPr="000636C0">
        <w:rPr>
          <w:rFonts w:ascii="宋体" w:eastAsia="宋体" w:hAnsi="宋体"/>
          <w:sz w:val="24"/>
        </w:rPr>
        <w:t>定固定</w:t>
      </w:r>
      <w:proofErr w:type="gramEnd"/>
      <w:r w:rsidRPr="000636C0">
        <w:rPr>
          <w:rFonts w:ascii="宋体" w:eastAsia="宋体" w:hAnsi="宋体"/>
          <w:sz w:val="24"/>
        </w:rPr>
        <w:t>基准国家的 0—100 绝对量表。由于 WGI 是国家/经济体层面的治理指标，并不提供中国省级层面的制度差异数据，因此不适合作为中国省级研究的主指标。但它</w:t>
      </w:r>
      <w:r w:rsidRPr="000636C0">
        <w:rPr>
          <w:rFonts w:ascii="宋体" w:eastAsia="宋体" w:hAnsi="宋体"/>
          <w:color w:val="0000FF"/>
          <w:sz w:val="24"/>
        </w:rPr>
        <w:t>非常适合作为跨国研究中的制度环境变量，或作为本文构造制度</w:t>
      </w:r>
      <w:proofErr w:type="gramStart"/>
      <w:r w:rsidRPr="000636C0">
        <w:rPr>
          <w:rFonts w:ascii="宋体" w:eastAsia="宋体" w:hAnsi="宋体"/>
          <w:color w:val="0000FF"/>
          <w:sz w:val="24"/>
        </w:rPr>
        <w:t>型开放</w:t>
      </w:r>
      <w:proofErr w:type="gramEnd"/>
      <w:r w:rsidRPr="000636C0">
        <w:rPr>
          <w:rFonts w:ascii="宋体" w:eastAsia="宋体" w:hAnsi="宋体"/>
          <w:color w:val="0000FF"/>
          <w:sz w:val="24"/>
        </w:rPr>
        <w:t>指数的外部效度检验依据。</w:t>
      </w:r>
      <w:r w:rsidRPr="000636C0">
        <w:rPr>
          <w:rFonts w:ascii="宋体" w:eastAsia="宋体" w:hAnsi="宋体"/>
          <w:sz w:val="24"/>
        </w:rPr>
        <w:t>理论上，</w:t>
      </w:r>
      <w:proofErr w:type="gramStart"/>
      <w:r w:rsidRPr="000636C0">
        <w:rPr>
          <w:rFonts w:ascii="宋体" w:eastAsia="宋体" w:hAnsi="宋体"/>
          <w:sz w:val="24"/>
        </w:rPr>
        <w:t>若制度型开放</w:t>
      </w:r>
      <w:proofErr w:type="gramEnd"/>
      <w:r w:rsidRPr="000636C0">
        <w:rPr>
          <w:rFonts w:ascii="宋体" w:eastAsia="宋体" w:hAnsi="宋体"/>
          <w:sz w:val="24"/>
        </w:rPr>
        <w:t>指数能够有效反映规则、规制、管理和法治环境的开放水平，则其应与 WGI 的 Regulatory Quality、Rule of Law、Government Effectiveness 等指标呈正相关关系。</w:t>
      </w:r>
    </w:p>
    <w:p w14:paraId="04FE62A6" w14:textId="4E5FC696"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5.B-READY</w:t>
      </w:r>
      <w:r w:rsidR="008B095E" w:rsidRPr="00C3591C">
        <w:rPr>
          <w:rFonts w:ascii="宋体" w:eastAsia="宋体" w:hAnsi="宋体" w:hint="eastAsia"/>
          <w:b/>
          <w:bCs/>
          <w:sz w:val="24"/>
        </w:rPr>
        <w:t xml:space="preserve"> </w:t>
      </w:r>
    </w:p>
    <w:p w14:paraId="79D3FF88" w14:textId="54F7ECD6" w:rsidR="00C3591C" w:rsidRDefault="008B095E" w:rsidP="008B095E">
      <w:pPr>
        <w:ind w:firstLine="420"/>
        <w:rPr>
          <w:rFonts w:ascii="宋体" w:eastAsia="宋体" w:hAnsi="宋体" w:hint="eastAsia"/>
          <w:sz w:val="24"/>
        </w:rPr>
      </w:pPr>
      <w:r w:rsidRPr="008B095E">
        <w:rPr>
          <w:rFonts w:ascii="宋体" w:eastAsia="宋体" w:hAnsi="宋体"/>
          <w:sz w:val="24"/>
        </w:rPr>
        <w:t>World Bank Business Ready，B-READY，是世界银行用于评估营商环境的新一代指标体系。B-READY 2025 将营商环境划分为 Regulatory Framework、Public Services 和 Operational Efficiency 三大支柱，即</w:t>
      </w:r>
      <w:r w:rsidRPr="007541A9">
        <w:rPr>
          <w:rFonts w:ascii="宋体" w:eastAsia="宋体" w:hAnsi="宋体"/>
          <w:color w:val="0000FF"/>
          <w:sz w:val="24"/>
        </w:rPr>
        <w:t>监管框架、公共服务和运行效率。</w:t>
      </w:r>
      <w:r w:rsidRPr="008B095E">
        <w:rPr>
          <w:rFonts w:ascii="宋体" w:eastAsia="宋体" w:hAnsi="宋体"/>
          <w:sz w:val="24"/>
        </w:rPr>
        <w:t>该框架不仅关注法律法规本身是否合理，也关注政府能否向企业提供高质量公共服务，以及监管框架和公共服务在实践中能否</w:t>
      </w:r>
      <w:proofErr w:type="gramStart"/>
      <w:r w:rsidRPr="008B095E">
        <w:rPr>
          <w:rFonts w:ascii="宋体" w:eastAsia="宋体" w:hAnsi="宋体"/>
          <w:sz w:val="24"/>
        </w:rPr>
        <w:t>高效结合</w:t>
      </w:r>
      <w:proofErr w:type="gramEnd"/>
      <w:r w:rsidRPr="008B095E">
        <w:rPr>
          <w:rFonts w:ascii="宋体" w:eastAsia="宋体" w:hAnsi="宋体"/>
          <w:sz w:val="24"/>
        </w:rPr>
        <w:t>运行。因此，B-READY 与将制度</w:t>
      </w:r>
      <w:proofErr w:type="gramStart"/>
      <w:r w:rsidRPr="008B095E">
        <w:rPr>
          <w:rFonts w:ascii="宋体" w:eastAsia="宋体" w:hAnsi="宋体"/>
          <w:sz w:val="24"/>
        </w:rPr>
        <w:t>型开放</w:t>
      </w:r>
      <w:proofErr w:type="gramEnd"/>
      <w:r w:rsidRPr="008B095E">
        <w:rPr>
          <w:rFonts w:ascii="宋体" w:eastAsia="宋体" w:hAnsi="宋体"/>
          <w:sz w:val="24"/>
        </w:rPr>
        <w:t>区分为“规制”和“管理”两个层面的思路高度契合：其中，</w:t>
      </w:r>
      <w:r w:rsidRPr="007541A9">
        <w:rPr>
          <w:rFonts w:ascii="宋体" w:eastAsia="宋体" w:hAnsi="宋体"/>
          <w:color w:val="0000FF"/>
          <w:sz w:val="24"/>
        </w:rPr>
        <w:t>Regulatory Framework 可用于支撑规制维度，强调市场准入、监管要求、竞争规则和合规制度等制度规则本身</w:t>
      </w:r>
      <w:r w:rsidRPr="008B095E">
        <w:rPr>
          <w:rFonts w:ascii="宋体" w:eastAsia="宋体" w:hAnsi="宋体"/>
          <w:sz w:val="24"/>
        </w:rPr>
        <w:t>；Public Services 与 Operational Efficiency 则可用于支撑管理维度，强调政务服务供给、行政执行效率、数字化服务、透明度、办事时间和成本等实际运行效果。</w:t>
      </w:r>
    </w:p>
    <w:p w14:paraId="6BF83655" w14:textId="0D106E7A" w:rsidR="00340DC0" w:rsidRPr="00340DC0" w:rsidRDefault="00340DC0" w:rsidP="00340DC0">
      <w:pPr>
        <w:ind w:firstLine="420"/>
        <w:rPr>
          <w:rFonts w:ascii="宋体" w:eastAsia="宋体" w:hAnsi="宋体" w:hint="eastAsia"/>
          <w:sz w:val="24"/>
        </w:rPr>
      </w:pPr>
      <w:r>
        <w:rPr>
          <w:rFonts w:ascii="宋体" w:eastAsia="宋体" w:hAnsi="宋体" w:hint="eastAsia"/>
          <w:sz w:val="24"/>
        </w:rPr>
        <w:t>由此可知，</w:t>
      </w:r>
      <w:r w:rsidRPr="00927B2C">
        <w:rPr>
          <w:rFonts w:ascii="宋体" w:eastAsia="宋体" w:hAnsi="宋体"/>
          <w:sz w:val="24"/>
        </w:rPr>
        <w:t>规制维</w:t>
      </w:r>
      <w:proofErr w:type="gramStart"/>
      <w:r w:rsidRPr="00927B2C">
        <w:rPr>
          <w:rFonts w:ascii="宋体" w:eastAsia="宋体" w:hAnsi="宋体"/>
          <w:sz w:val="24"/>
        </w:rPr>
        <w:t>度关注</w:t>
      </w:r>
      <w:proofErr w:type="gramEnd"/>
      <w:r w:rsidRPr="00927B2C">
        <w:rPr>
          <w:rFonts w:ascii="宋体" w:eastAsia="宋体" w:hAnsi="宋体"/>
          <w:sz w:val="24"/>
        </w:rPr>
        <w:t>的是</w:t>
      </w:r>
      <w:r w:rsidRPr="002855B8">
        <w:rPr>
          <w:rFonts w:ascii="宋体" w:eastAsia="宋体" w:hAnsi="宋体"/>
          <w:color w:val="0000FF"/>
          <w:sz w:val="24"/>
        </w:rPr>
        <w:t>国内监管制度</w:t>
      </w:r>
      <w:r w:rsidRPr="00927B2C">
        <w:rPr>
          <w:rFonts w:ascii="宋体" w:eastAsia="宋体" w:hAnsi="宋体"/>
          <w:sz w:val="24"/>
        </w:rPr>
        <w:t>是否透明、公平、稳定，并是否</w:t>
      </w:r>
      <w:r w:rsidRPr="0029581C">
        <w:rPr>
          <w:rFonts w:ascii="宋体" w:eastAsia="宋体" w:hAnsi="宋体"/>
          <w:color w:val="0000FF"/>
          <w:sz w:val="24"/>
        </w:rPr>
        <w:t>减少对外资、民企和跨境经营主体的不合理限制</w:t>
      </w:r>
      <w:r w:rsidRPr="00927B2C">
        <w:rPr>
          <w:rFonts w:ascii="宋体" w:eastAsia="宋体" w:hAnsi="宋体"/>
          <w:sz w:val="24"/>
        </w:rPr>
        <w:t>。OECD</w:t>
      </w:r>
      <w:r>
        <w:rPr>
          <w:rFonts w:ascii="宋体" w:eastAsia="宋体" w:hAnsi="宋体" w:hint="eastAsia"/>
          <w:sz w:val="24"/>
        </w:rPr>
        <w:t xml:space="preserve"> </w:t>
      </w:r>
      <w:r w:rsidRPr="00927B2C">
        <w:rPr>
          <w:rFonts w:ascii="宋体" w:eastAsia="宋体" w:hAnsi="宋体"/>
          <w:sz w:val="24"/>
        </w:rPr>
        <w:t>PMR、STRI和FDI</w:t>
      </w:r>
      <w:r>
        <w:rPr>
          <w:rFonts w:ascii="宋体" w:eastAsia="宋体" w:hAnsi="宋体" w:hint="eastAsia"/>
          <w:sz w:val="24"/>
        </w:rPr>
        <w:t xml:space="preserve"> </w:t>
      </w:r>
      <w:r w:rsidRPr="00927B2C">
        <w:rPr>
          <w:rFonts w:ascii="宋体" w:eastAsia="宋体" w:hAnsi="宋体"/>
          <w:sz w:val="24"/>
        </w:rPr>
        <w:t>Regulatory</w:t>
      </w:r>
      <w:r>
        <w:rPr>
          <w:rFonts w:ascii="宋体" w:eastAsia="宋体" w:hAnsi="宋体" w:hint="eastAsia"/>
          <w:sz w:val="24"/>
        </w:rPr>
        <w:t xml:space="preserve"> </w:t>
      </w:r>
      <w:r w:rsidRPr="00927B2C">
        <w:rPr>
          <w:rFonts w:ascii="宋体" w:eastAsia="宋体" w:hAnsi="宋体"/>
          <w:sz w:val="24"/>
        </w:rPr>
        <w:t>Restrictiveness</w:t>
      </w:r>
      <w:r>
        <w:rPr>
          <w:rFonts w:ascii="宋体" w:eastAsia="宋体" w:hAnsi="宋体" w:hint="eastAsia"/>
          <w:sz w:val="24"/>
        </w:rPr>
        <w:t xml:space="preserve"> </w:t>
      </w:r>
      <w:r w:rsidRPr="00927B2C">
        <w:rPr>
          <w:rFonts w:ascii="宋体" w:eastAsia="宋体" w:hAnsi="宋体"/>
          <w:sz w:val="24"/>
        </w:rPr>
        <w:t>Index的经验表明，规制测度应尽量从法律法规和监管条款出发，而不是只看企业感知。</w:t>
      </w:r>
    </w:p>
    <w:tbl>
      <w:tblPr>
        <w:tblStyle w:val="af3"/>
        <w:tblW w:w="10485" w:type="dxa"/>
        <w:jc w:val="center"/>
        <w:tblLook w:val="04A0" w:firstRow="1" w:lastRow="0" w:firstColumn="1" w:lastColumn="0" w:noHBand="0" w:noVBand="1"/>
      </w:tblPr>
      <w:tblGrid>
        <w:gridCol w:w="982"/>
        <w:gridCol w:w="1707"/>
        <w:gridCol w:w="2155"/>
        <w:gridCol w:w="1129"/>
        <w:gridCol w:w="2399"/>
        <w:gridCol w:w="2113"/>
      </w:tblGrid>
      <w:tr w:rsidR="007B6B8D" w:rsidRPr="007B6B8D" w14:paraId="59C79525" w14:textId="77777777" w:rsidTr="001D66BE">
        <w:trPr>
          <w:jc w:val="center"/>
        </w:trPr>
        <w:tc>
          <w:tcPr>
            <w:tcW w:w="982" w:type="dxa"/>
            <w:vAlign w:val="center"/>
          </w:tcPr>
          <w:p w14:paraId="2F9CD2DD" w14:textId="47E26B20" w:rsidR="007B6B8D" w:rsidRPr="007B6B8D" w:rsidRDefault="007B6B8D" w:rsidP="007B6B8D">
            <w:pPr>
              <w:rPr>
                <w:rFonts w:ascii="宋体" w:eastAsia="宋体" w:hAnsi="宋体" w:hint="eastAsia"/>
                <w:sz w:val="18"/>
                <w:szCs w:val="18"/>
              </w:rPr>
            </w:pPr>
            <w:r w:rsidRPr="007B6B8D">
              <w:rPr>
                <w:rFonts w:ascii="宋体" w:eastAsia="宋体" w:hAnsi="宋体"/>
                <w:b/>
                <w:sz w:val="18"/>
                <w:szCs w:val="18"/>
              </w:rPr>
              <w:t>指标名称</w:t>
            </w:r>
          </w:p>
        </w:tc>
        <w:tc>
          <w:tcPr>
            <w:tcW w:w="1707" w:type="dxa"/>
            <w:vAlign w:val="center"/>
          </w:tcPr>
          <w:p w14:paraId="2E52481F" w14:textId="54347C85" w:rsidR="007B6B8D" w:rsidRPr="007B6B8D" w:rsidRDefault="007B6B8D" w:rsidP="007B6B8D">
            <w:pPr>
              <w:rPr>
                <w:rFonts w:ascii="宋体" w:eastAsia="宋体" w:hAnsi="宋体" w:hint="eastAsia"/>
                <w:sz w:val="18"/>
                <w:szCs w:val="18"/>
              </w:rPr>
            </w:pPr>
            <w:r w:rsidRPr="007B6B8D">
              <w:rPr>
                <w:rFonts w:ascii="宋体" w:eastAsia="宋体" w:hAnsi="宋体"/>
                <w:b/>
                <w:sz w:val="18"/>
                <w:szCs w:val="18"/>
              </w:rPr>
              <w:t>文献/官方依据</w:t>
            </w:r>
          </w:p>
        </w:tc>
        <w:tc>
          <w:tcPr>
            <w:tcW w:w="2155" w:type="dxa"/>
            <w:vAlign w:val="center"/>
          </w:tcPr>
          <w:p w14:paraId="25A58CF4" w14:textId="7C99E89C" w:rsidR="007B6B8D" w:rsidRPr="007B6B8D" w:rsidRDefault="007B6B8D" w:rsidP="007B6B8D">
            <w:pPr>
              <w:rPr>
                <w:rFonts w:ascii="宋体" w:eastAsia="宋体" w:hAnsi="宋体" w:hint="eastAsia"/>
                <w:sz w:val="18"/>
                <w:szCs w:val="18"/>
              </w:rPr>
            </w:pPr>
            <w:r w:rsidRPr="007B6B8D">
              <w:rPr>
                <w:rFonts w:ascii="宋体" w:eastAsia="宋体" w:hAnsi="宋体"/>
                <w:b/>
                <w:sz w:val="18"/>
                <w:szCs w:val="18"/>
              </w:rPr>
              <w:t>具体可操作变量或方法</w:t>
            </w:r>
          </w:p>
        </w:tc>
        <w:tc>
          <w:tcPr>
            <w:tcW w:w="1129" w:type="dxa"/>
            <w:vAlign w:val="center"/>
          </w:tcPr>
          <w:p w14:paraId="5B1D2F40" w14:textId="377D90E6" w:rsidR="007B6B8D" w:rsidRPr="007B6B8D" w:rsidRDefault="007B6B8D" w:rsidP="007B6B8D">
            <w:pPr>
              <w:rPr>
                <w:rFonts w:ascii="宋体" w:eastAsia="宋体" w:hAnsi="宋体" w:hint="eastAsia"/>
                <w:sz w:val="18"/>
                <w:szCs w:val="18"/>
              </w:rPr>
            </w:pPr>
            <w:r w:rsidRPr="007B6B8D">
              <w:rPr>
                <w:rFonts w:ascii="宋体" w:eastAsia="宋体" w:hAnsi="宋体"/>
                <w:b/>
                <w:sz w:val="18"/>
                <w:szCs w:val="18"/>
              </w:rPr>
              <w:t>含义</w:t>
            </w:r>
          </w:p>
        </w:tc>
        <w:tc>
          <w:tcPr>
            <w:tcW w:w="2399" w:type="dxa"/>
            <w:vAlign w:val="center"/>
          </w:tcPr>
          <w:p w14:paraId="09AA9673" w14:textId="672C9481" w:rsidR="007B6B8D" w:rsidRPr="007B6B8D" w:rsidRDefault="007B6B8D" w:rsidP="007B6B8D">
            <w:pPr>
              <w:rPr>
                <w:rFonts w:ascii="宋体" w:eastAsia="宋体" w:hAnsi="宋体" w:hint="eastAsia"/>
                <w:sz w:val="18"/>
                <w:szCs w:val="18"/>
              </w:rPr>
            </w:pPr>
            <w:r w:rsidRPr="007B6B8D">
              <w:rPr>
                <w:rFonts w:ascii="宋体" w:eastAsia="宋体" w:hAnsi="宋体"/>
                <w:b/>
                <w:sz w:val="18"/>
                <w:szCs w:val="18"/>
              </w:rPr>
              <w:t>数据来源（重点）</w:t>
            </w:r>
          </w:p>
        </w:tc>
        <w:tc>
          <w:tcPr>
            <w:tcW w:w="2113" w:type="dxa"/>
            <w:vAlign w:val="center"/>
          </w:tcPr>
          <w:p w14:paraId="705A7857" w14:textId="344A079C" w:rsidR="007B6B8D" w:rsidRPr="007B6B8D" w:rsidRDefault="007B6B8D" w:rsidP="007B6B8D">
            <w:pPr>
              <w:rPr>
                <w:rFonts w:ascii="宋体" w:eastAsia="宋体" w:hAnsi="宋体" w:hint="eastAsia"/>
                <w:sz w:val="18"/>
                <w:szCs w:val="18"/>
              </w:rPr>
            </w:pPr>
            <w:r w:rsidRPr="007B6B8D">
              <w:rPr>
                <w:rFonts w:ascii="宋体" w:eastAsia="宋体" w:hAnsi="宋体"/>
                <w:b/>
                <w:sz w:val="18"/>
                <w:szCs w:val="18"/>
              </w:rPr>
              <w:t>计算方法</w:t>
            </w:r>
          </w:p>
        </w:tc>
      </w:tr>
      <w:tr w:rsidR="007B6B8D" w:rsidRPr="007B6B8D" w14:paraId="0B663FB9" w14:textId="77777777" w:rsidTr="001D66BE">
        <w:trPr>
          <w:jc w:val="center"/>
        </w:trPr>
        <w:tc>
          <w:tcPr>
            <w:tcW w:w="982" w:type="dxa"/>
            <w:vAlign w:val="center"/>
          </w:tcPr>
          <w:p w14:paraId="41C173DF" w14:textId="1360BA14"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监管透明度指数</w:t>
            </w:r>
            <w:r w:rsidR="00D06560">
              <w:rPr>
                <w:rFonts w:ascii="宋体" w:eastAsia="宋体" w:hAnsi="宋体" w:hint="eastAsia"/>
                <w:sz w:val="18"/>
                <w:szCs w:val="18"/>
              </w:rPr>
              <w:t>（贸</w:t>
            </w:r>
            <w:r w:rsidR="00F07C9E">
              <w:rPr>
                <w:rFonts w:ascii="宋体" w:eastAsia="宋体" w:hAnsi="宋体" w:hint="eastAsia"/>
                <w:sz w:val="18"/>
                <w:szCs w:val="18"/>
              </w:rPr>
              <w:t>、跨）</w:t>
            </w:r>
          </w:p>
        </w:tc>
        <w:tc>
          <w:tcPr>
            <w:tcW w:w="1707" w:type="dxa"/>
            <w:vAlign w:val="center"/>
          </w:tcPr>
          <w:p w14:paraId="358713F2"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钱学锋（2024）关于规制协调透明；</w:t>
            </w:r>
            <w:proofErr w:type="gramStart"/>
            <w:r w:rsidRPr="007B6B8D">
              <w:rPr>
                <w:rFonts w:ascii="宋体" w:eastAsia="宋体" w:hAnsi="宋体"/>
                <w:sz w:val="18"/>
                <w:szCs w:val="18"/>
              </w:rPr>
              <w:t>常娱和</w:t>
            </w:r>
            <w:proofErr w:type="gramEnd"/>
            <w:r w:rsidRPr="007B6B8D">
              <w:rPr>
                <w:rFonts w:ascii="宋体" w:eastAsia="宋体" w:hAnsi="宋体"/>
                <w:sz w:val="18"/>
                <w:szCs w:val="18"/>
              </w:rPr>
              <w:t>钱学锋（2022）；洪俊杰（2024）；B-READY监管框架。</w:t>
            </w:r>
          </w:p>
        </w:tc>
        <w:tc>
          <w:tcPr>
            <w:tcW w:w="2155" w:type="dxa"/>
            <w:vAlign w:val="center"/>
          </w:tcPr>
          <w:p w14:paraId="1A14EDE7"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考察涉外经贸法规是否公开征求意见、是否披露意见采纳情况、是否公开执法流程和裁量基准、是否提供英文版或统一查询入口。</w:t>
            </w:r>
          </w:p>
        </w:tc>
        <w:tc>
          <w:tcPr>
            <w:tcW w:w="1129" w:type="dxa"/>
            <w:vAlign w:val="center"/>
          </w:tcPr>
          <w:p w14:paraId="2FF7793B"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衡量监管规则是否公开、透明、可预期。</w:t>
            </w:r>
          </w:p>
        </w:tc>
        <w:tc>
          <w:tcPr>
            <w:tcW w:w="2399" w:type="dxa"/>
            <w:vAlign w:val="center"/>
          </w:tcPr>
          <w:p w14:paraId="43F29CC2"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国家法律法规数据库；国务院部门规章库；中国政府法制信息网；部委和地方政府网站；市场监管总局、商务部、海关总署、税务总局执法公开平台；北大法宝/威科先行。</w:t>
            </w:r>
          </w:p>
        </w:tc>
        <w:tc>
          <w:tcPr>
            <w:tcW w:w="2113" w:type="dxa"/>
            <w:vAlign w:val="center"/>
          </w:tcPr>
          <w:p w14:paraId="4D748D87"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透明度赋分：征求意见=1、反馈公开=1、英文版=1、流程公开=1、裁量基准公开=1、统一平台可查=1；指数=得分/满分。也可计算“公开征求意见法规数/新出台涉外经贸法规数”。</w:t>
            </w:r>
          </w:p>
        </w:tc>
      </w:tr>
      <w:tr w:rsidR="007B6B8D" w:rsidRPr="007B6B8D" w14:paraId="1716F4AF" w14:textId="77777777" w:rsidTr="001D66BE">
        <w:trPr>
          <w:jc w:val="center"/>
        </w:trPr>
        <w:tc>
          <w:tcPr>
            <w:tcW w:w="982" w:type="dxa"/>
            <w:vAlign w:val="center"/>
          </w:tcPr>
          <w:p w14:paraId="6CA76137" w14:textId="704C02C6"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市场准入与监管限制指数</w:t>
            </w:r>
            <w:r w:rsidR="00D06560">
              <w:rPr>
                <w:rFonts w:ascii="宋体" w:eastAsia="宋体" w:hAnsi="宋体" w:hint="eastAsia"/>
                <w:sz w:val="18"/>
                <w:szCs w:val="18"/>
              </w:rPr>
              <w:t>（贸</w:t>
            </w:r>
            <w:r w:rsidR="00F07C9E">
              <w:rPr>
                <w:rFonts w:ascii="宋体" w:eastAsia="宋体" w:hAnsi="宋体" w:hint="eastAsia"/>
                <w:sz w:val="18"/>
                <w:szCs w:val="18"/>
              </w:rPr>
              <w:t>、跨）</w:t>
            </w:r>
          </w:p>
        </w:tc>
        <w:tc>
          <w:tcPr>
            <w:tcW w:w="1707" w:type="dxa"/>
            <w:vAlign w:val="center"/>
          </w:tcPr>
          <w:p w14:paraId="6C495FFB"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OECD PMR；OECD STRI；OECD FDI Regulatory Restrictiveness Index；</w:t>
            </w:r>
            <w:proofErr w:type="gramStart"/>
            <w:r w:rsidRPr="007B6B8D">
              <w:rPr>
                <w:rFonts w:ascii="宋体" w:eastAsia="宋体" w:hAnsi="宋体"/>
                <w:sz w:val="18"/>
                <w:szCs w:val="18"/>
              </w:rPr>
              <w:t>常娱和</w:t>
            </w:r>
            <w:proofErr w:type="gramEnd"/>
            <w:r w:rsidRPr="007B6B8D">
              <w:rPr>
                <w:rFonts w:ascii="宋体" w:eastAsia="宋体" w:hAnsi="宋体"/>
                <w:sz w:val="18"/>
                <w:szCs w:val="18"/>
              </w:rPr>
              <w:t>钱</w:t>
            </w:r>
            <w:r w:rsidRPr="007B6B8D">
              <w:rPr>
                <w:rFonts w:ascii="宋体" w:eastAsia="宋体" w:hAnsi="宋体"/>
                <w:sz w:val="18"/>
                <w:szCs w:val="18"/>
              </w:rPr>
              <w:lastRenderedPageBreak/>
              <w:t>学锋（2022）、洪俊杰（2024）</w:t>
            </w:r>
          </w:p>
        </w:tc>
        <w:tc>
          <w:tcPr>
            <w:tcW w:w="2155" w:type="dxa"/>
            <w:vAlign w:val="center"/>
          </w:tcPr>
          <w:p w14:paraId="55F41AB1"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lastRenderedPageBreak/>
              <w:t>对外资股比限制、董事/高管国籍限制、事前审批、经济需求测试、经营范围限制、地域限制、数据本地化、资质</w:t>
            </w:r>
            <w:r w:rsidRPr="007B6B8D">
              <w:rPr>
                <w:rFonts w:ascii="宋体" w:eastAsia="宋体" w:hAnsi="宋体"/>
                <w:sz w:val="18"/>
                <w:szCs w:val="18"/>
              </w:rPr>
              <w:lastRenderedPageBreak/>
              <w:t>许可、土地/房地产限制等进行条款编码。</w:t>
            </w:r>
          </w:p>
        </w:tc>
        <w:tc>
          <w:tcPr>
            <w:tcW w:w="1129" w:type="dxa"/>
            <w:vAlign w:val="center"/>
          </w:tcPr>
          <w:p w14:paraId="10B0D18B"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lastRenderedPageBreak/>
              <w:t>衡量外资、民企和跨境服务提供者进入和经营市场面临的</w:t>
            </w:r>
            <w:r w:rsidRPr="007B6B8D">
              <w:rPr>
                <w:rFonts w:ascii="宋体" w:eastAsia="宋体" w:hAnsi="宋体"/>
                <w:sz w:val="18"/>
                <w:szCs w:val="18"/>
              </w:rPr>
              <w:lastRenderedPageBreak/>
              <w:t>法定限制。</w:t>
            </w:r>
          </w:p>
        </w:tc>
        <w:tc>
          <w:tcPr>
            <w:tcW w:w="2399" w:type="dxa"/>
            <w:vAlign w:val="center"/>
          </w:tcPr>
          <w:p w14:paraId="6A6381C8"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lastRenderedPageBreak/>
              <w:t>OECD FDI RRI；OECD STRI；OECD PMR；外资准入负面清单；市场准入负面清单；行业监管法规；商务部、</w:t>
            </w:r>
            <w:proofErr w:type="gramStart"/>
            <w:r w:rsidRPr="007B6B8D">
              <w:rPr>
                <w:rFonts w:ascii="宋体" w:eastAsia="宋体" w:hAnsi="宋体"/>
                <w:sz w:val="18"/>
                <w:szCs w:val="18"/>
              </w:rPr>
              <w:t>发改委</w:t>
            </w:r>
            <w:proofErr w:type="gramEnd"/>
            <w:r w:rsidRPr="007B6B8D">
              <w:rPr>
                <w:rFonts w:ascii="宋体" w:eastAsia="宋体" w:hAnsi="宋体"/>
                <w:sz w:val="18"/>
                <w:szCs w:val="18"/>
              </w:rPr>
              <w:t>、工信部、金融</w:t>
            </w:r>
            <w:r w:rsidRPr="007B6B8D">
              <w:rPr>
                <w:rFonts w:ascii="宋体" w:eastAsia="宋体" w:hAnsi="宋体"/>
                <w:sz w:val="18"/>
                <w:szCs w:val="18"/>
              </w:rPr>
              <w:lastRenderedPageBreak/>
              <w:t>监管总局、</w:t>
            </w:r>
            <w:proofErr w:type="gramStart"/>
            <w:r w:rsidRPr="007B6B8D">
              <w:rPr>
                <w:rFonts w:ascii="宋体" w:eastAsia="宋体" w:hAnsi="宋体"/>
                <w:sz w:val="18"/>
                <w:szCs w:val="18"/>
              </w:rPr>
              <w:t>网信办</w:t>
            </w:r>
            <w:proofErr w:type="gramEnd"/>
            <w:r w:rsidRPr="007B6B8D">
              <w:rPr>
                <w:rFonts w:ascii="宋体" w:eastAsia="宋体" w:hAnsi="宋体"/>
                <w:sz w:val="18"/>
                <w:szCs w:val="18"/>
              </w:rPr>
              <w:t>等部门文件。</w:t>
            </w:r>
          </w:p>
        </w:tc>
        <w:tc>
          <w:tcPr>
            <w:tcW w:w="2113" w:type="dxa"/>
            <w:vAlign w:val="center"/>
          </w:tcPr>
          <w:p w14:paraId="0676D005"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lastRenderedPageBreak/>
              <w:t>负向指标。限制强度=Σ限制事项权重；开放化处理=1</w:t>
            </w:r>
            <w:r w:rsidRPr="007B6B8D">
              <w:rPr>
                <w:rFonts w:ascii="Cambria Math" w:eastAsia="宋体" w:hAnsi="Cambria Math" w:cs="Cambria Math"/>
                <w:sz w:val="18"/>
                <w:szCs w:val="18"/>
              </w:rPr>
              <w:t>−</w:t>
            </w:r>
            <w:r w:rsidRPr="007B6B8D">
              <w:rPr>
                <w:rFonts w:ascii="宋体" w:eastAsia="宋体" w:hAnsi="宋体"/>
                <w:sz w:val="18"/>
                <w:szCs w:val="18"/>
              </w:rPr>
              <w:t>标准化限制强度。可按行业、年份、省份或协定对象分组计</w:t>
            </w:r>
            <w:r w:rsidRPr="007B6B8D">
              <w:rPr>
                <w:rFonts w:ascii="宋体" w:eastAsia="宋体" w:hAnsi="宋体"/>
                <w:sz w:val="18"/>
                <w:szCs w:val="18"/>
              </w:rPr>
              <w:lastRenderedPageBreak/>
              <w:t>算。</w:t>
            </w:r>
          </w:p>
        </w:tc>
      </w:tr>
      <w:tr w:rsidR="007B6B8D" w:rsidRPr="007B6B8D" w14:paraId="5466DF8D" w14:textId="77777777" w:rsidTr="001D66BE">
        <w:trPr>
          <w:jc w:val="center"/>
        </w:trPr>
        <w:tc>
          <w:tcPr>
            <w:tcW w:w="982" w:type="dxa"/>
            <w:vAlign w:val="center"/>
          </w:tcPr>
          <w:p w14:paraId="66B59F22" w14:textId="0E85188D"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lastRenderedPageBreak/>
              <w:t>竞争中性与公平竞争指数</w:t>
            </w:r>
            <w:r w:rsidR="00D06560">
              <w:rPr>
                <w:rFonts w:ascii="宋体" w:eastAsia="宋体" w:hAnsi="宋体" w:hint="eastAsia"/>
                <w:sz w:val="18"/>
                <w:szCs w:val="18"/>
              </w:rPr>
              <w:t>（贸</w:t>
            </w:r>
            <w:r w:rsidR="00F07C9E">
              <w:rPr>
                <w:rFonts w:ascii="宋体" w:eastAsia="宋体" w:hAnsi="宋体" w:hint="eastAsia"/>
                <w:sz w:val="18"/>
                <w:szCs w:val="18"/>
              </w:rPr>
              <w:t>、跨）</w:t>
            </w:r>
          </w:p>
        </w:tc>
        <w:tc>
          <w:tcPr>
            <w:tcW w:w="1707" w:type="dxa"/>
            <w:vAlign w:val="center"/>
          </w:tcPr>
          <w:p w14:paraId="60A6D914" w14:textId="77777777" w:rsidR="007B6B8D" w:rsidRPr="007B6B8D" w:rsidRDefault="007B6B8D" w:rsidP="009A302C">
            <w:pPr>
              <w:rPr>
                <w:rFonts w:ascii="宋体" w:eastAsia="宋体" w:hAnsi="宋体" w:hint="eastAsia"/>
                <w:sz w:val="18"/>
                <w:szCs w:val="18"/>
              </w:rPr>
            </w:pPr>
            <w:proofErr w:type="gramStart"/>
            <w:r w:rsidRPr="007B6B8D">
              <w:rPr>
                <w:rFonts w:ascii="宋体" w:eastAsia="宋体" w:hAnsi="宋体"/>
                <w:sz w:val="18"/>
                <w:szCs w:val="18"/>
              </w:rPr>
              <w:t>常娱和</w:t>
            </w:r>
            <w:proofErr w:type="gramEnd"/>
            <w:r w:rsidRPr="007B6B8D">
              <w:rPr>
                <w:rFonts w:ascii="宋体" w:eastAsia="宋体" w:hAnsi="宋体"/>
                <w:sz w:val="18"/>
                <w:szCs w:val="18"/>
              </w:rPr>
              <w:t>钱学锋（2022）；洪俊杰（2024）；OECD PMR公共所有制和竞争壁垒模块。</w:t>
            </w:r>
          </w:p>
        </w:tc>
        <w:tc>
          <w:tcPr>
            <w:tcW w:w="2155" w:type="dxa"/>
            <w:vAlign w:val="center"/>
          </w:tcPr>
          <w:p w14:paraId="7BE2CC86"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识别政府采购、补贴、融资、准入、标准制定、招投标、反垄断执法中是否存在所有制、地区、内外资歧视性条款；同时统计公平竞争审查覆盖情况。</w:t>
            </w:r>
          </w:p>
        </w:tc>
        <w:tc>
          <w:tcPr>
            <w:tcW w:w="1129" w:type="dxa"/>
            <w:vAlign w:val="center"/>
          </w:tcPr>
          <w:p w14:paraId="46CD1EF9"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衡量国企、民企、外企是否在同一规则和监管环境下竞争。</w:t>
            </w:r>
          </w:p>
        </w:tc>
        <w:tc>
          <w:tcPr>
            <w:tcW w:w="2399" w:type="dxa"/>
            <w:vAlign w:val="center"/>
          </w:tcPr>
          <w:p w14:paraId="462A1EAF"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政府采购网、各省公共资源交易平台、财政补贴政策文本、市场监管总局反垄断执法案例、公平竞争审查公开信息、招投标公告、地方产业政策文本。</w:t>
            </w:r>
          </w:p>
        </w:tc>
        <w:tc>
          <w:tcPr>
            <w:tcW w:w="2113" w:type="dxa"/>
            <w:vAlign w:val="center"/>
          </w:tcPr>
          <w:p w14:paraId="58E7EC73"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歧视性条款反向编码；公平竞争条款正向编码。竞争中性指数=公平条款得分</w:t>
            </w:r>
            <w:r w:rsidRPr="007B6B8D">
              <w:rPr>
                <w:rFonts w:ascii="Cambria Math" w:eastAsia="宋体" w:hAnsi="Cambria Math" w:cs="Cambria Math"/>
                <w:sz w:val="18"/>
                <w:szCs w:val="18"/>
              </w:rPr>
              <w:t>−</w:t>
            </w:r>
            <w:r w:rsidRPr="007B6B8D">
              <w:rPr>
                <w:rFonts w:ascii="宋体" w:eastAsia="宋体" w:hAnsi="宋体"/>
                <w:sz w:val="18"/>
                <w:szCs w:val="18"/>
              </w:rPr>
              <w:t>歧视条款得分标准化值，或1</w:t>
            </w:r>
            <w:r w:rsidRPr="007B6B8D">
              <w:rPr>
                <w:rFonts w:ascii="Cambria Math" w:eastAsia="宋体" w:hAnsi="Cambria Math" w:cs="Cambria Math"/>
                <w:sz w:val="18"/>
                <w:szCs w:val="18"/>
              </w:rPr>
              <w:t>−</w:t>
            </w:r>
            <w:r w:rsidRPr="007B6B8D">
              <w:rPr>
                <w:rFonts w:ascii="宋体" w:eastAsia="宋体" w:hAnsi="宋体"/>
                <w:sz w:val="18"/>
                <w:szCs w:val="18"/>
              </w:rPr>
              <w:t>歧视性条款占比。</w:t>
            </w:r>
          </w:p>
        </w:tc>
      </w:tr>
      <w:tr w:rsidR="007B6B8D" w:rsidRPr="007B6B8D" w14:paraId="2772C511" w14:textId="77777777" w:rsidTr="001D66BE">
        <w:trPr>
          <w:jc w:val="center"/>
        </w:trPr>
        <w:tc>
          <w:tcPr>
            <w:tcW w:w="982" w:type="dxa"/>
            <w:vAlign w:val="center"/>
          </w:tcPr>
          <w:p w14:paraId="099B1405" w14:textId="1C3FF961"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法规稳定性与可预期性指数</w:t>
            </w:r>
            <w:r w:rsidR="00F07C9E">
              <w:rPr>
                <w:rFonts w:ascii="宋体" w:eastAsia="宋体" w:hAnsi="宋体" w:hint="eastAsia"/>
                <w:sz w:val="18"/>
                <w:szCs w:val="18"/>
              </w:rPr>
              <w:t>（跨）</w:t>
            </w:r>
          </w:p>
        </w:tc>
        <w:tc>
          <w:tcPr>
            <w:tcW w:w="1707" w:type="dxa"/>
            <w:vAlign w:val="center"/>
          </w:tcPr>
          <w:p w14:paraId="1D5BB798"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钱学锋（2024）提出制度</w:t>
            </w:r>
            <w:proofErr w:type="gramStart"/>
            <w:r w:rsidRPr="007B6B8D">
              <w:rPr>
                <w:rFonts w:ascii="宋体" w:eastAsia="宋体" w:hAnsi="宋体"/>
                <w:sz w:val="18"/>
                <w:szCs w:val="18"/>
              </w:rPr>
              <w:t>型开放</w:t>
            </w:r>
            <w:proofErr w:type="gramEnd"/>
            <w:r w:rsidRPr="007B6B8D">
              <w:rPr>
                <w:rFonts w:ascii="宋体" w:eastAsia="宋体" w:hAnsi="宋体"/>
                <w:sz w:val="18"/>
                <w:szCs w:val="18"/>
              </w:rPr>
              <w:t>具有稳定性、可预期性；洪俊杰（2024）强调制度协调和一致性。</w:t>
            </w:r>
          </w:p>
        </w:tc>
        <w:tc>
          <w:tcPr>
            <w:tcW w:w="2155" w:type="dxa"/>
            <w:vAlign w:val="center"/>
          </w:tcPr>
          <w:p w14:paraId="629F0966"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统计涉外经贸法规的修订频率、废止频率、平均有效期、过渡期设置、追溯适用条款、政策突变事件。</w:t>
            </w:r>
          </w:p>
        </w:tc>
        <w:tc>
          <w:tcPr>
            <w:tcW w:w="1129" w:type="dxa"/>
            <w:vAlign w:val="center"/>
          </w:tcPr>
          <w:p w14:paraId="0A387D54"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衡量制度规则是否稳定、连续、可预期。</w:t>
            </w:r>
          </w:p>
        </w:tc>
        <w:tc>
          <w:tcPr>
            <w:tcW w:w="2399" w:type="dxa"/>
            <w:vAlign w:val="center"/>
          </w:tcPr>
          <w:p w14:paraId="342CA8E1"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国家法律法规数据库；国务院政策文件库；部委规章库；地方政府规章库；北大法宝/威科先行的法规沿革数据；政策废止和修订公告。</w:t>
            </w:r>
          </w:p>
        </w:tc>
        <w:tc>
          <w:tcPr>
            <w:tcW w:w="2113" w:type="dxa"/>
            <w:vAlign w:val="center"/>
          </w:tcPr>
          <w:p w14:paraId="30577D68"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正向处理：稳定性=平均有效期标准化值+过渡期设置比例</w:t>
            </w:r>
            <w:r w:rsidRPr="007B6B8D">
              <w:rPr>
                <w:rFonts w:ascii="Cambria Math" w:eastAsia="宋体" w:hAnsi="Cambria Math" w:cs="Cambria Math"/>
                <w:sz w:val="18"/>
                <w:szCs w:val="18"/>
              </w:rPr>
              <w:t>−</w:t>
            </w:r>
            <w:r w:rsidRPr="007B6B8D">
              <w:rPr>
                <w:rFonts w:ascii="宋体" w:eastAsia="宋体" w:hAnsi="宋体"/>
                <w:sz w:val="18"/>
                <w:szCs w:val="18"/>
              </w:rPr>
              <w:t>修订/废止</w:t>
            </w:r>
            <w:proofErr w:type="gramStart"/>
            <w:r w:rsidRPr="007B6B8D">
              <w:rPr>
                <w:rFonts w:ascii="宋体" w:eastAsia="宋体" w:hAnsi="宋体"/>
                <w:sz w:val="18"/>
                <w:szCs w:val="18"/>
              </w:rPr>
              <w:t>频率标准化值</w:t>
            </w:r>
            <w:proofErr w:type="gramEnd"/>
            <w:r w:rsidRPr="007B6B8D">
              <w:rPr>
                <w:rFonts w:ascii="Cambria Math" w:eastAsia="宋体" w:hAnsi="Cambria Math" w:cs="Cambria Math"/>
                <w:sz w:val="18"/>
                <w:szCs w:val="18"/>
              </w:rPr>
              <w:t>−</w:t>
            </w:r>
            <w:r w:rsidRPr="007B6B8D">
              <w:rPr>
                <w:rFonts w:ascii="宋体" w:eastAsia="宋体" w:hAnsi="宋体"/>
                <w:sz w:val="18"/>
                <w:szCs w:val="18"/>
              </w:rPr>
              <w:t>追溯适用条款比例。简化做法：1</w:t>
            </w:r>
            <w:proofErr w:type="gramStart"/>
            <w:r w:rsidRPr="007B6B8D">
              <w:rPr>
                <w:rFonts w:ascii="Cambria Math" w:eastAsia="宋体" w:hAnsi="Cambria Math" w:cs="Cambria Math"/>
                <w:sz w:val="18"/>
                <w:szCs w:val="18"/>
              </w:rPr>
              <w:t>−</w:t>
            </w:r>
            <w:r w:rsidRPr="007B6B8D">
              <w:rPr>
                <w:rFonts w:ascii="宋体" w:eastAsia="宋体" w:hAnsi="宋体"/>
                <w:sz w:val="18"/>
                <w:szCs w:val="18"/>
              </w:rPr>
              <w:t>法规</w:t>
            </w:r>
            <w:proofErr w:type="gramEnd"/>
            <w:r w:rsidRPr="007B6B8D">
              <w:rPr>
                <w:rFonts w:ascii="宋体" w:eastAsia="宋体" w:hAnsi="宋体"/>
                <w:sz w:val="18"/>
                <w:szCs w:val="18"/>
              </w:rPr>
              <w:t>修订频率标准化值。</w:t>
            </w:r>
          </w:p>
        </w:tc>
      </w:tr>
      <w:tr w:rsidR="007B6B8D" w:rsidRPr="007B6B8D" w14:paraId="23468A4D" w14:textId="77777777" w:rsidTr="001D66BE">
        <w:trPr>
          <w:jc w:val="center"/>
        </w:trPr>
        <w:tc>
          <w:tcPr>
            <w:tcW w:w="982" w:type="dxa"/>
            <w:vAlign w:val="center"/>
          </w:tcPr>
          <w:p w14:paraId="78FEDF2F" w14:textId="00CF5C33"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行政裁量约束指数</w:t>
            </w:r>
            <w:r w:rsidR="00D06560">
              <w:rPr>
                <w:rFonts w:ascii="宋体" w:eastAsia="宋体" w:hAnsi="宋体" w:hint="eastAsia"/>
                <w:sz w:val="18"/>
                <w:szCs w:val="18"/>
              </w:rPr>
              <w:t>（贸</w:t>
            </w:r>
            <w:r w:rsidR="00F07C9E">
              <w:rPr>
                <w:rFonts w:ascii="宋体" w:eastAsia="宋体" w:hAnsi="宋体" w:hint="eastAsia"/>
                <w:sz w:val="18"/>
                <w:szCs w:val="18"/>
              </w:rPr>
              <w:t>、跨）</w:t>
            </w:r>
          </w:p>
        </w:tc>
        <w:tc>
          <w:tcPr>
            <w:tcW w:w="1707" w:type="dxa"/>
            <w:vAlign w:val="center"/>
          </w:tcPr>
          <w:p w14:paraId="64C50F40"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规制开放强调监管现代化、透明化；B-READY强调监管框架质量；制度</w:t>
            </w:r>
            <w:proofErr w:type="gramStart"/>
            <w:r w:rsidRPr="007B6B8D">
              <w:rPr>
                <w:rFonts w:ascii="宋体" w:eastAsia="宋体" w:hAnsi="宋体"/>
                <w:sz w:val="18"/>
                <w:szCs w:val="18"/>
              </w:rPr>
              <w:t>型开放</w:t>
            </w:r>
            <w:proofErr w:type="gramEnd"/>
            <w:r w:rsidRPr="007B6B8D">
              <w:rPr>
                <w:rFonts w:ascii="宋体" w:eastAsia="宋体" w:hAnsi="宋体"/>
                <w:sz w:val="18"/>
                <w:szCs w:val="18"/>
              </w:rPr>
              <w:t>要求公平透明。</w:t>
            </w:r>
          </w:p>
        </w:tc>
        <w:tc>
          <w:tcPr>
            <w:tcW w:w="2155" w:type="dxa"/>
            <w:vAlign w:val="center"/>
          </w:tcPr>
          <w:p w14:paraId="76E6E9C8"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考察市场监管、海关、税务、商务、金融等领域是否公布行政处罚裁量基准、执法依据、执法流程、处罚标准和申诉渠道。</w:t>
            </w:r>
          </w:p>
        </w:tc>
        <w:tc>
          <w:tcPr>
            <w:tcW w:w="1129" w:type="dxa"/>
            <w:vAlign w:val="center"/>
          </w:tcPr>
          <w:p w14:paraId="13A38E34"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衡量监管执法是否减少随意性和不确定性。</w:t>
            </w:r>
          </w:p>
        </w:tc>
        <w:tc>
          <w:tcPr>
            <w:tcW w:w="2399" w:type="dxa"/>
            <w:vAlign w:val="center"/>
          </w:tcPr>
          <w:p w14:paraId="04930DC7"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市场监管总局及地方市场监管局行政处罚裁量基准；海关、税务、商务、金融监管部门执法文件；信用中国；行政执法公示平台。</w:t>
            </w:r>
          </w:p>
        </w:tc>
        <w:tc>
          <w:tcPr>
            <w:tcW w:w="2113" w:type="dxa"/>
            <w:vAlign w:val="center"/>
          </w:tcPr>
          <w:p w14:paraId="18843734"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裁量约束指数=公开裁量基准事项数/监管事项总数；或按“依据公开、流程公开、标准公开、结果公开、申诉渠道”五项赋分。</w:t>
            </w:r>
          </w:p>
        </w:tc>
      </w:tr>
      <w:tr w:rsidR="007B6B8D" w:rsidRPr="007B6B8D" w14:paraId="6D4936A0" w14:textId="77777777" w:rsidTr="001D66BE">
        <w:trPr>
          <w:jc w:val="center"/>
        </w:trPr>
        <w:tc>
          <w:tcPr>
            <w:tcW w:w="982" w:type="dxa"/>
            <w:vAlign w:val="center"/>
          </w:tcPr>
          <w:p w14:paraId="64347F97"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监管质量外部评价</w:t>
            </w:r>
          </w:p>
        </w:tc>
        <w:tc>
          <w:tcPr>
            <w:tcW w:w="1707" w:type="dxa"/>
            <w:vAlign w:val="center"/>
          </w:tcPr>
          <w:p w14:paraId="4D0FB8F8"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World Bank WGI；B-READY监管框架；用于跨国比较或外部效度检验。</w:t>
            </w:r>
          </w:p>
        </w:tc>
        <w:tc>
          <w:tcPr>
            <w:tcW w:w="2155" w:type="dxa"/>
            <w:vAlign w:val="center"/>
          </w:tcPr>
          <w:p w14:paraId="6F37D842"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直接采用WGI Regulatory Quality、Rule of Law、Government Effectiveness等指标，或B-READY Regulatory Framework分项。</w:t>
            </w:r>
          </w:p>
        </w:tc>
        <w:tc>
          <w:tcPr>
            <w:tcW w:w="1129" w:type="dxa"/>
            <w:vAlign w:val="center"/>
          </w:tcPr>
          <w:p w14:paraId="4C7057D5"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用于</w:t>
            </w:r>
            <w:proofErr w:type="gramStart"/>
            <w:r w:rsidRPr="007B6B8D">
              <w:rPr>
                <w:rFonts w:ascii="宋体" w:eastAsia="宋体" w:hAnsi="宋体"/>
                <w:sz w:val="18"/>
                <w:szCs w:val="18"/>
              </w:rPr>
              <w:t>检验自建规制指数</w:t>
            </w:r>
            <w:proofErr w:type="gramEnd"/>
            <w:r w:rsidRPr="007B6B8D">
              <w:rPr>
                <w:rFonts w:ascii="宋体" w:eastAsia="宋体" w:hAnsi="宋体"/>
                <w:sz w:val="18"/>
                <w:szCs w:val="18"/>
              </w:rPr>
              <w:t>是否与国际治理质量指标一致。</w:t>
            </w:r>
          </w:p>
        </w:tc>
        <w:tc>
          <w:tcPr>
            <w:tcW w:w="2399" w:type="dxa"/>
            <w:vAlign w:val="center"/>
          </w:tcPr>
          <w:p w14:paraId="0CE669F6"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World Bank Worldwide Governance Indicators；World Bank B-READY。</w:t>
            </w:r>
          </w:p>
        </w:tc>
        <w:tc>
          <w:tcPr>
            <w:tcW w:w="2113" w:type="dxa"/>
            <w:vAlign w:val="center"/>
          </w:tcPr>
          <w:p w14:paraId="7E7BC533" w14:textId="77777777" w:rsidR="007B6B8D" w:rsidRPr="007B6B8D" w:rsidRDefault="007B6B8D" w:rsidP="009A302C">
            <w:pPr>
              <w:rPr>
                <w:rFonts w:ascii="宋体" w:eastAsia="宋体" w:hAnsi="宋体" w:hint="eastAsia"/>
                <w:sz w:val="18"/>
                <w:szCs w:val="18"/>
              </w:rPr>
            </w:pPr>
            <w:r w:rsidRPr="007B6B8D">
              <w:rPr>
                <w:rFonts w:ascii="宋体" w:eastAsia="宋体" w:hAnsi="宋体"/>
                <w:sz w:val="18"/>
                <w:szCs w:val="18"/>
              </w:rPr>
              <w:t>国家层面直接标准化使用；外部效度检验中计算与自建制</w:t>
            </w:r>
            <w:proofErr w:type="gramStart"/>
            <w:r w:rsidRPr="007B6B8D">
              <w:rPr>
                <w:rFonts w:ascii="宋体" w:eastAsia="宋体" w:hAnsi="宋体"/>
                <w:sz w:val="18"/>
                <w:szCs w:val="18"/>
              </w:rPr>
              <w:t>度型开放</w:t>
            </w:r>
            <w:proofErr w:type="gramEnd"/>
            <w:r w:rsidRPr="007B6B8D">
              <w:rPr>
                <w:rFonts w:ascii="宋体" w:eastAsia="宋体" w:hAnsi="宋体"/>
                <w:sz w:val="18"/>
                <w:szCs w:val="18"/>
              </w:rPr>
              <w:t>指数的相关性。</w:t>
            </w:r>
          </w:p>
        </w:tc>
      </w:tr>
    </w:tbl>
    <w:p w14:paraId="2340D3CD" w14:textId="77777777" w:rsidR="00F907A5" w:rsidRPr="006B271F" w:rsidRDefault="00F907A5" w:rsidP="00545AE7">
      <w:pPr>
        <w:rPr>
          <w:rFonts w:ascii="宋体" w:eastAsia="宋体" w:hAnsi="宋体" w:hint="eastAsia"/>
          <w:sz w:val="24"/>
        </w:rPr>
      </w:pPr>
    </w:p>
    <w:p w14:paraId="01A242CF" w14:textId="5B4FC09A" w:rsidR="006B271F" w:rsidRDefault="00C152E7" w:rsidP="00EB7AE8">
      <w:pPr>
        <w:pStyle w:val="a9"/>
        <w:numPr>
          <w:ilvl w:val="0"/>
          <w:numId w:val="3"/>
        </w:numPr>
        <w:rPr>
          <w:rFonts w:ascii="宋体" w:eastAsia="宋体" w:hAnsi="宋体" w:hint="eastAsia"/>
          <w:b/>
          <w:bCs/>
          <w:sz w:val="24"/>
        </w:rPr>
      </w:pPr>
      <w:r w:rsidRPr="00EB7AE8">
        <w:rPr>
          <w:rFonts w:ascii="宋体" w:eastAsia="宋体" w:hAnsi="宋体"/>
          <w:b/>
          <w:bCs/>
          <w:sz w:val="24"/>
        </w:rPr>
        <w:t>管理维度：</w:t>
      </w:r>
    </w:p>
    <w:p w14:paraId="02D2DFBF" w14:textId="7D2D64C6" w:rsidR="004E6224" w:rsidRPr="004E6224" w:rsidRDefault="004E6224" w:rsidP="004E6224">
      <w:pPr>
        <w:rPr>
          <w:rFonts w:ascii="宋体" w:eastAsia="宋体" w:hAnsi="宋体" w:hint="eastAsia"/>
          <w:b/>
          <w:bCs/>
          <w:sz w:val="24"/>
        </w:rPr>
      </w:pPr>
      <w:r>
        <w:rPr>
          <w:rFonts w:ascii="宋体" w:eastAsia="宋体" w:hAnsi="宋体" w:hint="eastAsia"/>
          <w:b/>
          <w:bCs/>
          <w:sz w:val="24"/>
        </w:rPr>
        <w:t>相关定义：</w:t>
      </w:r>
    </w:p>
    <w:p w14:paraId="3521613F" w14:textId="375A6CC4" w:rsidR="00EB7AE8" w:rsidRDefault="00EB7AE8" w:rsidP="00EB7AE8">
      <w:pPr>
        <w:pStyle w:val="ae"/>
        <w:adjustRightInd w:val="0"/>
        <w:snapToGrid w:val="0"/>
        <w:spacing w:before="0" w:beforeAutospacing="0" w:after="0" w:afterAutospacing="0" w:line="360" w:lineRule="auto"/>
        <w:ind w:firstLine="420"/>
        <w:jc w:val="both"/>
        <w:rPr>
          <w:rFonts w:hint="eastAsia"/>
        </w:rPr>
      </w:pPr>
      <w:r>
        <w:rPr>
          <w:rFonts w:hint="eastAsia"/>
          <w:b/>
          <w:bCs/>
        </w:rPr>
        <w:t>肖宇，社科院</w:t>
      </w:r>
      <w:hyperlink r:id="rId11" w:history="1">
        <w:r w:rsidRPr="003D0658">
          <w:rPr>
            <w:rStyle w:val="af7"/>
            <w:b/>
            <w:bCs/>
          </w:rPr>
          <w:t>https://mp.weixin.qq.com/s/b8kJGZl1dGPVw08j9Vcfxg</w:t>
        </w:r>
      </w:hyperlink>
      <w:r>
        <w:rPr>
          <w:rFonts w:hint="eastAsia"/>
          <w:b/>
          <w:bCs/>
        </w:rPr>
        <w:t>：</w:t>
      </w:r>
      <w:r w:rsidRPr="009F3D05">
        <w:t>虽然一定程度上与规则开放、规制开放有相同之处，但其特指</w:t>
      </w:r>
      <w:r w:rsidRPr="009F3D05">
        <w:rPr>
          <w:color w:val="0432FF"/>
        </w:rPr>
        <w:t>政府对经济行为的影响应该基于相同标准</w:t>
      </w:r>
      <w:r w:rsidRPr="009F3D05">
        <w:t>。作为制度</w:t>
      </w:r>
      <w:proofErr w:type="gramStart"/>
      <w:r w:rsidRPr="009F3D05">
        <w:t>型开放</w:t>
      </w:r>
      <w:proofErr w:type="gramEnd"/>
      <w:r w:rsidRPr="009F3D05">
        <w:t>在操作层面的内容，管理开放本质是政府“刀刃向内”的一场自我革命，核心是通过深化“放管服”改革，建立高效、透明和服务型的行政管理体系，降低企业制度型交易成本。在外资准入方面，明确做到“法无禁止则可为”，稳步压缩负面清单，将外资管理从事前审批转向准入</w:t>
      </w:r>
      <w:r w:rsidRPr="009F3D05">
        <w:lastRenderedPageBreak/>
        <w:t>后的依法监管，对标世界银行营商环境评价标准进行改革，给予外资更清晰和更稳定的准入预期。</w:t>
      </w:r>
    </w:p>
    <w:p w14:paraId="7E50D28B" w14:textId="77777777" w:rsidR="00F6240B" w:rsidRDefault="00F6240B" w:rsidP="00F6240B">
      <w:pPr>
        <w:pStyle w:val="ae"/>
        <w:adjustRightInd w:val="0"/>
        <w:snapToGrid w:val="0"/>
        <w:spacing w:before="0" w:beforeAutospacing="0" w:after="0" w:afterAutospacing="0" w:line="360" w:lineRule="auto"/>
        <w:ind w:firstLine="420"/>
        <w:jc w:val="both"/>
        <w:rPr>
          <w:rFonts w:hint="eastAsia"/>
          <w:b/>
          <w:bCs/>
        </w:rPr>
      </w:pPr>
      <w:proofErr w:type="gramStart"/>
      <w:r w:rsidRPr="00526405">
        <w:rPr>
          <w:b/>
          <w:bCs/>
        </w:rPr>
        <w:t>常娱</w:t>
      </w:r>
      <w:r w:rsidRPr="00526405">
        <w:rPr>
          <w:rFonts w:hint="eastAsia"/>
          <w:b/>
          <w:bCs/>
        </w:rPr>
        <w:t>和</w:t>
      </w:r>
      <w:proofErr w:type="gramEnd"/>
      <w:r w:rsidRPr="00526405">
        <w:rPr>
          <w:rFonts w:hint="eastAsia"/>
          <w:b/>
          <w:bCs/>
        </w:rPr>
        <w:t>钱学锋</w:t>
      </w:r>
      <w:r>
        <w:rPr>
          <w:rFonts w:hint="eastAsia"/>
          <w:b/>
          <w:bCs/>
        </w:rPr>
        <w:t>，2022，《</w:t>
      </w:r>
      <w:r w:rsidRPr="00526405">
        <w:rPr>
          <w:b/>
          <w:bCs/>
        </w:rPr>
        <w:t>制度型开放的内涵、现状与路径</w:t>
      </w:r>
      <w:r>
        <w:rPr>
          <w:rFonts w:hint="eastAsia"/>
          <w:b/>
          <w:bCs/>
        </w:rPr>
        <w:t>》，世界经济研究：见文献最后启示部分</w:t>
      </w:r>
    </w:p>
    <w:p w14:paraId="01D4AB7F" w14:textId="62F4B254" w:rsidR="00FF6009" w:rsidRPr="00F6240B" w:rsidRDefault="00F6240B" w:rsidP="00F6240B">
      <w:pPr>
        <w:pStyle w:val="ae"/>
        <w:adjustRightInd w:val="0"/>
        <w:snapToGrid w:val="0"/>
        <w:spacing w:before="0" w:beforeAutospacing="0" w:after="0" w:afterAutospacing="0" w:line="360" w:lineRule="auto"/>
        <w:ind w:firstLine="420"/>
        <w:jc w:val="both"/>
        <w:rPr>
          <w:rFonts w:hint="eastAsia"/>
          <w:b/>
          <w:bCs/>
        </w:rPr>
      </w:pPr>
      <w:r w:rsidRPr="00FF4093">
        <w:rPr>
          <w:b/>
          <w:bCs/>
        </w:rPr>
        <w:t>洪俊杰</w:t>
      </w:r>
      <w:r>
        <w:rPr>
          <w:rFonts w:hint="eastAsia"/>
          <w:b/>
          <w:bCs/>
        </w:rPr>
        <w:t>，2024，《</w:t>
      </w:r>
      <w:r w:rsidRPr="00FF4093">
        <w:rPr>
          <w:b/>
          <w:bCs/>
        </w:rPr>
        <w:t>我国推进制度型开放面临的形势、挑战与应对</w:t>
      </w:r>
      <w:r>
        <w:rPr>
          <w:rFonts w:hint="eastAsia"/>
          <w:b/>
          <w:bCs/>
        </w:rPr>
        <w:t>》，</w:t>
      </w:r>
      <w:r w:rsidRPr="00FF4093">
        <w:rPr>
          <w:b/>
          <w:bCs/>
        </w:rPr>
        <w:t>人民论坛·学术前沿</w:t>
      </w:r>
      <w:r>
        <w:rPr>
          <w:rFonts w:hint="eastAsia"/>
          <w:b/>
          <w:bCs/>
        </w:rPr>
        <w:t>：（见文献最后做法部分）</w:t>
      </w:r>
    </w:p>
    <w:p w14:paraId="0FB1A97D" w14:textId="6535A72A" w:rsidR="00EB7AE8" w:rsidRDefault="00D73A8B" w:rsidP="00D73A8B">
      <w:pPr>
        <w:ind w:firstLine="420"/>
        <w:rPr>
          <w:rFonts w:ascii="宋体" w:eastAsia="宋体" w:hAnsi="宋体" w:hint="eastAsia"/>
          <w:sz w:val="24"/>
        </w:rPr>
      </w:pPr>
      <w:r w:rsidRPr="000D43EB">
        <w:rPr>
          <w:rFonts w:ascii="宋体" w:eastAsia="宋体" w:hAnsi="宋体"/>
          <w:b/>
          <w:bCs/>
          <w:sz w:val="24"/>
        </w:rPr>
        <w:t>钱学锋，2024，《以制度型开放引领实施自由贸易试验区提升战略》，人民论坛·学术前沿：</w:t>
      </w:r>
      <w:r w:rsidRPr="00D73A8B">
        <w:rPr>
          <w:rFonts w:ascii="宋体" w:eastAsia="宋体" w:hAnsi="宋体"/>
          <w:sz w:val="24"/>
        </w:rPr>
        <w:t>即营造一流营商环境,降低制度性交易成本。这里的“管理”指的是一国相关的立法或行政部门依据前述规则、规制对市场进行规范和调控的体系模式。在开放过程中,管理体系的提升意味着</w:t>
      </w:r>
      <w:r w:rsidRPr="00D73A8B">
        <w:rPr>
          <w:rFonts w:ascii="宋体" w:eastAsia="宋体" w:hAnsi="宋体"/>
          <w:color w:val="0033CC"/>
          <w:sz w:val="24"/>
        </w:rPr>
        <w:t>更加有效的资源配置、更高效的运营,以及更好的风险控制</w:t>
      </w:r>
      <w:r w:rsidRPr="00D73A8B">
        <w:rPr>
          <w:rFonts w:ascii="宋体" w:eastAsia="宋体" w:hAnsi="宋体"/>
          <w:sz w:val="24"/>
        </w:rPr>
        <w:t>,从而提高整个经济体系的效率。稳步扩大制度</w:t>
      </w:r>
      <w:proofErr w:type="gramStart"/>
      <w:r w:rsidRPr="00D73A8B">
        <w:rPr>
          <w:rFonts w:ascii="宋体" w:eastAsia="宋体" w:hAnsi="宋体"/>
          <w:sz w:val="24"/>
        </w:rPr>
        <w:t>型开放</w:t>
      </w:r>
      <w:proofErr w:type="gramEnd"/>
      <w:r w:rsidRPr="00D73A8B">
        <w:rPr>
          <w:rFonts w:ascii="宋体" w:eastAsia="宋体" w:hAnsi="宋体"/>
          <w:sz w:val="24"/>
        </w:rPr>
        <w:t>,既要</w:t>
      </w:r>
      <w:r w:rsidRPr="00D73A8B">
        <w:rPr>
          <w:rFonts w:ascii="宋体" w:eastAsia="宋体" w:hAnsi="宋体"/>
          <w:color w:val="0033CC"/>
          <w:sz w:val="24"/>
        </w:rPr>
        <w:t>参考世界银行新一轮营商环境评价指标体系(B-Ready)</w:t>
      </w:r>
      <w:r w:rsidRPr="00D73A8B">
        <w:rPr>
          <w:rFonts w:ascii="宋体" w:eastAsia="宋体" w:hAnsi="宋体"/>
          <w:sz w:val="24"/>
        </w:rPr>
        <w:t>,制定与国际接轨的管理制度与监管措施;又要</w:t>
      </w:r>
      <w:r w:rsidRPr="00D73A8B">
        <w:rPr>
          <w:rFonts w:ascii="宋体" w:eastAsia="宋体" w:hAnsi="宋体"/>
          <w:color w:val="0033CC"/>
          <w:sz w:val="24"/>
        </w:rPr>
        <w:t>公平对待外资企业和民营企业,落实内外资一致原则,</w:t>
      </w:r>
      <w:r w:rsidRPr="00D73A8B">
        <w:rPr>
          <w:rFonts w:ascii="宋体" w:eastAsia="宋体" w:hAnsi="宋体"/>
          <w:sz w:val="24"/>
        </w:rPr>
        <w:t>持续提高管理水平,保障规则、规制和标准开放稳步落地。</w:t>
      </w:r>
    </w:p>
    <w:p w14:paraId="3306F23A" w14:textId="78779803" w:rsidR="00D73A8B" w:rsidRDefault="00913A04" w:rsidP="00D73A8B">
      <w:pPr>
        <w:ind w:firstLine="420"/>
        <w:rPr>
          <w:rFonts w:ascii="宋体" w:eastAsia="宋体" w:hAnsi="宋体" w:hint="eastAsia"/>
          <w:sz w:val="24"/>
        </w:rPr>
      </w:pPr>
      <w:r w:rsidRPr="00913A04">
        <w:rPr>
          <w:rFonts w:ascii="宋体" w:eastAsia="宋体" w:hAnsi="宋体"/>
          <w:sz w:val="24"/>
        </w:rPr>
        <w:t>管理方面。各自由贸易试验区主要</w:t>
      </w:r>
      <w:proofErr w:type="gramStart"/>
      <w:r w:rsidRPr="00913A04">
        <w:rPr>
          <w:rFonts w:ascii="宋体" w:eastAsia="宋体" w:hAnsi="宋体"/>
          <w:sz w:val="24"/>
        </w:rPr>
        <w:t>围绕</w:t>
      </w:r>
      <w:r w:rsidRPr="00913A04">
        <w:rPr>
          <w:rFonts w:ascii="宋体" w:eastAsia="宋体" w:hAnsi="宋体"/>
          <w:color w:val="0033CC"/>
          <w:sz w:val="24"/>
        </w:rPr>
        <w:t>商</w:t>
      </w:r>
      <w:proofErr w:type="gramEnd"/>
      <w:r w:rsidRPr="00913A04">
        <w:rPr>
          <w:rFonts w:ascii="宋体" w:eastAsia="宋体" w:hAnsi="宋体"/>
          <w:color w:val="0033CC"/>
          <w:sz w:val="24"/>
        </w:rPr>
        <w:t>事制度改革、金融开放创新、投资贸易便利化、法治建设、企业发展</w:t>
      </w:r>
      <w:r w:rsidRPr="00913A04">
        <w:rPr>
          <w:rFonts w:ascii="宋体" w:eastAsia="宋体" w:hAnsi="宋体"/>
          <w:sz w:val="24"/>
        </w:rPr>
        <w:t>等推出一系列制度创新成果。</w:t>
      </w:r>
    </w:p>
    <w:p w14:paraId="53B8D7D7" w14:textId="46588582" w:rsidR="001D66BE" w:rsidRPr="001D66BE" w:rsidRDefault="00133C8B" w:rsidP="00340DC0">
      <w:pPr>
        <w:ind w:firstLine="420"/>
        <w:rPr>
          <w:rFonts w:ascii="宋体" w:eastAsia="宋体" w:hAnsi="宋体" w:hint="eastAsia"/>
          <w:sz w:val="24"/>
        </w:rPr>
      </w:pPr>
      <w:r w:rsidRPr="00F64CE3">
        <w:rPr>
          <w:rFonts w:ascii="宋体" w:eastAsia="宋体" w:hAnsi="宋体"/>
          <w:b/>
          <w:bCs/>
          <w:sz w:val="24"/>
        </w:rPr>
        <w:t>林峰</w:t>
      </w:r>
      <w:r>
        <w:rPr>
          <w:rFonts w:ascii="宋体" w:eastAsia="宋体" w:hAnsi="宋体" w:hint="eastAsia"/>
          <w:b/>
          <w:bCs/>
          <w:sz w:val="24"/>
        </w:rPr>
        <w:t>，2026，《</w:t>
      </w:r>
      <w:r w:rsidRPr="00F64CE3">
        <w:rPr>
          <w:rFonts w:ascii="宋体" w:eastAsia="宋体" w:hAnsi="宋体"/>
          <w:b/>
          <w:bCs/>
          <w:sz w:val="24"/>
        </w:rPr>
        <w:t>稳步扩大制度型开放的理论逻辑、现实挑战与实践方略</w:t>
      </w:r>
      <w:r>
        <w:rPr>
          <w:rFonts w:ascii="宋体" w:eastAsia="宋体" w:hAnsi="宋体" w:hint="eastAsia"/>
          <w:b/>
          <w:bCs/>
          <w:sz w:val="24"/>
        </w:rPr>
        <w:t>》，财贸研究：</w:t>
      </w:r>
      <w:r w:rsidR="0017556C" w:rsidRPr="0017556C">
        <w:rPr>
          <w:rFonts w:ascii="宋体" w:eastAsia="宋体" w:hAnsi="宋体"/>
          <w:sz w:val="24"/>
        </w:rPr>
        <w:t>以治理能力现代化为支撑,提升制度</w:t>
      </w:r>
      <w:proofErr w:type="gramStart"/>
      <w:r w:rsidR="0017556C" w:rsidRPr="0017556C">
        <w:rPr>
          <w:rFonts w:ascii="宋体" w:eastAsia="宋体" w:hAnsi="宋体"/>
          <w:sz w:val="24"/>
        </w:rPr>
        <w:t>型开放</w:t>
      </w:r>
      <w:proofErr w:type="gramEnd"/>
      <w:r w:rsidR="0017556C" w:rsidRPr="0017556C">
        <w:rPr>
          <w:rFonts w:ascii="宋体" w:eastAsia="宋体" w:hAnsi="宋体"/>
          <w:sz w:val="24"/>
        </w:rPr>
        <w:t>的实施效率和韧性。随着制度</w:t>
      </w:r>
      <w:proofErr w:type="gramStart"/>
      <w:r w:rsidR="0017556C" w:rsidRPr="0017556C">
        <w:rPr>
          <w:rFonts w:ascii="宋体" w:eastAsia="宋体" w:hAnsi="宋体"/>
          <w:sz w:val="24"/>
        </w:rPr>
        <w:t>型开放</w:t>
      </w:r>
      <w:proofErr w:type="gramEnd"/>
      <w:r w:rsidR="0017556C" w:rsidRPr="0017556C">
        <w:rPr>
          <w:rFonts w:ascii="宋体" w:eastAsia="宋体" w:hAnsi="宋体"/>
          <w:sz w:val="24"/>
        </w:rPr>
        <w:t>向更深层次推进,治理能力现代化成为提升开放效能的重要基石。在实践中,制度执行、风险识别与争端解决等治理环节需要与规则对接协同实施,推动国家治理体系和治理能力现代化。一是强化规则执行与监管协同,提升开放治理的运行效率。一方面,通过</w:t>
      </w:r>
      <w:r w:rsidR="0017556C" w:rsidRPr="0017556C">
        <w:rPr>
          <w:rFonts w:ascii="宋体" w:eastAsia="宋体" w:hAnsi="宋体"/>
          <w:color w:val="0000FF"/>
          <w:sz w:val="24"/>
        </w:rPr>
        <w:t>贸易和投资便利化改革</w:t>
      </w:r>
      <w:r w:rsidR="0017556C" w:rsidRPr="0017556C">
        <w:rPr>
          <w:rFonts w:ascii="宋体" w:eastAsia="宋体" w:hAnsi="宋体"/>
          <w:sz w:val="24"/>
        </w:rPr>
        <w:t>以及</w:t>
      </w:r>
      <w:r w:rsidR="0017556C" w:rsidRPr="0017556C">
        <w:rPr>
          <w:rFonts w:ascii="宋体" w:eastAsia="宋体" w:hAnsi="宋体"/>
          <w:color w:val="0000FF"/>
          <w:sz w:val="24"/>
        </w:rPr>
        <w:t>跨境贸易“单一窗口”等数字化平台建设</w:t>
      </w:r>
      <w:r w:rsidR="0017556C" w:rsidRPr="0017556C">
        <w:rPr>
          <w:rFonts w:ascii="宋体" w:eastAsia="宋体" w:hAnsi="宋体"/>
          <w:sz w:val="24"/>
        </w:rPr>
        <w:t>,推动部门间信息共享、问题共商和风险共防,提升政策执行效率;另一方面,对跨境电商、数字贸易等</w:t>
      </w:r>
      <w:r w:rsidR="0017556C" w:rsidRPr="0017556C">
        <w:rPr>
          <w:rFonts w:ascii="宋体" w:eastAsia="宋体" w:hAnsi="宋体"/>
          <w:color w:val="000000" w:themeColor="text1"/>
          <w:sz w:val="24"/>
        </w:rPr>
        <w:t>新业</w:t>
      </w:r>
      <w:proofErr w:type="gramStart"/>
      <w:r w:rsidR="0017556C" w:rsidRPr="0017556C">
        <w:rPr>
          <w:rFonts w:ascii="宋体" w:eastAsia="宋体" w:hAnsi="宋体"/>
          <w:color w:val="000000" w:themeColor="text1"/>
          <w:sz w:val="24"/>
        </w:rPr>
        <w:t>态实施</w:t>
      </w:r>
      <w:proofErr w:type="gramEnd"/>
      <w:r w:rsidR="0017556C" w:rsidRPr="0017556C">
        <w:rPr>
          <w:rFonts w:ascii="宋体" w:eastAsia="宋体" w:hAnsi="宋体"/>
          <w:color w:val="000000" w:themeColor="text1"/>
          <w:sz w:val="24"/>
        </w:rPr>
        <w:t>包容审慎监管</w:t>
      </w:r>
      <w:r w:rsidR="0017556C" w:rsidRPr="0017556C">
        <w:rPr>
          <w:rFonts w:ascii="宋体" w:eastAsia="宋体" w:hAnsi="宋体"/>
          <w:sz w:val="24"/>
        </w:rPr>
        <w:t>,在风险可控的前提下</w:t>
      </w:r>
      <w:r w:rsidR="0017556C" w:rsidRPr="0017556C">
        <w:rPr>
          <w:rFonts w:ascii="宋体" w:eastAsia="宋体" w:hAnsi="宋体"/>
          <w:color w:val="0000FF"/>
          <w:sz w:val="24"/>
        </w:rPr>
        <w:t>增强监管要求与制度创新之间的协调性</w:t>
      </w:r>
      <w:r w:rsidR="0017556C" w:rsidRPr="0017556C">
        <w:rPr>
          <w:rFonts w:ascii="宋体" w:eastAsia="宋体" w:hAnsi="宋体"/>
          <w:sz w:val="24"/>
        </w:rPr>
        <w:t>,为制度</w:t>
      </w:r>
      <w:proofErr w:type="gramStart"/>
      <w:r w:rsidR="0017556C" w:rsidRPr="0017556C">
        <w:rPr>
          <w:rFonts w:ascii="宋体" w:eastAsia="宋体" w:hAnsi="宋体"/>
          <w:sz w:val="24"/>
        </w:rPr>
        <w:t>型开放</w:t>
      </w:r>
      <w:proofErr w:type="gramEnd"/>
      <w:r w:rsidR="0017556C" w:rsidRPr="0017556C">
        <w:rPr>
          <w:rFonts w:ascii="宋体" w:eastAsia="宋体" w:hAnsi="宋体"/>
          <w:sz w:val="24"/>
        </w:rPr>
        <w:t>提供必要的调整空间。二是强化区域治理协同,提升制度</w:t>
      </w:r>
      <w:proofErr w:type="gramStart"/>
      <w:r w:rsidR="0017556C" w:rsidRPr="0017556C">
        <w:rPr>
          <w:rFonts w:ascii="宋体" w:eastAsia="宋体" w:hAnsi="宋体"/>
          <w:sz w:val="24"/>
        </w:rPr>
        <w:t>型开放</w:t>
      </w:r>
      <w:proofErr w:type="gramEnd"/>
      <w:r w:rsidR="0017556C" w:rsidRPr="0017556C">
        <w:rPr>
          <w:rFonts w:ascii="宋体" w:eastAsia="宋体" w:hAnsi="宋体"/>
          <w:sz w:val="24"/>
        </w:rPr>
        <w:t>的实效性。稳步扩大制度</w:t>
      </w:r>
      <w:proofErr w:type="gramStart"/>
      <w:r w:rsidR="0017556C" w:rsidRPr="0017556C">
        <w:rPr>
          <w:rFonts w:ascii="宋体" w:eastAsia="宋体" w:hAnsi="宋体"/>
          <w:sz w:val="24"/>
        </w:rPr>
        <w:t>型开放</w:t>
      </w:r>
      <w:proofErr w:type="gramEnd"/>
      <w:r w:rsidR="0017556C" w:rsidRPr="0017556C">
        <w:rPr>
          <w:rFonts w:ascii="宋体" w:eastAsia="宋体" w:hAnsi="宋体"/>
          <w:sz w:val="24"/>
        </w:rPr>
        <w:t>需要</w:t>
      </w:r>
      <w:r w:rsidR="0017556C" w:rsidRPr="0017556C">
        <w:rPr>
          <w:rFonts w:ascii="宋体" w:eastAsia="宋体" w:hAnsi="宋体"/>
          <w:color w:val="0000FF"/>
          <w:sz w:val="24"/>
        </w:rPr>
        <w:t>高度重视区域间协同联动,通过优化跨区域协同机制</w:t>
      </w:r>
      <w:r w:rsidR="0017556C" w:rsidRPr="0017556C">
        <w:rPr>
          <w:rFonts w:ascii="宋体" w:eastAsia="宋体" w:hAnsi="宋体"/>
          <w:sz w:val="24"/>
        </w:rPr>
        <w:t>,推动开放制度在更大范围内落地见效。三是完善国际争端解决机制,推进涉外法治建设。在高水平对外开放背景下,</w:t>
      </w:r>
      <w:r w:rsidR="0017556C" w:rsidRPr="0017556C">
        <w:rPr>
          <w:rFonts w:ascii="宋体" w:eastAsia="宋体" w:hAnsi="宋体"/>
          <w:color w:val="0000FF"/>
          <w:sz w:val="24"/>
        </w:rPr>
        <w:t>争端解决机制能否实现不同规则体系、治理主体之间的协调运作</w:t>
      </w:r>
      <w:r w:rsidR="0017556C" w:rsidRPr="0017556C">
        <w:rPr>
          <w:rFonts w:ascii="宋体" w:eastAsia="宋体" w:hAnsi="宋体"/>
          <w:sz w:val="24"/>
        </w:rPr>
        <w:t>,是稳步扩大制度</w:t>
      </w:r>
      <w:proofErr w:type="gramStart"/>
      <w:r w:rsidR="0017556C" w:rsidRPr="0017556C">
        <w:rPr>
          <w:rFonts w:ascii="宋体" w:eastAsia="宋体" w:hAnsi="宋体"/>
          <w:sz w:val="24"/>
        </w:rPr>
        <w:t>型开放</w:t>
      </w:r>
      <w:proofErr w:type="gramEnd"/>
      <w:r w:rsidR="0017556C" w:rsidRPr="0017556C">
        <w:rPr>
          <w:rFonts w:ascii="宋体" w:eastAsia="宋体" w:hAnsi="宋体"/>
          <w:sz w:val="24"/>
        </w:rPr>
        <w:t>的重要保障。中国牵头设立的国际调解院通过构建区域代表机制和多元法系对话平台,能够有效处理国家间及私人主体间争端,为制度</w:t>
      </w:r>
      <w:proofErr w:type="gramStart"/>
      <w:r w:rsidR="0017556C" w:rsidRPr="0017556C">
        <w:rPr>
          <w:rFonts w:ascii="宋体" w:eastAsia="宋体" w:hAnsi="宋体"/>
          <w:sz w:val="24"/>
        </w:rPr>
        <w:t>型开放</w:t>
      </w:r>
      <w:proofErr w:type="gramEnd"/>
      <w:r w:rsidR="0017556C" w:rsidRPr="0017556C">
        <w:rPr>
          <w:rFonts w:ascii="宋体" w:eastAsia="宋体" w:hAnsi="宋体"/>
          <w:sz w:val="24"/>
        </w:rPr>
        <w:t>提供重要的法治支撑。</w:t>
      </w:r>
    </w:p>
    <w:p w14:paraId="1207E320" w14:textId="2D78EFB9" w:rsidR="00F24DFF" w:rsidRPr="00F24DFF" w:rsidRDefault="00F24DFF" w:rsidP="00F24DFF">
      <w:pPr>
        <w:rPr>
          <w:rFonts w:ascii="宋体" w:eastAsia="宋体" w:hAnsi="宋体" w:hint="eastAsia"/>
          <w:b/>
          <w:bCs/>
          <w:sz w:val="24"/>
        </w:rPr>
      </w:pPr>
      <w:r w:rsidRPr="00F24DFF">
        <w:rPr>
          <w:rFonts w:ascii="宋体" w:eastAsia="宋体" w:hAnsi="宋体" w:hint="eastAsia"/>
          <w:b/>
          <w:bCs/>
          <w:sz w:val="24"/>
        </w:rPr>
        <w:t>相关数据库或官方文件</w:t>
      </w:r>
      <w:r>
        <w:rPr>
          <w:rFonts w:ascii="宋体" w:eastAsia="宋体" w:hAnsi="宋体" w:hint="eastAsia"/>
          <w:b/>
          <w:bCs/>
          <w:sz w:val="24"/>
        </w:rPr>
        <w:t>：</w:t>
      </w:r>
    </w:p>
    <w:p w14:paraId="0C6C2F5B" w14:textId="13916620"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1.OECD</w:t>
      </w:r>
      <w:r w:rsidR="00AC6EE9">
        <w:rPr>
          <w:rFonts w:ascii="宋体" w:eastAsia="宋体" w:hAnsi="宋体" w:hint="eastAsia"/>
          <w:b/>
          <w:bCs/>
          <w:sz w:val="24"/>
        </w:rPr>
        <w:t xml:space="preserve"> </w:t>
      </w:r>
      <w:r w:rsidRPr="00C3591C">
        <w:rPr>
          <w:rFonts w:ascii="宋体" w:eastAsia="宋体" w:hAnsi="宋体"/>
          <w:b/>
          <w:bCs/>
          <w:sz w:val="24"/>
        </w:rPr>
        <w:t>Trade</w:t>
      </w:r>
      <w:r w:rsidR="00AC6EE9">
        <w:rPr>
          <w:rFonts w:ascii="宋体" w:eastAsia="宋体" w:hAnsi="宋体" w:hint="eastAsia"/>
          <w:b/>
          <w:bCs/>
          <w:sz w:val="24"/>
        </w:rPr>
        <w:t xml:space="preserve"> </w:t>
      </w:r>
      <w:r w:rsidRPr="00C3591C">
        <w:rPr>
          <w:rFonts w:ascii="宋体" w:eastAsia="宋体" w:hAnsi="宋体"/>
          <w:b/>
          <w:bCs/>
          <w:sz w:val="24"/>
        </w:rPr>
        <w:t>Facilitation</w:t>
      </w:r>
      <w:r w:rsidR="00AC6EE9">
        <w:rPr>
          <w:rFonts w:ascii="宋体" w:eastAsia="宋体" w:hAnsi="宋体" w:hint="eastAsia"/>
          <w:b/>
          <w:bCs/>
          <w:sz w:val="24"/>
        </w:rPr>
        <w:t xml:space="preserve"> </w:t>
      </w:r>
      <w:r w:rsidRPr="00C3591C">
        <w:rPr>
          <w:rFonts w:ascii="宋体" w:eastAsia="宋体" w:hAnsi="宋体"/>
          <w:b/>
          <w:bCs/>
          <w:sz w:val="24"/>
        </w:rPr>
        <w:t>Indicators</w:t>
      </w:r>
    </w:p>
    <w:p w14:paraId="253F7350" w14:textId="55CE241C" w:rsidR="00E64DFD" w:rsidRPr="00E64DFD" w:rsidRDefault="00E64DFD" w:rsidP="00E64DFD">
      <w:pPr>
        <w:ind w:firstLine="420"/>
        <w:rPr>
          <w:rFonts w:ascii="宋体" w:eastAsia="宋体" w:hAnsi="宋体" w:hint="eastAsia"/>
          <w:sz w:val="24"/>
        </w:rPr>
      </w:pPr>
      <w:r w:rsidRPr="00E64DFD">
        <w:rPr>
          <w:rFonts w:ascii="宋体" w:eastAsia="宋体" w:hAnsi="宋体"/>
          <w:sz w:val="24"/>
        </w:rPr>
        <w:lastRenderedPageBreak/>
        <w:t>OECD Trade Facilitation Indicators（TFI）是国际上测量贸易便利化和边境管理效率的权威工具之一。OECD 2025年《Trade Facilitation Indicators: Monitoring Policies up to 2025》指出，TFI由11个综合指标构成，使用具体、精确</w:t>
      </w:r>
      <w:proofErr w:type="gramStart"/>
      <w:r w:rsidRPr="00E64DFD">
        <w:rPr>
          <w:rFonts w:ascii="宋体" w:eastAsia="宋体" w:hAnsi="宋体"/>
          <w:sz w:val="24"/>
        </w:rPr>
        <w:t>且事实</w:t>
      </w:r>
      <w:proofErr w:type="gramEnd"/>
      <w:r w:rsidRPr="00E64DFD">
        <w:rPr>
          <w:rFonts w:ascii="宋体" w:eastAsia="宋体" w:hAnsi="宋体"/>
          <w:sz w:val="24"/>
        </w:rPr>
        <w:t>性的变量衡量边境行政流程及其实际执行情况，例如贸易相关法规从公布到生效之间的平均时间、可在货物抵达边境前提前处理的贸易交易比例、认证经营者项目覆盖范围等。其11个指标包括信息可得性、贸易商参与、预裁定、申诉程序、费用和收费、文件、自动化、程序、国内边境机构合作、跨境边境机构合作、治理与公正性。相关OECD/WTO材料进一步显示，TFI覆盖11个政策领域、155项具体措施，并已形成160多个经济体的可比数据。由于TFI同时关注监管框架、行政流程、数字化工具和实际执行效果，因此可以作为构建制度</w:t>
      </w:r>
      <w:proofErr w:type="gramStart"/>
      <w:r w:rsidRPr="00E64DFD">
        <w:rPr>
          <w:rFonts w:ascii="宋体" w:eastAsia="宋体" w:hAnsi="宋体"/>
          <w:sz w:val="24"/>
        </w:rPr>
        <w:t>型开放</w:t>
      </w:r>
      <w:proofErr w:type="gramEnd"/>
      <w:r w:rsidRPr="00E64DFD">
        <w:rPr>
          <w:rFonts w:ascii="宋体" w:eastAsia="宋体" w:hAnsi="宋体"/>
          <w:sz w:val="24"/>
        </w:rPr>
        <w:t>“管理维度”的重要国际参照和指标池，尤其适合支撑</w:t>
      </w:r>
      <w:r w:rsidRPr="00E64DFD">
        <w:rPr>
          <w:rFonts w:ascii="宋体" w:eastAsia="宋体" w:hAnsi="宋体"/>
          <w:color w:val="0000FF"/>
          <w:sz w:val="24"/>
        </w:rPr>
        <w:t>通关便利化、政务透明度、边境机构协同、单一窗口建设、风险管理和认证经营者制度</w:t>
      </w:r>
      <w:r w:rsidRPr="00E64DFD">
        <w:rPr>
          <w:rFonts w:ascii="宋体" w:eastAsia="宋体" w:hAnsi="宋体"/>
          <w:sz w:val="24"/>
        </w:rPr>
        <w:t>等二级指标。</w:t>
      </w:r>
    </w:p>
    <w:p w14:paraId="30D82CB1" w14:textId="604C22EE"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2.UN</w:t>
      </w:r>
      <w:r w:rsidR="00AC6EE9">
        <w:rPr>
          <w:rFonts w:ascii="宋体" w:eastAsia="宋体" w:hAnsi="宋体" w:hint="eastAsia"/>
          <w:b/>
          <w:bCs/>
          <w:sz w:val="24"/>
        </w:rPr>
        <w:t xml:space="preserve"> </w:t>
      </w:r>
      <w:r w:rsidRPr="00C3591C">
        <w:rPr>
          <w:rFonts w:ascii="宋体" w:eastAsia="宋体" w:hAnsi="宋体"/>
          <w:b/>
          <w:bCs/>
          <w:sz w:val="24"/>
        </w:rPr>
        <w:t>Global</w:t>
      </w:r>
      <w:r w:rsidR="00AC6EE9">
        <w:rPr>
          <w:rFonts w:ascii="宋体" w:eastAsia="宋体" w:hAnsi="宋体" w:hint="eastAsia"/>
          <w:b/>
          <w:bCs/>
          <w:sz w:val="24"/>
        </w:rPr>
        <w:t xml:space="preserve"> </w:t>
      </w:r>
      <w:r w:rsidRPr="00C3591C">
        <w:rPr>
          <w:rFonts w:ascii="宋体" w:eastAsia="宋体" w:hAnsi="宋体"/>
          <w:b/>
          <w:bCs/>
          <w:sz w:val="24"/>
        </w:rPr>
        <w:t>Survey</w:t>
      </w:r>
      <w:r w:rsidR="00AC6EE9">
        <w:rPr>
          <w:rFonts w:ascii="宋体" w:eastAsia="宋体" w:hAnsi="宋体" w:hint="eastAsia"/>
          <w:b/>
          <w:bCs/>
          <w:sz w:val="24"/>
        </w:rPr>
        <w:t xml:space="preserve"> </w:t>
      </w:r>
      <w:r w:rsidRPr="00C3591C">
        <w:rPr>
          <w:rFonts w:ascii="宋体" w:eastAsia="宋体" w:hAnsi="宋体"/>
          <w:b/>
          <w:bCs/>
          <w:sz w:val="24"/>
        </w:rPr>
        <w:t>on</w:t>
      </w:r>
      <w:r w:rsidR="00AC6EE9">
        <w:rPr>
          <w:rFonts w:ascii="宋体" w:eastAsia="宋体" w:hAnsi="宋体" w:hint="eastAsia"/>
          <w:b/>
          <w:bCs/>
          <w:sz w:val="24"/>
        </w:rPr>
        <w:t xml:space="preserve"> </w:t>
      </w:r>
      <w:r w:rsidRPr="00C3591C">
        <w:rPr>
          <w:rFonts w:ascii="宋体" w:eastAsia="宋体" w:hAnsi="宋体"/>
          <w:b/>
          <w:bCs/>
          <w:sz w:val="24"/>
        </w:rPr>
        <w:t>Digital</w:t>
      </w:r>
      <w:r w:rsidR="00AC6EE9">
        <w:rPr>
          <w:rFonts w:ascii="宋体" w:eastAsia="宋体" w:hAnsi="宋体" w:hint="eastAsia"/>
          <w:b/>
          <w:bCs/>
          <w:sz w:val="24"/>
        </w:rPr>
        <w:t xml:space="preserve"> </w:t>
      </w:r>
      <w:r w:rsidRPr="00C3591C">
        <w:rPr>
          <w:rFonts w:ascii="宋体" w:eastAsia="宋体" w:hAnsi="宋体"/>
          <w:b/>
          <w:bCs/>
          <w:sz w:val="24"/>
        </w:rPr>
        <w:t>and</w:t>
      </w:r>
      <w:r w:rsidR="00AC6EE9">
        <w:rPr>
          <w:rFonts w:ascii="宋体" w:eastAsia="宋体" w:hAnsi="宋体" w:hint="eastAsia"/>
          <w:b/>
          <w:bCs/>
          <w:sz w:val="24"/>
        </w:rPr>
        <w:t xml:space="preserve"> </w:t>
      </w:r>
      <w:r w:rsidRPr="00C3591C">
        <w:rPr>
          <w:rFonts w:ascii="宋体" w:eastAsia="宋体" w:hAnsi="宋体"/>
          <w:b/>
          <w:bCs/>
          <w:sz w:val="24"/>
        </w:rPr>
        <w:t>Sustainable</w:t>
      </w:r>
      <w:r w:rsidR="00AC6EE9">
        <w:rPr>
          <w:rFonts w:ascii="宋体" w:eastAsia="宋体" w:hAnsi="宋体" w:hint="eastAsia"/>
          <w:b/>
          <w:bCs/>
          <w:sz w:val="24"/>
        </w:rPr>
        <w:t xml:space="preserve"> </w:t>
      </w:r>
      <w:r w:rsidRPr="00C3591C">
        <w:rPr>
          <w:rFonts w:ascii="宋体" w:eastAsia="宋体" w:hAnsi="宋体"/>
          <w:b/>
          <w:bCs/>
          <w:sz w:val="24"/>
        </w:rPr>
        <w:t>Trade</w:t>
      </w:r>
      <w:r w:rsidR="00AC6EE9">
        <w:rPr>
          <w:rFonts w:ascii="宋体" w:eastAsia="宋体" w:hAnsi="宋体" w:hint="eastAsia"/>
          <w:b/>
          <w:bCs/>
          <w:sz w:val="24"/>
        </w:rPr>
        <w:t xml:space="preserve"> </w:t>
      </w:r>
      <w:r w:rsidRPr="00C3591C">
        <w:rPr>
          <w:rFonts w:ascii="宋体" w:eastAsia="宋体" w:hAnsi="宋体"/>
          <w:b/>
          <w:bCs/>
          <w:sz w:val="24"/>
        </w:rPr>
        <w:t>Facilitation</w:t>
      </w:r>
    </w:p>
    <w:p w14:paraId="19FB878E" w14:textId="618C1592" w:rsidR="007812DB" w:rsidRDefault="00E64DFD" w:rsidP="00E64DFD">
      <w:pPr>
        <w:ind w:firstLine="420"/>
        <w:rPr>
          <w:rFonts w:ascii="宋体" w:eastAsia="宋体" w:hAnsi="宋体" w:hint="eastAsia"/>
          <w:sz w:val="24"/>
        </w:rPr>
      </w:pPr>
      <w:r w:rsidRPr="00E64DFD">
        <w:rPr>
          <w:rFonts w:ascii="宋体" w:eastAsia="宋体" w:hAnsi="宋体"/>
          <w:sz w:val="24"/>
        </w:rPr>
        <w:t>UN Global Survey on Digital and Sustainable Trade Facilitation 是衡量数字化和</w:t>
      </w:r>
      <w:proofErr w:type="gramStart"/>
      <w:r w:rsidRPr="00E64DFD">
        <w:rPr>
          <w:rFonts w:ascii="宋体" w:eastAsia="宋体" w:hAnsi="宋体"/>
          <w:sz w:val="24"/>
        </w:rPr>
        <w:t>可</w:t>
      </w:r>
      <w:proofErr w:type="gramEnd"/>
      <w:r w:rsidRPr="00E64DFD">
        <w:rPr>
          <w:rFonts w:ascii="宋体" w:eastAsia="宋体" w:hAnsi="宋体"/>
          <w:sz w:val="24"/>
        </w:rPr>
        <w:t>持续贸易便利化的重要国际数据库。该调查由联合国区域委员会和UNCTAD等机构共同推动，覆盖180多个经济体和62项贸易便利化措施，采用“WTO TFA+”框架，不仅包括WTO《贸易便利化协定》相关措施，还包括</w:t>
      </w:r>
      <w:r w:rsidRPr="000F0CDD">
        <w:rPr>
          <w:rFonts w:ascii="宋体" w:eastAsia="宋体" w:hAnsi="宋体"/>
          <w:color w:val="0000FF"/>
          <w:sz w:val="24"/>
        </w:rPr>
        <w:t>无纸化贸易、跨境无纸化贸易以及包容性和</w:t>
      </w:r>
      <w:proofErr w:type="gramStart"/>
      <w:r w:rsidRPr="000F0CDD">
        <w:rPr>
          <w:rFonts w:ascii="宋体" w:eastAsia="宋体" w:hAnsi="宋体"/>
          <w:color w:val="0000FF"/>
          <w:sz w:val="24"/>
        </w:rPr>
        <w:t>可</w:t>
      </w:r>
      <w:proofErr w:type="gramEnd"/>
      <w:r w:rsidRPr="000F0CDD">
        <w:rPr>
          <w:rFonts w:ascii="宋体" w:eastAsia="宋体" w:hAnsi="宋体"/>
          <w:color w:val="0000FF"/>
          <w:sz w:val="24"/>
        </w:rPr>
        <w:t>持续贸易便利化</w:t>
      </w:r>
      <w:r w:rsidRPr="00E64DFD">
        <w:rPr>
          <w:rFonts w:ascii="宋体" w:eastAsia="宋体" w:hAnsi="宋体"/>
          <w:sz w:val="24"/>
        </w:rPr>
        <w:t>内容。2025年</w:t>
      </w:r>
      <w:proofErr w:type="gramStart"/>
      <w:r w:rsidRPr="00E64DFD">
        <w:rPr>
          <w:rFonts w:ascii="宋体" w:eastAsia="宋体" w:hAnsi="宋体"/>
          <w:sz w:val="24"/>
        </w:rPr>
        <w:t>版调查</w:t>
      </w:r>
      <w:proofErr w:type="gramEnd"/>
      <w:r w:rsidRPr="00E64DFD">
        <w:rPr>
          <w:rFonts w:ascii="宋体" w:eastAsia="宋体" w:hAnsi="宋体"/>
          <w:sz w:val="24"/>
        </w:rPr>
        <w:t>进一步纳入</w:t>
      </w:r>
      <w:r w:rsidRPr="000F0CDD">
        <w:rPr>
          <w:rFonts w:ascii="宋体" w:eastAsia="宋体" w:hAnsi="宋体"/>
          <w:color w:val="0000FF"/>
          <w:sz w:val="24"/>
        </w:rPr>
        <w:t>电子商务便利化和绿色贸易便利</w:t>
      </w:r>
      <w:proofErr w:type="gramStart"/>
      <w:r w:rsidRPr="000F0CDD">
        <w:rPr>
          <w:rFonts w:ascii="宋体" w:eastAsia="宋体" w:hAnsi="宋体"/>
          <w:color w:val="0000FF"/>
          <w:sz w:val="24"/>
        </w:rPr>
        <w:t>化</w:t>
      </w:r>
      <w:r w:rsidRPr="00E64DFD">
        <w:rPr>
          <w:rFonts w:ascii="宋体" w:eastAsia="宋体" w:hAnsi="宋体"/>
          <w:sz w:val="24"/>
        </w:rPr>
        <w:t>相关</w:t>
      </w:r>
      <w:proofErr w:type="gramEnd"/>
      <w:r w:rsidRPr="00E64DFD">
        <w:rPr>
          <w:rFonts w:ascii="宋体" w:eastAsia="宋体" w:hAnsi="宋体"/>
          <w:sz w:val="24"/>
        </w:rPr>
        <w:t>措施。由此，该调查可以为制度</w:t>
      </w:r>
      <w:proofErr w:type="gramStart"/>
      <w:r w:rsidRPr="00E64DFD">
        <w:rPr>
          <w:rFonts w:ascii="宋体" w:eastAsia="宋体" w:hAnsi="宋体"/>
          <w:sz w:val="24"/>
        </w:rPr>
        <w:t>型开放</w:t>
      </w:r>
      <w:proofErr w:type="gramEnd"/>
      <w:r w:rsidRPr="00E64DFD">
        <w:rPr>
          <w:rFonts w:ascii="宋体" w:eastAsia="宋体" w:hAnsi="宋体"/>
          <w:sz w:val="24"/>
        </w:rPr>
        <w:t>“管理维度”中的</w:t>
      </w:r>
      <w:r w:rsidRPr="000F0CDD">
        <w:rPr>
          <w:rFonts w:ascii="宋体" w:eastAsia="宋体" w:hAnsi="宋体"/>
          <w:color w:val="0000FF"/>
          <w:sz w:val="24"/>
        </w:rPr>
        <w:t>数字化治理和跨境协同治理</w:t>
      </w:r>
      <w:r w:rsidRPr="00E64DFD">
        <w:rPr>
          <w:rFonts w:ascii="宋体" w:eastAsia="宋体" w:hAnsi="宋体"/>
          <w:sz w:val="24"/>
        </w:rPr>
        <w:t>提供重要指标参照，尤其适合支撑</w:t>
      </w:r>
      <w:r w:rsidRPr="00E64DFD">
        <w:rPr>
          <w:rFonts w:ascii="宋体" w:eastAsia="宋体" w:hAnsi="宋体"/>
          <w:color w:val="0000FF"/>
          <w:sz w:val="24"/>
        </w:rPr>
        <w:t>“国际贸易单一窗口建设”“电子单证应用与互认”“跨境无纸化贸易”“电子商务便利化”“绿色贸易便利化”</w:t>
      </w:r>
      <w:r w:rsidRPr="00E64DFD">
        <w:rPr>
          <w:rFonts w:ascii="宋体" w:eastAsia="宋体" w:hAnsi="宋体"/>
          <w:sz w:val="24"/>
        </w:rPr>
        <w:t>等指标。</w:t>
      </w:r>
    </w:p>
    <w:p w14:paraId="748D7369" w14:textId="4B545A40"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3.World</w:t>
      </w:r>
      <w:r w:rsidR="00AC6EE9">
        <w:rPr>
          <w:rFonts w:ascii="宋体" w:eastAsia="宋体" w:hAnsi="宋体" w:hint="eastAsia"/>
          <w:b/>
          <w:bCs/>
          <w:sz w:val="24"/>
        </w:rPr>
        <w:t xml:space="preserve"> </w:t>
      </w:r>
      <w:r w:rsidRPr="00C3591C">
        <w:rPr>
          <w:rFonts w:ascii="宋体" w:eastAsia="宋体" w:hAnsi="宋体"/>
          <w:b/>
          <w:bCs/>
          <w:sz w:val="24"/>
        </w:rPr>
        <w:t>Bank</w:t>
      </w:r>
      <w:r w:rsidR="00AC6EE9">
        <w:rPr>
          <w:rFonts w:ascii="宋体" w:eastAsia="宋体" w:hAnsi="宋体" w:hint="eastAsia"/>
          <w:b/>
          <w:bCs/>
          <w:sz w:val="24"/>
        </w:rPr>
        <w:t xml:space="preserve"> </w:t>
      </w:r>
      <w:r w:rsidRPr="00C3591C">
        <w:rPr>
          <w:rFonts w:ascii="宋体" w:eastAsia="宋体" w:hAnsi="宋体"/>
          <w:b/>
          <w:bCs/>
          <w:sz w:val="24"/>
        </w:rPr>
        <w:t>LPI</w:t>
      </w:r>
    </w:p>
    <w:p w14:paraId="6D044275" w14:textId="57766D93" w:rsidR="000F0CDD" w:rsidRDefault="000F0CDD" w:rsidP="000F0CDD">
      <w:pPr>
        <w:ind w:firstLine="420"/>
        <w:rPr>
          <w:rFonts w:ascii="宋体" w:eastAsia="宋体" w:hAnsi="宋体" w:hint="eastAsia"/>
          <w:sz w:val="24"/>
        </w:rPr>
      </w:pPr>
      <w:r w:rsidRPr="000F0CDD">
        <w:rPr>
          <w:rFonts w:ascii="宋体" w:eastAsia="宋体" w:hAnsi="宋体"/>
          <w:sz w:val="24"/>
        </w:rPr>
        <w:t>World Bank Logistics Performance Index / Logistics Performance Indicators 2.0 是衡量国际物流绩效和供应</w:t>
      </w:r>
      <w:proofErr w:type="gramStart"/>
      <w:r w:rsidRPr="000F0CDD">
        <w:rPr>
          <w:rFonts w:ascii="宋体" w:eastAsia="宋体" w:hAnsi="宋体"/>
          <w:sz w:val="24"/>
        </w:rPr>
        <w:t>链运行</w:t>
      </w:r>
      <w:proofErr w:type="gramEnd"/>
      <w:r w:rsidRPr="000F0CDD">
        <w:rPr>
          <w:rFonts w:ascii="宋体" w:eastAsia="宋体" w:hAnsi="宋体"/>
          <w:sz w:val="24"/>
        </w:rPr>
        <w:t>效率的权威工具。世界银行2025年推出的 LPI 2.0 对原有基于调查的LPI进行了方法重构，转向基于海运、航空和邮政等运营商提供的供应链跟踪数据，衡量国际供应链的速度、连通性和可靠性，最新数据覆盖2023—2024年。与此同时，传统survey-based LPI 2007—2023则基于国际物流经营者调查，包含customs、infrastructure、international shipments、logistics competence、tracking and tracing、timeliness六个核心维度。因此，在制度</w:t>
      </w:r>
      <w:proofErr w:type="gramStart"/>
      <w:r w:rsidRPr="000F0CDD">
        <w:rPr>
          <w:rFonts w:ascii="宋体" w:eastAsia="宋体" w:hAnsi="宋体"/>
          <w:sz w:val="24"/>
        </w:rPr>
        <w:t>型开放</w:t>
      </w:r>
      <w:proofErr w:type="gramEnd"/>
      <w:r w:rsidRPr="000F0CDD">
        <w:rPr>
          <w:rFonts w:ascii="宋体" w:eastAsia="宋体" w:hAnsi="宋体"/>
          <w:sz w:val="24"/>
        </w:rPr>
        <w:t>指标构建中，LPI 2.0可用于支撑</w:t>
      </w:r>
      <w:r w:rsidRPr="000F0CDD">
        <w:rPr>
          <w:rFonts w:ascii="宋体" w:eastAsia="宋体" w:hAnsi="宋体"/>
          <w:color w:val="0000FF"/>
          <w:sz w:val="24"/>
        </w:rPr>
        <w:t>供应链速度、连通性、可靠性和跨境物流韧性</w:t>
      </w:r>
      <w:r w:rsidRPr="000F0CDD">
        <w:rPr>
          <w:rFonts w:ascii="宋体" w:eastAsia="宋体" w:hAnsi="宋体"/>
          <w:sz w:val="24"/>
        </w:rPr>
        <w:t>等指标；传统LPI中的customs、tracking and tracing、timeliness等分项则可支撑</w:t>
      </w:r>
      <w:r w:rsidRPr="000F0CDD">
        <w:rPr>
          <w:rFonts w:ascii="宋体" w:eastAsia="宋体" w:hAnsi="宋体"/>
          <w:color w:val="0000FF"/>
          <w:sz w:val="24"/>
        </w:rPr>
        <w:t>通关效率、物流效率、货物追踪能力和跨境供应链管理能力</w:t>
      </w:r>
      <w:r w:rsidRPr="000F0CDD">
        <w:rPr>
          <w:rFonts w:ascii="宋体" w:eastAsia="宋体" w:hAnsi="宋体"/>
          <w:sz w:val="24"/>
        </w:rPr>
        <w:t>等指标。</w:t>
      </w:r>
    </w:p>
    <w:p w14:paraId="7A1B285E" w14:textId="0C2F6675"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4.World</w:t>
      </w:r>
      <w:r w:rsidR="00AC6EE9">
        <w:rPr>
          <w:rFonts w:ascii="宋体" w:eastAsia="宋体" w:hAnsi="宋体" w:hint="eastAsia"/>
          <w:b/>
          <w:bCs/>
          <w:sz w:val="24"/>
        </w:rPr>
        <w:t xml:space="preserve"> </w:t>
      </w:r>
      <w:r w:rsidRPr="00C3591C">
        <w:rPr>
          <w:rFonts w:ascii="宋体" w:eastAsia="宋体" w:hAnsi="宋体"/>
          <w:b/>
          <w:bCs/>
          <w:sz w:val="24"/>
        </w:rPr>
        <w:t>Bank</w:t>
      </w:r>
      <w:r w:rsidR="00AC6EE9">
        <w:rPr>
          <w:rFonts w:ascii="宋体" w:eastAsia="宋体" w:hAnsi="宋体" w:hint="eastAsia"/>
          <w:b/>
          <w:bCs/>
          <w:sz w:val="24"/>
        </w:rPr>
        <w:t xml:space="preserve"> </w:t>
      </w:r>
      <w:r w:rsidRPr="00C3591C">
        <w:rPr>
          <w:rFonts w:ascii="宋体" w:eastAsia="宋体" w:hAnsi="宋体"/>
          <w:b/>
          <w:bCs/>
          <w:sz w:val="24"/>
        </w:rPr>
        <w:t>Enterprise</w:t>
      </w:r>
      <w:r w:rsidR="00AC6EE9">
        <w:rPr>
          <w:rFonts w:ascii="宋体" w:eastAsia="宋体" w:hAnsi="宋体" w:hint="eastAsia"/>
          <w:b/>
          <w:bCs/>
          <w:sz w:val="24"/>
        </w:rPr>
        <w:t xml:space="preserve"> </w:t>
      </w:r>
      <w:r w:rsidRPr="00C3591C">
        <w:rPr>
          <w:rFonts w:ascii="宋体" w:eastAsia="宋体" w:hAnsi="宋体"/>
          <w:b/>
          <w:bCs/>
          <w:sz w:val="24"/>
        </w:rPr>
        <w:t>Surveys</w:t>
      </w:r>
    </w:p>
    <w:p w14:paraId="3938ABA6" w14:textId="4E1DD087" w:rsidR="00DB0FD4" w:rsidRDefault="00DB0FD4" w:rsidP="000F0CDD">
      <w:pPr>
        <w:ind w:firstLine="420"/>
        <w:rPr>
          <w:rFonts w:ascii="宋体" w:eastAsia="宋体" w:hAnsi="宋体" w:hint="eastAsia"/>
          <w:sz w:val="24"/>
        </w:rPr>
      </w:pPr>
      <w:r w:rsidRPr="00DB0FD4">
        <w:rPr>
          <w:rFonts w:ascii="宋体" w:eastAsia="宋体" w:hAnsi="宋体"/>
          <w:sz w:val="24"/>
        </w:rPr>
        <w:lastRenderedPageBreak/>
        <w:t>World Bank Enterprise Surveys 提供企业层面的营商环境和监管负担数据，可作为制度</w:t>
      </w:r>
      <w:proofErr w:type="gramStart"/>
      <w:r w:rsidRPr="00DB0FD4">
        <w:rPr>
          <w:rFonts w:ascii="宋体" w:eastAsia="宋体" w:hAnsi="宋体"/>
          <w:sz w:val="24"/>
        </w:rPr>
        <w:t>型开放</w:t>
      </w:r>
      <w:proofErr w:type="gramEnd"/>
      <w:r w:rsidRPr="00DB0FD4">
        <w:rPr>
          <w:rFonts w:ascii="宋体" w:eastAsia="宋体" w:hAnsi="宋体"/>
          <w:sz w:val="24"/>
        </w:rPr>
        <w:t>“管理维度”的微观补充。该调查面向企业所有者和高级管理者，涵盖</w:t>
      </w:r>
      <w:r w:rsidRPr="00DB0FD4">
        <w:rPr>
          <w:rFonts w:ascii="宋体" w:eastAsia="宋体" w:hAnsi="宋体"/>
          <w:color w:val="0000FF"/>
          <w:sz w:val="24"/>
        </w:rPr>
        <w:t>政府监管、基础设施、腐败、竞争、融资和企业绩效</w:t>
      </w:r>
      <w:r w:rsidRPr="00DB0FD4">
        <w:rPr>
          <w:rFonts w:ascii="宋体" w:eastAsia="宋体" w:hAnsi="宋体"/>
          <w:sz w:val="24"/>
        </w:rPr>
        <w:t>等多个营商环境主题。其中，“高级管理层处理政府监管所占时间”可以反映企业面对</w:t>
      </w:r>
      <w:r w:rsidRPr="00DB0FD4">
        <w:rPr>
          <w:rFonts w:ascii="宋体" w:eastAsia="宋体" w:hAnsi="宋体"/>
          <w:color w:val="0000FF"/>
          <w:sz w:val="24"/>
        </w:rPr>
        <w:t>行政审批、监管合</w:t>
      </w:r>
      <w:proofErr w:type="gramStart"/>
      <w:r w:rsidRPr="00DB0FD4">
        <w:rPr>
          <w:rFonts w:ascii="宋体" w:eastAsia="宋体" w:hAnsi="宋体"/>
          <w:color w:val="0000FF"/>
          <w:sz w:val="24"/>
        </w:rPr>
        <w:t>规</w:t>
      </w:r>
      <w:proofErr w:type="gramEnd"/>
      <w:r w:rsidRPr="00DB0FD4">
        <w:rPr>
          <w:rFonts w:ascii="宋体" w:eastAsia="宋体" w:hAnsi="宋体"/>
          <w:color w:val="0000FF"/>
          <w:sz w:val="24"/>
        </w:rPr>
        <w:t>和政务流程时的时间负担</w:t>
      </w:r>
      <w:r w:rsidRPr="00DB0FD4">
        <w:rPr>
          <w:rFonts w:ascii="宋体" w:eastAsia="宋体" w:hAnsi="宋体"/>
          <w:sz w:val="24"/>
        </w:rPr>
        <w:t>；“出口清关平均天数”和“进口清关平均天数”则可反映</w:t>
      </w:r>
      <w:r w:rsidRPr="00DB0FD4">
        <w:rPr>
          <w:rFonts w:ascii="宋体" w:eastAsia="宋体" w:hAnsi="宋体"/>
          <w:color w:val="0000FF"/>
          <w:sz w:val="24"/>
        </w:rPr>
        <w:t>企业在跨境贸易中的通关时间成本</w:t>
      </w:r>
      <w:r w:rsidRPr="00DB0FD4">
        <w:rPr>
          <w:rFonts w:ascii="宋体" w:eastAsia="宋体" w:hAnsi="宋体"/>
          <w:sz w:val="24"/>
        </w:rPr>
        <w:t>。因此，Enterprise Surveys可用于支撑管理维度中的</w:t>
      </w:r>
      <w:r w:rsidRPr="00DB0FD4">
        <w:rPr>
          <w:rFonts w:ascii="宋体" w:eastAsia="宋体" w:hAnsi="宋体"/>
          <w:color w:val="0000FF"/>
          <w:sz w:val="24"/>
        </w:rPr>
        <w:t>“政务服务效率”“监管负担”“出口/进口通关时间成本”和“企业感知型贸易便利化”</w:t>
      </w:r>
      <w:r w:rsidRPr="00DB0FD4">
        <w:rPr>
          <w:rFonts w:ascii="宋体" w:eastAsia="宋体" w:hAnsi="宋体"/>
          <w:sz w:val="24"/>
        </w:rPr>
        <w:t>等指标。</w:t>
      </w:r>
    </w:p>
    <w:p w14:paraId="399A5C46" w14:textId="117A3AFF"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5.中国官方改革逻辑</w:t>
      </w:r>
    </w:p>
    <w:p w14:paraId="23CA9031" w14:textId="11FC3ECF" w:rsidR="00C3591C" w:rsidRDefault="00C3591C" w:rsidP="00A120E9">
      <w:pPr>
        <w:ind w:firstLine="420"/>
        <w:rPr>
          <w:rFonts w:ascii="宋体" w:eastAsia="宋体" w:hAnsi="宋体" w:hint="eastAsia"/>
          <w:sz w:val="24"/>
        </w:rPr>
      </w:pPr>
      <w:r w:rsidRPr="00C3591C">
        <w:rPr>
          <w:rFonts w:ascii="宋体" w:eastAsia="宋体" w:hAnsi="宋体"/>
          <w:sz w:val="24"/>
        </w:rPr>
        <w:t>制度</w:t>
      </w:r>
      <w:proofErr w:type="gramStart"/>
      <w:r w:rsidRPr="00C3591C">
        <w:rPr>
          <w:rFonts w:ascii="宋体" w:eastAsia="宋体" w:hAnsi="宋体"/>
          <w:sz w:val="24"/>
        </w:rPr>
        <w:t>型开放</w:t>
      </w:r>
      <w:proofErr w:type="gramEnd"/>
      <w:r w:rsidRPr="00C3591C">
        <w:rPr>
          <w:rFonts w:ascii="宋体" w:eastAsia="宋体" w:hAnsi="宋体"/>
          <w:sz w:val="24"/>
        </w:rPr>
        <w:t>不是简单放松管制，而是从前置审批转向透明化、数字化、信用化和风险化监管。国务院上海自贸区高水平制度</w:t>
      </w:r>
      <w:proofErr w:type="gramStart"/>
      <w:r w:rsidRPr="00C3591C">
        <w:rPr>
          <w:rFonts w:ascii="宋体" w:eastAsia="宋体" w:hAnsi="宋体"/>
          <w:sz w:val="24"/>
        </w:rPr>
        <w:t>型开放</w:t>
      </w:r>
      <w:proofErr w:type="gramEnd"/>
      <w:r w:rsidRPr="00C3591C">
        <w:rPr>
          <w:rFonts w:ascii="宋体" w:eastAsia="宋体" w:hAnsi="宋体"/>
          <w:sz w:val="24"/>
        </w:rPr>
        <w:t>方案、自贸区试点复制推广政策，都可支撑“事中事后监管能力”“制度创新复制推广”“单一窗口”“跨部门协同监管”等指标。</w:t>
      </w:r>
    </w:p>
    <w:p w14:paraId="105A8BAA" w14:textId="128BEDAF" w:rsidR="00340DC0" w:rsidRPr="00C3591C" w:rsidRDefault="00340DC0" w:rsidP="00340DC0">
      <w:pPr>
        <w:ind w:firstLine="420"/>
        <w:rPr>
          <w:rFonts w:ascii="宋体" w:eastAsia="宋体" w:hAnsi="宋体" w:hint="eastAsia"/>
          <w:sz w:val="24"/>
        </w:rPr>
      </w:pPr>
      <w:r>
        <w:rPr>
          <w:rFonts w:ascii="宋体" w:eastAsia="宋体" w:hAnsi="宋体" w:hint="eastAsia"/>
          <w:sz w:val="24"/>
        </w:rPr>
        <w:t>总体而言，</w:t>
      </w:r>
      <w:r w:rsidRPr="00927B2C">
        <w:rPr>
          <w:rFonts w:ascii="宋体" w:eastAsia="宋体" w:hAnsi="宋体"/>
          <w:sz w:val="24"/>
        </w:rPr>
        <w:t>管理维</w:t>
      </w:r>
      <w:proofErr w:type="gramStart"/>
      <w:r w:rsidRPr="00927B2C">
        <w:rPr>
          <w:rFonts w:ascii="宋体" w:eastAsia="宋体" w:hAnsi="宋体"/>
          <w:sz w:val="24"/>
        </w:rPr>
        <w:t>度关注</w:t>
      </w:r>
      <w:proofErr w:type="gramEnd"/>
      <w:r w:rsidRPr="00927B2C">
        <w:rPr>
          <w:rFonts w:ascii="宋体" w:eastAsia="宋体" w:hAnsi="宋体"/>
          <w:sz w:val="24"/>
        </w:rPr>
        <w:t>的是制度执行层面的便利化，即</w:t>
      </w:r>
      <w:r w:rsidRPr="00F24DFF">
        <w:rPr>
          <w:rFonts w:ascii="宋体" w:eastAsia="宋体" w:hAnsi="宋体"/>
          <w:color w:val="0000FF"/>
          <w:sz w:val="24"/>
        </w:rPr>
        <w:t>企业在跨境贸易、投资审批、通关、纳税、许可、监管互动</w:t>
      </w:r>
      <w:r w:rsidRPr="00927B2C">
        <w:rPr>
          <w:rFonts w:ascii="宋体" w:eastAsia="宋体" w:hAnsi="宋体"/>
          <w:sz w:val="24"/>
        </w:rPr>
        <w:t>中的实际成本。OECD</w:t>
      </w:r>
      <w:r>
        <w:rPr>
          <w:rFonts w:ascii="宋体" w:eastAsia="宋体" w:hAnsi="宋体" w:hint="eastAsia"/>
          <w:sz w:val="24"/>
        </w:rPr>
        <w:t xml:space="preserve"> </w:t>
      </w:r>
      <w:r w:rsidRPr="00927B2C">
        <w:rPr>
          <w:rFonts w:ascii="宋体" w:eastAsia="宋体" w:hAnsi="宋体"/>
          <w:sz w:val="24"/>
        </w:rPr>
        <w:t>TFI、UN</w:t>
      </w:r>
      <w:r>
        <w:rPr>
          <w:rFonts w:ascii="宋体" w:eastAsia="宋体" w:hAnsi="宋体" w:hint="eastAsia"/>
          <w:sz w:val="24"/>
        </w:rPr>
        <w:t xml:space="preserve"> </w:t>
      </w:r>
      <w:r w:rsidRPr="00927B2C">
        <w:rPr>
          <w:rFonts w:ascii="宋体" w:eastAsia="宋体" w:hAnsi="宋体"/>
          <w:sz w:val="24"/>
        </w:rPr>
        <w:t>Trade</w:t>
      </w:r>
      <w:r>
        <w:rPr>
          <w:rFonts w:ascii="宋体" w:eastAsia="宋体" w:hAnsi="宋体" w:hint="eastAsia"/>
          <w:sz w:val="24"/>
        </w:rPr>
        <w:t xml:space="preserve"> </w:t>
      </w:r>
      <w:r w:rsidRPr="00927B2C">
        <w:rPr>
          <w:rFonts w:ascii="宋体" w:eastAsia="宋体" w:hAnsi="宋体"/>
          <w:sz w:val="24"/>
        </w:rPr>
        <w:t>Facilitation</w:t>
      </w:r>
      <w:r>
        <w:rPr>
          <w:rFonts w:ascii="宋体" w:eastAsia="宋体" w:hAnsi="宋体" w:hint="eastAsia"/>
          <w:sz w:val="24"/>
        </w:rPr>
        <w:t xml:space="preserve"> </w:t>
      </w:r>
      <w:r w:rsidRPr="00927B2C">
        <w:rPr>
          <w:rFonts w:ascii="宋体" w:eastAsia="宋体" w:hAnsi="宋体"/>
          <w:sz w:val="24"/>
        </w:rPr>
        <w:t>Survey、World</w:t>
      </w:r>
      <w:r>
        <w:rPr>
          <w:rFonts w:ascii="宋体" w:eastAsia="宋体" w:hAnsi="宋体" w:hint="eastAsia"/>
          <w:sz w:val="24"/>
        </w:rPr>
        <w:t xml:space="preserve"> </w:t>
      </w:r>
      <w:r w:rsidRPr="00927B2C">
        <w:rPr>
          <w:rFonts w:ascii="宋体" w:eastAsia="宋体" w:hAnsi="宋体"/>
          <w:sz w:val="24"/>
        </w:rPr>
        <w:t>Bank</w:t>
      </w:r>
      <w:r>
        <w:rPr>
          <w:rFonts w:ascii="宋体" w:eastAsia="宋体" w:hAnsi="宋体" w:hint="eastAsia"/>
          <w:sz w:val="24"/>
        </w:rPr>
        <w:t xml:space="preserve"> </w:t>
      </w:r>
      <w:r w:rsidRPr="00927B2C">
        <w:rPr>
          <w:rFonts w:ascii="宋体" w:eastAsia="宋体" w:hAnsi="宋体"/>
          <w:sz w:val="24"/>
        </w:rPr>
        <w:t>LPI和Enterprise</w:t>
      </w:r>
      <w:r>
        <w:rPr>
          <w:rFonts w:ascii="宋体" w:eastAsia="宋体" w:hAnsi="宋体" w:hint="eastAsia"/>
          <w:sz w:val="24"/>
        </w:rPr>
        <w:t xml:space="preserve"> </w:t>
      </w:r>
      <w:r w:rsidRPr="00927B2C">
        <w:rPr>
          <w:rFonts w:ascii="宋体" w:eastAsia="宋体" w:hAnsi="宋体"/>
          <w:sz w:val="24"/>
        </w:rPr>
        <w:t>Surveys均可作为重要参照。</w:t>
      </w:r>
    </w:p>
    <w:tbl>
      <w:tblPr>
        <w:tblStyle w:val="af3"/>
        <w:tblW w:w="10721" w:type="dxa"/>
        <w:jc w:val="center"/>
        <w:tblLook w:val="04A0" w:firstRow="1" w:lastRow="0" w:firstColumn="1" w:lastColumn="0" w:noHBand="0" w:noVBand="1"/>
      </w:tblPr>
      <w:tblGrid>
        <w:gridCol w:w="988"/>
        <w:gridCol w:w="1701"/>
        <w:gridCol w:w="1937"/>
        <w:gridCol w:w="1559"/>
        <w:gridCol w:w="2410"/>
        <w:gridCol w:w="2126"/>
      </w:tblGrid>
      <w:tr w:rsidR="00910A67" w:rsidRPr="00910A67" w14:paraId="663E8C66" w14:textId="77777777" w:rsidTr="002E2822">
        <w:trPr>
          <w:jc w:val="center"/>
        </w:trPr>
        <w:tc>
          <w:tcPr>
            <w:tcW w:w="988" w:type="dxa"/>
            <w:vAlign w:val="center"/>
          </w:tcPr>
          <w:p w14:paraId="756E35ED" w14:textId="46FAE394" w:rsidR="00910A67" w:rsidRPr="00910A67" w:rsidRDefault="00910A67" w:rsidP="00910A67">
            <w:pPr>
              <w:rPr>
                <w:rFonts w:ascii="宋体" w:eastAsia="宋体" w:hAnsi="宋体" w:hint="eastAsia"/>
                <w:sz w:val="18"/>
                <w:szCs w:val="18"/>
              </w:rPr>
            </w:pPr>
            <w:r w:rsidRPr="00910A67">
              <w:rPr>
                <w:rFonts w:ascii="宋体" w:eastAsia="宋体" w:hAnsi="宋体"/>
                <w:b/>
                <w:sz w:val="18"/>
                <w:szCs w:val="18"/>
              </w:rPr>
              <w:t>指标名称</w:t>
            </w:r>
          </w:p>
        </w:tc>
        <w:tc>
          <w:tcPr>
            <w:tcW w:w="1701" w:type="dxa"/>
            <w:vAlign w:val="center"/>
          </w:tcPr>
          <w:p w14:paraId="2017C24E" w14:textId="21F987F9" w:rsidR="00910A67" w:rsidRPr="00910A67" w:rsidRDefault="00910A67" w:rsidP="00910A67">
            <w:pPr>
              <w:rPr>
                <w:rFonts w:ascii="宋体" w:eastAsia="宋体" w:hAnsi="宋体" w:hint="eastAsia"/>
                <w:sz w:val="18"/>
                <w:szCs w:val="18"/>
              </w:rPr>
            </w:pPr>
            <w:r w:rsidRPr="00910A67">
              <w:rPr>
                <w:rFonts w:ascii="宋体" w:eastAsia="宋体" w:hAnsi="宋体"/>
                <w:b/>
                <w:sz w:val="18"/>
                <w:szCs w:val="18"/>
              </w:rPr>
              <w:t>文献/官方依据</w:t>
            </w:r>
          </w:p>
        </w:tc>
        <w:tc>
          <w:tcPr>
            <w:tcW w:w="1937" w:type="dxa"/>
            <w:vAlign w:val="center"/>
          </w:tcPr>
          <w:p w14:paraId="4A85F1E4" w14:textId="7CE221D0" w:rsidR="00910A67" w:rsidRPr="00910A67" w:rsidRDefault="00910A67" w:rsidP="00910A67">
            <w:pPr>
              <w:rPr>
                <w:rFonts w:ascii="宋体" w:eastAsia="宋体" w:hAnsi="宋体" w:hint="eastAsia"/>
                <w:sz w:val="18"/>
                <w:szCs w:val="18"/>
              </w:rPr>
            </w:pPr>
            <w:r w:rsidRPr="00910A67">
              <w:rPr>
                <w:rFonts w:ascii="宋体" w:eastAsia="宋体" w:hAnsi="宋体"/>
                <w:b/>
                <w:sz w:val="18"/>
                <w:szCs w:val="18"/>
              </w:rPr>
              <w:t>具体可操作变量或方法</w:t>
            </w:r>
          </w:p>
        </w:tc>
        <w:tc>
          <w:tcPr>
            <w:tcW w:w="1559" w:type="dxa"/>
            <w:vAlign w:val="center"/>
          </w:tcPr>
          <w:p w14:paraId="0F9DA394" w14:textId="0A3817E9" w:rsidR="00910A67" w:rsidRPr="00910A67" w:rsidRDefault="00910A67" w:rsidP="00910A67">
            <w:pPr>
              <w:rPr>
                <w:rFonts w:ascii="宋体" w:eastAsia="宋体" w:hAnsi="宋体" w:hint="eastAsia"/>
                <w:sz w:val="18"/>
                <w:szCs w:val="18"/>
              </w:rPr>
            </w:pPr>
            <w:r w:rsidRPr="00910A67">
              <w:rPr>
                <w:rFonts w:ascii="宋体" w:eastAsia="宋体" w:hAnsi="宋体"/>
                <w:b/>
                <w:sz w:val="18"/>
                <w:szCs w:val="18"/>
              </w:rPr>
              <w:t>含义</w:t>
            </w:r>
          </w:p>
        </w:tc>
        <w:tc>
          <w:tcPr>
            <w:tcW w:w="2410" w:type="dxa"/>
            <w:vAlign w:val="center"/>
          </w:tcPr>
          <w:p w14:paraId="2D991FE3" w14:textId="24F9F620" w:rsidR="00910A67" w:rsidRPr="00910A67" w:rsidRDefault="00910A67" w:rsidP="00910A67">
            <w:pPr>
              <w:rPr>
                <w:rFonts w:ascii="宋体" w:eastAsia="宋体" w:hAnsi="宋体" w:hint="eastAsia"/>
                <w:sz w:val="18"/>
                <w:szCs w:val="18"/>
              </w:rPr>
            </w:pPr>
            <w:r w:rsidRPr="00910A67">
              <w:rPr>
                <w:rFonts w:ascii="宋体" w:eastAsia="宋体" w:hAnsi="宋体"/>
                <w:b/>
                <w:sz w:val="18"/>
                <w:szCs w:val="18"/>
              </w:rPr>
              <w:t>数据来源（重点）</w:t>
            </w:r>
          </w:p>
        </w:tc>
        <w:tc>
          <w:tcPr>
            <w:tcW w:w="2126" w:type="dxa"/>
            <w:vAlign w:val="center"/>
          </w:tcPr>
          <w:p w14:paraId="66690701" w14:textId="2463F11C" w:rsidR="00910A67" w:rsidRPr="00910A67" w:rsidRDefault="00910A67" w:rsidP="00910A67">
            <w:pPr>
              <w:rPr>
                <w:rFonts w:ascii="宋体" w:eastAsia="宋体" w:hAnsi="宋体" w:hint="eastAsia"/>
                <w:sz w:val="18"/>
                <w:szCs w:val="18"/>
              </w:rPr>
            </w:pPr>
            <w:r w:rsidRPr="00910A67">
              <w:rPr>
                <w:rFonts w:ascii="宋体" w:eastAsia="宋体" w:hAnsi="宋体"/>
                <w:b/>
                <w:sz w:val="18"/>
                <w:szCs w:val="18"/>
              </w:rPr>
              <w:t>计算方法</w:t>
            </w:r>
          </w:p>
        </w:tc>
      </w:tr>
      <w:tr w:rsidR="00910A67" w:rsidRPr="00910A67" w14:paraId="0548D322" w14:textId="77777777" w:rsidTr="002E2822">
        <w:trPr>
          <w:jc w:val="center"/>
        </w:trPr>
        <w:tc>
          <w:tcPr>
            <w:tcW w:w="988" w:type="dxa"/>
            <w:vAlign w:val="center"/>
          </w:tcPr>
          <w:p w14:paraId="2407B790" w14:textId="1E7BEB38"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贸易便利化指数</w:t>
            </w:r>
            <w:r w:rsidR="00D06560">
              <w:rPr>
                <w:rFonts w:ascii="宋体" w:eastAsia="宋体" w:hAnsi="宋体" w:hint="eastAsia"/>
                <w:sz w:val="18"/>
                <w:szCs w:val="18"/>
              </w:rPr>
              <w:t>（贸</w:t>
            </w:r>
          </w:p>
        </w:tc>
        <w:tc>
          <w:tcPr>
            <w:tcW w:w="1701" w:type="dxa"/>
            <w:vAlign w:val="center"/>
          </w:tcPr>
          <w:p w14:paraId="5719CC4E" w14:textId="77777777" w:rsidR="00910A67" w:rsidRPr="00910A67" w:rsidRDefault="00910A67" w:rsidP="009A302C">
            <w:pPr>
              <w:rPr>
                <w:rFonts w:ascii="宋体" w:eastAsia="宋体" w:hAnsi="宋体" w:hint="eastAsia"/>
                <w:sz w:val="18"/>
                <w:szCs w:val="18"/>
              </w:rPr>
            </w:pPr>
            <w:proofErr w:type="gramStart"/>
            <w:r w:rsidRPr="00910A67">
              <w:rPr>
                <w:rFonts w:ascii="宋体" w:eastAsia="宋体" w:hAnsi="宋体"/>
                <w:sz w:val="18"/>
                <w:szCs w:val="18"/>
              </w:rPr>
              <w:t>常娱和</w:t>
            </w:r>
            <w:proofErr w:type="gramEnd"/>
            <w:r w:rsidRPr="00910A67">
              <w:rPr>
                <w:rFonts w:ascii="宋体" w:eastAsia="宋体" w:hAnsi="宋体"/>
                <w:sz w:val="18"/>
                <w:szCs w:val="18"/>
              </w:rPr>
              <w:t>钱学锋（2022）、洪俊杰（2024）</w:t>
            </w:r>
            <w:r w:rsidRPr="00910A67">
              <w:rPr>
                <w:rFonts w:ascii="宋体" w:eastAsia="宋体" w:hAnsi="宋体" w:hint="eastAsia"/>
                <w:sz w:val="18"/>
                <w:szCs w:val="18"/>
              </w:rPr>
              <w:t>、</w:t>
            </w:r>
            <w:r w:rsidRPr="00910A67">
              <w:rPr>
                <w:rFonts w:ascii="宋体" w:eastAsia="宋体" w:hAnsi="宋体"/>
                <w:sz w:val="18"/>
                <w:szCs w:val="18"/>
              </w:rPr>
              <w:t>钱学锋（2024）关于营商环境和制度性交易成本；OECD TFI；UN Trade Facilitation Survey；自贸区“单一窗口”改革。</w:t>
            </w:r>
          </w:p>
        </w:tc>
        <w:tc>
          <w:tcPr>
            <w:tcW w:w="1937" w:type="dxa"/>
            <w:vAlign w:val="center"/>
          </w:tcPr>
          <w:p w14:paraId="13BFA0A2"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围绕信息可得性、预裁定、申诉、费用公开、文件简化、自动化、程序简化、边境机构合作、治理公正性等指标编码。</w:t>
            </w:r>
          </w:p>
        </w:tc>
        <w:tc>
          <w:tcPr>
            <w:tcW w:w="1559" w:type="dxa"/>
            <w:vAlign w:val="center"/>
          </w:tcPr>
          <w:p w14:paraId="39822797"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衡量跨境贸易管理流程是否简化、透明、数字化和协同。</w:t>
            </w:r>
          </w:p>
        </w:tc>
        <w:tc>
          <w:tcPr>
            <w:tcW w:w="2410" w:type="dxa"/>
            <w:vAlign w:val="center"/>
          </w:tcPr>
          <w:p w14:paraId="5135A34C"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OECD Trade Facilitation Indicators；UN Global Survey on Digital and Sustainable Trade Facilitation；海关总署；中国国际贸易单一窗口；地方口岸办；商务部自贸区制度创新案例。</w:t>
            </w:r>
          </w:p>
        </w:tc>
        <w:tc>
          <w:tcPr>
            <w:tcW w:w="2126" w:type="dxa"/>
            <w:vAlign w:val="center"/>
          </w:tcPr>
          <w:p w14:paraId="11C6737A"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可直接使用OECD TFI综合指数；国内自建时，按TFI 11项或UN调查措施赋值后加权平均。</w:t>
            </w:r>
          </w:p>
        </w:tc>
      </w:tr>
      <w:tr w:rsidR="00910A67" w:rsidRPr="00910A67" w14:paraId="40F6FDC8" w14:textId="77777777" w:rsidTr="002E2822">
        <w:trPr>
          <w:jc w:val="center"/>
        </w:trPr>
        <w:tc>
          <w:tcPr>
            <w:tcW w:w="988" w:type="dxa"/>
            <w:vAlign w:val="center"/>
          </w:tcPr>
          <w:p w14:paraId="55D88196" w14:textId="74852956"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国际贸易单一窗口与无纸化指数</w:t>
            </w:r>
            <w:r w:rsidR="00D06560">
              <w:rPr>
                <w:rFonts w:ascii="宋体" w:eastAsia="宋体" w:hAnsi="宋体" w:hint="eastAsia"/>
                <w:sz w:val="18"/>
                <w:szCs w:val="18"/>
              </w:rPr>
              <w:t>（贸</w:t>
            </w:r>
          </w:p>
        </w:tc>
        <w:tc>
          <w:tcPr>
            <w:tcW w:w="1701" w:type="dxa"/>
            <w:vAlign w:val="center"/>
          </w:tcPr>
          <w:p w14:paraId="6DF04735"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裴长洪和倪江飞（2024）将“单一窗口”视为贸易便利化管理制度创新；UN数字和</w:t>
            </w:r>
            <w:proofErr w:type="gramStart"/>
            <w:r w:rsidRPr="00910A67">
              <w:rPr>
                <w:rFonts w:ascii="宋体" w:eastAsia="宋体" w:hAnsi="宋体"/>
                <w:sz w:val="18"/>
                <w:szCs w:val="18"/>
              </w:rPr>
              <w:t>可</w:t>
            </w:r>
            <w:proofErr w:type="gramEnd"/>
            <w:r w:rsidRPr="00910A67">
              <w:rPr>
                <w:rFonts w:ascii="宋体" w:eastAsia="宋体" w:hAnsi="宋体"/>
                <w:sz w:val="18"/>
                <w:szCs w:val="18"/>
              </w:rPr>
              <w:t>持续贸易便利化调查。</w:t>
            </w:r>
          </w:p>
        </w:tc>
        <w:tc>
          <w:tcPr>
            <w:tcW w:w="1937" w:type="dxa"/>
            <w:vAlign w:val="center"/>
          </w:tcPr>
          <w:p w14:paraId="35E8B5CA"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统计单一窗口覆盖事项、电子报关率、电子单证应用、电子证照互认、跨境无纸化贸易、提前申报、预裁定、AEO互认等。</w:t>
            </w:r>
          </w:p>
        </w:tc>
        <w:tc>
          <w:tcPr>
            <w:tcW w:w="1559" w:type="dxa"/>
            <w:vAlign w:val="center"/>
          </w:tcPr>
          <w:p w14:paraId="3B92D1D6"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衡量贸易管理数字化和跨部门协同水平。</w:t>
            </w:r>
          </w:p>
        </w:tc>
        <w:tc>
          <w:tcPr>
            <w:tcW w:w="2410" w:type="dxa"/>
            <w:vAlign w:val="center"/>
          </w:tcPr>
          <w:p w14:paraId="0A88D537"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中国国际贸易单一窗口；海关总署；地方</w:t>
            </w:r>
            <w:proofErr w:type="gramStart"/>
            <w:r w:rsidRPr="00910A67">
              <w:rPr>
                <w:rFonts w:ascii="宋体" w:eastAsia="宋体" w:hAnsi="宋体"/>
                <w:sz w:val="18"/>
                <w:szCs w:val="18"/>
              </w:rPr>
              <w:t>电子口岸</w:t>
            </w:r>
            <w:proofErr w:type="gramEnd"/>
            <w:r w:rsidRPr="00910A67">
              <w:rPr>
                <w:rFonts w:ascii="宋体" w:eastAsia="宋体" w:hAnsi="宋体"/>
                <w:sz w:val="18"/>
                <w:szCs w:val="18"/>
              </w:rPr>
              <w:t>/口岸办；UN Global Survey on Digital and Sustainable Trade Facilitation；商务部自贸区最佳实践。</w:t>
            </w:r>
          </w:p>
        </w:tc>
        <w:tc>
          <w:tcPr>
            <w:tcW w:w="2126" w:type="dxa"/>
            <w:vAlign w:val="center"/>
          </w:tcPr>
          <w:p w14:paraId="3E68439F"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单一窗口覆盖率=单一窗口</w:t>
            </w:r>
            <w:proofErr w:type="gramStart"/>
            <w:r w:rsidRPr="00910A67">
              <w:rPr>
                <w:rFonts w:ascii="宋体" w:eastAsia="宋体" w:hAnsi="宋体"/>
                <w:sz w:val="18"/>
                <w:szCs w:val="18"/>
              </w:rPr>
              <w:t>可办事</w:t>
            </w:r>
            <w:proofErr w:type="gramEnd"/>
            <w:r w:rsidRPr="00910A67">
              <w:rPr>
                <w:rFonts w:ascii="宋体" w:eastAsia="宋体" w:hAnsi="宋体"/>
                <w:sz w:val="18"/>
                <w:szCs w:val="18"/>
              </w:rPr>
              <w:t>项数/跨境贸易事项总数；无纸</w:t>
            </w:r>
            <w:proofErr w:type="gramStart"/>
            <w:r w:rsidRPr="00910A67">
              <w:rPr>
                <w:rFonts w:ascii="宋体" w:eastAsia="宋体" w:hAnsi="宋体"/>
                <w:sz w:val="18"/>
                <w:szCs w:val="18"/>
              </w:rPr>
              <w:t>化指数</w:t>
            </w:r>
            <w:proofErr w:type="gramEnd"/>
            <w:r w:rsidRPr="00910A67">
              <w:rPr>
                <w:rFonts w:ascii="宋体" w:eastAsia="宋体" w:hAnsi="宋体"/>
                <w:sz w:val="18"/>
                <w:szCs w:val="18"/>
              </w:rPr>
              <w:t>=电子单证使用率、电子报关率、提前申报率、AEO互认覆盖数标准化加权。</w:t>
            </w:r>
          </w:p>
        </w:tc>
      </w:tr>
      <w:tr w:rsidR="00910A67" w:rsidRPr="00910A67" w14:paraId="229F6D23" w14:textId="77777777" w:rsidTr="002E2822">
        <w:trPr>
          <w:jc w:val="center"/>
        </w:trPr>
        <w:tc>
          <w:tcPr>
            <w:tcW w:w="988" w:type="dxa"/>
            <w:vAlign w:val="center"/>
          </w:tcPr>
          <w:p w14:paraId="5E72C562" w14:textId="6BC93881"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平均清关时间与通</w:t>
            </w:r>
            <w:r w:rsidRPr="00910A67">
              <w:rPr>
                <w:rFonts w:ascii="宋体" w:eastAsia="宋体" w:hAnsi="宋体"/>
                <w:sz w:val="18"/>
                <w:szCs w:val="18"/>
              </w:rPr>
              <w:lastRenderedPageBreak/>
              <w:t>关成本</w:t>
            </w:r>
            <w:r w:rsidR="00D06560">
              <w:rPr>
                <w:rFonts w:ascii="宋体" w:eastAsia="宋体" w:hAnsi="宋体" w:hint="eastAsia"/>
                <w:sz w:val="18"/>
                <w:szCs w:val="18"/>
              </w:rPr>
              <w:t>（贸</w:t>
            </w:r>
          </w:p>
        </w:tc>
        <w:tc>
          <w:tcPr>
            <w:tcW w:w="1701" w:type="dxa"/>
            <w:vAlign w:val="center"/>
          </w:tcPr>
          <w:p w14:paraId="740B37BC"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lastRenderedPageBreak/>
              <w:t xml:space="preserve">World Bank Enterprise </w:t>
            </w:r>
            <w:r w:rsidRPr="00910A67">
              <w:rPr>
                <w:rFonts w:ascii="宋体" w:eastAsia="宋体" w:hAnsi="宋体"/>
                <w:sz w:val="18"/>
                <w:szCs w:val="18"/>
              </w:rPr>
              <w:lastRenderedPageBreak/>
              <w:t>Surveys；World Bank LPI；OECD TFI程序和文件简化指标。</w:t>
            </w:r>
          </w:p>
        </w:tc>
        <w:tc>
          <w:tcPr>
            <w:tcW w:w="1937" w:type="dxa"/>
            <w:vAlign w:val="center"/>
          </w:tcPr>
          <w:p w14:paraId="6D662027"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lastRenderedPageBreak/>
              <w:t>使用进口/出口平均清关天数、海关查验</w:t>
            </w:r>
            <w:r w:rsidRPr="00910A67">
              <w:rPr>
                <w:rFonts w:ascii="宋体" w:eastAsia="宋体" w:hAnsi="宋体"/>
                <w:sz w:val="18"/>
                <w:szCs w:val="18"/>
              </w:rPr>
              <w:lastRenderedPageBreak/>
              <w:t>率、单证合</w:t>
            </w:r>
            <w:proofErr w:type="gramStart"/>
            <w:r w:rsidRPr="00910A67">
              <w:rPr>
                <w:rFonts w:ascii="宋体" w:eastAsia="宋体" w:hAnsi="宋体"/>
                <w:sz w:val="18"/>
                <w:szCs w:val="18"/>
              </w:rPr>
              <w:t>规</w:t>
            </w:r>
            <w:proofErr w:type="gramEnd"/>
            <w:r w:rsidRPr="00910A67">
              <w:rPr>
                <w:rFonts w:ascii="宋体" w:eastAsia="宋体" w:hAnsi="宋体"/>
                <w:sz w:val="18"/>
                <w:szCs w:val="18"/>
              </w:rPr>
              <w:t>时间、边境合</w:t>
            </w:r>
            <w:proofErr w:type="gramStart"/>
            <w:r w:rsidRPr="00910A67">
              <w:rPr>
                <w:rFonts w:ascii="宋体" w:eastAsia="宋体" w:hAnsi="宋体"/>
                <w:sz w:val="18"/>
                <w:szCs w:val="18"/>
              </w:rPr>
              <w:t>规</w:t>
            </w:r>
            <w:proofErr w:type="gramEnd"/>
            <w:r w:rsidRPr="00910A67">
              <w:rPr>
                <w:rFonts w:ascii="宋体" w:eastAsia="宋体" w:hAnsi="宋体"/>
                <w:sz w:val="18"/>
                <w:szCs w:val="18"/>
              </w:rPr>
              <w:t>时间、进出口合</w:t>
            </w:r>
            <w:proofErr w:type="gramStart"/>
            <w:r w:rsidRPr="00910A67">
              <w:rPr>
                <w:rFonts w:ascii="宋体" w:eastAsia="宋体" w:hAnsi="宋体"/>
                <w:sz w:val="18"/>
                <w:szCs w:val="18"/>
              </w:rPr>
              <w:t>规</w:t>
            </w:r>
            <w:proofErr w:type="gramEnd"/>
            <w:r w:rsidRPr="00910A67">
              <w:rPr>
                <w:rFonts w:ascii="宋体" w:eastAsia="宋体" w:hAnsi="宋体"/>
                <w:sz w:val="18"/>
                <w:szCs w:val="18"/>
              </w:rPr>
              <w:t>费用。</w:t>
            </w:r>
          </w:p>
        </w:tc>
        <w:tc>
          <w:tcPr>
            <w:tcW w:w="1559" w:type="dxa"/>
            <w:vAlign w:val="center"/>
          </w:tcPr>
          <w:p w14:paraId="01EC77ED"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lastRenderedPageBreak/>
              <w:t>衡量企业实际面对的通关时间成</w:t>
            </w:r>
            <w:r w:rsidRPr="00910A67">
              <w:rPr>
                <w:rFonts w:ascii="宋体" w:eastAsia="宋体" w:hAnsi="宋体"/>
                <w:sz w:val="18"/>
                <w:szCs w:val="18"/>
              </w:rPr>
              <w:lastRenderedPageBreak/>
              <w:t>本和制度性交易成本。</w:t>
            </w:r>
          </w:p>
        </w:tc>
        <w:tc>
          <w:tcPr>
            <w:tcW w:w="2410" w:type="dxa"/>
            <w:vAlign w:val="center"/>
          </w:tcPr>
          <w:p w14:paraId="67C16708"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lastRenderedPageBreak/>
              <w:t>World Bank Enterprise Surveys；World Bank LPI</w:t>
            </w:r>
            <w:r w:rsidRPr="00910A67">
              <w:rPr>
                <w:rFonts w:ascii="宋体" w:eastAsia="宋体" w:hAnsi="宋体"/>
                <w:sz w:val="18"/>
                <w:szCs w:val="18"/>
              </w:rPr>
              <w:lastRenderedPageBreak/>
              <w:t>传统分项customs、timeliness；海关总署全国通关一体化数据；地方口岸营商环境报告；世界银行历史Doing Business跨境贸易分项（历史比较用）。</w:t>
            </w:r>
          </w:p>
        </w:tc>
        <w:tc>
          <w:tcPr>
            <w:tcW w:w="2126" w:type="dxa"/>
            <w:vAlign w:val="center"/>
          </w:tcPr>
          <w:p w14:paraId="019A96FF"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lastRenderedPageBreak/>
              <w:t>负向指标反向标准化：通关效率=1</w:t>
            </w:r>
            <w:r w:rsidRPr="00910A67">
              <w:rPr>
                <w:rFonts w:ascii="Cambria Math" w:eastAsia="宋体" w:hAnsi="Cambria Math" w:cs="Cambria Math"/>
                <w:sz w:val="18"/>
                <w:szCs w:val="18"/>
              </w:rPr>
              <w:t>−</w:t>
            </w:r>
            <w:r w:rsidRPr="00910A67">
              <w:rPr>
                <w:rFonts w:ascii="宋体" w:eastAsia="宋体" w:hAnsi="宋体"/>
                <w:sz w:val="18"/>
                <w:szCs w:val="18"/>
              </w:rPr>
              <w:t>清关时间</w:t>
            </w:r>
            <w:r w:rsidRPr="00910A67">
              <w:rPr>
                <w:rFonts w:ascii="宋体" w:eastAsia="宋体" w:hAnsi="宋体"/>
                <w:sz w:val="18"/>
                <w:szCs w:val="18"/>
              </w:rPr>
              <w:lastRenderedPageBreak/>
              <w:t>标准化值；若有成本，综合指数=1</w:t>
            </w:r>
            <w:r w:rsidRPr="00910A67">
              <w:rPr>
                <w:rFonts w:ascii="Cambria Math" w:eastAsia="宋体" w:hAnsi="Cambria Math" w:cs="Cambria Math"/>
                <w:sz w:val="18"/>
                <w:szCs w:val="18"/>
              </w:rPr>
              <w:t>−</w:t>
            </w:r>
            <w:r w:rsidRPr="00910A67">
              <w:rPr>
                <w:rFonts w:ascii="宋体" w:eastAsia="宋体" w:hAnsi="宋体"/>
                <w:sz w:val="18"/>
                <w:szCs w:val="18"/>
              </w:rPr>
              <w:t>加权标准化（清关时间、单证时间、边境时间、合</w:t>
            </w:r>
            <w:proofErr w:type="gramStart"/>
            <w:r w:rsidRPr="00910A67">
              <w:rPr>
                <w:rFonts w:ascii="宋体" w:eastAsia="宋体" w:hAnsi="宋体"/>
                <w:sz w:val="18"/>
                <w:szCs w:val="18"/>
              </w:rPr>
              <w:t>规</w:t>
            </w:r>
            <w:proofErr w:type="gramEnd"/>
            <w:r w:rsidRPr="00910A67">
              <w:rPr>
                <w:rFonts w:ascii="宋体" w:eastAsia="宋体" w:hAnsi="宋体"/>
                <w:sz w:val="18"/>
                <w:szCs w:val="18"/>
              </w:rPr>
              <w:t>费用）。</w:t>
            </w:r>
          </w:p>
        </w:tc>
      </w:tr>
      <w:tr w:rsidR="00910A67" w:rsidRPr="00910A67" w14:paraId="20BF9F17" w14:textId="77777777" w:rsidTr="002E2822">
        <w:trPr>
          <w:jc w:val="center"/>
        </w:trPr>
        <w:tc>
          <w:tcPr>
            <w:tcW w:w="988" w:type="dxa"/>
            <w:vAlign w:val="center"/>
          </w:tcPr>
          <w:p w14:paraId="592A898B" w14:textId="5EA573D1"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lastRenderedPageBreak/>
              <w:t>政务服务效率指数</w:t>
            </w:r>
            <w:r w:rsidR="00D06560">
              <w:rPr>
                <w:rFonts w:ascii="宋体" w:eastAsia="宋体" w:hAnsi="宋体" w:hint="eastAsia"/>
                <w:sz w:val="18"/>
                <w:szCs w:val="18"/>
              </w:rPr>
              <w:t>（贸</w:t>
            </w:r>
            <w:r w:rsidR="00F07C9E">
              <w:rPr>
                <w:rFonts w:ascii="宋体" w:eastAsia="宋体" w:hAnsi="宋体" w:hint="eastAsia"/>
                <w:sz w:val="18"/>
                <w:szCs w:val="18"/>
              </w:rPr>
              <w:t>、跨）</w:t>
            </w:r>
          </w:p>
        </w:tc>
        <w:tc>
          <w:tcPr>
            <w:tcW w:w="1701" w:type="dxa"/>
            <w:vAlign w:val="center"/>
          </w:tcPr>
          <w:p w14:paraId="4FEB76D2" w14:textId="77777777" w:rsidR="00910A67" w:rsidRPr="00910A67" w:rsidRDefault="00910A67" w:rsidP="009A302C">
            <w:pPr>
              <w:rPr>
                <w:rFonts w:ascii="宋体" w:eastAsia="宋体" w:hAnsi="宋体" w:hint="eastAsia"/>
                <w:sz w:val="18"/>
                <w:szCs w:val="18"/>
              </w:rPr>
            </w:pPr>
            <w:proofErr w:type="gramStart"/>
            <w:r w:rsidRPr="00910A67">
              <w:rPr>
                <w:rFonts w:ascii="宋体" w:eastAsia="宋体" w:hAnsi="宋体"/>
                <w:sz w:val="18"/>
                <w:szCs w:val="18"/>
              </w:rPr>
              <w:t>常娱和</w:t>
            </w:r>
            <w:proofErr w:type="gramEnd"/>
            <w:r w:rsidRPr="00910A67">
              <w:rPr>
                <w:rFonts w:ascii="宋体" w:eastAsia="宋体" w:hAnsi="宋体"/>
                <w:sz w:val="18"/>
                <w:szCs w:val="18"/>
              </w:rPr>
              <w:t>钱学锋（2022）关于“互联网+”政务服务；钱学锋（2024）关于管理体系和B-READY；World Bank Enterprise Surveys。</w:t>
            </w:r>
          </w:p>
        </w:tc>
        <w:tc>
          <w:tcPr>
            <w:tcW w:w="1937" w:type="dxa"/>
            <w:vAlign w:val="center"/>
          </w:tcPr>
          <w:p w14:paraId="173A25DE"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统计涉企事项网上办理率、一次办成率、承诺时限压缩率、企业开办时间、行政许可平均办理时间、电子证照互认率。</w:t>
            </w:r>
          </w:p>
        </w:tc>
        <w:tc>
          <w:tcPr>
            <w:tcW w:w="1559" w:type="dxa"/>
            <w:vAlign w:val="center"/>
          </w:tcPr>
          <w:p w14:paraId="2CCB6561"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衡量政府管理服务是否降低企业办事时间和行政负担。</w:t>
            </w:r>
          </w:p>
        </w:tc>
        <w:tc>
          <w:tcPr>
            <w:tcW w:w="2410" w:type="dxa"/>
            <w:vAlign w:val="center"/>
          </w:tcPr>
          <w:p w14:paraId="11FD08C4"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全国一体化政务服务平台；地方政务服务网；营商环境评价报告；市场监管部门企业开办数据；World Bank Enterprise Surveys中“高管处理政府监管所占时间”。</w:t>
            </w:r>
          </w:p>
        </w:tc>
        <w:tc>
          <w:tcPr>
            <w:tcW w:w="2126" w:type="dxa"/>
            <w:vAlign w:val="center"/>
          </w:tcPr>
          <w:p w14:paraId="33460877"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政务服务效率=网上办理率、一次办成率、时限压缩率、电子证照互认率标准化加权；企业监管时间成本为负向，取1</w:t>
            </w:r>
            <w:r w:rsidRPr="00910A67">
              <w:rPr>
                <w:rFonts w:ascii="Cambria Math" w:eastAsia="宋体" w:hAnsi="Cambria Math" w:cs="Cambria Math"/>
                <w:sz w:val="18"/>
                <w:szCs w:val="18"/>
              </w:rPr>
              <w:t>−</w:t>
            </w:r>
            <w:r w:rsidRPr="00910A67">
              <w:rPr>
                <w:rFonts w:ascii="宋体" w:eastAsia="宋体" w:hAnsi="宋体"/>
                <w:sz w:val="18"/>
                <w:szCs w:val="18"/>
              </w:rPr>
              <w:t>标准化值。</w:t>
            </w:r>
          </w:p>
        </w:tc>
      </w:tr>
      <w:tr w:rsidR="00910A67" w:rsidRPr="00910A67" w14:paraId="73D366A7" w14:textId="77777777" w:rsidTr="002E2822">
        <w:trPr>
          <w:jc w:val="center"/>
        </w:trPr>
        <w:tc>
          <w:tcPr>
            <w:tcW w:w="988" w:type="dxa"/>
            <w:vAlign w:val="center"/>
          </w:tcPr>
          <w:p w14:paraId="7246F15F" w14:textId="7E9CC102"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投资便利化指数</w:t>
            </w:r>
            <w:r w:rsidR="00F07C9E">
              <w:rPr>
                <w:rFonts w:ascii="宋体" w:eastAsia="宋体" w:hAnsi="宋体" w:hint="eastAsia"/>
                <w:sz w:val="18"/>
                <w:szCs w:val="18"/>
              </w:rPr>
              <w:t>（跨）</w:t>
            </w:r>
          </w:p>
        </w:tc>
        <w:tc>
          <w:tcPr>
            <w:tcW w:w="1701" w:type="dxa"/>
            <w:vAlign w:val="center"/>
          </w:tcPr>
          <w:p w14:paraId="26A6B64F"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外资管理从事前审批转向备案和准入后监管；</w:t>
            </w:r>
            <w:proofErr w:type="gramStart"/>
            <w:r w:rsidRPr="00910A67">
              <w:rPr>
                <w:rFonts w:ascii="宋体" w:eastAsia="宋体" w:hAnsi="宋体"/>
                <w:sz w:val="18"/>
                <w:szCs w:val="18"/>
              </w:rPr>
              <w:t>常娱和</w:t>
            </w:r>
            <w:proofErr w:type="gramEnd"/>
            <w:r w:rsidRPr="00910A67">
              <w:rPr>
                <w:rFonts w:ascii="宋体" w:eastAsia="宋体" w:hAnsi="宋体"/>
                <w:sz w:val="18"/>
                <w:szCs w:val="18"/>
              </w:rPr>
              <w:t>钱学锋（2022）；洪俊杰（2024）。</w:t>
            </w:r>
          </w:p>
        </w:tc>
        <w:tc>
          <w:tcPr>
            <w:tcW w:w="1937" w:type="dxa"/>
            <w:vAlign w:val="center"/>
          </w:tcPr>
          <w:p w14:paraId="64ACC4A5"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统计外商投资企业设立时间、材料数量、审批/备案环节数、项目核准事项、跨境资金汇兑便利、利润汇出便利、外籍人员工作许可便利等。</w:t>
            </w:r>
          </w:p>
        </w:tc>
        <w:tc>
          <w:tcPr>
            <w:tcW w:w="1559" w:type="dxa"/>
            <w:vAlign w:val="center"/>
          </w:tcPr>
          <w:p w14:paraId="5300E6E0"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衡量跨国投资进入、设立、运营和退出中的行政便利程度。</w:t>
            </w:r>
          </w:p>
        </w:tc>
        <w:tc>
          <w:tcPr>
            <w:tcW w:w="2410" w:type="dxa"/>
            <w:vAlign w:val="center"/>
          </w:tcPr>
          <w:p w14:paraId="64A5FFA8"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商务部外商投资信息报告系统；国家</w:t>
            </w:r>
            <w:proofErr w:type="gramStart"/>
            <w:r w:rsidRPr="00910A67">
              <w:rPr>
                <w:rFonts w:ascii="宋体" w:eastAsia="宋体" w:hAnsi="宋体"/>
                <w:sz w:val="18"/>
                <w:szCs w:val="18"/>
              </w:rPr>
              <w:t>发改委项目</w:t>
            </w:r>
            <w:proofErr w:type="gramEnd"/>
            <w:r w:rsidRPr="00910A67">
              <w:rPr>
                <w:rFonts w:ascii="宋体" w:eastAsia="宋体" w:hAnsi="宋体"/>
                <w:sz w:val="18"/>
                <w:szCs w:val="18"/>
              </w:rPr>
              <w:t>核准目录；外汇局跨境投融资便利化政策；地方政务服务平台；自贸区/</w:t>
            </w:r>
            <w:proofErr w:type="gramStart"/>
            <w:r w:rsidRPr="00910A67">
              <w:rPr>
                <w:rFonts w:ascii="宋体" w:eastAsia="宋体" w:hAnsi="宋体"/>
                <w:sz w:val="18"/>
                <w:szCs w:val="18"/>
              </w:rPr>
              <w:t>自贸港投资</w:t>
            </w:r>
            <w:proofErr w:type="gramEnd"/>
            <w:r w:rsidRPr="00910A67">
              <w:rPr>
                <w:rFonts w:ascii="宋体" w:eastAsia="宋体" w:hAnsi="宋体"/>
                <w:sz w:val="18"/>
                <w:szCs w:val="18"/>
              </w:rPr>
              <w:t>便利化政策。</w:t>
            </w:r>
          </w:p>
        </w:tc>
        <w:tc>
          <w:tcPr>
            <w:tcW w:w="2126" w:type="dxa"/>
            <w:vAlign w:val="center"/>
          </w:tcPr>
          <w:p w14:paraId="4F4DB988"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投资便利化=1</w:t>
            </w:r>
            <w:r w:rsidRPr="00910A67">
              <w:rPr>
                <w:rFonts w:ascii="Cambria Math" w:eastAsia="宋体" w:hAnsi="Cambria Math" w:cs="Cambria Math"/>
                <w:sz w:val="18"/>
                <w:szCs w:val="18"/>
              </w:rPr>
              <w:t>−</w:t>
            </w:r>
            <w:r w:rsidRPr="00910A67">
              <w:rPr>
                <w:rFonts w:ascii="宋体" w:eastAsia="宋体" w:hAnsi="宋体"/>
                <w:sz w:val="18"/>
                <w:szCs w:val="18"/>
              </w:rPr>
              <w:t>标准化（设立时间、材料数、环节数、审批事项数）；资金和人员</w:t>
            </w:r>
            <w:proofErr w:type="gramStart"/>
            <w:r w:rsidRPr="00910A67">
              <w:rPr>
                <w:rFonts w:ascii="宋体" w:eastAsia="宋体" w:hAnsi="宋体"/>
                <w:sz w:val="18"/>
                <w:szCs w:val="18"/>
              </w:rPr>
              <w:t>便利化按政策</w:t>
            </w:r>
            <w:proofErr w:type="gramEnd"/>
            <w:r w:rsidRPr="00910A67">
              <w:rPr>
                <w:rFonts w:ascii="宋体" w:eastAsia="宋体" w:hAnsi="宋体"/>
                <w:sz w:val="18"/>
                <w:szCs w:val="18"/>
              </w:rPr>
              <w:t>覆盖事项</w:t>
            </w:r>
            <w:proofErr w:type="gramStart"/>
            <w:r w:rsidRPr="00910A67">
              <w:rPr>
                <w:rFonts w:ascii="宋体" w:eastAsia="宋体" w:hAnsi="宋体"/>
                <w:sz w:val="18"/>
                <w:szCs w:val="18"/>
              </w:rPr>
              <w:t>赋分加权</w:t>
            </w:r>
            <w:proofErr w:type="gramEnd"/>
            <w:r w:rsidRPr="00910A67">
              <w:rPr>
                <w:rFonts w:ascii="宋体" w:eastAsia="宋体" w:hAnsi="宋体"/>
                <w:sz w:val="18"/>
                <w:szCs w:val="18"/>
              </w:rPr>
              <w:t>。</w:t>
            </w:r>
          </w:p>
        </w:tc>
      </w:tr>
      <w:tr w:rsidR="00910A67" w:rsidRPr="00910A67" w14:paraId="5961E34E" w14:textId="77777777" w:rsidTr="002E2822">
        <w:trPr>
          <w:jc w:val="center"/>
        </w:trPr>
        <w:tc>
          <w:tcPr>
            <w:tcW w:w="988" w:type="dxa"/>
            <w:vAlign w:val="center"/>
          </w:tcPr>
          <w:p w14:paraId="1016031E" w14:textId="269260C1"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事中事后监管能力指数</w:t>
            </w:r>
            <w:r w:rsidR="00D06560">
              <w:rPr>
                <w:rFonts w:ascii="宋体" w:eastAsia="宋体" w:hAnsi="宋体" w:hint="eastAsia"/>
                <w:sz w:val="18"/>
                <w:szCs w:val="18"/>
              </w:rPr>
              <w:t>（贸</w:t>
            </w:r>
            <w:r w:rsidR="00F07C9E">
              <w:rPr>
                <w:rFonts w:ascii="宋体" w:eastAsia="宋体" w:hAnsi="宋体" w:hint="eastAsia"/>
                <w:sz w:val="18"/>
                <w:szCs w:val="18"/>
              </w:rPr>
              <w:t>、跨）</w:t>
            </w:r>
          </w:p>
        </w:tc>
        <w:tc>
          <w:tcPr>
            <w:tcW w:w="1701" w:type="dxa"/>
            <w:vAlign w:val="center"/>
          </w:tcPr>
          <w:p w14:paraId="37823F7C"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林峰（2026）关于风险监管、信用监管、双随机</w:t>
            </w:r>
            <w:proofErr w:type="gramStart"/>
            <w:r w:rsidRPr="00910A67">
              <w:rPr>
                <w:rFonts w:ascii="宋体" w:eastAsia="宋体" w:hAnsi="宋体"/>
                <w:sz w:val="18"/>
                <w:szCs w:val="18"/>
              </w:rPr>
              <w:t>一</w:t>
            </w:r>
            <w:proofErr w:type="gramEnd"/>
            <w:r w:rsidRPr="00910A67">
              <w:rPr>
                <w:rFonts w:ascii="宋体" w:eastAsia="宋体" w:hAnsi="宋体"/>
                <w:sz w:val="18"/>
                <w:szCs w:val="18"/>
              </w:rPr>
              <w:t>公开；国务院自贸区高水平制度</w:t>
            </w:r>
            <w:proofErr w:type="gramStart"/>
            <w:r w:rsidRPr="00910A67">
              <w:rPr>
                <w:rFonts w:ascii="宋体" w:eastAsia="宋体" w:hAnsi="宋体"/>
                <w:sz w:val="18"/>
                <w:szCs w:val="18"/>
              </w:rPr>
              <w:t>型开放</w:t>
            </w:r>
            <w:proofErr w:type="gramEnd"/>
            <w:r w:rsidRPr="00910A67">
              <w:rPr>
                <w:rFonts w:ascii="宋体" w:eastAsia="宋体" w:hAnsi="宋体"/>
                <w:sz w:val="18"/>
                <w:szCs w:val="18"/>
              </w:rPr>
              <w:t>方案；市场监管总局。</w:t>
            </w:r>
          </w:p>
        </w:tc>
        <w:tc>
          <w:tcPr>
            <w:tcW w:w="1937" w:type="dxa"/>
            <w:vAlign w:val="center"/>
          </w:tcPr>
          <w:p w14:paraId="1ACA4A9F"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统计监管事项清单化、信用监管覆盖率、双随机抽查比例、联合监管次数、处罚信息公开率、风险分级分类监管覆盖率。</w:t>
            </w:r>
          </w:p>
        </w:tc>
        <w:tc>
          <w:tcPr>
            <w:tcW w:w="1559" w:type="dxa"/>
            <w:vAlign w:val="center"/>
          </w:tcPr>
          <w:p w14:paraId="5D9D6FAE"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衡量开放后政府是否具备有效、透明、风险导向的监管执行能力。</w:t>
            </w:r>
          </w:p>
        </w:tc>
        <w:tc>
          <w:tcPr>
            <w:tcW w:w="2410" w:type="dxa"/>
            <w:vAlign w:val="center"/>
          </w:tcPr>
          <w:p w14:paraId="7BD24FB5"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市场监管总局；信用中国；国家企业信用信息公示系统；地方“互联网+监管”平台；自贸区制度创新案例。</w:t>
            </w:r>
          </w:p>
        </w:tc>
        <w:tc>
          <w:tcPr>
            <w:tcW w:w="2126" w:type="dxa"/>
            <w:vAlign w:val="center"/>
          </w:tcPr>
          <w:p w14:paraId="4E48C95D" w14:textId="77777777" w:rsidR="00910A67" w:rsidRPr="00910A67" w:rsidRDefault="00910A67" w:rsidP="009A302C">
            <w:pPr>
              <w:rPr>
                <w:rFonts w:ascii="宋体" w:eastAsia="宋体" w:hAnsi="宋体" w:hint="eastAsia"/>
                <w:sz w:val="18"/>
                <w:szCs w:val="18"/>
              </w:rPr>
            </w:pPr>
            <w:r w:rsidRPr="00910A67">
              <w:rPr>
                <w:rFonts w:ascii="宋体" w:eastAsia="宋体" w:hAnsi="宋体"/>
                <w:sz w:val="18"/>
                <w:szCs w:val="18"/>
              </w:rPr>
              <w:t>事中事后监管能力=监管事项清单化比例、信用监管覆盖率、双随机抽查比例、处罚公开率、联合监管覆盖率标准化加权。</w:t>
            </w:r>
          </w:p>
        </w:tc>
      </w:tr>
    </w:tbl>
    <w:p w14:paraId="58650005" w14:textId="77777777" w:rsidR="00B54CC0" w:rsidRPr="006B271F" w:rsidRDefault="00B54CC0" w:rsidP="00545AE7">
      <w:pPr>
        <w:rPr>
          <w:rFonts w:ascii="宋体" w:eastAsia="宋体" w:hAnsi="宋体" w:hint="eastAsia"/>
          <w:sz w:val="24"/>
        </w:rPr>
      </w:pPr>
    </w:p>
    <w:p w14:paraId="3BDD9A36" w14:textId="18F2387B" w:rsidR="006B271F" w:rsidRDefault="00116F54" w:rsidP="00EB7AE8">
      <w:pPr>
        <w:pStyle w:val="a9"/>
        <w:numPr>
          <w:ilvl w:val="0"/>
          <w:numId w:val="3"/>
        </w:numPr>
        <w:rPr>
          <w:rFonts w:ascii="宋体" w:eastAsia="宋体" w:hAnsi="宋体" w:hint="eastAsia"/>
          <w:b/>
          <w:bCs/>
          <w:sz w:val="24"/>
        </w:rPr>
      </w:pPr>
      <w:r w:rsidRPr="00EB7AE8">
        <w:rPr>
          <w:rFonts w:ascii="宋体" w:eastAsia="宋体" w:hAnsi="宋体"/>
          <w:b/>
          <w:bCs/>
          <w:sz w:val="24"/>
        </w:rPr>
        <w:t>标准维度</w:t>
      </w:r>
      <w:r w:rsidRPr="00EB7AE8">
        <w:rPr>
          <w:rFonts w:ascii="宋体" w:eastAsia="宋体" w:hAnsi="宋体" w:hint="eastAsia"/>
          <w:b/>
          <w:bCs/>
          <w:sz w:val="24"/>
        </w:rPr>
        <w:t>：</w:t>
      </w:r>
    </w:p>
    <w:p w14:paraId="31D9AF40" w14:textId="517FEB4D" w:rsidR="004E6224" w:rsidRPr="004E6224" w:rsidRDefault="004E6224" w:rsidP="004E6224">
      <w:pPr>
        <w:rPr>
          <w:rFonts w:ascii="宋体" w:eastAsia="宋体" w:hAnsi="宋体" w:hint="eastAsia"/>
          <w:b/>
          <w:bCs/>
          <w:sz w:val="24"/>
        </w:rPr>
      </w:pPr>
      <w:r>
        <w:rPr>
          <w:rFonts w:ascii="宋体" w:eastAsia="宋体" w:hAnsi="宋体" w:hint="eastAsia"/>
          <w:b/>
          <w:bCs/>
          <w:sz w:val="24"/>
        </w:rPr>
        <w:t>相关定义：</w:t>
      </w:r>
    </w:p>
    <w:p w14:paraId="31DB1A6F" w14:textId="1484C519" w:rsidR="00EB7AE8" w:rsidRDefault="00EB7AE8" w:rsidP="009B15F1">
      <w:pPr>
        <w:pStyle w:val="ae"/>
        <w:adjustRightInd w:val="0"/>
        <w:snapToGrid w:val="0"/>
        <w:spacing w:before="0" w:beforeAutospacing="0" w:after="0" w:afterAutospacing="0" w:line="360" w:lineRule="auto"/>
        <w:ind w:firstLine="420"/>
        <w:jc w:val="both"/>
        <w:rPr>
          <w:rFonts w:hint="eastAsia"/>
        </w:rPr>
      </w:pPr>
      <w:r>
        <w:rPr>
          <w:rFonts w:hint="eastAsia"/>
          <w:b/>
          <w:bCs/>
        </w:rPr>
        <w:t>肖宇，社科院</w:t>
      </w:r>
      <w:hyperlink r:id="rId12" w:history="1">
        <w:r w:rsidRPr="003D0658">
          <w:rPr>
            <w:rStyle w:val="af7"/>
            <w:b/>
            <w:bCs/>
          </w:rPr>
          <w:t>https://mp.weixin.qq.com/s/b8kJGZl1dGPVw08j9Vcfxg</w:t>
        </w:r>
      </w:hyperlink>
      <w:r>
        <w:rPr>
          <w:rFonts w:hint="eastAsia"/>
          <w:b/>
          <w:bCs/>
        </w:rPr>
        <w:t>：</w:t>
      </w:r>
      <w:r w:rsidR="009B15F1" w:rsidRPr="009F3D05">
        <w:t>主要是指</w:t>
      </w:r>
      <w:r w:rsidR="009B15F1" w:rsidRPr="009F3D05">
        <w:rPr>
          <w:color w:val="0432FF"/>
        </w:rPr>
        <w:t>行业和产品标准的一致</w:t>
      </w:r>
      <w:r w:rsidR="009B15F1" w:rsidRPr="009F3D05">
        <w:t>。这是制度</w:t>
      </w:r>
      <w:proofErr w:type="gramStart"/>
      <w:r w:rsidR="009B15F1" w:rsidRPr="009F3D05">
        <w:t>型开放</w:t>
      </w:r>
      <w:proofErr w:type="gramEnd"/>
      <w:r w:rsidR="009B15F1" w:rsidRPr="009F3D05">
        <w:t>中最为微观和具体的层面，核心要求是通过国内外标准的对接，实现技术标准的“互联互通”。在跨国贸易中，不同国家的技术、质量、安全、卫生和环保等差异，是一国产品进入他国市场时的主要障碍之一。在技术参数、产品标准和质量要求统一后，国内企业生产的产品一经获得我国机构认证，无需重复认证即可直接进入对方市场。同理，国外企</w:t>
      </w:r>
      <w:r w:rsidR="009B15F1" w:rsidRPr="009F3D05">
        <w:lastRenderedPageBreak/>
        <w:t>业的产品在经本国机构认证后，进入我方市场也可以享受同等待遇。如此将大大降低企业成本，有利于生产要素和商品流动的便利化。</w:t>
      </w:r>
    </w:p>
    <w:p w14:paraId="606A1CC0" w14:textId="77777777" w:rsidR="00F6240B" w:rsidRDefault="00F6240B" w:rsidP="00F6240B">
      <w:pPr>
        <w:pStyle w:val="ae"/>
        <w:adjustRightInd w:val="0"/>
        <w:snapToGrid w:val="0"/>
        <w:spacing w:before="0" w:beforeAutospacing="0" w:after="0" w:afterAutospacing="0" w:line="360" w:lineRule="auto"/>
        <w:ind w:firstLine="420"/>
        <w:jc w:val="both"/>
        <w:rPr>
          <w:rFonts w:hint="eastAsia"/>
          <w:b/>
          <w:bCs/>
        </w:rPr>
      </w:pPr>
      <w:proofErr w:type="gramStart"/>
      <w:r w:rsidRPr="00526405">
        <w:rPr>
          <w:b/>
          <w:bCs/>
        </w:rPr>
        <w:t>常娱</w:t>
      </w:r>
      <w:r w:rsidRPr="00526405">
        <w:rPr>
          <w:rFonts w:hint="eastAsia"/>
          <w:b/>
          <w:bCs/>
        </w:rPr>
        <w:t>和</w:t>
      </w:r>
      <w:proofErr w:type="gramEnd"/>
      <w:r w:rsidRPr="00526405">
        <w:rPr>
          <w:rFonts w:hint="eastAsia"/>
          <w:b/>
          <w:bCs/>
        </w:rPr>
        <w:t>钱学锋</w:t>
      </w:r>
      <w:r>
        <w:rPr>
          <w:rFonts w:hint="eastAsia"/>
          <w:b/>
          <w:bCs/>
        </w:rPr>
        <w:t>，2022，《</w:t>
      </w:r>
      <w:r w:rsidRPr="00526405">
        <w:rPr>
          <w:b/>
          <w:bCs/>
        </w:rPr>
        <w:t>制度型开放的内涵、现状与路径</w:t>
      </w:r>
      <w:r>
        <w:rPr>
          <w:rFonts w:hint="eastAsia"/>
          <w:b/>
          <w:bCs/>
        </w:rPr>
        <w:t>》，世界经济研究：见文献最后启示部分</w:t>
      </w:r>
    </w:p>
    <w:p w14:paraId="3BAD3ABB" w14:textId="572720B6" w:rsidR="00FF6009" w:rsidRPr="00F6240B" w:rsidRDefault="00F6240B" w:rsidP="00F6240B">
      <w:pPr>
        <w:pStyle w:val="ae"/>
        <w:adjustRightInd w:val="0"/>
        <w:snapToGrid w:val="0"/>
        <w:spacing w:before="0" w:beforeAutospacing="0" w:after="0" w:afterAutospacing="0" w:line="360" w:lineRule="auto"/>
        <w:ind w:firstLine="420"/>
        <w:jc w:val="both"/>
        <w:rPr>
          <w:rFonts w:hint="eastAsia"/>
          <w:b/>
          <w:bCs/>
        </w:rPr>
      </w:pPr>
      <w:r w:rsidRPr="00FF4093">
        <w:rPr>
          <w:b/>
          <w:bCs/>
        </w:rPr>
        <w:t>洪俊杰</w:t>
      </w:r>
      <w:r>
        <w:rPr>
          <w:rFonts w:hint="eastAsia"/>
          <w:b/>
          <w:bCs/>
        </w:rPr>
        <w:t>，2024，《</w:t>
      </w:r>
      <w:r w:rsidRPr="00FF4093">
        <w:rPr>
          <w:b/>
          <w:bCs/>
        </w:rPr>
        <w:t>我国推进制度型开放面临的形势、挑战与应对</w:t>
      </w:r>
      <w:r>
        <w:rPr>
          <w:rFonts w:hint="eastAsia"/>
          <w:b/>
          <w:bCs/>
        </w:rPr>
        <w:t>》，</w:t>
      </w:r>
      <w:r w:rsidRPr="00FF4093">
        <w:rPr>
          <w:b/>
          <w:bCs/>
        </w:rPr>
        <w:t>人民论坛·学术前沿</w:t>
      </w:r>
      <w:r>
        <w:rPr>
          <w:rFonts w:hint="eastAsia"/>
          <w:b/>
          <w:bCs/>
        </w:rPr>
        <w:t>：（见文献最后做法部分）</w:t>
      </w:r>
    </w:p>
    <w:p w14:paraId="59A1381B" w14:textId="2570E507" w:rsidR="00EB7AE8" w:rsidRPr="00CF6CDA" w:rsidRDefault="00CF6CDA" w:rsidP="00CF6CDA">
      <w:pPr>
        <w:ind w:firstLine="420"/>
        <w:rPr>
          <w:rFonts w:ascii="宋体" w:eastAsia="宋体" w:hAnsi="宋体" w:hint="eastAsia"/>
          <w:sz w:val="24"/>
        </w:rPr>
      </w:pPr>
      <w:r w:rsidRPr="000D43EB">
        <w:rPr>
          <w:rFonts w:ascii="宋体" w:eastAsia="宋体" w:hAnsi="宋体"/>
          <w:b/>
          <w:bCs/>
          <w:sz w:val="24"/>
        </w:rPr>
        <w:t>钱学锋，2024，《以制度型开放引领实施自由贸易试验区提升战略》，人民论坛·学术前沿：</w:t>
      </w:r>
      <w:r w:rsidRPr="00CF6CDA">
        <w:rPr>
          <w:rFonts w:ascii="宋体" w:eastAsia="宋体" w:hAnsi="宋体"/>
          <w:sz w:val="24"/>
        </w:rPr>
        <w:t>即积极对接国际标准,重视在国际标准制定过程中的话语权。标准在一定程度上具象为微观市场主体在既有规则、规制、管理等条件下,从事产品或服务生产所必须遵循的技术要求、质量指标或操作规范。标准作为重要的国家基础性制度,是支撑经济活动和社会发展的重要技术力量。稳步扩大制度</w:t>
      </w:r>
      <w:proofErr w:type="gramStart"/>
      <w:r w:rsidRPr="00CF6CDA">
        <w:rPr>
          <w:rFonts w:ascii="宋体" w:eastAsia="宋体" w:hAnsi="宋体"/>
          <w:sz w:val="24"/>
        </w:rPr>
        <w:t>型开放</w:t>
      </w:r>
      <w:proofErr w:type="gramEnd"/>
      <w:r w:rsidRPr="00CF6CDA">
        <w:rPr>
          <w:rFonts w:ascii="宋体" w:eastAsia="宋体" w:hAnsi="宋体"/>
          <w:sz w:val="24"/>
        </w:rPr>
        <w:t>,</w:t>
      </w:r>
      <w:r w:rsidRPr="006B63A4">
        <w:rPr>
          <w:rFonts w:ascii="宋体" w:eastAsia="宋体" w:hAnsi="宋体"/>
          <w:color w:val="0033CC"/>
          <w:sz w:val="24"/>
        </w:rPr>
        <w:t>一方面,要积极采用国际标准和国外先进标准</w:t>
      </w:r>
      <w:r w:rsidRPr="00CF6CDA">
        <w:rPr>
          <w:rFonts w:ascii="宋体" w:eastAsia="宋体" w:hAnsi="宋体"/>
          <w:sz w:val="24"/>
        </w:rPr>
        <w:t>,实现主动嵌入式标准开放;另一方面,</w:t>
      </w:r>
      <w:r w:rsidRPr="006B63A4">
        <w:rPr>
          <w:rFonts w:ascii="宋体" w:eastAsia="宋体" w:hAnsi="宋体"/>
          <w:color w:val="0033CC"/>
          <w:sz w:val="24"/>
        </w:rPr>
        <w:t>要主动参与国际标准化活动,实现外部参与</w:t>
      </w:r>
      <w:proofErr w:type="gramStart"/>
      <w:r w:rsidRPr="006B63A4">
        <w:rPr>
          <w:rFonts w:ascii="宋体" w:eastAsia="宋体" w:hAnsi="宋体"/>
          <w:color w:val="0033CC"/>
          <w:sz w:val="24"/>
        </w:rPr>
        <w:t>式标准</w:t>
      </w:r>
      <w:proofErr w:type="gramEnd"/>
      <w:r w:rsidRPr="006B63A4">
        <w:rPr>
          <w:rFonts w:ascii="宋体" w:eastAsia="宋体" w:hAnsi="宋体"/>
          <w:color w:val="0033CC"/>
          <w:sz w:val="24"/>
        </w:rPr>
        <w:t>开放。</w:t>
      </w:r>
    </w:p>
    <w:p w14:paraId="32B9B630" w14:textId="15A28313" w:rsidR="00CF6CDA" w:rsidRPr="00913A04" w:rsidRDefault="00913A04" w:rsidP="00913A04">
      <w:pPr>
        <w:ind w:firstLine="420"/>
        <w:rPr>
          <w:rFonts w:ascii="宋体" w:eastAsia="宋体" w:hAnsi="宋体" w:hint="eastAsia"/>
          <w:sz w:val="24"/>
        </w:rPr>
      </w:pPr>
      <w:r w:rsidRPr="00913A04">
        <w:rPr>
          <w:rFonts w:ascii="宋体" w:eastAsia="宋体" w:hAnsi="宋体"/>
          <w:sz w:val="24"/>
        </w:rPr>
        <w:t>标准方面。各自由贸易试验区在</w:t>
      </w:r>
      <w:r w:rsidRPr="00913A04">
        <w:rPr>
          <w:rFonts w:ascii="宋体" w:eastAsia="宋体" w:hAnsi="宋体"/>
          <w:color w:val="0033CC"/>
          <w:sz w:val="24"/>
        </w:rPr>
        <w:t>推动国内外标准高水平衔接</w:t>
      </w:r>
      <w:r w:rsidRPr="00913A04">
        <w:rPr>
          <w:rFonts w:ascii="宋体" w:eastAsia="宋体" w:hAnsi="宋体"/>
          <w:sz w:val="24"/>
        </w:rPr>
        <w:t>的同时,还积极</w:t>
      </w:r>
      <w:r w:rsidRPr="00913A04">
        <w:rPr>
          <w:rFonts w:ascii="宋体" w:eastAsia="宋体" w:hAnsi="宋体"/>
          <w:color w:val="0033CC"/>
          <w:sz w:val="24"/>
        </w:rPr>
        <w:t>主导或参与国际标准建立</w:t>
      </w:r>
      <w:r w:rsidRPr="00913A04">
        <w:rPr>
          <w:rFonts w:ascii="宋体" w:eastAsia="宋体" w:hAnsi="宋体"/>
          <w:sz w:val="24"/>
        </w:rPr>
        <w:t>。</w:t>
      </w:r>
    </w:p>
    <w:p w14:paraId="22C03B85" w14:textId="585D943B" w:rsidR="00CF6CDA" w:rsidRDefault="0017556C" w:rsidP="0017556C">
      <w:pPr>
        <w:ind w:firstLine="420"/>
        <w:rPr>
          <w:rFonts w:ascii="宋体" w:eastAsia="宋体" w:hAnsi="宋体" w:hint="eastAsia"/>
          <w:sz w:val="24"/>
        </w:rPr>
      </w:pPr>
      <w:r w:rsidRPr="00F64CE3">
        <w:rPr>
          <w:rFonts w:ascii="宋体" w:eastAsia="宋体" w:hAnsi="宋体"/>
          <w:b/>
          <w:bCs/>
          <w:sz w:val="24"/>
        </w:rPr>
        <w:t>林峰</w:t>
      </w:r>
      <w:r>
        <w:rPr>
          <w:rFonts w:ascii="宋体" w:eastAsia="宋体" w:hAnsi="宋体" w:hint="eastAsia"/>
          <w:b/>
          <w:bCs/>
          <w:sz w:val="24"/>
        </w:rPr>
        <w:t>，2026，《</w:t>
      </w:r>
      <w:r w:rsidRPr="00F64CE3">
        <w:rPr>
          <w:rFonts w:ascii="宋体" w:eastAsia="宋体" w:hAnsi="宋体"/>
          <w:b/>
          <w:bCs/>
          <w:sz w:val="24"/>
        </w:rPr>
        <w:t>稳步扩大制度型开放的理论逻辑、现实挑战与实践方略</w:t>
      </w:r>
      <w:r>
        <w:rPr>
          <w:rFonts w:ascii="宋体" w:eastAsia="宋体" w:hAnsi="宋体" w:hint="eastAsia"/>
          <w:b/>
          <w:bCs/>
          <w:sz w:val="24"/>
        </w:rPr>
        <w:t>》，财贸研究：</w:t>
      </w:r>
      <w:r w:rsidRPr="0017556C">
        <w:rPr>
          <w:rFonts w:ascii="宋体" w:eastAsia="宋体" w:hAnsi="宋体"/>
          <w:sz w:val="24"/>
        </w:rPr>
        <w:t>以推进标准国际化为突破口,提升企业对高标准经贸规则的响应能力。当前,企业对国际高标准规则的理解和</w:t>
      </w:r>
      <w:proofErr w:type="gramStart"/>
      <w:r w:rsidRPr="0017556C">
        <w:rPr>
          <w:rFonts w:ascii="宋体" w:eastAsia="宋体" w:hAnsi="宋体"/>
          <w:sz w:val="24"/>
        </w:rPr>
        <w:t>参与仍</w:t>
      </w:r>
      <w:proofErr w:type="gramEnd"/>
      <w:r w:rsidRPr="0017556C">
        <w:rPr>
          <w:rFonts w:ascii="宋体" w:eastAsia="宋体" w:hAnsi="宋体"/>
          <w:sz w:val="24"/>
        </w:rPr>
        <w:t>显不足,这在一定程度上削弱了制度</w:t>
      </w:r>
      <w:proofErr w:type="gramStart"/>
      <w:r w:rsidRPr="0017556C">
        <w:rPr>
          <w:rFonts w:ascii="宋体" w:eastAsia="宋体" w:hAnsi="宋体"/>
          <w:sz w:val="24"/>
        </w:rPr>
        <w:t>型开放</w:t>
      </w:r>
      <w:proofErr w:type="gramEnd"/>
      <w:r w:rsidRPr="0017556C">
        <w:rPr>
          <w:rFonts w:ascii="宋体" w:eastAsia="宋体" w:hAnsi="宋体"/>
          <w:sz w:val="24"/>
        </w:rPr>
        <w:t>红利向市场主体的传导效果。在此背景下,一方面,应</w:t>
      </w:r>
      <w:r w:rsidRPr="0017556C">
        <w:rPr>
          <w:rFonts w:ascii="宋体" w:eastAsia="宋体" w:hAnsi="宋体"/>
          <w:color w:val="0000FF"/>
          <w:sz w:val="24"/>
        </w:rPr>
        <w:t>鼓励企业主动对接国际高标准规则、参与国际认证体系</w:t>
      </w:r>
      <w:r w:rsidRPr="0017556C">
        <w:rPr>
          <w:rFonts w:ascii="宋体" w:eastAsia="宋体" w:hAnsi="宋体"/>
          <w:sz w:val="24"/>
        </w:rPr>
        <w:t>,从而降低进人国际市场的制度门槛,提升产品和服务在高端市场的可接受度;另一方面,应</w:t>
      </w:r>
      <w:r w:rsidRPr="0017556C">
        <w:rPr>
          <w:rFonts w:ascii="宋体" w:eastAsia="宋体" w:hAnsi="宋体"/>
          <w:color w:val="0000FF"/>
          <w:sz w:val="24"/>
        </w:rPr>
        <w:t>支持具备技术和产业优势的企业和行业组织参与国际标准制定</w:t>
      </w:r>
      <w:r w:rsidRPr="0017556C">
        <w:rPr>
          <w:rFonts w:ascii="宋体" w:eastAsia="宋体" w:hAnsi="宋体"/>
          <w:sz w:val="24"/>
        </w:rPr>
        <w:t>,将技术优势转化为国际规则制定中的话语权,在关键领域提升中国方案的世界影响力。</w:t>
      </w:r>
    </w:p>
    <w:p w14:paraId="0AA820E5" w14:textId="6EE2460B" w:rsidR="00FC5CF7" w:rsidRPr="00FC5CF7" w:rsidRDefault="00FC5CF7" w:rsidP="00FC5CF7">
      <w:pPr>
        <w:rPr>
          <w:rFonts w:ascii="宋体" w:eastAsia="宋体" w:hAnsi="宋体" w:hint="eastAsia"/>
          <w:b/>
          <w:bCs/>
          <w:sz w:val="24"/>
        </w:rPr>
      </w:pPr>
      <w:r w:rsidRPr="00FC5CF7">
        <w:rPr>
          <w:rFonts w:ascii="宋体" w:eastAsia="宋体" w:hAnsi="宋体" w:hint="eastAsia"/>
          <w:b/>
          <w:bCs/>
          <w:sz w:val="24"/>
        </w:rPr>
        <w:t>相关量化</w:t>
      </w:r>
    </w:p>
    <w:p w14:paraId="093D9857" w14:textId="0279C246" w:rsidR="00CF6CDA" w:rsidRPr="0024426E" w:rsidRDefault="00E02F6D" w:rsidP="00E02F6D">
      <w:pPr>
        <w:ind w:firstLine="420"/>
        <w:rPr>
          <w:rFonts w:ascii="宋体" w:eastAsia="宋体" w:hAnsi="宋体" w:hint="eastAsia"/>
          <w:sz w:val="24"/>
        </w:rPr>
      </w:pPr>
      <w:r w:rsidRPr="00E02F6D">
        <w:rPr>
          <w:rFonts w:ascii="宋体" w:eastAsia="宋体" w:hAnsi="宋体"/>
          <w:b/>
          <w:bCs/>
          <w:sz w:val="24"/>
        </w:rPr>
        <w:t>姜彩楼</w:t>
      </w:r>
      <w:r>
        <w:rPr>
          <w:rFonts w:ascii="宋体" w:eastAsia="宋体" w:hAnsi="宋体" w:hint="eastAsia"/>
          <w:b/>
          <w:bCs/>
          <w:sz w:val="24"/>
        </w:rPr>
        <w:t>，</w:t>
      </w:r>
      <w:proofErr w:type="gramStart"/>
      <w:r w:rsidRPr="00E02F6D">
        <w:rPr>
          <w:rFonts w:ascii="宋体" w:eastAsia="宋体" w:hAnsi="宋体"/>
          <w:b/>
          <w:bCs/>
          <w:sz w:val="24"/>
        </w:rPr>
        <w:t>寇宴铭</w:t>
      </w:r>
      <w:proofErr w:type="gramEnd"/>
      <w:r>
        <w:rPr>
          <w:rFonts w:ascii="宋体" w:eastAsia="宋体" w:hAnsi="宋体" w:hint="eastAsia"/>
          <w:b/>
          <w:bCs/>
          <w:sz w:val="24"/>
        </w:rPr>
        <w:t>和</w:t>
      </w:r>
      <w:r w:rsidRPr="00E02F6D">
        <w:rPr>
          <w:rFonts w:ascii="宋体" w:eastAsia="宋体" w:hAnsi="宋体"/>
          <w:b/>
          <w:bCs/>
          <w:sz w:val="24"/>
        </w:rPr>
        <w:t>钟明隆</w:t>
      </w:r>
      <w:r>
        <w:rPr>
          <w:rFonts w:ascii="宋体" w:eastAsia="宋体" w:hAnsi="宋体" w:hint="eastAsia"/>
          <w:b/>
          <w:bCs/>
          <w:sz w:val="24"/>
        </w:rPr>
        <w:t>，2026，《</w:t>
      </w:r>
      <w:r w:rsidRPr="00E02F6D">
        <w:rPr>
          <w:rFonts w:ascii="宋体" w:eastAsia="宋体" w:hAnsi="宋体"/>
          <w:b/>
          <w:bCs/>
          <w:sz w:val="24"/>
        </w:rPr>
        <w:t>借船出海：标准制度型开放的供应链传导效应</w:t>
      </w:r>
      <w:r>
        <w:rPr>
          <w:rFonts w:ascii="宋体" w:eastAsia="宋体" w:hAnsi="宋体" w:hint="eastAsia"/>
          <w:b/>
          <w:bCs/>
          <w:sz w:val="24"/>
        </w:rPr>
        <w:t>》，国际贸易问题</w:t>
      </w:r>
      <w:r w:rsidR="0024426E">
        <w:rPr>
          <w:rFonts w:ascii="宋体" w:eastAsia="宋体" w:hAnsi="宋体" w:hint="eastAsia"/>
          <w:b/>
          <w:bCs/>
          <w:sz w:val="24"/>
        </w:rPr>
        <w:t>：</w:t>
      </w:r>
      <w:r w:rsidR="0024426E" w:rsidRPr="0024426E">
        <w:rPr>
          <w:rFonts w:ascii="宋体" w:eastAsia="宋体" w:hAnsi="宋体"/>
          <w:sz w:val="24"/>
        </w:rPr>
        <w:t>姜彩楼等（2026）并非测度一般意义上的制度型开放，而是聚焦“标准制度型开放”，并以企业层面的“标准国际化”作为核心量化指标。该文认为，标准制度</w:t>
      </w:r>
      <w:proofErr w:type="gramStart"/>
      <w:r w:rsidR="0024426E" w:rsidRPr="0024426E">
        <w:rPr>
          <w:rFonts w:ascii="宋体" w:eastAsia="宋体" w:hAnsi="宋体"/>
          <w:sz w:val="24"/>
        </w:rPr>
        <w:t>型开放</w:t>
      </w:r>
      <w:proofErr w:type="gramEnd"/>
      <w:r w:rsidR="0024426E" w:rsidRPr="0024426E">
        <w:rPr>
          <w:rFonts w:ascii="宋体" w:eastAsia="宋体" w:hAnsi="宋体"/>
          <w:sz w:val="24"/>
        </w:rPr>
        <w:t>的基础内容在于加强国内标准对国际标准的对标和采用，提高国内标准的国际化水平，因此重点从“采用国际标准”的角度测度企业标准国际化。具体做法是：</w:t>
      </w:r>
      <w:r w:rsidR="0024426E" w:rsidRPr="0024426E">
        <w:rPr>
          <w:rFonts w:ascii="宋体" w:eastAsia="宋体" w:hAnsi="宋体"/>
          <w:color w:val="0000FF"/>
          <w:sz w:val="24"/>
        </w:rPr>
        <w:t>从全国标准信息公共服务平台获取企业参与研制的国家标准信息，识别其中是否采用了国际标准；然后以企业当年参与研制的“采用了国际标准的国家标准数量”占其“参与研制国家标准总数”的比重，衡量企业标准国际化水平</w:t>
      </w:r>
      <w:r w:rsidR="0024426E">
        <w:rPr>
          <w:rFonts w:ascii="宋体" w:eastAsia="宋体" w:hAnsi="宋体" w:hint="eastAsia"/>
          <w:sz w:val="24"/>
        </w:rPr>
        <w:t>。</w:t>
      </w:r>
      <w:r w:rsidR="0024426E" w:rsidRPr="0024426E">
        <w:rPr>
          <w:rFonts w:ascii="宋体" w:eastAsia="宋体" w:hAnsi="宋体"/>
          <w:color w:val="0000FF"/>
          <w:sz w:val="24"/>
        </w:rPr>
        <w:t>该比值越高，说明企业在标准制定过程中越多地对接国际标准，标准国际化程度越高，也即标准制度</w:t>
      </w:r>
      <w:proofErr w:type="gramStart"/>
      <w:r w:rsidR="0024426E" w:rsidRPr="0024426E">
        <w:rPr>
          <w:rFonts w:ascii="宋体" w:eastAsia="宋体" w:hAnsi="宋体"/>
          <w:color w:val="0000FF"/>
          <w:sz w:val="24"/>
        </w:rPr>
        <w:t>型开放</w:t>
      </w:r>
      <w:proofErr w:type="gramEnd"/>
      <w:r w:rsidR="0024426E" w:rsidRPr="0024426E">
        <w:rPr>
          <w:rFonts w:ascii="宋体" w:eastAsia="宋体" w:hAnsi="宋体"/>
          <w:color w:val="0000FF"/>
          <w:sz w:val="24"/>
        </w:rPr>
        <w:t>水平越高。</w:t>
      </w:r>
      <w:r w:rsidR="0024426E" w:rsidRPr="0024426E">
        <w:rPr>
          <w:rFonts w:ascii="宋体" w:eastAsia="宋体" w:hAnsi="宋体"/>
          <w:sz w:val="24"/>
        </w:rPr>
        <w:t>在实证设计中，文章进一步将客户企业标准国际化水平滞后一期，考察其</w:t>
      </w:r>
      <w:r w:rsidR="0024426E" w:rsidRPr="0024426E">
        <w:rPr>
          <w:rFonts w:ascii="宋体" w:eastAsia="宋体" w:hAnsi="宋体"/>
          <w:sz w:val="24"/>
        </w:rPr>
        <w:lastRenderedPageBreak/>
        <w:t>对上游供应商企业出口的影响，以识别标准制度</w:t>
      </w:r>
      <w:proofErr w:type="gramStart"/>
      <w:r w:rsidR="0024426E" w:rsidRPr="0024426E">
        <w:rPr>
          <w:rFonts w:ascii="宋体" w:eastAsia="宋体" w:hAnsi="宋体"/>
          <w:sz w:val="24"/>
        </w:rPr>
        <w:t>型开放沿供应链产生</w:t>
      </w:r>
      <w:proofErr w:type="gramEnd"/>
      <w:r w:rsidR="0024426E" w:rsidRPr="0024426E">
        <w:rPr>
          <w:rFonts w:ascii="宋体" w:eastAsia="宋体" w:hAnsi="宋体"/>
          <w:sz w:val="24"/>
        </w:rPr>
        <w:t>的后向溢出效应。</w:t>
      </w:r>
    </w:p>
    <w:p w14:paraId="3AA9AF88" w14:textId="1D2A133D" w:rsidR="0017556C" w:rsidRPr="004E6224" w:rsidRDefault="000C0EDC" w:rsidP="00340DC0">
      <w:pPr>
        <w:ind w:firstLine="420"/>
        <w:rPr>
          <w:rFonts w:ascii="宋体" w:eastAsia="宋体" w:hAnsi="宋体" w:hint="eastAsia"/>
          <w:b/>
          <w:bCs/>
          <w:sz w:val="24"/>
        </w:rPr>
      </w:pPr>
      <w:r w:rsidRPr="000C0EDC">
        <w:rPr>
          <w:rFonts w:ascii="宋体" w:eastAsia="宋体" w:hAnsi="宋体"/>
          <w:b/>
          <w:bCs/>
          <w:sz w:val="24"/>
        </w:rPr>
        <w:t>杨志</w:t>
      </w:r>
      <w:proofErr w:type="gramStart"/>
      <w:r w:rsidRPr="000C0EDC">
        <w:rPr>
          <w:rFonts w:ascii="宋体" w:eastAsia="宋体" w:hAnsi="宋体"/>
          <w:b/>
          <w:bCs/>
          <w:sz w:val="24"/>
        </w:rPr>
        <w:t>浩</w:t>
      </w:r>
      <w:proofErr w:type="gramEnd"/>
      <w:r>
        <w:rPr>
          <w:rFonts w:ascii="宋体" w:eastAsia="宋体" w:hAnsi="宋体" w:hint="eastAsia"/>
          <w:b/>
          <w:bCs/>
          <w:sz w:val="24"/>
        </w:rPr>
        <w:t>，</w:t>
      </w:r>
      <w:r w:rsidRPr="000C0EDC">
        <w:rPr>
          <w:rFonts w:ascii="宋体" w:eastAsia="宋体" w:hAnsi="宋体"/>
          <w:b/>
          <w:bCs/>
          <w:sz w:val="24"/>
        </w:rPr>
        <w:t>史丹</w:t>
      </w:r>
      <w:r>
        <w:rPr>
          <w:rFonts w:ascii="宋体" w:eastAsia="宋体" w:hAnsi="宋体" w:hint="eastAsia"/>
          <w:b/>
          <w:bCs/>
          <w:sz w:val="24"/>
        </w:rPr>
        <w:t>，2026，《</w:t>
      </w:r>
      <w:r w:rsidRPr="000C0EDC">
        <w:rPr>
          <w:rFonts w:ascii="宋体" w:eastAsia="宋体" w:hAnsi="宋体"/>
          <w:b/>
          <w:bCs/>
          <w:sz w:val="24"/>
        </w:rPr>
        <w:t>标准领域制度型开放的环境效应———基于中外标准协调视角</w:t>
      </w:r>
      <w:r>
        <w:rPr>
          <w:rFonts w:ascii="宋体" w:eastAsia="宋体" w:hAnsi="宋体" w:hint="eastAsia"/>
          <w:b/>
          <w:bCs/>
          <w:sz w:val="24"/>
        </w:rPr>
        <w:t>》，国际贸易问题：</w:t>
      </w:r>
      <w:r w:rsidRPr="000C0EDC">
        <w:rPr>
          <w:rFonts w:ascii="宋体" w:eastAsia="宋体" w:hAnsi="宋体"/>
          <w:sz w:val="24"/>
        </w:rPr>
        <w:t>从“中外标准协调”视角量化标准领域制度型开放，认为国内标准与国际标准相统一是标准制度</w:t>
      </w:r>
      <w:proofErr w:type="gramStart"/>
      <w:r w:rsidRPr="000C0EDC">
        <w:rPr>
          <w:rFonts w:ascii="宋体" w:eastAsia="宋体" w:hAnsi="宋体"/>
          <w:sz w:val="24"/>
        </w:rPr>
        <w:t>型开放</w:t>
      </w:r>
      <w:proofErr w:type="gramEnd"/>
      <w:r w:rsidRPr="000C0EDC">
        <w:rPr>
          <w:rFonts w:ascii="宋体" w:eastAsia="宋体" w:hAnsi="宋体"/>
          <w:sz w:val="24"/>
        </w:rPr>
        <w:t>的重要形式，而国家标准采用国际标准是实现中外标准协调的主要方式。具体测度上，文章首先利用全国标准信息公共服务平台获取国家标准的分类号、发布时间、实施时间、废止时间及采标情况，并将“标准发布日至废止日”界定为标准有效期；其次，在每一年、每一国际标准分类号（ICS）下，计算</w:t>
      </w:r>
      <w:r w:rsidRPr="000C0EDC">
        <w:rPr>
          <w:rFonts w:ascii="宋体" w:eastAsia="宋体" w:hAnsi="宋体"/>
          <w:color w:val="0000FF"/>
          <w:sz w:val="24"/>
        </w:rPr>
        <w:t>处于有效期且采用国际标准的国家标准数量占该分类下全部有效国家标准数量的比重</w:t>
      </w:r>
      <w:r w:rsidRPr="000C0EDC">
        <w:rPr>
          <w:rFonts w:ascii="宋体" w:eastAsia="宋体" w:hAnsi="宋体"/>
          <w:sz w:val="24"/>
        </w:rPr>
        <w:t>，以此得到ICS层面的中外标准协调度；再次，借助WTO提供的ICS—HS商品编码对照表、联合国HS—ISIC行业分类对照表以及国家统计局GB—ISIC行业对照表，</w:t>
      </w:r>
      <w:r w:rsidRPr="000C0EDC">
        <w:rPr>
          <w:rFonts w:ascii="宋体" w:eastAsia="宋体" w:hAnsi="宋体"/>
          <w:color w:val="0000FF"/>
          <w:sz w:val="24"/>
        </w:rPr>
        <w:t>将ICS标准分类逐步映射到我国国民经济行业分类（GB）层面，最终得到行业—年份层面的中外标准协调度。</w:t>
      </w:r>
      <w:r w:rsidRPr="000C0EDC">
        <w:rPr>
          <w:rFonts w:ascii="宋体" w:eastAsia="宋体" w:hAnsi="宋体"/>
          <w:sz w:val="24"/>
        </w:rPr>
        <w:t>该指标数值越高，表示该行业中国家标准与国际标准的一致性越强，标准领域制度</w:t>
      </w:r>
      <w:proofErr w:type="gramStart"/>
      <w:r w:rsidRPr="000C0EDC">
        <w:rPr>
          <w:rFonts w:ascii="宋体" w:eastAsia="宋体" w:hAnsi="宋体"/>
          <w:sz w:val="24"/>
        </w:rPr>
        <w:t>型开放</w:t>
      </w:r>
      <w:proofErr w:type="gramEnd"/>
      <w:r w:rsidRPr="000C0EDC">
        <w:rPr>
          <w:rFonts w:ascii="宋体" w:eastAsia="宋体" w:hAnsi="宋体"/>
          <w:sz w:val="24"/>
        </w:rPr>
        <w:t>水平越高。</w:t>
      </w:r>
    </w:p>
    <w:p w14:paraId="4DCADCFE" w14:textId="2A31BB5D" w:rsidR="00677BF4" w:rsidRPr="00677BF4" w:rsidRDefault="00677BF4" w:rsidP="006D04A6">
      <w:pPr>
        <w:ind w:firstLine="420"/>
        <w:rPr>
          <w:rFonts w:ascii="宋体" w:eastAsia="宋体" w:hAnsi="宋体" w:hint="eastAsia"/>
          <w:b/>
          <w:bCs/>
          <w:sz w:val="24"/>
        </w:rPr>
      </w:pPr>
      <w:r w:rsidRPr="00677BF4">
        <w:rPr>
          <w:rFonts w:ascii="宋体" w:eastAsia="宋体" w:hAnsi="宋体"/>
          <w:b/>
          <w:bCs/>
          <w:sz w:val="24"/>
        </w:rPr>
        <w:t>1.《国家标准化发展纲要》：支撑“标准制度型开放”的总依据</w:t>
      </w:r>
    </w:p>
    <w:p w14:paraId="7A8CCA92" w14:textId="77777777" w:rsidR="00677BF4" w:rsidRPr="00677BF4" w:rsidRDefault="00677BF4" w:rsidP="00B212FF">
      <w:pPr>
        <w:ind w:firstLine="420"/>
        <w:rPr>
          <w:rFonts w:ascii="宋体" w:eastAsia="宋体" w:hAnsi="宋体" w:hint="eastAsia"/>
          <w:sz w:val="24"/>
        </w:rPr>
      </w:pPr>
      <w:r w:rsidRPr="00677BF4">
        <w:rPr>
          <w:rFonts w:ascii="宋体" w:eastAsia="宋体" w:hAnsi="宋体"/>
          <w:sz w:val="24"/>
        </w:rPr>
        <w:t>《国家标准化发展纲要》是标准维度</w:t>
      </w:r>
      <w:proofErr w:type="gramStart"/>
      <w:r w:rsidRPr="00677BF4">
        <w:rPr>
          <w:rFonts w:ascii="宋体" w:eastAsia="宋体" w:hAnsi="宋体"/>
          <w:sz w:val="24"/>
        </w:rPr>
        <w:t>最</w:t>
      </w:r>
      <w:proofErr w:type="gramEnd"/>
      <w:r w:rsidRPr="00677BF4">
        <w:rPr>
          <w:rFonts w:ascii="宋体" w:eastAsia="宋体" w:hAnsi="宋体"/>
          <w:sz w:val="24"/>
        </w:rPr>
        <w:t>核心的官方依据。该文件明确提出：持续开展重点领域标准比对分析，积极采用国际标准，大力推进中外标准互认，提高我国标准与国际标准的一致性程度；同时提出积极参与国际标准化活动，推动气候变化、绿色金融、数字领域等国际标准制定。</w:t>
      </w:r>
    </w:p>
    <w:p w14:paraId="06443C21" w14:textId="77777777" w:rsidR="00677BF4" w:rsidRPr="00677BF4" w:rsidRDefault="00677BF4" w:rsidP="00677BF4">
      <w:pPr>
        <w:rPr>
          <w:rFonts w:ascii="宋体" w:eastAsia="宋体" w:hAnsi="宋体" w:hint="eastAsia"/>
          <w:sz w:val="24"/>
        </w:rPr>
      </w:pPr>
      <w:r w:rsidRPr="00677BF4">
        <w:rPr>
          <w:rFonts w:ascii="宋体" w:eastAsia="宋体" w:hAnsi="宋体"/>
          <w:sz w:val="24"/>
        </w:rPr>
        <w:t>这直接支撑我们构造以下指标：</w:t>
      </w:r>
    </w:p>
    <w:p w14:paraId="02C35F7C" w14:textId="23143B27" w:rsidR="00677BF4" w:rsidRPr="00677BF4" w:rsidRDefault="00E01A57" w:rsidP="00E01A57">
      <w:pPr>
        <w:rPr>
          <w:rFonts w:ascii="宋体" w:eastAsia="宋体" w:hAnsi="宋体" w:hint="eastAsia"/>
          <w:sz w:val="24"/>
        </w:rPr>
      </w:pPr>
      <w:r>
        <w:rPr>
          <w:rFonts w:ascii="宋体" w:eastAsia="宋体" w:hAnsi="宋体" w:hint="eastAsia"/>
          <w:sz w:val="24"/>
        </w:rPr>
        <w:t>·</w:t>
      </w:r>
      <w:r w:rsidR="00677BF4" w:rsidRPr="00677BF4">
        <w:rPr>
          <w:rFonts w:ascii="宋体" w:eastAsia="宋体" w:hAnsi="宋体"/>
          <w:sz w:val="24"/>
        </w:rPr>
        <w:t>国际标准采标率</w:t>
      </w:r>
    </w:p>
    <w:p w14:paraId="1C32D2F1" w14:textId="5A2E11F2" w:rsidR="00677BF4" w:rsidRPr="00677BF4" w:rsidRDefault="00E01A57" w:rsidP="00E01A57">
      <w:pPr>
        <w:rPr>
          <w:rFonts w:ascii="宋体" w:eastAsia="宋体" w:hAnsi="宋体" w:hint="eastAsia"/>
          <w:sz w:val="24"/>
        </w:rPr>
      </w:pPr>
      <w:r>
        <w:rPr>
          <w:rFonts w:ascii="宋体" w:eastAsia="宋体" w:hAnsi="宋体" w:hint="eastAsia"/>
          <w:sz w:val="24"/>
        </w:rPr>
        <w:t>·</w:t>
      </w:r>
      <w:r w:rsidR="00677BF4" w:rsidRPr="00677BF4">
        <w:rPr>
          <w:rFonts w:ascii="宋体" w:eastAsia="宋体" w:hAnsi="宋体"/>
          <w:sz w:val="24"/>
        </w:rPr>
        <w:t>标准一致性指数</w:t>
      </w:r>
    </w:p>
    <w:p w14:paraId="64D3388C" w14:textId="34735565" w:rsidR="00677BF4" w:rsidRPr="00677BF4" w:rsidRDefault="00E01A57" w:rsidP="00E01A57">
      <w:pPr>
        <w:rPr>
          <w:rFonts w:ascii="宋体" w:eastAsia="宋体" w:hAnsi="宋体" w:hint="eastAsia"/>
          <w:sz w:val="24"/>
        </w:rPr>
      </w:pPr>
      <w:r>
        <w:rPr>
          <w:rFonts w:ascii="宋体" w:eastAsia="宋体" w:hAnsi="宋体" w:hint="eastAsia"/>
          <w:sz w:val="24"/>
        </w:rPr>
        <w:t>·</w:t>
      </w:r>
      <w:r w:rsidR="00677BF4" w:rsidRPr="00677BF4">
        <w:rPr>
          <w:rFonts w:ascii="宋体" w:eastAsia="宋体" w:hAnsi="宋体"/>
          <w:sz w:val="24"/>
        </w:rPr>
        <w:t>中外标准互认指数</w:t>
      </w:r>
    </w:p>
    <w:p w14:paraId="162D5144" w14:textId="479FCD6C" w:rsidR="00677BF4" w:rsidRPr="00677BF4" w:rsidRDefault="00E01A57" w:rsidP="00E01A57">
      <w:pPr>
        <w:rPr>
          <w:rFonts w:ascii="宋体" w:eastAsia="宋体" w:hAnsi="宋体" w:hint="eastAsia"/>
          <w:sz w:val="24"/>
        </w:rPr>
      </w:pPr>
      <w:r>
        <w:rPr>
          <w:rFonts w:ascii="宋体" w:eastAsia="宋体" w:hAnsi="宋体" w:hint="eastAsia"/>
          <w:sz w:val="24"/>
        </w:rPr>
        <w:t>·</w:t>
      </w:r>
      <w:r w:rsidR="00677BF4" w:rsidRPr="00677BF4">
        <w:rPr>
          <w:rFonts w:ascii="宋体" w:eastAsia="宋体" w:hAnsi="宋体"/>
          <w:sz w:val="24"/>
        </w:rPr>
        <w:t>中国参与国际标准制定指数</w:t>
      </w:r>
    </w:p>
    <w:p w14:paraId="63936196" w14:textId="3EB911B8" w:rsidR="00677BF4" w:rsidRPr="00677BF4" w:rsidRDefault="00E01A57" w:rsidP="00E01A57">
      <w:pPr>
        <w:rPr>
          <w:rFonts w:ascii="宋体" w:eastAsia="宋体" w:hAnsi="宋体" w:hint="eastAsia"/>
          <w:sz w:val="24"/>
        </w:rPr>
      </w:pPr>
      <w:r>
        <w:rPr>
          <w:rFonts w:ascii="宋体" w:eastAsia="宋体" w:hAnsi="宋体" w:hint="eastAsia"/>
          <w:sz w:val="24"/>
        </w:rPr>
        <w:t>·</w:t>
      </w:r>
      <w:r w:rsidR="00677BF4" w:rsidRPr="00677BF4">
        <w:rPr>
          <w:rFonts w:ascii="宋体" w:eastAsia="宋体" w:hAnsi="宋体"/>
          <w:sz w:val="24"/>
        </w:rPr>
        <w:t>中国标准外文版供给指数</w:t>
      </w:r>
    </w:p>
    <w:p w14:paraId="2813A710" w14:textId="6255DDD3" w:rsidR="00677BF4" w:rsidRPr="00677BF4" w:rsidRDefault="00677BF4" w:rsidP="006D04A6">
      <w:pPr>
        <w:ind w:firstLine="420"/>
        <w:rPr>
          <w:rFonts w:ascii="宋体" w:eastAsia="宋体" w:hAnsi="宋体" w:hint="eastAsia"/>
          <w:b/>
          <w:bCs/>
          <w:sz w:val="24"/>
        </w:rPr>
      </w:pPr>
      <w:r w:rsidRPr="00677BF4">
        <w:rPr>
          <w:rFonts w:ascii="宋体" w:eastAsia="宋体" w:hAnsi="宋体"/>
          <w:b/>
          <w:bCs/>
          <w:sz w:val="24"/>
        </w:rPr>
        <w:t>2.《贯彻实施〈国家标准化发展纲要〉行动计划（2024—2025年）》</w:t>
      </w:r>
    </w:p>
    <w:p w14:paraId="42AC5DE8" w14:textId="7FF596FE" w:rsidR="00677BF4" w:rsidRPr="00677BF4" w:rsidRDefault="00677BF4" w:rsidP="00B212FF">
      <w:pPr>
        <w:ind w:firstLine="420"/>
        <w:rPr>
          <w:rFonts w:ascii="宋体" w:eastAsia="宋体" w:hAnsi="宋体" w:hint="eastAsia"/>
          <w:sz w:val="24"/>
        </w:rPr>
      </w:pPr>
      <w:r w:rsidRPr="00677BF4">
        <w:rPr>
          <w:rFonts w:ascii="宋体" w:eastAsia="宋体" w:hAnsi="宋体"/>
          <w:sz w:val="24"/>
        </w:rPr>
        <w:t>该行动计划进一步提出非常明确的量化目标：推动全国专业标准化技术委员会与国际标准组织技术机构一致性程度达到90%以上；持续开展国际标准跟踪研究，加快转化先进适用国际标准，实现国际标准转化率达到85%以上。这对论文非常有用，因为它说明“国际标准转化率”“技术委员会与国际组织对应程度”不是我们主观设计的指标，而是官方已经明确提出的量化目标。</w:t>
      </w:r>
    </w:p>
    <w:p w14:paraId="267BF657" w14:textId="590D508D" w:rsidR="00677BF4" w:rsidRPr="00677BF4" w:rsidRDefault="00B212FF" w:rsidP="006D04A6">
      <w:pPr>
        <w:ind w:firstLine="420"/>
        <w:rPr>
          <w:rFonts w:ascii="宋体" w:eastAsia="宋体" w:hAnsi="宋体" w:hint="eastAsia"/>
          <w:b/>
          <w:bCs/>
          <w:sz w:val="24"/>
        </w:rPr>
      </w:pPr>
      <w:r>
        <w:rPr>
          <w:rFonts w:ascii="宋体" w:eastAsia="宋体" w:hAnsi="宋体" w:hint="eastAsia"/>
          <w:b/>
          <w:bCs/>
          <w:sz w:val="24"/>
        </w:rPr>
        <w:t>3</w:t>
      </w:r>
      <w:r w:rsidR="00677BF4" w:rsidRPr="00677BF4">
        <w:rPr>
          <w:rFonts w:ascii="宋体" w:eastAsia="宋体" w:hAnsi="宋体"/>
          <w:b/>
          <w:bCs/>
          <w:sz w:val="24"/>
        </w:rPr>
        <w:t>.ISO/SAC</w:t>
      </w:r>
    </w:p>
    <w:p w14:paraId="7CA63813" w14:textId="773EEDD9" w:rsidR="00677BF4" w:rsidRPr="00677BF4" w:rsidRDefault="00677BF4" w:rsidP="00B212FF">
      <w:pPr>
        <w:ind w:firstLine="420"/>
        <w:rPr>
          <w:rFonts w:ascii="宋体" w:eastAsia="宋体" w:hAnsi="宋体" w:hint="eastAsia"/>
          <w:sz w:val="24"/>
        </w:rPr>
      </w:pPr>
      <w:r w:rsidRPr="00677BF4">
        <w:rPr>
          <w:rFonts w:ascii="宋体" w:eastAsia="宋体" w:hAnsi="宋体"/>
          <w:sz w:val="24"/>
        </w:rPr>
        <w:lastRenderedPageBreak/>
        <w:t>SAC是中国在ISO的成员机构，参与ISO、IEC等国际标准化活动。这可以支撑我们使用ISO/IEC技术委员会任职、秘书处承担数量、国际标准提案数量、国际标准制定参与度等指标。</w:t>
      </w:r>
    </w:p>
    <w:p w14:paraId="0FC23441" w14:textId="6ED803B7" w:rsidR="00677BF4" w:rsidRPr="00677BF4" w:rsidRDefault="00B212FF" w:rsidP="006D04A6">
      <w:pPr>
        <w:ind w:firstLine="420"/>
        <w:rPr>
          <w:rFonts w:ascii="宋体" w:eastAsia="宋体" w:hAnsi="宋体" w:hint="eastAsia"/>
          <w:b/>
          <w:bCs/>
          <w:sz w:val="24"/>
        </w:rPr>
      </w:pPr>
      <w:r>
        <w:rPr>
          <w:rFonts w:ascii="宋体" w:eastAsia="宋体" w:hAnsi="宋体" w:hint="eastAsia"/>
          <w:b/>
          <w:bCs/>
          <w:sz w:val="24"/>
        </w:rPr>
        <w:t>4</w:t>
      </w:r>
      <w:r w:rsidR="00677BF4" w:rsidRPr="00677BF4">
        <w:rPr>
          <w:rFonts w:ascii="宋体" w:eastAsia="宋体" w:hAnsi="宋体"/>
          <w:b/>
          <w:bCs/>
          <w:sz w:val="24"/>
        </w:rPr>
        <w:t>.World</w:t>
      </w:r>
      <w:r w:rsidR="004E140D">
        <w:rPr>
          <w:rFonts w:ascii="宋体" w:eastAsia="宋体" w:hAnsi="宋体" w:hint="eastAsia"/>
          <w:b/>
          <w:bCs/>
          <w:sz w:val="24"/>
        </w:rPr>
        <w:t xml:space="preserve"> </w:t>
      </w:r>
      <w:r w:rsidR="00677BF4" w:rsidRPr="00677BF4">
        <w:rPr>
          <w:rFonts w:ascii="宋体" w:eastAsia="宋体" w:hAnsi="宋体"/>
          <w:b/>
          <w:bCs/>
          <w:sz w:val="24"/>
        </w:rPr>
        <w:t>Bank关于中国国际标准化演进的研究</w:t>
      </w:r>
    </w:p>
    <w:p w14:paraId="76E5F57B" w14:textId="153BED77" w:rsidR="00677BF4" w:rsidRDefault="00CF66A7" w:rsidP="00CF66A7">
      <w:pPr>
        <w:ind w:firstLine="420"/>
        <w:rPr>
          <w:rFonts w:ascii="宋体" w:eastAsia="宋体" w:hAnsi="宋体" w:hint="eastAsia"/>
          <w:sz w:val="24"/>
        </w:rPr>
      </w:pPr>
      <w:r w:rsidRPr="00CF66A7">
        <w:rPr>
          <w:rFonts w:ascii="宋体" w:eastAsia="宋体" w:hAnsi="宋体"/>
          <w:sz w:val="24"/>
        </w:rPr>
        <w:t>World Bank关于中国国际标准化演进的研究可以作为制度</w:t>
      </w:r>
      <w:proofErr w:type="gramStart"/>
      <w:r w:rsidRPr="00CF66A7">
        <w:rPr>
          <w:rFonts w:ascii="宋体" w:eastAsia="宋体" w:hAnsi="宋体"/>
          <w:sz w:val="24"/>
        </w:rPr>
        <w:t>型开放</w:t>
      </w:r>
      <w:proofErr w:type="gramEnd"/>
      <w:r w:rsidRPr="00CF66A7">
        <w:rPr>
          <w:rFonts w:ascii="宋体" w:eastAsia="宋体" w:hAnsi="宋体"/>
          <w:sz w:val="24"/>
        </w:rPr>
        <w:t>“标准维度”的前沿外文文献支撑。World Bank《World Development Report 2025: Standards for Development》的背景论文 “China’s Evolution in International Standardization: From Follower to Global Leader” 系统分析了中国从国际标准化“跟随者”向全球标准化重要参与者和领导者转变的过程。该研究指出，随着标准化体系改革推进，</w:t>
      </w:r>
      <w:r w:rsidRPr="00C70B9E">
        <w:rPr>
          <w:rFonts w:ascii="宋体" w:eastAsia="宋体" w:hAnsi="宋体"/>
          <w:color w:val="0000FF"/>
          <w:sz w:val="24"/>
        </w:rPr>
        <w:t>中国逐步从政府主导的标准化模式转向更强调公私合作的治理模式，并在ISO、IEC等国际标准化体系中的参与度、提案能力和国际标准影响力持续提升。</w:t>
      </w:r>
      <w:r w:rsidRPr="00CF66A7">
        <w:rPr>
          <w:rFonts w:ascii="宋体" w:eastAsia="宋体" w:hAnsi="宋体"/>
          <w:sz w:val="24"/>
        </w:rPr>
        <w:t>由此，该文可用于支撑“标准维度”中关于国际标准化参与度、国际标准提案、ISO/IEC技术委员会参与、国际标准转化和标准制度对接等指标的构建。不过，若要形成可量化指标，仍需进一步结合ISO/IEC技术委员会数据库、SAC/国家标准委资料、全国标准信息公共服务平台以及具体国际标准项目数据进行测算。</w:t>
      </w:r>
    </w:p>
    <w:p w14:paraId="493E2F47" w14:textId="31488D8F" w:rsidR="00340DC0" w:rsidRPr="00340DC0" w:rsidRDefault="00791ECD" w:rsidP="00340DC0">
      <w:pPr>
        <w:ind w:firstLine="420"/>
        <w:rPr>
          <w:rFonts w:ascii="宋体" w:eastAsia="宋体" w:hAnsi="宋体" w:hint="eastAsia"/>
          <w:sz w:val="24"/>
        </w:rPr>
      </w:pPr>
      <w:r>
        <w:rPr>
          <w:rFonts w:ascii="宋体" w:eastAsia="宋体" w:hAnsi="宋体" w:hint="eastAsia"/>
          <w:sz w:val="24"/>
        </w:rPr>
        <w:t>总而言之，</w:t>
      </w:r>
      <w:r w:rsidR="00340DC0" w:rsidRPr="00927B2C">
        <w:rPr>
          <w:rFonts w:ascii="宋体" w:eastAsia="宋体" w:hAnsi="宋体"/>
          <w:sz w:val="24"/>
        </w:rPr>
        <w:t>标准是国际市场准入、技术壁垒、质量认证、数字贸易、绿色贸易和产业链协同的重要基础。《国家标准化发展纲要》明确提出积极</w:t>
      </w:r>
      <w:r w:rsidR="00340DC0" w:rsidRPr="00791ECD">
        <w:rPr>
          <w:rFonts w:ascii="宋体" w:eastAsia="宋体" w:hAnsi="宋体"/>
          <w:color w:val="0000FF"/>
          <w:sz w:val="24"/>
        </w:rPr>
        <w:t>采用国际标准、推进中外标准互认、提高我国标准与国际标准一致性</w:t>
      </w:r>
      <w:r w:rsidR="00340DC0" w:rsidRPr="00927B2C">
        <w:rPr>
          <w:rFonts w:ascii="宋体" w:eastAsia="宋体" w:hAnsi="宋体"/>
          <w:sz w:val="24"/>
        </w:rPr>
        <w:t>，并支持参与气候变化、数字领域、绿色金融等国际标准制定。</w:t>
      </w:r>
    </w:p>
    <w:tbl>
      <w:tblPr>
        <w:tblStyle w:val="af3"/>
        <w:tblW w:w="10485" w:type="dxa"/>
        <w:jc w:val="center"/>
        <w:tblLook w:val="04A0" w:firstRow="1" w:lastRow="0" w:firstColumn="1" w:lastColumn="0" w:noHBand="0" w:noVBand="1"/>
      </w:tblPr>
      <w:tblGrid>
        <w:gridCol w:w="988"/>
        <w:gridCol w:w="1559"/>
        <w:gridCol w:w="2268"/>
        <w:gridCol w:w="1134"/>
        <w:gridCol w:w="2410"/>
        <w:gridCol w:w="2126"/>
      </w:tblGrid>
      <w:tr w:rsidR="002E2822" w:rsidRPr="002E2822" w14:paraId="1F0856EF" w14:textId="77777777" w:rsidTr="002E2822">
        <w:trPr>
          <w:jc w:val="center"/>
        </w:trPr>
        <w:tc>
          <w:tcPr>
            <w:tcW w:w="988" w:type="dxa"/>
            <w:vAlign w:val="center"/>
          </w:tcPr>
          <w:p w14:paraId="5FA1E699" w14:textId="390D81E2" w:rsidR="002E2822" w:rsidRPr="002E2822" w:rsidRDefault="002E2822" w:rsidP="002E2822">
            <w:pPr>
              <w:rPr>
                <w:rFonts w:ascii="宋体" w:eastAsia="宋体" w:hAnsi="宋体" w:hint="eastAsia"/>
                <w:sz w:val="18"/>
                <w:szCs w:val="18"/>
              </w:rPr>
            </w:pPr>
            <w:r w:rsidRPr="002E2822">
              <w:rPr>
                <w:rFonts w:ascii="宋体" w:eastAsia="宋体" w:hAnsi="宋体"/>
                <w:b/>
                <w:sz w:val="18"/>
                <w:szCs w:val="18"/>
              </w:rPr>
              <w:t>指标名称</w:t>
            </w:r>
          </w:p>
        </w:tc>
        <w:tc>
          <w:tcPr>
            <w:tcW w:w="1559" w:type="dxa"/>
            <w:vAlign w:val="center"/>
          </w:tcPr>
          <w:p w14:paraId="6118768A" w14:textId="563C89ED" w:rsidR="002E2822" w:rsidRPr="002E2822" w:rsidRDefault="002E2822" w:rsidP="002E2822">
            <w:pPr>
              <w:rPr>
                <w:rFonts w:ascii="宋体" w:eastAsia="宋体" w:hAnsi="宋体" w:hint="eastAsia"/>
                <w:sz w:val="18"/>
                <w:szCs w:val="18"/>
              </w:rPr>
            </w:pPr>
            <w:r w:rsidRPr="002E2822">
              <w:rPr>
                <w:rFonts w:ascii="宋体" w:eastAsia="宋体" w:hAnsi="宋体"/>
                <w:b/>
                <w:sz w:val="18"/>
                <w:szCs w:val="18"/>
              </w:rPr>
              <w:t>文献/官方依据</w:t>
            </w:r>
          </w:p>
        </w:tc>
        <w:tc>
          <w:tcPr>
            <w:tcW w:w="2268" w:type="dxa"/>
            <w:vAlign w:val="center"/>
          </w:tcPr>
          <w:p w14:paraId="028868C0" w14:textId="6B84263B" w:rsidR="002E2822" w:rsidRPr="002E2822" w:rsidRDefault="002E2822" w:rsidP="002E2822">
            <w:pPr>
              <w:rPr>
                <w:rFonts w:ascii="宋体" w:eastAsia="宋体" w:hAnsi="宋体" w:hint="eastAsia"/>
                <w:sz w:val="18"/>
                <w:szCs w:val="18"/>
              </w:rPr>
            </w:pPr>
            <w:r w:rsidRPr="002E2822">
              <w:rPr>
                <w:rFonts w:ascii="宋体" w:eastAsia="宋体" w:hAnsi="宋体"/>
                <w:b/>
                <w:sz w:val="18"/>
                <w:szCs w:val="18"/>
              </w:rPr>
              <w:t>具体可操作变量或方法</w:t>
            </w:r>
          </w:p>
        </w:tc>
        <w:tc>
          <w:tcPr>
            <w:tcW w:w="1134" w:type="dxa"/>
            <w:vAlign w:val="center"/>
          </w:tcPr>
          <w:p w14:paraId="46272E58" w14:textId="47BB9D2B" w:rsidR="002E2822" w:rsidRPr="002E2822" w:rsidRDefault="002E2822" w:rsidP="002E2822">
            <w:pPr>
              <w:rPr>
                <w:rFonts w:ascii="宋体" w:eastAsia="宋体" w:hAnsi="宋体" w:hint="eastAsia"/>
                <w:sz w:val="18"/>
                <w:szCs w:val="18"/>
              </w:rPr>
            </w:pPr>
            <w:r w:rsidRPr="002E2822">
              <w:rPr>
                <w:rFonts w:ascii="宋体" w:eastAsia="宋体" w:hAnsi="宋体"/>
                <w:b/>
                <w:sz w:val="18"/>
                <w:szCs w:val="18"/>
              </w:rPr>
              <w:t>含义</w:t>
            </w:r>
          </w:p>
        </w:tc>
        <w:tc>
          <w:tcPr>
            <w:tcW w:w="2410" w:type="dxa"/>
            <w:vAlign w:val="center"/>
          </w:tcPr>
          <w:p w14:paraId="6829C055" w14:textId="03895EA8" w:rsidR="002E2822" w:rsidRPr="002E2822" w:rsidRDefault="002E2822" w:rsidP="002E2822">
            <w:pPr>
              <w:rPr>
                <w:rFonts w:ascii="宋体" w:eastAsia="宋体" w:hAnsi="宋体" w:hint="eastAsia"/>
                <w:sz w:val="18"/>
                <w:szCs w:val="18"/>
              </w:rPr>
            </w:pPr>
            <w:r w:rsidRPr="002E2822">
              <w:rPr>
                <w:rFonts w:ascii="宋体" w:eastAsia="宋体" w:hAnsi="宋体"/>
                <w:b/>
                <w:sz w:val="18"/>
                <w:szCs w:val="18"/>
              </w:rPr>
              <w:t>数据来源（重点）</w:t>
            </w:r>
          </w:p>
        </w:tc>
        <w:tc>
          <w:tcPr>
            <w:tcW w:w="2126" w:type="dxa"/>
            <w:vAlign w:val="center"/>
          </w:tcPr>
          <w:p w14:paraId="24C46FF9" w14:textId="4800F2F3" w:rsidR="002E2822" w:rsidRPr="002E2822" w:rsidRDefault="002E2822" w:rsidP="002E2822">
            <w:pPr>
              <w:rPr>
                <w:rFonts w:ascii="宋体" w:eastAsia="宋体" w:hAnsi="宋体" w:hint="eastAsia"/>
                <w:sz w:val="18"/>
                <w:szCs w:val="18"/>
              </w:rPr>
            </w:pPr>
            <w:r w:rsidRPr="002E2822">
              <w:rPr>
                <w:rFonts w:ascii="宋体" w:eastAsia="宋体" w:hAnsi="宋体"/>
                <w:b/>
                <w:sz w:val="18"/>
                <w:szCs w:val="18"/>
              </w:rPr>
              <w:t>计算方法</w:t>
            </w:r>
          </w:p>
        </w:tc>
      </w:tr>
      <w:tr w:rsidR="002E2822" w:rsidRPr="002E2822" w14:paraId="1345F37B" w14:textId="77777777" w:rsidTr="002E2822">
        <w:trPr>
          <w:jc w:val="center"/>
        </w:trPr>
        <w:tc>
          <w:tcPr>
            <w:tcW w:w="988" w:type="dxa"/>
            <w:vAlign w:val="center"/>
          </w:tcPr>
          <w:p w14:paraId="5799A254" w14:textId="1EA4525E"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国际标准采标率</w:t>
            </w:r>
            <w:r w:rsidR="00D06560">
              <w:rPr>
                <w:rFonts w:ascii="宋体" w:eastAsia="宋体" w:hAnsi="宋体" w:hint="eastAsia"/>
                <w:sz w:val="18"/>
                <w:szCs w:val="18"/>
              </w:rPr>
              <w:t>（贸</w:t>
            </w:r>
            <w:r w:rsidR="00F07C9E">
              <w:rPr>
                <w:rFonts w:ascii="宋体" w:eastAsia="宋体" w:hAnsi="宋体" w:hint="eastAsia"/>
                <w:sz w:val="18"/>
                <w:szCs w:val="18"/>
              </w:rPr>
              <w:t>）</w:t>
            </w:r>
          </w:p>
        </w:tc>
        <w:tc>
          <w:tcPr>
            <w:tcW w:w="1559" w:type="dxa"/>
            <w:vAlign w:val="center"/>
          </w:tcPr>
          <w:p w14:paraId="3BF54E2D"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钱学锋（2024）关于主动嵌入式标准开放；《国家标准化发展纲要》；《贯彻实施〈国家标准化发展纲要〉行动计划（2024—2025年）》；姜彩楼等（2026）。</w:t>
            </w:r>
          </w:p>
        </w:tc>
        <w:tc>
          <w:tcPr>
            <w:tcW w:w="2268" w:type="dxa"/>
            <w:vAlign w:val="center"/>
          </w:tcPr>
          <w:p w14:paraId="4CC4F022"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统计现行国家标准、行业标准、地方标准、团体标准中采用ISO、IEC、ITU等国际标准的数量，并区分等同采用、修改采用、非等效采用。</w:t>
            </w:r>
          </w:p>
        </w:tc>
        <w:tc>
          <w:tcPr>
            <w:tcW w:w="1134" w:type="dxa"/>
            <w:vAlign w:val="center"/>
          </w:tcPr>
          <w:p w14:paraId="3A3D35BF"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衡量国内标准体系对国际标准的吸收和对接程度。</w:t>
            </w:r>
          </w:p>
        </w:tc>
        <w:tc>
          <w:tcPr>
            <w:tcW w:w="2410" w:type="dxa"/>
            <w:vAlign w:val="center"/>
          </w:tcPr>
          <w:p w14:paraId="5943C1B8"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全国标准信息公共服务平台；国家标准全文公开系统；国家标准委/SAC；中国标准化发展年度报告；行业标准信息服务平台；地方标准信息平台。</w:t>
            </w:r>
          </w:p>
        </w:tc>
        <w:tc>
          <w:tcPr>
            <w:tcW w:w="2126" w:type="dxa"/>
            <w:vAlign w:val="center"/>
          </w:tcPr>
          <w:p w14:paraId="176B87D0"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采标率=采用国际标准的现行标准数/现行标准总数。企业层面可用“企业参与研制且采标的国家标准数/企业参与研制国家标准总数”。</w:t>
            </w:r>
          </w:p>
        </w:tc>
      </w:tr>
      <w:tr w:rsidR="002E2822" w:rsidRPr="002E2822" w14:paraId="194049C8" w14:textId="77777777" w:rsidTr="002E2822">
        <w:trPr>
          <w:jc w:val="center"/>
        </w:trPr>
        <w:tc>
          <w:tcPr>
            <w:tcW w:w="988" w:type="dxa"/>
            <w:vAlign w:val="center"/>
          </w:tcPr>
          <w:p w14:paraId="7D9A8302" w14:textId="20F8A8FB"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标准一致性指数</w:t>
            </w:r>
            <w:r w:rsidR="00D06560">
              <w:rPr>
                <w:rFonts w:ascii="宋体" w:eastAsia="宋体" w:hAnsi="宋体" w:hint="eastAsia"/>
                <w:sz w:val="18"/>
                <w:szCs w:val="18"/>
              </w:rPr>
              <w:t>（贸</w:t>
            </w:r>
            <w:r w:rsidR="00F07C9E">
              <w:rPr>
                <w:rFonts w:ascii="宋体" w:eastAsia="宋体" w:hAnsi="宋体" w:hint="eastAsia"/>
                <w:sz w:val="18"/>
                <w:szCs w:val="18"/>
              </w:rPr>
              <w:t>）</w:t>
            </w:r>
          </w:p>
        </w:tc>
        <w:tc>
          <w:tcPr>
            <w:tcW w:w="1559" w:type="dxa"/>
            <w:vAlign w:val="center"/>
          </w:tcPr>
          <w:p w14:paraId="2BA0CEF3"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杨志</w:t>
            </w:r>
            <w:proofErr w:type="gramStart"/>
            <w:r w:rsidRPr="002E2822">
              <w:rPr>
                <w:rFonts w:ascii="宋体" w:eastAsia="宋体" w:hAnsi="宋体"/>
                <w:sz w:val="18"/>
                <w:szCs w:val="18"/>
              </w:rPr>
              <w:t>浩</w:t>
            </w:r>
            <w:proofErr w:type="gramEnd"/>
            <w:r w:rsidRPr="002E2822">
              <w:rPr>
                <w:rFonts w:ascii="宋体" w:eastAsia="宋体" w:hAnsi="宋体"/>
                <w:sz w:val="18"/>
                <w:szCs w:val="18"/>
              </w:rPr>
              <w:t>和史丹（2026）中外标准协调度；《国家标准化发展纲要》提出提高国内外标准一致性。</w:t>
            </w:r>
          </w:p>
        </w:tc>
        <w:tc>
          <w:tcPr>
            <w:tcW w:w="2268" w:type="dxa"/>
            <w:vAlign w:val="center"/>
          </w:tcPr>
          <w:p w14:paraId="5330176B"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按标准采用关系赋值：IDT等同采用、MOD修改采用、NEQ非等效采用；可按ICS分类、HS商品、行业或企业归集。</w:t>
            </w:r>
          </w:p>
        </w:tc>
        <w:tc>
          <w:tcPr>
            <w:tcW w:w="1134" w:type="dxa"/>
            <w:vAlign w:val="center"/>
          </w:tcPr>
          <w:p w14:paraId="76FF4739"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衡量国内标准与国际标准在技术内容上的一致程度，而不仅是是否采标。</w:t>
            </w:r>
          </w:p>
        </w:tc>
        <w:tc>
          <w:tcPr>
            <w:tcW w:w="2410" w:type="dxa"/>
            <w:vAlign w:val="center"/>
          </w:tcPr>
          <w:p w14:paraId="3A5C505E"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全国标准信息公共服务平台；ISO、IEC、ITU标准目录；SAC；WTO ICS—HS对照表；UN HS—ISIC对照表；国家统计局GB—ISIC对照表。</w:t>
            </w:r>
          </w:p>
        </w:tc>
        <w:tc>
          <w:tcPr>
            <w:tcW w:w="2126" w:type="dxa"/>
            <w:vAlign w:val="center"/>
          </w:tcPr>
          <w:p w14:paraId="0283E6F7"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一致性得分：IDT=1，MOD=0.6，NEQ=0.2，未采用=0。行业—年份指数=有效期内各标准一致性得分均值；或采标标准数/全部有效标准数。</w:t>
            </w:r>
          </w:p>
        </w:tc>
      </w:tr>
      <w:tr w:rsidR="002E2822" w:rsidRPr="002E2822" w14:paraId="0E6FA658" w14:textId="77777777" w:rsidTr="002E2822">
        <w:trPr>
          <w:jc w:val="center"/>
        </w:trPr>
        <w:tc>
          <w:tcPr>
            <w:tcW w:w="988" w:type="dxa"/>
            <w:vAlign w:val="center"/>
          </w:tcPr>
          <w:p w14:paraId="525B2C0A" w14:textId="7E776DEF"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国际标准</w:t>
            </w:r>
            <w:r w:rsidRPr="002E2822">
              <w:rPr>
                <w:rFonts w:ascii="宋体" w:eastAsia="宋体" w:hAnsi="宋体"/>
                <w:sz w:val="18"/>
                <w:szCs w:val="18"/>
              </w:rPr>
              <w:lastRenderedPageBreak/>
              <w:t>转化率</w:t>
            </w:r>
            <w:r w:rsidR="00D06560">
              <w:rPr>
                <w:rFonts w:ascii="宋体" w:eastAsia="宋体" w:hAnsi="宋体" w:hint="eastAsia"/>
                <w:sz w:val="18"/>
                <w:szCs w:val="18"/>
              </w:rPr>
              <w:t>（贸</w:t>
            </w:r>
            <w:r w:rsidR="00F07C9E">
              <w:rPr>
                <w:rFonts w:ascii="宋体" w:eastAsia="宋体" w:hAnsi="宋体" w:hint="eastAsia"/>
                <w:sz w:val="18"/>
                <w:szCs w:val="18"/>
              </w:rPr>
              <w:t>）</w:t>
            </w:r>
          </w:p>
        </w:tc>
        <w:tc>
          <w:tcPr>
            <w:tcW w:w="1559" w:type="dxa"/>
            <w:vAlign w:val="center"/>
          </w:tcPr>
          <w:p w14:paraId="0EB556D3"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lastRenderedPageBreak/>
              <w:t>《贯彻实施〈国</w:t>
            </w:r>
            <w:r w:rsidRPr="002E2822">
              <w:rPr>
                <w:rFonts w:ascii="宋体" w:eastAsia="宋体" w:hAnsi="宋体"/>
                <w:sz w:val="18"/>
                <w:szCs w:val="18"/>
              </w:rPr>
              <w:lastRenderedPageBreak/>
              <w:t>家标准化发展纲要〉行动计划（2024—2025年）》提出国际标准转化率目标。</w:t>
            </w:r>
          </w:p>
        </w:tc>
        <w:tc>
          <w:tcPr>
            <w:tcW w:w="2268" w:type="dxa"/>
            <w:vAlign w:val="center"/>
          </w:tcPr>
          <w:p w14:paraId="5DD0924D"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lastRenderedPageBreak/>
              <w:t>统计适用国际标准中被转</w:t>
            </w:r>
            <w:r w:rsidRPr="002E2822">
              <w:rPr>
                <w:rFonts w:ascii="宋体" w:eastAsia="宋体" w:hAnsi="宋体"/>
                <w:sz w:val="18"/>
                <w:szCs w:val="18"/>
              </w:rPr>
              <w:lastRenderedPageBreak/>
              <w:t>化为国家标准、行业标准或重点领域标准的比例。</w:t>
            </w:r>
          </w:p>
        </w:tc>
        <w:tc>
          <w:tcPr>
            <w:tcW w:w="1134" w:type="dxa"/>
            <w:vAlign w:val="center"/>
          </w:tcPr>
          <w:p w14:paraId="25896FE9"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lastRenderedPageBreak/>
              <w:t>衡量国际先</w:t>
            </w:r>
            <w:r w:rsidRPr="002E2822">
              <w:rPr>
                <w:rFonts w:ascii="宋体" w:eastAsia="宋体" w:hAnsi="宋体"/>
                <w:sz w:val="18"/>
                <w:szCs w:val="18"/>
              </w:rPr>
              <w:lastRenderedPageBreak/>
              <w:t>进适用标准向国内标准体系转化的程度。</w:t>
            </w:r>
          </w:p>
        </w:tc>
        <w:tc>
          <w:tcPr>
            <w:tcW w:w="2410" w:type="dxa"/>
            <w:vAlign w:val="center"/>
          </w:tcPr>
          <w:p w14:paraId="2497129D"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lastRenderedPageBreak/>
              <w:t>国家标准委/SAC；中国标准</w:t>
            </w:r>
            <w:r w:rsidRPr="002E2822">
              <w:rPr>
                <w:rFonts w:ascii="宋体" w:eastAsia="宋体" w:hAnsi="宋体"/>
                <w:sz w:val="18"/>
                <w:szCs w:val="18"/>
              </w:rPr>
              <w:lastRenderedPageBreak/>
              <w:t>化发展年度报告；全国标准信息公共服务平台；行业主管部门标准公告；ISO/IEC/ITU标准项目数据库。</w:t>
            </w:r>
          </w:p>
        </w:tc>
        <w:tc>
          <w:tcPr>
            <w:tcW w:w="2126" w:type="dxa"/>
            <w:vAlign w:val="center"/>
          </w:tcPr>
          <w:p w14:paraId="52B1EA20"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lastRenderedPageBreak/>
              <w:t>国际标准转化率=已转化</w:t>
            </w:r>
            <w:r w:rsidRPr="002E2822">
              <w:rPr>
                <w:rFonts w:ascii="宋体" w:eastAsia="宋体" w:hAnsi="宋体"/>
                <w:sz w:val="18"/>
                <w:szCs w:val="18"/>
              </w:rPr>
              <w:lastRenderedPageBreak/>
              <w:t>国际标准数/适用国际标准数。可</w:t>
            </w:r>
            <w:proofErr w:type="gramStart"/>
            <w:r w:rsidRPr="002E2822">
              <w:rPr>
                <w:rFonts w:ascii="宋体" w:eastAsia="宋体" w:hAnsi="宋体"/>
                <w:sz w:val="18"/>
                <w:szCs w:val="18"/>
              </w:rPr>
              <w:t>按重点</w:t>
            </w:r>
            <w:proofErr w:type="gramEnd"/>
            <w:r w:rsidRPr="002E2822">
              <w:rPr>
                <w:rFonts w:ascii="宋体" w:eastAsia="宋体" w:hAnsi="宋体"/>
                <w:sz w:val="18"/>
                <w:szCs w:val="18"/>
              </w:rPr>
              <w:t>领域、ICS分类、行业或年份计算。</w:t>
            </w:r>
          </w:p>
        </w:tc>
      </w:tr>
      <w:tr w:rsidR="002E2822" w:rsidRPr="002E2822" w14:paraId="6F9D300E" w14:textId="77777777" w:rsidTr="002E2822">
        <w:trPr>
          <w:jc w:val="center"/>
        </w:trPr>
        <w:tc>
          <w:tcPr>
            <w:tcW w:w="988" w:type="dxa"/>
            <w:vAlign w:val="center"/>
          </w:tcPr>
          <w:p w14:paraId="6C4D33D7" w14:textId="46C17856"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lastRenderedPageBreak/>
              <w:t>认证认可互认指数</w:t>
            </w:r>
            <w:r w:rsidR="00D06560">
              <w:rPr>
                <w:rFonts w:ascii="宋体" w:eastAsia="宋体" w:hAnsi="宋体" w:hint="eastAsia"/>
                <w:sz w:val="18"/>
                <w:szCs w:val="18"/>
              </w:rPr>
              <w:t>（贸</w:t>
            </w:r>
            <w:r w:rsidR="00F07C9E">
              <w:rPr>
                <w:rFonts w:ascii="宋体" w:eastAsia="宋体" w:hAnsi="宋体" w:hint="eastAsia"/>
                <w:sz w:val="18"/>
                <w:szCs w:val="18"/>
              </w:rPr>
              <w:t>）</w:t>
            </w:r>
          </w:p>
        </w:tc>
        <w:tc>
          <w:tcPr>
            <w:tcW w:w="1559" w:type="dxa"/>
            <w:vAlign w:val="center"/>
          </w:tcPr>
          <w:p w14:paraId="68CAAFF2" w14:textId="77777777" w:rsidR="002E2822" w:rsidRPr="002E2822" w:rsidRDefault="002E2822" w:rsidP="009A302C">
            <w:pPr>
              <w:rPr>
                <w:rFonts w:ascii="宋体" w:eastAsia="宋体" w:hAnsi="宋体" w:hint="eastAsia"/>
                <w:sz w:val="18"/>
                <w:szCs w:val="18"/>
              </w:rPr>
            </w:pPr>
            <w:proofErr w:type="gramStart"/>
            <w:r w:rsidRPr="002E2822">
              <w:rPr>
                <w:rFonts w:ascii="宋体" w:eastAsia="宋体" w:hAnsi="宋体"/>
                <w:sz w:val="18"/>
                <w:szCs w:val="18"/>
              </w:rPr>
              <w:t>常娱和</w:t>
            </w:r>
            <w:proofErr w:type="gramEnd"/>
            <w:r w:rsidRPr="002E2822">
              <w:rPr>
                <w:rFonts w:ascii="宋体" w:eastAsia="宋体" w:hAnsi="宋体"/>
                <w:sz w:val="18"/>
                <w:szCs w:val="18"/>
              </w:rPr>
              <w:t>钱学锋（2022）、洪俊杰（2024）</w:t>
            </w:r>
            <w:r w:rsidRPr="002E2822">
              <w:rPr>
                <w:rFonts w:ascii="宋体" w:eastAsia="宋体" w:hAnsi="宋体" w:hint="eastAsia"/>
                <w:sz w:val="18"/>
                <w:szCs w:val="18"/>
              </w:rPr>
              <w:t>、</w:t>
            </w:r>
            <w:r w:rsidRPr="002E2822">
              <w:rPr>
                <w:rFonts w:ascii="宋体" w:eastAsia="宋体" w:hAnsi="宋体"/>
                <w:sz w:val="18"/>
                <w:szCs w:val="18"/>
              </w:rPr>
              <w:t>《国家标准化发展纲要》提出推进中外标准互认</w:t>
            </w:r>
          </w:p>
        </w:tc>
        <w:tc>
          <w:tcPr>
            <w:tcW w:w="2268" w:type="dxa"/>
            <w:vAlign w:val="center"/>
          </w:tcPr>
          <w:p w14:paraId="42CCC608"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统计认证认可互认协议数量、覆盖经济体数量、覆盖行业/产品范围、AEO互认伙伴数量、检验检测结果互认项目。</w:t>
            </w:r>
          </w:p>
        </w:tc>
        <w:tc>
          <w:tcPr>
            <w:tcW w:w="1134" w:type="dxa"/>
            <w:vAlign w:val="center"/>
          </w:tcPr>
          <w:p w14:paraId="44D6090E"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衡量标准、检测、认证结果能否被主要贸易伙伴认可，从而降低重复认证成本。</w:t>
            </w:r>
          </w:p>
        </w:tc>
        <w:tc>
          <w:tcPr>
            <w:tcW w:w="2410" w:type="dxa"/>
            <w:vAlign w:val="center"/>
          </w:tcPr>
          <w:p w14:paraId="62264A5B"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市场监管总局；国家认证认可监督管理委员会（CNCA）；中国合格评定国家认可委员会（CNAS）；海关总署AEO互认公告；国际互认协议文本。</w:t>
            </w:r>
          </w:p>
        </w:tc>
        <w:tc>
          <w:tcPr>
            <w:tcW w:w="2126" w:type="dxa"/>
            <w:vAlign w:val="center"/>
          </w:tcPr>
          <w:p w14:paraId="71FF70F4"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互认指数=互认协议数、互认伙伴经济体数、覆盖行业数、覆盖产品数标准化加权；也可按主要贸易伙伴加权。</w:t>
            </w:r>
          </w:p>
        </w:tc>
      </w:tr>
      <w:tr w:rsidR="002E2822" w:rsidRPr="002E2822" w14:paraId="05CD666F" w14:textId="77777777" w:rsidTr="002E2822">
        <w:trPr>
          <w:jc w:val="center"/>
        </w:trPr>
        <w:tc>
          <w:tcPr>
            <w:tcW w:w="988" w:type="dxa"/>
            <w:vAlign w:val="center"/>
          </w:tcPr>
          <w:p w14:paraId="7C498D2E"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国际标准制定参与度</w:t>
            </w:r>
          </w:p>
        </w:tc>
        <w:tc>
          <w:tcPr>
            <w:tcW w:w="1559" w:type="dxa"/>
            <w:vAlign w:val="center"/>
          </w:tcPr>
          <w:p w14:paraId="2CBA26E8"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钱学锋（2024）关于参与国际标准制定和话语权；ISO/SAC；World Bank关于中国国际标准化演进研究。</w:t>
            </w:r>
          </w:p>
        </w:tc>
        <w:tc>
          <w:tcPr>
            <w:tcW w:w="2268" w:type="dxa"/>
            <w:vAlign w:val="center"/>
          </w:tcPr>
          <w:p w14:paraId="7C735C3B"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统计中国承担ISO/IEC技术委员会秘书处、主席/副主席、工作组召集人数量，国际标准提案数量、主导发布国际标准数量、专家注册数量。</w:t>
            </w:r>
          </w:p>
        </w:tc>
        <w:tc>
          <w:tcPr>
            <w:tcW w:w="1134" w:type="dxa"/>
            <w:vAlign w:val="center"/>
          </w:tcPr>
          <w:p w14:paraId="70A64E59"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衡量中国从“采标者”向“标准制定参与者/引领者”转变的程度。</w:t>
            </w:r>
          </w:p>
        </w:tc>
        <w:tc>
          <w:tcPr>
            <w:tcW w:w="2410" w:type="dxa"/>
            <w:vAlign w:val="center"/>
          </w:tcPr>
          <w:p w14:paraId="3718A38B"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ISO、IEC、ITU官方数据库；SAC/国家标准委；中国标准化发展年度报告；行业协会和标准化技术委员会资料。</w:t>
            </w:r>
          </w:p>
        </w:tc>
        <w:tc>
          <w:tcPr>
            <w:tcW w:w="2126" w:type="dxa"/>
            <w:vAlign w:val="center"/>
          </w:tcPr>
          <w:p w14:paraId="4746E509"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参与度=国际提案数、主导发布标准数、TC/SC秘书处数量、主席/召集人数量、专家数量标准化加权。</w:t>
            </w:r>
          </w:p>
        </w:tc>
      </w:tr>
      <w:tr w:rsidR="002E2822" w:rsidRPr="002E2822" w14:paraId="5696D843" w14:textId="77777777" w:rsidTr="002E2822">
        <w:trPr>
          <w:jc w:val="center"/>
        </w:trPr>
        <w:tc>
          <w:tcPr>
            <w:tcW w:w="988" w:type="dxa"/>
            <w:vAlign w:val="center"/>
          </w:tcPr>
          <w:p w14:paraId="33DF73D6"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标准外文版供给指数</w:t>
            </w:r>
          </w:p>
        </w:tc>
        <w:tc>
          <w:tcPr>
            <w:tcW w:w="1559" w:type="dxa"/>
            <w:vAlign w:val="center"/>
          </w:tcPr>
          <w:p w14:paraId="1E6BA579"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标准国际传播和</w:t>
            </w:r>
            <w:proofErr w:type="gramStart"/>
            <w:r w:rsidRPr="002E2822">
              <w:rPr>
                <w:rFonts w:ascii="宋体" w:eastAsia="宋体" w:hAnsi="宋体"/>
                <w:sz w:val="18"/>
                <w:szCs w:val="18"/>
              </w:rPr>
              <w:t>可</w:t>
            </w:r>
            <w:proofErr w:type="gramEnd"/>
            <w:r w:rsidRPr="002E2822">
              <w:rPr>
                <w:rFonts w:ascii="宋体" w:eastAsia="宋体" w:hAnsi="宋体"/>
                <w:sz w:val="18"/>
                <w:szCs w:val="18"/>
              </w:rPr>
              <w:t>使用性是标准开放的重要条件；标准国际化不仅包括采标，也包括中国标准走出去。</w:t>
            </w:r>
          </w:p>
        </w:tc>
        <w:tc>
          <w:tcPr>
            <w:tcW w:w="2268" w:type="dxa"/>
            <w:vAlign w:val="center"/>
          </w:tcPr>
          <w:p w14:paraId="22B7C66F"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统计国家标准、行业标准、团体标准外文版数量，重点涉外标准英文版覆盖率，外文</w:t>
            </w:r>
            <w:proofErr w:type="gramStart"/>
            <w:r w:rsidRPr="002E2822">
              <w:rPr>
                <w:rFonts w:ascii="宋体" w:eastAsia="宋体" w:hAnsi="宋体"/>
                <w:sz w:val="18"/>
                <w:szCs w:val="18"/>
              </w:rPr>
              <w:t>版发布</w:t>
            </w:r>
            <w:proofErr w:type="gramEnd"/>
            <w:r w:rsidRPr="002E2822">
              <w:rPr>
                <w:rFonts w:ascii="宋体" w:eastAsia="宋体" w:hAnsi="宋体"/>
                <w:sz w:val="18"/>
                <w:szCs w:val="18"/>
              </w:rPr>
              <w:t>时间滞后。</w:t>
            </w:r>
          </w:p>
        </w:tc>
        <w:tc>
          <w:tcPr>
            <w:tcW w:w="1134" w:type="dxa"/>
            <w:vAlign w:val="center"/>
          </w:tcPr>
          <w:p w14:paraId="7F4461FE"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衡量中国标准被外国企业和国际市场理解、使用和采纳的便利程度。</w:t>
            </w:r>
          </w:p>
        </w:tc>
        <w:tc>
          <w:tcPr>
            <w:tcW w:w="2410" w:type="dxa"/>
            <w:vAlign w:val="center"/>
          </w:tcPr>
          <w:p w14:paraId="7D704D06"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国家标准外文版平台；SAC；国家标准全文公开系统；行业标准外文版平台；中国标准化发展年度报告。</w:t>
            </w:r>
          </w:p>
        </w:tc>
        <w:tc>
          <w:tcPr>
            <w:tcW w:w="2126" w:type="dxa"/>
            <w:vAlign w:val="center"/>
          </w:tcPr>
          <w:p w14:paraId="5847D3D8"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外文版供给指数=外文</w:t>
            </w:r>
            <w:proofErr w:type="gramStart"/>
            <w:r w:rsidRPr="002E2822">
              <w:rPr>
                <w:rFonts w:ascii="宋体" w:eastAsia="宋体" w:hAnsi="宋体"/>
                <w:sz w:val="18"/>
                <w:szCs w:val="18"/>
              </w:rPr>
              <w:t>版标准</w:t>
            </w:r>
            <w:proofErr w:type="gramEnd"/>
            <w:r w:rsidRPr="002E2822">
              <w:rPr>
                <w:rFonts w:ascii="宋体" w:eastAsia="宋体" w:hAnsi="宋体"/>
                <w:sz w:val="18"/>
                <w:szCs w:val="18"/>
              </w:rPr>
              <w:t>数量/重点涉外标准数量；可加入发布时间滞后反向指标：1</w:t>
            </w:r>
            <w:r w:rsidRPr="002E2822">
              <w:rPr>
                <w:rFonts w:ascii="Cambria Math" w:eastAsia="宋体" w:hAnsi="Cambria Math" w:cs="Cambria Math"/>
                <w:sz w:val="18"/>
                <w:szCs w:val="18"/>
              </w:rPr>
              <w:t>−</w:t>
            </w:r>
            <w:r w:rsidRPr="002E2822">
              <w:rPr>
                <w:rFonts w:ascii="宋体" w:eastAsia="宋体" w:hAnsi="宋体"/>
                <w:sz w:val="18"/>
                <w:szCs w:val="18"/>
              </w:rPr>
              <w:t>外文</w:t>
            </w:r>
            <w:proofErr w:type="gramStart"/>
            <w:r w:rsidRPr="002E2822">
              <w:rPr>
                <w:rFonts w:ascii="宋体" w:eastAsia="宋体" w:hAnsi="宋体"/>
                <w:sz w:val="18"/>
                <w:szCs w:val="18"/>
              </w:rPr>
              <w:t>版发布</w:t>
            </w:r>
            <w:proofErr w:type="gramEnd"/>
            <w:r w:rsidRPr="002E2822">
              <w:rPr>
                <w:rFonts w:ascii="宋体" w:eastAsia="宋体" w:hAnsi="宋体"/>
                <w:sz w:val="18"/>
                <w:szCs w:val="18"/>
              </w:rPr>
              <w:t>滞后期标准化值。</w:t>
            </w:r>
          </w:p>
        </w:tc>
      </w:tr>
      <w:tr w:rsidR="002E2822" w:rsidRPr="002E2822" w14:paraId="25260C45" w14:textId="77777777" w:rsidTr="002E2822">
        <w:trPr>
          <w:jc w:val="center"/>
        </w:trPr>
        <w:tc>
          <w:tcPr>
            <w:tcW w:w="988" w:type="dxa"/>
            <w:vAlign w:val="center"/>
          </w:tcPr>
          <w:p w14:paraId="73F37786" w14:textId="073267AB"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企业国际认证覆盖率</w:t>
            </w:r>
            <w:r w:rsidR="00D06560">
              <w:rPr>
                <w:rFonts w:ascii="宋体" w:eastAsia="宋体" w:hAnsi="宋体" w:hint="eastAsia"/>
                <w:sz w:val="18"/>
                <w:szCs w:val="18"/>
              </w:rPr>
              <w:t>（贸</w:t>
            </w:r>
            <w:r w:rsidR="00F07C9E">
              <w:rPr>
                <w:rFonts w:ascii="宋体" w:eastAsia="宋体" w:hAnsi="宋体" w:hint="eastAsia"/>
                <w:sz w:val="18"/>
                <w:szCs w:val="18"/>
              </w:rPr>
              <w:t>）</w:t>
            </w:r>
          </w:p>
        </w:tc>
        <w:tc>
          <w:tcPr>
            <w:tcW w:w="1559" w:type="dxa"/>
            <w:vAlign w:val="center"/>
          </w:tcPr>
          <w:p w14:paraId="5E3D532D"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林峰（2026）强调企业参与国际认证体系；标准开放应传导到企业国际市场准入能力。</w:t>
            </w:r>
          </w:p>
        </w:tc>
        <w:tc>
          <w:tcPr>
            <w:tcW w:w="2268" w:type="dxa"/>
            <w:vAlign w:val="center"/>
          </w:tcPr>
          <w:p w14:paraId="71ACDD28"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统计企业是否获得ISO管理体系认证、CE、UL、RoHS、HACCP、GMP、绿色/碳足迹等国际认证，或是否为AEO高级认证企业。</w:t>
            </w:r>
          </w:p>
        </w:tc>
        <w:tc>
          <w:tcPr>
            <w:tcW w:w="1134" w:type="dxa"/>
            <w:vAlign w:val="center"/>
          </w:tcPr>
          <w:p w14:paraId="0FAD3262"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衡量微观企业层面对国际标准和认证体系的接入程度。</w:t>
            </w:r>
          </w:p>
        </w:tc>
        <w:tc>
          <w:tcPr>
            <w:tcW w:w="2410" w:type="dxa"/>
            <w:vAlign w:val="center"/>
          </w:tcPr>
          <w:p w14:paraId="02728DFB"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CNCA认证认可信息公共服务平台；CNAS认可机构数据；海关AEO企业名单；上市公司年报/ESG报告；企业官网；行业协会认证数据库。</w:t>
            </w:r>
          </w:p>
        </w:tc>
        <w:tc>
          <w:tcPr>
            <w:tcW w:w="2126" w:type="dxa"/>
            <w:vAlign w:val="center"/>
          </w:tcPr>
          <w:p w14:paraId="7FBD8862" w14:textId="77777777" w:rsidR="002E2822" w:rsidRPr="002E2822" w:rsidRDefault="002E2822" w:rsidP="009A302C">
            <w:pPr>
              <w:rPr>
                <w:rFonts w:ascii="宋体" w:eastAsia="宋体" w:hAnsi="宋体" w:hint="eastAsia"/>
                <w:sz w:val="18"/>
                <w:szCs w:val="18"/>
              </w:rPr>
            </w:pPr>
            <w:r w:rsidRPr="002E2822">
              <w:rPr>
                <w:rFonts w:ascii="宋体" w:eastAsia="宋体" w:hAnsi="宋体"/>
                <w:sz w:val="18"/>
                <w:szCs w:val="18"/>
              </w:rPr>
              <w:t>企业国际认证覆盖率=获国际认证企业数/样本企业总数；企业层面可用认证数量或认证类型加权得分。</w:t>
            </w:r>
          </w:p>
        </w:tc>
      </w:tr>
    </w:tbl>
    <w:p w14:paraId="74999711" w14:textId="77777777" w:rsidR="00116F54" w:rsidRPr="002E2822" w:rsidRDefault="00116F54" w:rsidP="00545AE7">
      <w:pPr>
        <w:rPr>
          <w:rFonts w:ascii="宋体" w:eastAsia="宋体" w:hAnsi="宋体" w:hint="eastAsia"/>
          <w:sz w:val="24"/>
        </w:rPr>
      </w:pPr>
    </w:p>
    <w:p w14:paraId="59034154" w14:textId="77777777" w:rsidR="00116F54" w:rsidRPr="002338CC" w:rsidRDefault="00116F54" w:rsidP="00545AE7">
      <w:pPr>
        <w:rPr>
          <w:rFonts w:ascii="宋体" w:eastAsia="宋体" w:hAnsi="宋体" w:hint="eastAsia"/>
          <w:sz w:val="24"/>
        </w:rPr>
      </w:pPr>
    </w:p>
    <w:p w14:paraId="0540B9B0" w14:textId="77777777" w:rsidR="00116F54" w:rsidRDefault="00116F54" w:rsidP="00545AE7">
      <w:pPr>
        <w:rPr>
          <w:rFonts w:ascii="宋体" w:eastAsia="宋体" w:hAnsi="宋体" w:hint="eastAsia"/>
          <w:sz w:val="24"/>
        </w:rPr>
      </w:pPr>
    </w:p>
    <w:p w14:paraId="75F328BC" w14:textId="77777777" w:rsidR="00A64798" w:rsidRDefault="00A64798" w:rsidP="00545AE7">
      <w:pPr>
        <w:rPr>
          <w:rFonts w:ascii="宋体" w:eastAsia="宋体" w:hAnsi="宋体" w:hint="eastAsia"/>
          <w:sz w:val="24"/>
        </w:rPr>
      </w:pPr>
    </w:p>
    <w:p w14:paraId="0B9FA064" w14:textId="77777777" w:rsidR="00A64798" w:rsidRDefault="00A64798" w:rsidP="00545AE7">
      <w:pPr>
        <w:rPr>
          <w:rFonts w:ascii="宋体" w:eastAsia="宋体" w:hAnsi="宋体" w:hint="eastAsia"/>
          <w:sz w:val="24"/>
        </w:rPr>
      </w:pPr>
    </w:p>
    <w:p w14:paraId="67B799E1" w14:textId="77777777" w:rsidR="00A64798" w:rsidRDefault="00A64798" w:rsidP="00545AE7">
      <w:pPr>
        <w:rPr>
          <w:rFonts w:ascii="宋体" w:eastAsia="宋体" w:hAnsi="宋体" w:hint="eastAsia"/>
          <w:sz w:val="24"/>
        </w:rPr>
      </w:pPr>
    </w:p>
    <w:p w14:paraId="1E9867E7" w14:textId="77777777" w:rsidR="00A64798" w:rsidRPr="006B271F" w:rsidRDefault="00A64798" w:rsidP="00545AE7">
      <w:pPr>
        <w:rPr>
          <w:rFonts w:ascii="宋体" w:eastAsia="宋体" w:hAnsi="宋体" w:hint="eastAsia"/>
          <w:sz w:val="24"/>
        </w:rPr>
      </w:pPr>
    </w:p>
    <w:sectPr w:rsidR="00A64798" w:rsidRPr="006B27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83BDF" w14:textId="77777777" w:rsidR="002D4D64" w:rsidRDefault="002D4D64" w:rsidP="006B271F">
      <w:pPr>
        <w:spacing w:after="0" w:line="240" w:lineRule="auto"/>
        <w:rPr>
          <w:rFonts w:hint="eastAsia"/>
        </w:rPr>
      </w:pPr>
      <w:r>
        <w:separator/>
      </w:r>
    </w:p>
  </w:endnote>
  <w:endnote w:type="continuationSeparator" w:id="0">
    <w:p w14:paraId="01113B48" w14:textId="77777777" w:rsidR="002D4D64" w:rsidRDefault="002D4D64" w:rsidP="006B271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5164A" w14:textId="77777777" w:rsidR="002D4D64" w:rsidRDefault="002D4D64" w:rsidP="006B271F">
      <w:pPr>
        <w:spacing w:after="0" w:line="240" w:lineRule="auto"/>
        <w:rPr>
          <w:rFonts w:hint="eastAsia"/>
        </w:rPr>
      </w:pPr>
      <w:r>
        <w:separator/>
      </w:r>
    </w:p>
  </w:footnote>
  <w:footnote w:type="continuationSeparator" w:id="0">
    <w:p w14:paraId="71368AA6" w14:textId="77777777" w:rsidR="002D4D64" w:rsidRDefault="002D4D64" w:rsidP="006B271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6858"/>
    <w:multiLevelType w:val="multilevel"/>
    <w:tmpl w:val="A74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5F52F3"/>
    <w:multiLevelType w:val="hybridMultilevel"/>
    <w:tmpl w:val="684CA3E8"/>
    <w:lvl w:ilvl="0" w:tplc="2F96D2E0">
      <w:start w:val="1"/>
      <w:numFmt w:val="japaneseCounting"/>
      <w:lvlText w:val="（%1）"/>
      <w:lvlJc w:val="left"/>
      <w:pPr>
        <w:ind w:left="756" w:hanging="75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8081823"/>
    <w:multiLevelType w:val="multilevel"/>
    <w:tmpl w:val="BC3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00206">
    <w:abstractNumId w:val="2"/>
  </w:num>
  <w:num w:numId="2" w16cid:durableId="1540585313">
    <w:abstractNumId w:val="0"/>
  </w:num>
  <w:num w:numId="3" w16cid:durableId="1261987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E9A"/>
    <w:rsid w:val="00010DEF"/>
    <w:rsid w:val="000130D0"/>
    <w:rsid w:val="000355CE"/>
    <w:rsid w:val="00062E34"/>
    <w:rsid w:val="000636C0"/>
    <w:rsid w:val="0006739C"/>
    <w:rsid w:val="000753C4"/>
    <w:rsid w:val="0008270E"/>
    <w:rsid w:val="000858CA"/>
    <w:rsid w:val="0009651D"/>
    <w:rsid w:val="000C0EDC"/>
    <w:rsid w:val="000D0339"/>
    <w:rsid w:val="000D3638"/>
    <w:rsid w:val="000D43EB"/>
    <w:rsid w:val="000D629A"/>
    <w:rsid w:val="000E3BE1"/>
    <w:rsid w:val="000F0CDD"/>
    <w:rsid w:val="00116F54"/>
    <w:rsid w:val="0012089D"/>
    <w:rsid w:val="00121249"/>
    <w:rsid w:val="00123393"/>
    <w:rsid w:val="00133C8B"/>
    <w:rsid w:val="00140C4E"/>
    <w:rsid w:val="00141CCD"/>
    <w:rsid w:val="001522E8"/>
    <w:rsid w:val="001560A2"/>
    <w:rsid w:val="00172C21"/>
    <w:rsid w:val="0017556C"/>
    <w:rsid w:val="001A5ECB"/>
    <w:rsid w:val="001B0847"/>
    <w:rsid w:val="001D66BE"/>
    <w:rsid w:val="001E62E5"/>
    <w:rsid w:val="001F7A25"/>
    <w:rsid w:val="0022316D"/>
    <w:rsid w:val="002338CC"/>
    <w:rsid w:val="00241931"/>
    <w:rsid w:val="0024426E"/>
    <w:rsid w:val="0024575E"/>
    <w:rsid w:val="00253647"/>
    <w:rsid w:val="00254425"/>
    <w:rsid w:val="0025691A"/>
    <w:rsid w:val="00277DA0"/>
    <w:rsid w:val="002855B8"/>
    <w:rsid w:val="00292E79"/>
    <w:rsid w:val="0029581C"/>
    <w:rsid w:val="002A1C62"/>
    <w:rsid w:val="002B28E6"/>
    <w:rsid w:val="002D4D64"/>
    <w:rsid w:val="002D7573"/>
    <w:rsid w:val="002E2822"/>
    <w:rsid w:val="002F777B"/>
    <w:rsid w:val="00316009"/>
    <w:rsid w:val="00323B8B"/>
    <w:rsid w:val="00326931"/>
    <w:rsid w:val="00335574"/>
    <w:rsid w:val="00340DC0"/>
    <w:rsid w:val="00356101"/>
    <w:rsid w:val="00370038"/>
    <w:rsid w:val="00374F9D"/>
    <w:rsid w:val="003B29C1"/>
    <w:rsid w:val="003D08EA"/>
    <w:rsid w:val="003E6361"/>
    <w:rsid w:val="003F427F"/>
    <w:rsid w:val="003F5CC8"/>
    <w:rsid w:val="00400D77"/>
    <w:rsid w:val="00422F85"/>
    <w:rsid w:val="00430110"/>
    <w:rsid w:val="004440A3"/>
    <w:rsid w:val="004D1180"/>
    <w:rsid w:val="004D2681"/>
    <w:rsid w:val="004D4261"/>
    <w:rsid w:val="004D4CD2"/>
    <w:rsid w:val="004E140D"/>
    <w:rsid w:val="004E6224"/>
    <w:rsid w:val="004F30BC"/>
    <w:rsid w:val="00511774"/>
    <w:rsid w:val="0051569B"/>
    <w:rsid w:val="00516AB0"/>
    <w:rsid w:val="00522168"/>
    <w:rsid w:val="00526405"/>
    <w:rsid w:val="00540760"/>
    <w:rsid w:val="00545AE7"/>
    <w:rsid w:val="00552B9E"/>
    <w:rsid w:val="0057040A"/>
    <w:rsid w:val="00576176"/>
    <w:rsid w:val="005838F5"/>
    <w:rsid w:val="00593202"/>
    <w:rsid w:val="005948A4"/>
    <w:rsid w:val="005C4C26"/>
    <w:rsid w:val="005E58D6"/>
    <w:rsid w:val="005F6AAD"/>
    <w:rsid w:val="006155DB"/>
    <w:rsid w:val="00636249"/>
    <w:rsid w:val="00664D55"/>
    <w:rsid w:val="00677BF4"/>
    <w:rsid w:val="006955FE"/>
    <w:rsid w:val="006B271F"/>
    <w:rsid w:val="006B5D7A"/>
    <w:rsid w:val="006B63A4"/>
    <w:rsid w:val="006C2BBD"/>
    <w:rsid w:val="006C5A65"/>
    <w:rsid w:val="006C72E4"/>
    <w:rsid w:val="006D04A6"/>
    <w:rsid w:val="006E40C0"/>
    <w:rsid w:val="006E4CDF"/>
    <w:rsid w:val="00717505"/>
    <w:rsid w:val="00720012"/>
    <w:rsid w:val="0072280C"/>
    <w:rsid w:val="00723853"/>
    <w:rsid w:val="00733B20"/>
    <w:rsid w:val="007541A9"/>
    <w:rsid w:val="00754892"/>
    <w:rsid w:val="00756DD6"/>
    <w:rsid w:val="0076253E"/>
    <w:rsid w:val="00765E53"/>
    <w:rsid w:val="00777F45"/>
    <w:rsid w:val="0078116D"/>
    <w:rsid w:val="007812DB"/>
    <w:rsid w:val="00786E9A"/>
    <w:rsid w:val="00791ECD"/>
    <w:rsid w:val="00792020"/>
    <w:rsid w:val="00796481"/>
    <w:rsid w:val="00797AA2"/>
    <w:rsid w:val="007A5EFF"/>
    <w:rsid w:val="007A65B4"/>
    <w:rsid w:val="007B4A72"/>
    <w:rsid w:val="007B6B8D"/>
    <w:rsid w:val="007D159E"/>
    <w:rsid w:val="007F0992"/>
    <w:rsid w:val="00806EB2"/>
    <w:rsid w:val="008754A9"/>
    <w:rsid w:val="00881040"/>
    <w:rsid w:val="008B095E"/>
    <w:rsid w:val="008B5339"/>
    <w:rsid w:val="008B5C6F"/>
    <w:rsid w:val="008C3998"/>
    <w:rsid w:val="00910A67"/>
    <w:rsid w:val="009136ED"/>
    <w:rsid w:val="00913A04"/>
    <w:rsid w:val="00913FDE"/>
    <w:rsid w:val="00916EC5"/>
    <w:rsid w:val="009276CC"/>
    <w:rsid w:val="00927B2C"/>
    <w:rsid w:val="0094531E"/>
    <w:rsid w:val="00985277"/>
    <w:rsid w:val="009978CA"/>
    <w:rsid w:val="009B15F1"/>
    <w:rsid w:val="009D00E5"/>
    <w:rsid w:val="009D169A"/>
    <w:rsid w:val="009E5619"/>
    <w:rsid w:val="009F1EB9"/>
    <w:rsid w:val="00A11B87"/>
    <w:rsid w:val="00A120E9"/>
    <w:rsid w:val="00A1797A"/>
    <w:rsid w:val="00A20CE7"/>
    <w:rsid w:val="00A23718"/>
    <w:rsid w:val="00A54986"/>
    <w:rsid w:val="00A54AE5"/>
    <w:rsid w:val="00A64798"/>
    <w:rsid w:val="00A700C2"/>
    <w:rsid w:val="00A75CE0"/>
    <w:rsid w:val="00A95192"/>
    <w:rsid w:val="00A97688"/>
    <w:rsid w:val="00AB323E"/>
    <w:rsid w:val="00AC6EE9"/>
    <w:rsid w:val="00B21245"/>
    <w:rsid w:val="00B212FF"/>
    <w:rsid w:val="00B222F6"/>
    <w:rsid w:val="00B50BF5"/>
    <w:rsid w:val="00B54CC0"/>
    <w:rsid w:val="00B908A8"/>
    <w:rsid w:val="00BA475F"/>
    <w:rsid w:val="00BA62CB"/>
    <w:rsid w:val="00BB39A0"/>
    <w:rsid w:val="00BC0326"/>
    <w:rsid w:val="00BD4709"/>
    <w:rsid w:val="00BD6A86"/>
    <w:rsid w:val="00BE4914"/>
    <w:rsid w:val="00BF3BD2"/>
    <w:rsid w:val="00C0425C"/>
    <w:rsid w:val="00C06F67"/>
    <w:rsid w:val="00C152E7"/>
    <w:rsid w:val="00C238B2"/>
    <w:rsid w:val="00C23B01"/>
    <w:rsid w:val="00C3591C"/>
    <w:rsid w:val="00C439D4"/>
    <w:rsid w:val="00C50A75"/>
    <w:rsid w:val="00C70B9E"/>
    <w:rsid w:val="00C739C1"/>
    <w:rsid w:val="00C753EB"/>
    <w:rsid w:val="00CA080E"/>
    <w:rsid w:val="00CA0E67"/>
    <w:rsid w:val="00CB595A"/>
    <w:rsid w:val="00CF128A"/>
    <w:rsid w:val="00CF2097"/>
    <w:rsid w:val="00CF66A7"/>
    <w:rsid w:val="00CF6CDA"/>
    <w:rsid w:val="00D04E28"/>
    <w:rsid w:val="00D06560"/>
    <w:rsid w:val="00D31236"/>
    <w:rsid w:val="00D4746E"/>
    <w:rsid w:val="00D57578"/>
    <w:rsid w:val="00D73A8B"/>
    <w:rsid w:val="00D77146"/>
    <w:rsid w:val="00D7715B"/>
    <w:rsid w:val="00D93C7A"/>
    <w:rsid w:val="00DA6FD7"/>
    <w:rsid w:val="00DB0FD4"/>
    <w:rsid w:val="00DD32FC"/>
    <w:rsid w:val="00DF6E74"/>
    <w:rsid w:val="00E01A57"/>
    <w:rsid w:val="00E02F6D"/>
    <w:rsid w:val="00E11B8B"/>
    <w:rsid w:val="00E16D30"/>
    <w:rsid w:val="00E2592A"/>
    <w:rsid w:val="00E31C58"/>
    <w:rsid w:val="00E33C3F"/>
    <w:rsid w:val="00E61A2E"/>
    <w:rsid w:val="00E64DFD"/>
    <w:rsid w:val="00E674E2"/>
    <w:rsid w:val="00E83BEE"/>
    <w:rsid w:val="00EB0C81"/>
    <w:rsid w:val="00EB7AE8"/>
    <w:rsid w:val="00EC07D7"/>
    <w:rsid w:val="00EC3694"/>
    <w:rsid w:val="00ED6A0A"/>
    <w:rsid w:val="00F01ED8"/>
    <w:rsid w:val="00F07C9E"/>
    <w:rsid w:val="00F13715"/>
    <w:rsid w:val="00F22C2A"/>
    <w:rsid w:val="00F24DFF"/>
    <w:rsid w:val="00F32416"/>
    <w:rsid w:val="00F440BB"/>
    <w:rsid w:val="00F55F0D"/>
    <w:rsid w:val="00F6240B"/>
    <w:rsid w:val="00F64CE3"/>
    <w:rsid w:val="00F70FC2"/>
    <w:rsid w:val="00F81EC8"/>
    <w:rsid w:val="00F907A5"/>
    <w:rsid w:val="00FB2F72"/>
    <w:rsid w:val="00FC5CF7"/>
    <w:rsid w:val="00FC6BEE"/>
    <w:rsid w:val="00FF0693"/>
    <w:rsid w:val="00FF2A6A"/>
    <w:rsid w:val="00FF4093"/>
    <w:rsid w:val="00FF6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34187"/>
  <w15:chartTrackingRefBased/>
  <w15:docId w15:val="{EB79F919-1DA1-42E6-930C-6597E65A9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38CC"/>
    <w:pPr>
      <w:widowControl w:val="0"/>
    </w:pPr>
  </w:style>
  <w:style w:type="paragraph" w:styleId="1">
    <w:name w:val="heading 1"/>
    <w:basedOn w:val="a"/>
    <w:next w:val="a"/>
    <w:link w:val="10"/>
    <w:uiPriority w:val="9"/>
    <w:qFormat/>
    <w:rsid w:val="00786E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86E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6E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6E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6E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86E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6E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6E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6E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6E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86E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6E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6E9A"/>
    <w:rPr>
      <w:rFonts w:cstheme="majorBidi"/>
      <w:color w:val="0F4761" w:themeColor="accent1" w:themeShade="BF"/>
      <w:sz w:val="28"/>
      <w:szCs w:val="28"/>
    </w:rPr>
  </w:style>
  <w:style w:type="character" w:customStyle="1" w:styleId="50">
    <w:name w:val="标题 5 字符"/>
    <w:basedOn w:val="a0"/>
    <w:link w:val="5"/>
    <w:uiPriority w:val="9"/>
    <w:semiHidden/>
    <w:rsid w:val="00786E9A"/>
    <w:rPr>
      <w:rFonts w:cstheme="majorBidi"/>
      <w:color w:val="0F4761" w:themeColor="accent1" w:themeShade="BF"/>
      <w:sz w:val="24"/>
    </w:rPr>
  </w:style>
  <w:style w:type="character" w:customStyle="1" w:styleId="60">
    <w:name w:val="标题 6 字符"/>
    <w:basedOn w:val="a0"/>
    <w:link w:val="6"/>
    <w:uiPriority w:val="9"/>
    <w:semiHidden/>
    <w:rsid w:val="00786E9A"/>
    <w:rPr>
      <w:rFonts w:cstheme="majorBidi"/>
      <w:b/>
      <w:bCs/>
      <w:color w:val="0F4761" w:themeColor="accent1" w:themeShade="BF"/>
    </w:rPr>
  </w:style>
  <w:style w:type="character" w:customStyle="1" w:styleId="70">
    <w:name w:val="标题 7 字符"/>
    <w:basedOn w:val="a0"/>
    <w:link w:val="7"/>
    <w:uiPriority w:val="9"/>
    <w:semiHidden/>
    <w:rsid w:val="00786E9A"/>
    <w:rPr>
      <w:rFonts w:cstheme="majorBidi"/>
      <w:b/>
      <w:bCs/>
      <w:color w:val="595959" w:themeColor="text1" w:themeTint="A6"/>
    </w:rPr>
  </w:style>
  <w:style w:type="character" w:customStyle="1" w:styleId="80">
    <w:name w:val="标题 8 字符"/>
    <w:basedOn w:val="a0"/>
    <w:link w:val="8"/>
    <w:uiPriority w:val="9"/>
    <w:semiHidden/>
    <w:rsid w:val="00786E9A"/>
    <w:rPr>
      <w:rFonts w:cstheme="majorBidi"/>
      <w:color w:val="595959" w:themeColor="text1" w:themeTint="A6"/>
    </w:rPr>
  </w:style>
  <w:style w:type="character" w:customStyle="1" w:styleId="90">
    <w:name w:val="标题 9 字符"/>
    <w:basedOn w:val="a0"/>
    <w:link w:val="9"/>
    <w:uiPriority w:val="9"/>
    <w:semiHidden/>
    <w:rsid w:val="00786E9A"/>
    <w:rPr>
      <w:rFonts w:eastAsiaTheme="majorEastAsia" w:cstheme="majorBidi"/>
      <w:color w:val="595959" w:themeColor="text1" w:themeTint="A6"/>
    </w:rPr>
  </w:style>
  <w:style w:type="paragraph" w:styleId="a3">
    <w:name w:val="Title"/>
    <w:basedOn w:val="a"/>
    <w:next w:val="a"/>
    <w:link w:val="a4"/>
    <w:uiPriority w:val="10"/>
    <w:qFormat/>
    <w:rsid w:val="00786E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6E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6E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6E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6E9A"/>
    <w:pPr>
      <w:spacing w:before="160"/>
      <w:jc w:val="center"/>
    </w:pPr>
    <w:rPr>
      <w:i/>
      <w:iCs/>
      <w:color w:val="404040" w:themeColor="text1" w:themeTint="BF"/>
    </w:rPr>
  </w:style>
  <w:style w:type="character" w:customStyle="1" w:styleId="a8">
    <w:name w:val="引用 字符"/>
    <w:basedOn w:val="a0"/>
    <w:link w:val="a7"/>
    <w:uiPriority w:val="29"/>
    <w:rsid w:val="00786E9A"/>
    <w:rPr>
      <w:i/>
      <w:iCs/>
      <w:color w:val="404040" w:themeColor="text1" w:themeTint="BF"/>
    </w:rPr>
  </w:style>
  <w:style w:type="paragraph" w:styleId="a9">
    <w:name w:val="List Paragraph"/>
    <w:basedOn w:val="a"/>
    <w:uiPriority w:val="34"/>
    <w:qFormat/>
    <w:rsid w:val="00786E9A"/>
    <w:pPr>
      <w:ind w:left="720"/>
      <w:contextualSpacing/>
    </w:pPr>
  </w:style>
  <w:style w:type="character" w:styleId="aa">
    <w:name w:val="Intense Emphasis"/>
    <w:basedOn w:val="a0"/>
    <w:uiPriority w:val="21"/>
    <w:qFormat/>
    <w:rsid w:val="00786E9A"/>
    <w:rPr>
      <w:i/>
      <w:iCs/>
      <w:color w:val="0F4761" w:themeColor="accent1" w:themeShade="BF"/>
    </w:rPr>
  </w:style>
  <w:style w:type="paragraph" w:styleId="ab">
    <w:name w:val="Intense Quote"/>
    <w:basedOn w:val="a"/>
    <w:next w:val="a"/>
    <w:link w:val="ac"/>
    <w:uiPriority w:val="30"/>
    <w:qFormat/>
    <w:rsid w:val="00786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6E9A"/>
    <w:rPr>
      <w:i/>
      <w:iCs/>
      <w:color w:val="0F4761" w:themeColor="accent1" w:themeShade="BF"/>
    </w:rPr>
  </w:style>
  <w:style w:type="character" w:styleId="ad">
    <w:name w:val="Intense Reference"/>
    <w:basedOn w:val="a0"/>
    <w:uiPriority w:val="32"/>
    <w:qFormat/>
    <w:rsid w:val="00786E9A"/>
    <w:rPr>
      <w:b/>
      <w:bCs/>
      <w:smallCaps/>
      <w:color w:val="0F4761" w:themeColor="accent1" w:themeShade="BF"/>
      <w:spacing w:val="5"/>
    </w:rPr>
  </w:style>
  <w:style w:type="paragraph" w:styleId="ae">
    <w:name w:val="Normal (Web)"/>
    <w:basedOn w:val="a"/>
    <w:uiPriority w:val="99"/>
    <w:unhideWhenUsed/>
    <w:rsid w:val="00545AE7"/>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header"/>
    <w:basedOn w:val="a"/>
    <w:link w:val="af0"/>
    <w:uiPriority w:val="99"/>
    <w:unhideWhenUsed/>
    <w:rsid w:val="006B271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6B271F"/>
    <w:rPr>
      <w:sz w:val="18"/>
      <w:szCs w:val="18"/>
    </w:rPr>
  </w:style>
  <w:style w:type="paragraph" w:styleId="af1">
    <w:name w:val="footer"/>
    <w:basedOn w:val="a"/>
    <w:link w:val="af2"/>
    <w:uiPriority w:val="99"/>
    <w:unhideWhenUsed/>
    <w:rsid w:val="006B271F"/>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6B271F"/>
    <w:rPr>
      <w:sz w:val="18"/>
      <w:szCs w:val="18"/>
    </w:rPr>
  </w:style>
  <w:style w:type="table" w:styleId="af3">
    <w:name w:val="Table Grid"/>
    <w:basedOn w:val="a1"/>
    <w:uiPriority w:val="59"/>
    <w:rsid w:val="00881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a"/>
    <w:uiPriority w:val="40"/>
    <w:qFormat/>
    <w:rsid w:val="00985277"/>
    <w:pPr>
      <w:widowControl/>
      <w:tabs>
        <w:tab w:val="decimal" w:pos="360"/>
      </w:tabs>
      <w:spacing w:after="200" w:line="276" w:lineRule="auto"/>
    </w:pPr>
    <w:rPr>
      <w:rFonts w:cs="Times New Roman"/>
      <w:kern w:val="0"/>
      <w:szCs w:val="22"/>
      <w14:ligatures w14:val="none"/>
    </w:rPr>
  </w:style>
  <w:style w:type="paragraph" w:styleId="af4">
    <w:name w:val="footnote text"/>
    <w:basedOn w:val="a"/>
    <w:link w:val="af5"/>
    <w:uiPriority w:val="99"/>
    <w:unhideWhenUsed/>
    <w:rsid w:val="00985277"/>
    <w:pPr>
      <w:widowControl/>
      <w:spacing w:after="0" w:line="240" w:lineRule="auto"/>
    </w:pPr>
    <w:rPr>
      <w:rFonts w:cs="Times New Roman"/>
      <w:kern w:val="0"/>
      <w:sz w:val="20"/>
      <w:szCs w:val="20"/>
      <w14:ligatures w14:val="none"/>
    </w:rPr>
  </w:style>
  <w:style w:type="character" w:customStyle="1" w:styleId="af5">
    <w:name w:val="脚注文本 字符"/>
    <w:basedOn w:val="a0"/>
    <w:link w:val="af4"/>
    <w:uiPriority w:val="99"/>
    <w:rsid w:val="00985277"/>
    <w:rPr>
      <w:rFonts w:cs="Times New Roman"/>
      <w:kern w:val="0"/>
      <w:sz w:val="20"/>
      <w:szCs w:val="20"/>
      <w14:ligatures w14:val="none"/>
    </w:rPr>
  </w:style>
  <w:style w:type="character" w:styleId="af6">
    <w:name w:val="Subtle Emphasis"/>
    <w:basedOn w:val="a0"/>
    <w:uiPriority w:val="19"/>
    <w:qFormat/>
    <w:rsid w:val="00985277"/>
    <w:rPr>
      <w:i/>
      <w:iCs/>
    </w:rPr>
  </w:style>
  <w:style w:type="table" w:styleId="-1">
    <w:name w:val="Light Shading Accent 1"/>
    <w:basedOn w:val="a1"/>
    <w:uiPriority w:val="60"/>
    <w:rsid w:val="00985277"/>
    <w:pPr>
      <w:spacing w:after="0" w:line="240" w:lineRule="auto"/>
    </w:pPr>
    <w:rPr>
      <w:color w:val="0F4761" w:themeColor="accent1" w:themeShade="BF"/>
      <w:kern w:val="0"/>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styleId="af7">
    <w:name w:val="Hyperlink"/>
    <w:basedOn w:val="a0"/>
    <w:uiPriority w:val="99"/>
    <w:unhideWhenUsed/>
    <w:rsid w:val="00EB7AE8"/>
    <w:rPr>
      <w:color w:val="467886" w:themeColor="hyperlink"/>
      <w:u w:val="single"/>
    </w:rPr>
  </w:style>
  <w:style w:type="character" w:styleId="af8">
    <w:name w:val="Unresolved Mention"/>
    <w:basedOn w:val="a0"/>
    <w:uiPriority w:val="99"/>
    <w:semiHidden/>
    <w:unhideWhenUsed/>
    <w:rsid w:val="00EB7AE8"/>
    <w:rPr>
      <w:color w:val="605E5C"/>
      <w:shd w:val="clear" w:color="auto" w:fill="E1DFDD"/>
    </w:rPr>
  </w:style>
  <w:style w:type="character" w:styleId="af9">
    <w:name w:val="Placeholder Text"/>
    <w:basedOn w:val="a0"/>
    <w:uiPriority w:val="99"/>
    <w:semiHidden/>
    <w:rsid w:val="001A5E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s/ase4tFBQcS7fHdbTrXcTd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p.weixin.qq.com/s/b8kJGZl1dGPVw08j9Vcfx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p.weixin.qq.com/s/b8kJGZl1dGPVw08j9Vcfxg" TargetMode="External"/><Relationship Id="rId5" Type="http://schemas.openxmlformats.org/officeDocument/2006/relationships/webSettings" Target="webSettings.xml"/><Relationship Id="rId10" Type="http://schemas.openxmlformats.org/officeDocument/2006/relationships/hyperlink" Target="https://mp.weixin.qq.com/s/b8kJGZl1dGPVw08j9Vcfxg" TargetMode="External"/><Relationship Id="rId4" Type="http://schemas.openxmlformats.org/officeDocument/2006/relationships/settings" Target="settings.xml"/><Relationship Id="rId9" Type="http://schemas.openxmlformats.org/officeDocument/2006/relationships/hyperlink" Target="https://mp.weixin.qq.com/s/b8kJGZl1dGPVw08j9Vcfxg"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DE1E1-018E-4C2D-8B89-FD641DA97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2109</TotalTime>
  <Pages>23</Pages>
  <Words>3963</Words>
  <Characters>22595</Characters>
  <Application>Microsoft Office Word</Application>
  <DocSecurity>0</DocSecurity>
  <Lines>188</Lines>
  <Paragraphs>53</Paragraphs>
  <ScaleCrop>false</ScaleCrop>
  <Company/>
  <LinksUpToDate>false</LinksUpToDate>
  <CharactersWithSpaces>26505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镇宇 杨</dc:creator>
  <cp:keywords/>
  <dc:description/>
  <cp:lastModifiedBy>镇宇 杨</cp:lastModifiedBy>
  <cp:revision>172</cp:revision>
  <dcterms:created xsi:type="dcterms:W3CDTF">2026-05-28T05:44:00Z</dcterms:created>
  <dcterms:modified xsi:type="dcterms:W3CDTF">2026-06-06T10:53:00Z</dcterms:modified>
</cp:coreProperties>
</file>