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B3C5" w14:textId="77777777" w:rsidR="008339D7" w:rsidRDefault="00000000">
      <w:pPr>
        <w:pStyle w:val="affb"/>
        <w:snapToGrid w:val="0"/>
      </w:pPr>
      <w:bookmarkStart w:id="0" w:name="dta-制度型开放与制度型成本变化的测算"/>
      <w:r>
        <w:t xml:space="preserve">DTA </w:t>
      </w:r>
      <w:r>
        <w:t>制度型开放与制度型成本变化的测算</w:t>
      </w:r>
    </w:p>
    <w:p w14:paraId="571656F8" w14:textId="77777777" w:rsidR="008339D7" w:rsidRDefault="00000000">
      <w:pPr>
        <w:pStyle w:val="affc"/>
        <w:snapToGrid w:val="0"/>
      </w:pPr>
      <w:bookmarkStart w:id="1" w:name="测算思路与基础数据"/>
      <w:r>
        <w:t>测算思路与基础数据</w:t>
      </w:r>
    </w:p>
    <w:p w14:paraId="0F135019" w14:textId="77777777" w:rsidR="008339D7" w:rsidRDefault="00000000">
      <w:pPr>
        <w:pStyle w:val="aff9"/>
      </w:pPr>
      <w:r>
        <w:t>本文将制度型开放界定为深度贸易协定（</w:t>
      </w:r>
      <w:r>
        <w:t>Deep Trade Agreements, DTA</w:t>
      </w:r>
      <w:r>
        <w:t>）中能够被观察、分类和复核的制度承诺，而不将剔除地理因素后的宽泛残差直接解释为制度型成本。其基本逻辑是：首先在条款层面识别协定是否确立了与国际经贸活动相关的实体规则、监管规制、行政管理或技术标准；继而判断这些制度安排直接作用于贸易渠道、跨国生产（投资）渠道，还是同时作用于两者；最后依据协定成员和生效年份，将条款权重聚合为协定层面以及国家对</w:t>
      </w:r>
      <w:r>
        <w:t>—</w:t>
      </w:r>
      <w:r>
        <w:t>年份层面的制度型开放指数。由此，本文所识别的制度型成本变化被严格限定为</w:t>
      </w:r>
      <w:r>
        <w:t xml:space="preserve"> DTA </w:t>
      </w:r>
      <w:r>
        <w:t>制度条款深化所诱发的可解释成本变化，而非所有未被观测变量解释的双边摩擦。</w:t>
      </w:r>
    </w:p>
    <w:p w14:paraId="72F4870D" w14:textId="77777777" w:rsidR="008339D7" w:rsidRDefault="00000000">
      <w:pPr>
        <w:pStyle w:val="aff9"/>
      </w:pPr>
      <w:r>
        <w:t>基础数据来自</w:t>
      </w:r>
      <w:r>
        <w:t xml:space="preserve"> DTA 2.0 </w:t>
      </w:r>
      <w:r>
        <w:t>垂直条款数据库（</w:t>
      </w:r>
      <w:r>
        <w:t>Hofmann et al., 2017, 2019; Mattoo et al., 2020</w:t>
      </w:r>
      <w:r>
        <w:t>）。本文分别读取原始数据库中的条款表、协定信息表和双边关系表，并以</w:t>
      </w:r>
      <w:r>
        <w:t xml:space="preserve"> World Bank agreement ID </w:t>
      </w:r>
      <w:r>
        <w:t>为连接键，构建条款主表、协定</w:t>
      </w:r>
      <w:r>
        <w:t>—</w:t>
      </w:r>
      <w:r>
        <w:t>条款覆盖矩阵、协定元数据表和双边</w:t>
      </w:r>
      <w:r>
        <w:t>—</w:t>
      </w:r>
      <w:r>
        <w:t>年份生效协定表。当前版本共包含</w:t>
      </w:r>
      <w:r>
        <w:t xml:space="preserve"> 1,071 </w:t>
      </w:r>
      <w:r>
        <w:t>项可编码条款、</w:t>
      </w:r>
      <w:r>
        <w:t xml:space="preserve">400 </w:t>
      </w:r>
      <w:r>
        <w:t>份协定以及</w:t>
      </w:r>
      <w:r>
        <w:t xml:space="preserve"> 1958—2023 </w:t>
      </w:r>
      <w:r>
        <w:t>年的</w:t>
      </w:r>
      <w:r>
        <w:t xml:space="preserve"> 293,949 </w:t>
      </w:r>
      <w:r>
        <w:t>条生效协定</w:t>
      </w:r>
      <w:r>
        <w:t>—</w:t>
      </w:r>
      <w:r>
        <w:t>国家对</w:t>
      </w:r>
      <w:r>
        <w:t>—</w:t>
      </w:r>
      <w:r>
        <w:t>年份记录。设</w:t>
      </w:r>
      <w:r>
        <w:t xml:space="preserve"> </w:t>
      </w:r>
      <m:oMath>
        <m:r>
          <w:rPr>
            <w:rFonts w:ascii="Cambria Math" w:hAnsi="Cambria Math"/>
          </w:rPr>
          <m:t>a</m:t>
        </m:r>
      </m:oMath>
      <w:r>
        <w:t xml:space="preserve"> </w:t>
      </w:r>
      <w:r>
        <w:t>表示协定，</w:t>
      </w:r>
      <m:oMath>
        <m:r>
          <w:rPr>
            <w:rFonts w:ascii="Cambria Math" w:hAnsi="Cambria Math"/>
          </w:rPr>
          <m:t>k</m:t>
        </m:r>
      </m:oMath>
      <w:r>
        <w:t xml:space="preserve"> </w:t>
      </w:r>
      <w:r>
        <w:t>表示条款，协定</w:t>
      </w:r>
      <w:r>
        <w:t>—</w:t>
      </w:r>
      <w:r>
        <w:t>条款覆盖变量记为</w:t>
      </w:r>
    </w:p>
    <w:p w14:paraId="29EDF1DD" w14:textId="77777777" w:rsidR="008339D7" w:rsidRPr="00D94839" w:rsidRDefault="00000000">
      <w:pPr>
        <w:pStyle w:val="affa"/>
        <w:snapToGrid w:val="0"/>
      </w:pPr>
      <m:oMathPara>
        <m:oMathParaPr>
          <m:jc m:val="left"/>
        </m:oMathParaPr>
        <m:oMath>
          <m:sSub>
            <m:sSubPr>
              <m:ctrlPr>
                <w:rPr>
                  <w:rFonts w:ascii="Cambria Math" w:hAnsi="Cambria Math"/>
                </w:rPr>
              </m:ctrlPr>
            </m:sSubPr>
            <m:e>
              <m:r>
                <w:rPr>
                  <w:rFonts w:ascii="Cambria Math" w:hAnsi="Cambria Math"/>
                </w:rPr>
                <m:t>x</m:t>
              </m:r>
            </m:e>
            <m:sub>
              <m:r>
                <w:rPr>
                  <w:rFonts w:ascii="Cambria Math" w:hAnsi="Cambria Math"/>
                </w:rPr>
                <m:t>ak</m:t>
              </m:r>
            </m:sub>
          </m:sSub>
          <m:r>
            <m:rPr>
              <m:sty m:val="p"/>
            </m:rPr>
            <w:rPr>
              <w:rFonts w:ascii="Cambria Math" w:hAnsi="Cambria Math"/>
            </w:rPr>
            <m:t>∈</m:t>
          </m:r>
          <m:r>
            <m:rPr>
              <m:sty m:val="p"/>
            </m:rPr>
            <w:rPr>
              <w:rFonts w:ascii="Cambria Math" w:hAnsi="Cambria Math"/>
            </w:rPr>
            <m:t>[0,1]</m:t>
          </m:r>
          <m:r>
            <w:rPr>
              <w:rFonts w:ascii="Cambria Math" w:hAnsi="Cambria Math"/>
            </w:rPr>
            <m:t>  </m:t>
          </m:r>
          <m:r>
            <m:rPr>
              <m:nor/>
            </m:rPr>
            <m:t>(1</m:t>
          </m:r>
          <m:r>
            <m:rPr>
              <m:nor/>
            </m:rPr>
            <m:t>)</m:t>
          </m:r>
        </m:oMath>
      </m:oMathPara>
    </w:p>
    <w:p w14:paraId="286473BE" w14:textId="77777777" w:rsidR="008339D7" w:rsidRDefault="00000000">
      <w:pPr>
        <w:pStyle w:val="aff9"/>
      </w:pPr>
      <w:r>
        <w:t>程序允许</w:t>
      </w:r>
      <w:r>
        <w:t xml:space="preserve"> </w:t>
      </w:r>
      <m:oMath>
        <m:sSub>
          <m:sSubPr>
            <m:ctrlPr>
              <w:rPr>
                <w:rFonts w:ascii="Cambria Math" w:hAnsi="Cambria Math"/>
              </w:rPr>
            </m:ctrlPr>
          </m:sSubPr>
          <m:e>
            <m:r>
              <w:rPr>
                <w:rFonts w:ascii="Cambria Math" w:hAnsi="Cambria Math"/>
              </w:rPr>
              <m:t>x</m:t>
            </m:r>
          </m:e>
          <m:sub>
            <m:r>
              <w:rPr>
                <w:rFonts w:ascii="Cambria Math" w:hAnsi="Cambria Math"/>
              </w:rPr>
              <m:t>ak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，保留编码后条款的部分覆盖信息；当前数据实际包含</w:t>
      </w:r>
      <w:r>
        <w:t xml:space="preserve"> 0 </w:t>
      </w:r>
      <w:r>
        <w:t>、</w:t>
      </w:r>
      <w:r>
        <w:t xml:space="preserve"> 1 及二者之间的部分覆盖值</w:t>
      </w:r>
      <w:r>
        <w:t>。其中 1 表示完全覆盖，介于 0 与 1 之间的取值表示部分覆盖，0 表示不覆盖或覆盖值为空白；该规则仅适用于 DTA 条款覆盖值，不适用于回归控制变量的缺失值。所有条款均获得唯一且稳定的条款编号；进入测算前，程序检查覆盖值是否位于合法区间、条款与协定编号是否唯一，以及双边记录中的协定编号和年份是否缺失。</w:t>
      </w:r>
    </w:p>
    <w:p w14:paraId="30B90C4D" w14:textId="77777777" w:rsidR="008339D7" w:rsidRDefault="00000000">
      <w:pPr>
        <w:pStyle w:val="affc"/>
        <w:snapToGrid w:val="0"/>
      </w:pPr>
      <w:bookmarkStart w:id="2" w:name="条款层面的制度属性识别"/>
      <w:bookmarkEnd w:id="1"/>
      <w:r>
        <w:t>条款层面的制度属性识别</w:t>
      </w:r>
    </w:p>
    <w:p w14:paraId="4619BC5D" w14:textId="77777777" w:rsidR="008339D7" w:rsidRDefault="00000000">
      <w:pPr>
        <w:pStyle w:val="aff9"/>
      </w:pPr>
      <w:r>
        <w:t>条款编码采用</w:t>
      </w:r>
      <w:r>
        <w:t>“</w:t>
      </w:r>
      <w:r>
        <w:t>制度属性识别</w:t>
      </w:r>
      <w:r>
        <w:t>—</w:t>
      </w:r>
      <w:r>
        <w:t>主导维度识别</w:t>
      </w:r>
      <w:r>
        <w:t>—</w:t>
      </w:r>
      <w:r>
        <w:t>作用渠道识别</w:t>
      </w:r>
      <w:r>
        <w:t>”</w:t>
      </w:r>
      <w:r>
        <w:t>的递进结构。模型</w:t>
      </w:r>
      <w:r>
        <w:t xml:space="preserve"> A </w:t>
      </w:r>
      <w:r>
        <w:t>为</w:t>
      </w:r>
      <w:r>
        <w:t xml:space="preserve"> DeepSeek-v4-pro</w:t>
      </w:r>
      <w:r>
        <w:t>，模型</w:t>
      </w:r>
      <w:r>
        <w:t xml:space="preserve"> B </w:t>
      </w:r>
      <w:r>
        <w:t>为</w:t>
      </w:r>
      <w:r>
        <w:t xml:space="preserve"> qwen3.7-plus</w:t>
      </w:r>
      <w:r>
        <w:t>，二者使用完全相同的条款文本、政策领域、原始编码、提示词和结构化输出格式进行独立判断，且在编码时互不获知对方结果；分歧样本由仲裁模型</w:t>
      </w:r>
      <w:r>
        <w:t xml:space="preserve"> GLM-5 </w:t>
      </w:r>
      <w:r>
        <w:t>复核。所有模型调用均将温度设为</w:t>
      </w:r>
      <w:r>
        <w:t xml:space="preserve"> 0</w:t>
      </w:r>
      <w:r>
        <w:t>、</w:t>
      </w:r>
      <m:oMath>
        <m:r>
          <w:rPr>
            <w:rFonts w:ascii="Cambria Math" w:hAnsi="Cambria Math"/>
          </w:rPr>
          <m:t>top</m:t>
        </m:r>
        <m:r>
          <m:rPr>
            <m:sty m:val="p"/>
          </m:rPr>
          <w:rPr>
            <w:rFonts w:ascii="Cambria Math" w:hAnsi="Cambria Math"/>
          </w:rPr>
          <m:t>_</m:t>
        </m:r>
        <m:r>
          <w:rPr>
            <w:rFonts w:ascii="Cambria Math" w:hAnsi="Cambria Math"/>
          </w:rPr>
          <m:t>p</m:t>
        </m:r>
      </m:oMath>
      <w:r>
        <w:t xml:space="preserve"> </w:t>
      </w:r>
      <w:r>
        <w:t>设为</w:t>
      </w:r>
      <w:r>
        <w:t xml:space="preserve"> 1</w:t>
      </w:r>
      <w:r>
        <w:t>，并关闭思考模式，以减少随机采样造成的重复测量误差。</w:t>
      </w:r>
    </w:p>
    <w:p w14:paraId="645C262E" w14:textId="77777777" w:rsidR="008339D7" w:rsidRDefault="00000000">
      <w:pPr>
        <w:pStyle w:val="aff9"/>
      </w:pPr>
      <w:r>
        <w:t>第一步识别条款是否构成制度型开放。设</w:t>
      </w:r>
      <w:r>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t>表示条款</w:t>
      </w:r>
      <w:r>
        <w:t xml:space="preserve"> </w:t>
      </w:r>
      <m:oMath>
        <m:r>
          <w:rPr>
            <w:rFonts w:ascii="Cambria Math" w:hAnsi="Cambria Math"/>
          </w:rPr>
          <m:t>k</m:t>
        </m:r>
      </m:oMath>
      <w:r>
        <w:t xml:space="preserve"> </w:t>
      </w:r>
      <w:r>
        <w:t>的制度型开放属性。当条款直接确立下列至少一类制度安排时，令</w:t>
      </w:r>
      <w:r>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1</m:t>
        </m:r>
      </m:oMath>
      <w:r>
        <w:t>：一是权利、义务、禁止、待遇、适用范围或争端解决等实体规则；二是准入条件、许可要求、竞争约束、监管限制或合规监督等规制安排；三是申请、审查、通关、信息公开、机构协调、办理时限或风险管理等行政实施机制；四是技术法规、检验检测、认证认可、合格评定、等效或互认等标准安排。仅包含章节标题、目录指引、一般合作意愿、原则性对话安排，或仅规定关税税率、配额数量和削减时间表而不含制度规则的条款，记为</w:t>
      </w:r>
      <w:r>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0</m:t>
        </m:r>
      </m:oMath>
      <w:r>
        <w:t>。这一门槛使测量对象落在具有明确制度功能的承诺上，避免按政策领域或关键词机械计分。</w:t>
      </w:r>
    </w:p>
    <w:p w14:paraId="3E31B037" w14:textId="77777777" w:rsidR="008339D7" w:rsidRDefault="00000000">
      <w:pPr>
        <w:pStyle w:val="aff9"/>
      </w:pPr>
      <w:r>
        <w:lastRenderedPageBreak/>
        <w:t>第二步仅对</w:t>
      </w:r>
      <w:r>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1</m:t>
        </m:r>
      </m:oMath>
      <w:r>
        <w:t xml:space="preserve"> </w:t>
      </w:r>
      <w:r>
        <w:t>的条款识别其主导制度维度。本文按照条款最直接改变的制度对象或最主要的可执行功能，将其互斥地归入规则（</w:t>
      </w:r>
      <w:r>
        <w:t>rules</w:t>
      </w:r>
      <w:r>
        <w:t>）、规制（</w:t>
      </w:r>
      <w:r>
        <w:t>regulation</w:t>
      </w:r>
      <w:r>
        <w:t>）、管理（</w:t>
      </w:r>
      <w:r>
        <w:t>management</w:t>
      </w:r>
      <w:r>
        <w:t>）和标准（</w:t>
      </w:r>
      <w:r>
        <w:t>standards</w:t>
      </w:r>
      <w:r>
        <w:t>）之一。规则维度强调实体权利义务、待遇、禁止、资格、适用范围和法律后果；规制维度强调政府针对行业、市场主体或经济活动设置的监管条件、限制与监督要求；管理维度强调政府或协定机构实施、办理、协调和控制具体事务的行政程序；标准维度则强调技术、质量、安全、卫生或性能要求以及确认符合要求的检验认证机制。双模型在第一步的二元判断或第二步的主导维度判断上只要不一致，相应条款即进入仲裁程序。最终结果的采用顺序为：已完成的人工复核结论优先于有效仲裁结果，有效仲裁结果优先于未解决状态；任何未解决条款都会阻断后续测算，不允许以单一模型结果自动回填。</w:t>
      </w:r>
    </w:p>
    <w:p w14:paraId="13421157" w14:textId="77777777" w:rsidR="008339D7" w:rsidRDefault="00000000">
      <w:pPr>
        <w:pStyle w:val="aff9"/>
      </w:pPr>
      <w:r>
        <w:t>在</w:t>
      </w:r>
      <w:r>
        <w:t xml:space="preserve"> 1,071 </w:t>
      </w:r>
      <w:r>
        <w:t>项条款中，第一步最终识别出</w:t>
      </w:r>
      <w:r>
        <w:t xml:space="preserve"> 764 </w:t>
      </w:r>
      <w:r>
        <w:t>项制度型开放条款和</w:t>
      </w:r>
      <w:r>
        <w:t xml:space="preserve"> 307 </w:t>
      </w:r>
      <w:r>
        <w:t>项非制度型开放条款。两个模型在制度属性判断上有</w:t>
      </w:r>
      <w:r>
        <w:t xml:space="preserve"> 103 </w:t>
      </w:r>
      <w:r>
        <w:t>项分歧，占全部条款的</w:t>
      </w:r>
      <w:r>
        <w:t xml:space="preserve"> 9.62%</w:t>
      </w:r>
      <w:r>
        <w:t>；在</w:t>
      </w:r>
      <w:r>
        <w:t xml:space="preserve"> 764 </w:t>
      </w:r>
      <w:r>
        <w:t>项制度型开放条款中，主导维度判断有</w:t>
      </w:r>
      <w:r>
        <w:t xml:space="preserve"> 109 </w:t>
      </w:r>
      <w:r>
        <w:t>项分歧，占该阶段样本的</w:t>
      </w:r>
      <w:r>
        <w:t xml:space="preserve"> 14.27%</w:t>
      </w:r>
      <w:r>
        <w:t>。经仲裁后，</w:t>
      </w:r>
      <w:r>
        <w:t xml:space="preserve">764 </w:t>
      </w:r>
      <w:r>
        <w:t>项制度型开放条款中，规则、规制、管理和标准维度分别为</w:t>
      </w:r>
      <w:r>
        <w:t xml:space="preserve"> 497</w:t>
      </w:r>
      <w:r>
        <w:t>、</w:t>
      </w:r>
      <w:r>
        <w:t>47</w:t>
      </w:r>
      <w:r>
        <w:t>、</w:t>
      </w:r>
      <w:r>
        <w:t xml:space="preserve">189 </w:t>
      </w:r>
      <w:r>
        <w:t>和</w:t>
      </w:r>
      <w:r>
        <w:t xml:space="preserve"> 31 </w:t>
      </w:r>
      <w:r>
        <w:t>项，全部条款均获得确定分类。</w:t>
      </w:r>
    </w:p>
    <w:p w14:paraId="689FE489" w14:textId="77777777" w:rsidR="008339D7" w:rsidRDefault="00000000">
      <w:pPr>
        <w:pStyle w:val="affc"/>
        <w:snapToGrid w:val="0"/>
      </w:pPr>
      <w:bookmarkStart w:id="3" w:name="贸易与跨国生产渠道权重"/>
      <w:bookmarkEnd w:id="2"/>
      <w:r>
        <w:t>贸易与跨国生产渠道权重</w:t>
      </w:r>
    </w:p>
    <w:p w14:paraId="590F42DF" w14:textId="77777777" w:rsidR="008339D7" w:rsidRDefault="00000000">
      <w:pPr>
        <w:pStyle w:val="aff9"/>
      </w:pPr>
      <w:r>
        <w:t>第三步在已经识别出的</w:t>
      </w:r>
      <w:r>
        <w:t xml:space="preserve"> 764 </w:t>
      </w:r>
      <w:r>
        <w:t>项制度型开放条款中判断其直接作用渠道。贸易渠道包括货物和服务的跨境交易、外国商品或服务供应商的准入与待遇、原产地、海关便利化、贸易救济、</w:t>
      </w:r>
      <w:r>
        <w:t>SPS/TBT</w:t>
      </w:r>
      <w:r>
        <w:t>、标准与认证以及与贸易直接相关的支付和竞争安排；跨国生产渠道包括外资准入、企业设立与收购、商业存在、投资审批、资本转移、利润汇回、投资保护、投资争端解决以及外资企业的经营条件。只有当条款分别具有可识别的贸易机制和投资机制时，才被归为</w:t>
      </w:r>
      <w:r>
        <w:t>“</w:t>
      </w:r>
      <w:r>
        <w:t>双渠道</w:t>
      </w:r>
      <w:r>
        <w:t>”</w:t>
      </w:r>
      <w:r>
        <w:t>；一般营商环境、对话合作或治理安排若不直接作用于任一渠道，则归为</w:t>
      </w:r>
      <w:r>
        <w:t>“</w:t>
      </w:r>
      <w:r>
        <w:t>无直接渠道</w:t>
      </w:r>
      <w:r>
        <w:t>”</w:t>
      </w:r>
      <w:r>
        <w:t>。</w:t>
      </w:r>
    </w:p>
    <w:p w14:paraId="39853C74" w14:textId="77777777" w:rsidR="008339D7" w:rsidRDefault="00000000">
      <w:pPr>
        <w:pStyle w:val="aff9"/>
      </w:pPr>
      <w:r>
        <w:t>设</w:t>
      </w:r>
      <w:r>
        <w:t xml:space="preserv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t>
      </w:r>
      <w:r>
        <w:t>表示条款</w:t>
      </w:r>
      <w:r>
        <w:t xml:space="preserve"> </w:t>
      </w:r>
      <m:oMath>
        <m:r>
          <w:rPr>
            <w:rFonts w:ascii="Cambria Math" w:hAnsi="Cambria Math"/>
          </w:rPr>
          <m:t>k</m:t>
        </m:r>
      </m:oMath>
      <w:r>
        <w:t xml:space="preserve"> </w:t>
      </w:r>
      <w:r>
        <w:t>的渠道类型，</w:t>
      </w:r>
      <m:oMath>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trade</m:t>
            </m:r>
          </m:sup>
        </m:sSubSup>
      </m:oMath>
      <w:r>
        <w:t xml:space="preserve"> </w:t>
      </w:r>
      <w:r>
        <w:t>和</w:t>
      </w:r>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mp</m:t>
            </m:r>
          </m:sup>
        </m:sSubSup>
      </m:oMath>
      <w:r>
        <w:t xml:space="preserve"> </w:t>
      </w:r>
      <w:r>
        <w:t>分别表示制度型贸易开放权重和制度型跨国生产开放权重。权重规则为</w:t>
      </w:r>
    </w:p>
    <w:p w14:paraId="476D0701" w14:textId="77777777" w:rsidR="008339D7" w:rsidRPr="00D94839" w:rsidRDefault="00000000">
      <w:pPr>
        <w:pStyle w:val="affa"/>
        <w:snapToGrid w:val="0"/>
      </w:pPr>
      <m:oMathPara>
        <m:oMathParaPr>
          <m:jc m:val="left"/>
        </m:oMathParaPr>
        <m:oMath>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trade</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mp</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m:rPr>
                        <m:nor/>
                      </m:rPr>
                      <m:t>仅贸易</m:t>
                    </m:r>
                    <m:r>
                      <m:rPr>
                        <m:sty m:val="p"/>
                      </m:rPr>
                      <w:rPr>
                        <w:rFonts w:ascii="Cambria Math" w:hAnsi="Cambria Math"/>
                      </w:rPr>
                      <m:t>,</m:t>
                    </m:r>
                  </m:e>
                </m:mr>
                <m:mr>
                  <m:e>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m:rPr>
                        <m:nor/>
                      </m:rPr>
                      <m:t>仅跨国生产</m:t>
                    </m:r>
                    <m:r>
                      <m:rPr>
                        <m:sty m:val="p"/>
                      </m:rPr>
                      <w:rPr>
                        <w:rFonts w:ascii="Cambria Math" w:hAnsi="Cambria Math"/>
                      </w:rPr>
                      <m:t>,</m:t>
                    </m:r>
                  </m:e>
                </m:mr>
                <m:mr>
                  <m:e>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r>
                      <w:rPr>
                        <w:rFonts w:ascii="Cambria Math" w:hAnsi="Cambria Math"/>
                      </w:rPr>
                      <m:t> 0</m:t>
                    </m:r>
                    <m:r>
                      <m:rPr>
                        <m:sty m:val="p"/>
                      </m:rPr>
                      <w:rPr>
                        <w:rFonts w:ascii="Cambria Math" w:hAnsi="Cambria Math"/>
                      </w:rPr>
                      <m:t>&lt;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&lt;</m:t>
                    </m:r>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m:rPr>
                        <m:nor/>
                      </m:rPr>
                      <m:t>双渠道</m:t>
                    </m:r>
                    <m:r>
                      <m:rPr>
                        <m:sty m:val="p"/>
                      </m:rPr>
                      <w:rPr>
                        <w:rFonts w:ascii="Cambria Math" w:hAnsi="Cambria Math"/>
                      </w:rPr>
                      <m:t>,</m:t>
                    </m:r>
                  </m:e>
                </m:mr>
                <m:mr>
                  <m:e>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m:rPr>
                        <m:nor/>
                      </m:rPr>
                      <m:t>无直接渠道</m:t>
                    </m:r>
                    <m:r>
                      <m:rPr>
                        <m:sty m:val="p"/>
                      </m:rPr>
                      <w:rPr>
                        <w:rFonts w:ascii="Cambria Math" w:hAnsi="Cambria Math"/>
                      </w:rPr>
                      <m:t>.</m:t>
                    </m:r>
                  </m:e>
                </m:mr>
              </m:m>
            </m:e>
          </m:d>
          <m:r>
            <w:rPr>
              <w:rFonts w:ascii="Cambria Math" w:hAnsi="Cambria Math"/>
            </w:rPr>
            <m:t>  </m:t>
          </m:r>
          <m:r>
            <m:rPr>
              <m:nor/>
            </m:rPr>
            <m:t>(2</m:t>
          </m:r>
          <m:r>
            <m:rPr>
              <m:nor/>
            </m:rPr>
            <m:t>)</m:t>
          </m:r>
        </m:oMath>
      </m:oMathPara>
    </w:p>
    <w:p w14:paraId="3CB29B8A" w14:textId="77777777" w:rsidR="008339D7" w:rsidRDefault="00000000">
      <w:pPr>
        <w:pStyle w:val="aff9"/>
      </w:pPr>
      <w:r>
        <w:br w:type="page"/>
      </w:r>
      <w:r>
        <w:lastRenderedPageBreak/>
        <w:t>模型</w:t>
      </w:r>
      <w:r>
        <w:t xml:space="preserve"> A </w:t>
      </w:r>
      <w:r>
        <w:t>与模型</w:t>
      </w:r>
      <w:r>
        <w:t xml:space="preserve"> B </w:t>
      </w:r>
      <w:r>
        <w:t>仅在渠道类型不一致时进入仲裁；若二者均将条款识别为双渠道，则权重差异本身不触发仲裁，最终权重取两个模型标准化权重的算术平均：</w:t>
      </w:r>
    </w:p>
    <w:p w14:paraId="2B05BF5F" w14:textId="77777777" w:rsidR="008339D7" w:rsidRPr="00D94839" w:rsidRDefault="00000000">
      <w:pPr>
        <w:pStyle w:val="affa"/>
        <w:snapToGrid w:val="0"/>
      </w:pPr>
      <m:oMathPara>
        <m:oMathParaPr>
          <m:jc m:val="left"/>
        </m:oMathParaPr>
        <m:oMath>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q</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A</m:t>
                  </m:r>
                </m:sub>
                <m:sup>
                  <m:r>
                    <w:rPr>
                      <w:rFonts w:ascii="Cambria Math" w:hAnsi="Cambria Math"/>
                    </w:rPr>
                    <m:t>q</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B</m:t>
                  </m:r>
                </m:sub>
                <m:sup>
                  <m:r>
                    <w:rPr>
                      <w:rFonts w:ascii="Cambria Math" w:hAnsi="Cambria Math"/>
                    </w:rPr>
                    <m:t>q</m:t>
                  </m:r>
                </m:sup>
              </m:sSubSup>
            </m:num>
            <m:den>
              <m:r>
                <w:rPr>
                  <w:rFonts w:ascii="Cambria Math" w:hAnsi="Cambria Math"/>
                </w:rPr>
                <m:t>2</m:t>
              </m:r>
            </m:den>
          </m:f>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tr</m:t>
          </m:r>
          <m:r>
            <m:rPr>
              <m:sty m:val="p"/>
            </m:rPr>
            <w:rPr>
              <w:rFonts w:ascii="Cambria Math" w:hAnsi="Cambria Math"/>
            </w:rPr>
            <m:t>,</m:t>
          </m:r>
          <m:r>
            <w:rPr>
              <w:rFonts w:ascii="Cambria Math" w:hAnsi="Cambria Math"/>
            </w:rPr>
            <m:t>mp</m:t>
          </m:r>
          <m:r>
            <m:rPr>
              <m:sty m:val="p"/>
            </m:rPr>
            <w:rPr>
              <w:rFonts w:ascii="Cambria Math" w:hAnsi="Cambria Math"/>
            </w:rPr>
            <m:t>}.</m:t>
          </m:r>
          <m:r>
            <w:rPr>
              <w:rFonts w:ascii="Cambria Math" w:hAnsi="Cambria Math"/>
            </w:rPr>
            <m:t>  </m:t>
          </m:r>
          <m:r>
            <m:rPr>
              <m:nor/>
            </m:rPr>
            <m:t>(3</m:t>
          </m:r>
          <m:r>
            <m:rPr>
              <m:nor/>
            </m:rPr>
            <m:t>)</m:t>
          </m:r>
        </m:oMath>
      </m:oMathPara>
    </w:p>
    <w:p w14:paraId="168B68DF" w14:textId="77777777" w:rsidR="008339D7" w:rsidRDefault="00000000">
      <w:pPr>
        <w:pStyle w:val="aff9"/>
      </w:pPr>
      <w:r>
        <w:t>若渠道类型发生冲突，则由仲裁模型重新确定类型及相应权重。非制度型开放条款不进入渠道识别，其贸易权重和跨国生产权重均置为</w:t>
      </w:r>
      <w:r>
        <w:t xml:space="preserve"> 0</w:t>
      </w:r>
      <w:r>
        <w:t>。因此，进入指数计算的有效权重为</w:t>
      </w:r>
    </w:p>
    <w:p w14:paraId="7D42DFD1" w14:textId="77777777" w:rsidR="008339D7" w:rsidRPr="00D94839" w:rsidRDefault="00000000">
      <w:pPr>
        <w:pStyle w:val="affa"/>
        <w:snapToGrid w:val="0"/>
      </w:pPr>
      <m:oMathPara>
        <m:oMathParaPr>
          <m:jc m:val="left"/>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w</m:t>
                  </m:r>
                </m:e>
              </m:acc>
            </m:e>
            <m:sub>
              <m:r>
                <w:rPr>
                  <w:rFonts w:ascii="Cambria Math" w:hAnsi="Cambria Math"/>
                </w:rPr>
                <m:t>k</m:t>
              </m:r>
            </m:sub>
            <m:sup>
              <m:r>
                <w:rPr>
                  <w:rFonts w:ascii="Cambria Math" w:hAnsi="Cambria Math"/>
                </w:rPr>
                <m:t>trade</m:t>
              </m:r>
            </m:sup>
          </m:sSub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trade</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w</m:t>
                  </m:r>
                </m:e>
              </m:acc>
            </m:e>
            <m:sub>
              <m:r>
                <w:rPr>
                  <w:rFonts w:ascii="Cambria Math" w:hAnsi="Cambria Math"/>
                </w:rPr>
                <m:t>k</m:t>
              </m:r>
            </m:sub>
            <m:sup>
              <m:r>
                <w:rPr>
                  <w:rFonts w:ascii="Cambria Math" w:hAnsi="Cambria Math"/>
                </w:rPr>
                <m:t>mp</m:t>
              </m:r>
            </m:sup>
          </m:sSub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mp</m:t>
              </m:r>
            </m:sup>
          </m:sSubSup>
          <m:r>
            <m:rPr>
              <m:sty m:val="p"/>
            </m:rPr>
            <w:rPr>
              <w:rFonts w:ascii="Cambria Math" w:hAnsi="Cambria Math"/>
            </w:rPr>
            <m:t>.</m:t>
          </m:r>
          <m:r>
            <w:rPr>
              <w:rFonts w:ascii="Cambria Math" w:hAnsi="Cambria Math"/>
            </w:rPr>
            <m:t>  </m:t>
          </m:r>
          <m:r>
            <m:rPr>
              <m:nor/>
            </m:rPr>
            <m:t>(4</m:t>
          </m:r>
          <m:r>
            <m:rPr>
              <m:nor/>
            </m:rPr>
            <m:t>)</m:t>
          </m:r>
        </m:oMath>
      </m:oMathPara>
    </w:p>
    <w:p w14:paraId="09914698" w14:textId="77777777" w:rsidR="008339D7" w:rsidRDefault="00000000">
      <w:pPr>
        <w:pStyle w:val="aff9"/>
      </w:pPr>
      <w:r>
        <w:t>两个模型均完成全部</w:t>
      </w:r>
      <w:r>
        <w:t xml:space="preserve"> 764 </w:t>
      </w:r>
      <w:r>
        <w:t>项制度型开放条款的渠道识别且无技术失败，其中</w:t>
      </w:r>
      <w:r>
        <w:t xml:space="preserve"> 682 </w:t>
      </w:r>
      <w:r>
        <w:t>项渠道类型一致，</w:t>
      </w:r>
      <w:r>
        <w:t xml:space="preserve">82 </w:t>
      </w:r>
      <w:r>
        <w:t>项类型冲突，冲突率为</w:t>
      </w:r>
      <w:r>
        <w:t xml:space="preserve"> 10.73%</w:t>
      </w:r>
      <w:r>
        <w:t>。经仲裁后，仅贸易、仅跨国生产、双渠道和无直接渠道条款分别为</w:t>
      </w:r>
      <w:r>
        <w:t xml:space="preserve"> 500</w:t>
      </w:r>
      <w:r>
        <w:t>、</w:t>
      </w:r>
      <w:r>
        <w:t>132</w:t>
      </w:r>
      <w:r>
        <w:t>、</w:t>
      </w:r>
      <w:r>
        <w:t xml:space="preserve">56 </w:t>
      </w:r>
      <w:r>
        <w:t>和</w:t>
      </w:r>
      <w:r>
        <w:t xml:space="preserve"> 76 </w:t>
      </w:r>
      <w:r>
        <w:t>项；其余</w:t>
      </w:r>
      <w:r>
        <w:t xml:space="preserve"> 307 </w:t>
      </w:r>
      <w:r>
        <w:t>项非制度型开放条款不适用该阶段。最终权重不存在缺失、重复或未解决记录。</w:t>
      </w:r>
    </w:p>
    <w:p w14:paraId="254DFDD4" w14:textId="77777777" w:rsidR="008339D7" w:rsidRDefault="00000000">
      <w:pPr>
        <w:pStyle w:val="affc"/>
        <w:snapToGrid w:val="0"/>
      </w:pPr>
      <w:bookmarkStart w:id="4" w:name="协定层面制度型开放指数"/>
      <w:bookmarkEnd w:id="3"/>
      <w:r>
        <w:t>协定层面制度型开放指数</w:t>
      </w:r>
    </w:p>
    <w:p w14:paraId="3C0F61DE" w14:textId="77777777" w:rsidR="008339D7" w:rsidRDefault="00000000">
      <w:pPr>
        <w:pStyle w:val="aff9"/>
      </w:pPr>
      <w:r>
        <w:t>在获得条款有效权重后，协定</w:t>
      </w:r>
      <w:r>
        <w:t xml:space="preserve"> </w:t>
      </w:r>
      <m:oMath>
        <m:r>
          <w:rPr>
            <w:rFonts w:ascii="Cambria Math" w:hAnsi="Cambria Math"/>
          </w:rPr>
          <m:t>a</m:t>
        </m:r>
      </m:oMath>
      <w:r>
        <w:t xml:space="preserve"> </w:t>
      </w:r>
      <w:r>
        <w:t>的制度型贸易开放指数和制度型跨国生产开放指数分别定义为</w:t>
      </w:r>
    </w:p>
    <w:p w14:paraId="352A4FCD" w14:textId="77777777" w:rsidR="008339D7" w:rsidRPr="00D94839" w:rsidRDefault="00000000">
      <w:pPr>
        <w:pStyle w:val="affa"/>
        <w:snapToGrid w:val="0"/>
      </w:pPr>
      <m:oMathPara>
        <m:oMathParaPr>
          <m:jc m:val="left"/>
        </m:oMathParaPr>
        <m:oMath>
          <m:r>
            <w:rPr>
              <w:rFonts w:ascii="Cambria Math" w:hAnsi="Cambria Math"/>
            </w:rPr>
            <m:t>DT</m:t>
          </m:r>
          <m:sSubSup>
            <m:sSubSupPr>
              <m:ctrlPr>
                <w:rPr>
                  <w:rFonts w:ascii="Cambria Math" w:hAnsi="Cambria Math"/>
                </w:rPr>
              </m:ctrlPr>
            </m:sSubSupPr>
            <m:e>
              <m:r>
                <w:rPr>
                  <w:rFonts w:ascii="Cambria Math" w:hAnsi="Cambria Math"/>
                </w:rPr>
                <m:t>A</m:t>
              </m:r>
            </m:e>
            <m:sub>
              <m:r>
                <w:rPr>
                  <w:rFonts w:ascii="Cambria Math" w:hAnsi="Cambria Math"/>
                </w:rPr>
                <m:t>a</m:t>
              </m:r>
            </m:sub>
            <m:sup>
              <m:r>
                <w:rPr>
                  <w:rFonts w:ascii="Cambria Math" w:hAnsi="Cambria Math"/>
                </w:rPr>
                <m:t>trade</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x</m:t>
                  </m:r>
                </m:e>
                <m:sub>
                  <m:r>
                    <w:rPr>
                      <w:rFonts w:ascii="Cambria Math" w:hAnsi="Cambria Math"/>
                    </w:rPr>
                    <m:t>ak</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w</m:t>
                  </m:r>
                </m:e>
              </m:acc>
            </m:e>
            <m:sub>
              <m:r>
                <w:rPr>
                  <w:rFonts w:ascii="Cambria Math" w:hAnsi="Cambria Math"/>
                </w:rPr>
                <m:t>k</m:t>
              </m:r>
            </m:sub>
            <m:sup>
              <m:r>
                <w:rPr>
                  <w:rFonts w:ascii="Cambria Math" w:hAnsi="Cambria Math"/>
                </w:rPr>
                <m:t>trade</m:t>
              </m:r>
            </m:sup>
          </m:sSubSup>
          <m:r>
            <m:rPr>
              <m:sty m:val="p"/>
            </m:rPr>
            <w:rPr>
              <w:rFonts w:ascii="Cambria Math" w:hAnsi="Cambria Math"/>
            </w:rPr>
            <m:t>,</m:t>
          </m:r>
          <m:r>
            <w:rPr>
              <w:rFonts w:ascii="Cambria Math" w:hAnsi="Cambria Math"/>
            </w:rPr>
            <m:t>  </m:t>
          </m:r>
          <m:r>
            <m:rPr>
              <m:nor/>
            </m:rPr>
            <m:t>(5</m:t>
          </m:r>
          <m:r>
            <m:rPr>
              <m:nor/>
            </m:rPr>
            <m:t>)</m:t>
          </m:r>
        </m:oMath>
      </m:oMathPara>
    </w:p>
    <w:p w14:paraId="33443042" w14:textId="77777777" w:rsidR="008339D7" w:rsidRPr="00D94839" w:rsidRDefault="00000000">
      <w:pPr>
        <w:pStyle w:val="affa"/>
        <w:snapToGrid w:val="0"/>
      </w:pPr>
      <m:oMathPara>
        <m:oMathParaPr>
          <m:jc m:val="left"/>
        </m:oMathParaPr>
        <m:oMath>
          <m:r>
            <w:rPr>
              <w:rFonts w:ascii="Cambria Math" w:hAnsi="Cambria Math"/>
            </w:rPr>
            <m:t>DT</m:t>
          </m:r>
          <m:sSubSup>
            <m:sSubSupPr>
              <m:ctrlPr>
                <w:rPr>
                  <w:rFonts w:ascii="Cambria Math" w:hAnsi="Cambria Math"/>
                </w:rPr>
              </m:ctrlPr>
            </m:sSubSupPr>
            <m:e>
              <m:r>
                <w:rPr>
                  <w:rFonts w:ascii="Cambria Math" w:hAnsi="Cambria Math"/>
                </w:rPr>
                <m:t>A</m:t>
              </m:r>
            </m:e>
            <m:sub>
              <m:r>
                <w:rPr>
                  <w:rFonts w:ascii="Cambria Math" w:hAnsi="Cambria Math"/>
                </w:rPr>
                <m:t>a</m:t>
              </m:r>
            </m:sub>
            <m:sup>
              <m:r>
                <w:rPr>
                  <w:rFonts w:ascii="Cambria Math" w:hAnsi="Cambria Math"/>
                </w:rPr>
                <m:t>mp</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x</m:t>
                  </m:r>
                </m:e>
                <m:sub>
                  <m:r>
                    <w:rPr>
                      <w:rFonts w:ascii="Cambria Math" w:hAnsi="Cambria Math"/>
                    </w:rPr>
                    <m:t>ak</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w</m:t>
                  </m:r>
                </m:e>
              </m:acc>
            </m:e>
            <m:sub>
              <m:r>
                <w:rPr>
                  <w:rFonts w:ascii="Cambria Math" w:hAnsi="Cambria Math"/>
                </w:rPr>
                <m:t>k</m:t>
              </m:r>
            </m:sub>
            <m:sup>
              <m:r>
                <w:rPr>
                  <w:rFonts w:ascii="Cambria Math" w:hAnsi="Cambria Math"/>
                </w:rPr>
                <m:t>mp</m:t>
              </m:r>
            </m:sup>
          </m:sSubSup>
          <m:r>
            <m:rPr>
              <m:sty m:val="p"/>
            </m:rPr>
            <w:rPr>
              <w:rFonts w:ascii="Cambria Math" w:hAnsi="Cambria Math"/>
            </w:rPr>
            <m:t>.</m:t>
          </m:r>
          <m:r>
            <w:rPr>
              <w:rFonts w:ascii="Cambria Math" w:hAnsi="Cambria Math"/>
            </w:rPr>
            <m:t>  </m:t>
          </m:r>
          <m:r>
            <m:rPr>
              <m:nor/>
            </m:rPr>
            <m:t>(6</m:t>
          </m:r>
          <m:r>
            <m:rPr>
              <m:nor/>
            </m:rPr>
            <m:t>)</m:t>
          </m:r>
        </m:oMath>
      </m:oMathPara>
    </w:p>
    <w:p w14:paraId="59FC2413" w14:textId="77777777" w:rsidR="008339D7" w:rsidRDefault="00000000">
      <w:pPr>
        <w:pStyle w:val="aff9"/>
      </w:pPr>
      <w:r>
        <w:t>两项指数均采用有效权重直接加总，不再除以全部条款权重之和。原因在于，条款数量和承诺范围本身就是协定制度深度的重要组成部分；若将得分机械归一化，制度内容稀疏的协定可能与覆盖广泛的协定获得相近分值，从而损失协定间制度承诺广度的真实差异。指数越大，表示协定所包含的相关制度承诺越广、作用强度越高。作为机制分解，本文同时计算各协定在四个制度维度上的条款覆盖量：</w:t>
      </w:r>
    </w:p>
    <w:p w14:paraId="3900CD69" w14:textId="77777777" w:rsidR="008339D7" w:rsidRDefault="00000000">
      <w:pPr>
        <w:pStyle w:val="affa"/>
        <w:snapToGrid w:val="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a</m:t>
              </m:r>
              <m:r>
                <m:rPr>
                  <m:sty m:val="p"/>
                </m:rPr>
                <w:rPr>
                  <w:rFonts w:ascii="Cambria Math" w:hAnsi="Cambria Math"/>
                </w:rPr>
                <m:t>,</m:t>
              </m:r>
              <m:r>
                <w:rPr>
                  <w:rFonts w:ascii="Cambria Math" w:hAnsi="Cambria Math"/>
                </w:rPr>
                <m:t>d</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x</m:t>
                  </m:r>
                </m:e>
                <m:sub>
                  <m:r>
                    <w:rPr>
                      <w:rFonts w:ascii="Cambria Math" w:hAnsi="Cambria Math"/>
                    </w:rPr>
                    <m:t>ak</m:t>
                  </m:r>
                </m:sub>
              </m:sSub>
            </m:e>
          </m:nary>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rules</m:t>
          </m:r>
          <m:r>
            <m:rPr>
              <m:sty m:val="p"/>
            </m:rPr>
            <w:rPr>
              <w:rFonts w:ascii="Cambria Math" w:hAnsi="Cambria Math"/>
            </w:rPr>
            <m:t>,</m:t>
          </m:r>
          <m:r>
            <w:rPr>
              <w:rFonts w:ascii="Cambria Math" w:hAnsi="Cambria Math"/>
            </w:rPr>
            <m:t>regulation</m:t>
          </m:r>
          <m:r>
            <m:rPr>
              <m:sty m:val="p"/>
            </m:rPr>
            <w:rPr>
              <w:rFonts w:ascii="Cambria Math" w:hAnsi="Cambria Math"/>
            </w:rPr>
            <m:t>,</m:t>
          </m:r>
          <m:r>
            <w:rPr>
              <w:rFonts w:ascii="Cambria Math" w:hAnsi="Cambria Math"/>
            </w:rPr>
            <m:t>management</m:t>
          </m:r>
          <m:r>
            <m:rPr>
              <m:sty m:val="p"/>
            </m:rPr>
            <w:rPr>
              <w:rFonts w:ascii="Cambria Math" w:hAnsi="Cambria Math"/>
            </w:rPr>
            <m:t>,</m:t>
          </m:r>
          <m:r>
            <w:rPr>
              <w:rFonts w:ascii="Cambria Math" w:hAnsi="Cambria Math"/>
            </w:rPr>
            <m:t>standards</m:t>
          </m:r>
          <m:r>
            <m:rPr>
              <m:sty m:val="p"/>
            </m:rPr>
            <w:rPr>
              <w:rFonts w:ascii="Cambria Math" w:hAnsi="Cambria Math"/>
            </w:rPr>
            <m:t>}.</m:t>
          </m:r>
          <m:r>
            <w:rPr>
              <w:rFonts w:ascii="Cambria Math" w:hAnsi="Cambria Math"/>
            </w:rPr>
            <m:t>  </m:t>
          </m:r>
          <m:r>
            <m:rPr>
              <m:nor/>
            </m:rPr>
            <m:t>(7)</m:t>
          </m:r>
        </m:oMath>
      </m:oMathPara>
    </w:p>
    <w:p w14:paraId="6ED50D2F" w14:textId="77777777" w:rsidR="008339D7" w:rsidRDefault="00000000">
      <w:pPr>
        <w:pStyle w:val="aff9"/>
      </w:pPr>
      <w:r>
        <w:t>四维度分类用于描述制度内容结构和开展异质性分析，不对四个维度另行设定主观等权或层级权重。</w:t>
      </w:r>
    </w:p>
    <w:p w14:paraId="7E67AE52" w14:textId="77777777" w:rsidR="008339D7" w:rsidRDefault="00000000">
      <w:pPr>
        <w:pStyle w:val="affc"/>
        <w:snapToGrid w:val="0"/>
      </w:pPr>
      <w:bookmarkStart w:id="5" w:name="国家对年份层面的聚合"/>
      <w:bookmarkEnd w:id="4"/>
      <w:r>
        <w:br w:type="page"/>
      </w:r>
      <w:r>
        <w:lastRenderedPageBreak/>
        <w:t>国家对</w:t>
      </w:r>
      <w:r>
        <w:t>—</w:t>
      </w:r>
      <w:r>
        <w:t>年份层面的聚合</w:t>
      </w:r>
    </w:p>
    <w:p w14:paraId="6A976F81" w14:textId="77777777" w:rsidR="008339D7" w:rsidRDefault="00000000">
      <w:pPr>
        <w:pStyle w:val="aff9"/>
      </w:pPr>
      <w:r>
        <w:t>最终测量单元为国家对</w:t>
      </w:r>
      <w:r>
        <w:t>—</w:t>
      </w:r>
      <w:r>
        <w:t>年份。设</w:t>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lnt</m:t>
            </m:r>
          </m:sub>
        </m:sSub>
      </m:oMath>
      <w:r>
        <w:t xml:space="preserve"> </w:t>
      </w:r>
      <w:r>
        <w:t>表示年份</w:t>
      </w:r>
      <w:r>
        <w:t xml:space="preserve"> </w:t>
      </w:r>
      <m:oMath>
        <m:r>
          <w:rPr>
            <w:rFonts w:ascii="Cambria Math" w:hAnsi="Cambria Math"/>
          </w:rPr>
          <m:t>t</m:t>
        </m:r>
      </m:oMath>
      <w:r>
        <w:t xml:space="preserve"> </w:t>
      </w:r>
      <w:r>
        <w:t>在国家</w:t>
      </w:r>
      <w:r>
        <w:t xml:space="preserve"> </w:t>
      </w:r>
      <m:oMath>
        <m:r>
          <w:rPr>
            <w:rFonts w:ascii="Cambria Math" w:hAnsi="Cambria Math"/>
          </w:rPr>
          <m:t>l</m:t>
        </m:r>
      </m:oMath>
      <w:r>
        <w:t xml:space="preserve"> </w:t>
      </w:r>
      <w:r>
        <w:t>与国家</w:t>
      </w:r>
      <w:r>
        <w:t xml:space="preserve"> </w:t>
      </w:r>
      <m:oMath>
        <m:r>
          <w:rPr>
            <w:rFonts w:ascii="Cambria Math" w:hAnsi="Cambria Math"/>
          </w:rPr>
          <m:t>n</m:t>
        </m:r>
      </m:oMath>
      <w:r>
        <w:t xml:space="preserve"> </w:t>
      </w:r>
      <w:r>
        <w:t>之间已经生效的协定集合。当同一国家对仅有一份生效协定时，直接映射该协定的条款覆盖；当多份协定同时生效时，基准口径采用条款并集法。具体地，对每项条款保留所有生效协定中的最高覆盖程度：</w:t>
      </w:r>
    </w:p>
    <w:p w14:paraId="4E9DA179" w14:textId="77777777" w:rsidR="008339D7" w:rsidRPr="00D94839" w:rsidRDefault="00000000">
      <w:pPr>
        <w:pStyle w:val="affa"/>
        <w:snapToGrid w:val="0"/>
      </w:pPr>
      <m:oMathPara>
        <m:oMathParaPr>
          <m:jc m:val="left"/>
        </m:oMathParaPr>
        <m:oMath>
          <m:sSub>
            <m:sSubPr>
              <m:ctrlPr>
                <w:rPr>
                  <w:rFonts w:ascii="Cambria Math" w:hAnsi="Cambria Math"/>
                </w:rPr>
              </m:ctrlPr>
            </m:sSub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lnt</m:t>
              </m:r>
            </m:sub>
          </m:sSub>
          <m:r>
            <m:rPr>
              <m:sty m:val="p"/>
            </m:rPr>
            <w:rPr>
              <w:rFonts w:ascii="Cambria Math" w:hAnsi="Cambria Math"/>
            </w:rPr>
            <m:t>=</m:t>
          </m:r>
          <m:limLow>
            <m:limLowPr>
              <m:ctrlPr>
                <w:rPr>
                  <w:rFonts w:ascii="Cambria Math" w:hAnsi="Cambria Math"/>
                </w:rPr>
              </m:ctrlPr>
            </m:limLowPr>
            <m:e>
              <m:r>
                <m:rPr>
                  <m:nor/>
                </m: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lnt</m:t>
                  </m:r>
                </m:sub>
              </m:sSub>
            </m:lim>
          </m:limLow>
          <m:sSub>
            <m:sSubPr>
              <m:ctrlPr>
                <w:rPr>
                  <w:rFonts w:ascii="Cambria Math" w:hAnsi="Cambria Math"/>
                </w:rPr>
              </m:ctrlPr>
            </m:sSubPr>
            <m:e>
              <m:r>
                <w:rPr>
                  <w:rFonts w:ascii="Cambria Math" w:hAnsi="Cambria Math"/>
                </w:rPr>
                <m:t>x</m:t>
              </m:r>
            </m:e>
            <m:sub>
              <m:r>
                <w:rPr>
                  <w:rFonts w:ascii="Cambria Math" w:hAnsi="Cambria Math"/>
                </w:rPr>
                <m:t>ak</m:t>
              </m:r>
            </m:sub>
          </m:sSub>
          <m:r>
            <m:rPr>
              <m:sty m:val="p"/>
            </m:rPr>
            <w:rPr>
              <w:rFonts w:ascii="Cambria Math" w:hAnsi="Cambria Math"/>
            </w:rPr>
            <m:t>.</m:t>
          </m:r>
          <m:r>
            <w:rPr>
              <w:rFonts w:ascii="Cambria Math" w:hAnsi="Cambria Math"/>
            </w:rPr>
            <m:t>  </m:t>
          </m:r>
          <m:r>
            <m:rPr>
              <m:nor/>
            </m:rPr>
            <m:t>(8</m:t>
          </m:r>
          <m:r>
            <m:rPr>
              <m:nor/>
            </m:rPr>
            <m:t>)</m:t>
          </m:r>
        </m:oMath>
      </m:oMathPara>
    </w:p>
    <w:p w14:paraId="1048713B" w14:textId="77777777" w:rsidR="008339D7" w:rsidRDefault="00000000">
      <w:pPr>
        <w:pStyle w:val="aff9"/>
      </w:pPr>
      <w:r>
        <w:t>据此，国家对</w:t>
      </w:r>
      <w:r>
        <w:t>—</w:t>
      </w:r>
      <w:r>
        <w:t>年份层面的制度型贸易开放和制度型跨国生产开放指数为</w:t>
      </w:r>
    </w:p>
    <w:p w14:paraId="462CA8D8" w14:textId="77777777" w:rsidR="008339D7" w:rsidRPr="00D94839" w:rsidRDefault="00000000">
      <w:pPr>
        <w:pStyle w:val="affa"/>
        <w:snapToGrid w:val="0"/>
      </w:pPr>
      <m:oMathPara>
        <m:oMathParaPr>
          <m:jc m:val="left"/>
        </m:oMathParaPr>
        <m:oMath>
          <m:r>
            <w:rPr>
              <w:rFonts w:ascii="Cambria Math" w:hAnsi="Cambria Math"/>
            </w:rPr>
            <m:t>DT</m:t>
          </m:r>
          <m:sSubSup>
            <m:sSubSupPr>
              <m:ctrlPr>
                <w:rPr>
                  <w:rFonts w:ascii="Cambria Math" w:hAnsi="Cambria Math"/>
                </w:rPr>
              </m:ctrlPr>
            </m:sSubSupPr>
            <m:e>
              <m:r>
                <w:rPr>
                  <w:rFonts w:ascii="Cambria Math" w:hAnsi="Cambria Math"/>
                </w:rPr>
                <m:t>A</m:t>
              </m:r>
            </m:e>
            <m:sub>
              <m:r>
                <w:rPr>
                  <w:rFonts w:ascii="Cambria Math" w:hAnsi="Cambria Math"/>
                </w:rPr>
                <m:t>lnt</m:t>
              </m:r>
            </m:sub>
            <m:sup>
              <m:r>
                <w:rPr>
                  <w:rFonts w:ascii="Cambria Math" w:hAnsi="Cambria Math"/>
                </w:rPr>
                <m:t>trade</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lnt</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w</m:t>
                  </m:r>
                </m:e>
              </m:acc>
            </m:e>
            <m:sub>
              <m:r>
                <w:rPr>
                  <w:rFonts w:ascii="Cambria Math" w:hAnsi="Cambria Math"/>
                </w:rPr>
                <m:t>k</m:t>
              </m:r>
            </m:sub>
            <m:sup>
              <m:r>
                <w:rPr>
                  <w:rFonts w:ascii="Cambria Math" w:hAnsi="Cambria Math"/>
                </w:rPr>
                <m:t>trade</m:t>
              </m:r>
            </m:sup>
          </m:sSubSup>
          <m:r>
            <m:rPr>
              <m:sty m:val="p"/>
            </m:rPr>
            <w:rPr>
              <w:rFonts w:ascii="Cambria Math" w:hAnsi="Cambria Math"/>
            </w:rPr>
            <m:t>,</m:t>
          </m:r>
          <m:r>
            <w:rPr>
              <w:rFonts w:ascii="Cambria Math" w:hAnsi="Cambria Math"/>
            </w:rPr>
            <m:t>  </m:t>
          </m:r>
          <m:r>
            <m:rPr>
              <m:nor/>
            </m:rPr>
            <m:t>(9</m:t>
          </m:r>
          <m:r>
            <m:rPr>
              <m:nor/>
            </m:rPr>
            <m:t>)</m:t>
          </m:r>
        </m:oMath>
      </m:oMathPara>
    </w:p>
    <w:p w14:paraId="3A563A17" w14:textId="77777777" w:rsidR="008339D7" w:rsidRPr="00D94839" w:rsidRDefault="00000000">
      <w:pPr>
        <w:pStyle w:val="affa"/>
        <w:snapToGrid w:val="0"/>
      </w:pPr>
      <m:oMathPara>
        <m:oMathParaPr>
          <m:jc m:val="left"/>
        </m:oMathParaPr>
        <m:oMath>
          <m:r>
            <w:rPr>
              <w:rFonts w:ascii="Cambria Math" w:hAnsi="Cambria Math"/>
            </w:rPr>
            <m:t>DT</m:t>
          </m:r>
          <m:sSubSup>
            <m:sSubSupPr>
              <m:ctrlPr>
                <w:rPr>
                  <w:rFonts w:ascii="Cambria Math" w:hAnsi="Cambria Math"/>
                </w:rPr>
              </m:ctrlPr>
            </m:sSubSupPr>
            <m:e>
              <m:r>
                <w:rPr>
                  <w:rFonts w:ascii="Cambria Math" w:hAnsi="Cambria Math"/>
                </w:rPr>
                <m:t>A</m:t>
              </m:r>
            </m:e>
            <m:sub>
              <m:r>
                <w:rPr>
                  <w:rFonts w:ascii="Cambria Math" w:hAnsi="Cambria Math"/>
                </w:rPr>
                <m:t>lnt</m:t>
              </m:r>
            </m:sub>
            <m:sup>
              <m:r>
                <w:rPr>
                  <w:rFonts w:ascii="Cambria Math" w:hAnsi="Cambria Math"/>
                </w:rPr>
                <m:t>mp</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lnt</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w</m:t>
                  </m:r>
                </m:e>
              </m:acc>
            </m:e>
            <m:sub>
              <m:r>
                <w:rPr>
                  <w:rFonts w:ascii="Cambria Math" w:hAnsi="Cambria Math"/>
                </w:rPr>
                <m:t>k</m:t>
              </m:r>
            </m:sub>
            <m:sup>
              <m:r>
                <w:rPr>
                  <w:rFonts w:ascii="Cambria Math" w:hAnsi="Cambria Math"/>
                </w:rPr>
                <m:t>mp</m:t>
              </m:r>
            </m:sup>
          </m:sSubSup>
          <m:r>
            <m:rPr>
              <m:sty m:val="p"/>
            </m:rPr>
            <w:rPr>
              <w:rFonts w:ascii="Cambria Math" w:hAnsi="Cambria Math"/>
            </w:rPr>
            <m:t>.</m:t>
          </m:r>
          <m:r>
            <w:rPr>
              <w:rFonts w:ascii="Cambria Math" w:hAnsi="Cambria Math"/>
            </w:rPr>
            <m:t>  </m:t>
          </m:r>
          <m:r>
            <m:rPr>
              <m:nor/>
            </m:rPr>
            <m:t>(10</m:t>
          </m:r>
          <m:r>
            <m:rPr>
              <m:nor/>
            </m:rPr>
            <m:t>)</m:t>
          </m:r>
        </m:oMath>
      </m:oMathPara>
    </w:p>
    <w:p w14:paraId="18FF531C" w14:textId="77777777" w:rsidR="008339D7" w:rsidRDefault="00000000">
      <w:pPr>
        <w:pStyle w:val="aff9"/>
      </w:pPr>
      <w:r>
        <w:t>并集法能够综合反映同一国家对实际适用的全部制度安排，同时避免相同条款因多份协定并存而重复累计。不存在生效协定时，两项指数均取</w:t>
      </w:r>
      <w:r>
        <w:t xml:space="preserve"> 0</w:t>
      </w:r>
      <w:r>
        <w:t>。考虑到贸易协定原则上同时适用于缔约双方，指数构造阶段将国家对视为无方向关系；与有方向的贸易流或跨国生产流量合并时，再将同一国家对</w:t>
      </w:r>
      <w:r>
        <w:t>—</w:t>
      </w:r>
      <w:r>
        <w:t>年份得分赋予两个方向。本文另行构造生效协定指示变量</w:t>
      </w:r>
    </w:p>
    <w:p w14:paraId="162408FB" w14:textId="77777777" w:rsidR="008339D7" w:rsidRPr="00D94839" w:rsidRDefault="00000000">
      <w:pPr>
        <w:pStyle w:val="affa"/>
        <w:snapToGrid w:val="0"/>
      </w:pPr>
      <m:oMathPara>
        <m:oMathParaPr>
          <m:jc m:val="left"/>
        </m:oMathParaPr>
        <m:oMath>
          <m:r>
            <w:rPr>
              <w:rFonts w:ascii="Cambria Math" w:hAnsi="Cambria Math"/>
            </w:rPr>
            <m:t>PT</m:t>
          </m:r>
          <m:sSub>
            <m:sSubPr>
              <m:ctrlPr>
                <w:rPr>
                  <w:rFonts w:ascii="Cambria Math" w:hAnsi="Cambria Math"/>
                </w:rPr>
              </m:ctrlPr>
            </m:sSubPr>
            <m:e>
              <m:r>
                <w:rPr>
                  <w:rFonts w:ascii="Cambria Math" w:hAnsi="Cambria Math"/>
                </w:rPr>
                <m:t>A</m:t>
              </m:r>
            </m:e>
            <m:sub>
              <m:r>
                <w:rPr>
                  <w:rFonts w:ascii="Cambria Math" w:hAnsi="Cambria Math"/>
                </w:rPr>
                <m:t>lnt</m:t>
              </m:r>
            </m:sub>
          </m:sSub>
          <m:r>
            <m:rPr>
              <m:sty m:val="p"/>
            </m:rPr>
            <w:rPr>
              <w:rFonts w:ascii="Cambria Math" w:hAnsi="Cambria Math"/>
            </w:rPr>
            <m:t>=</m:t>
          </m:r>
          <m:r>
            <m:rPr>
              <m:sty m:val="b"/>
            </m:rPr>
            <w:rPr>
              <w:rFonts w:ascii="Cambria Math" w:hAnsi="Cambria Math"/>
            </w:rPr>
            <m:t>1</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A</m:t>
                  </m:r>
                </m:e>
                <m:sub>
                  <m:r>
                    <w:rPr>
                      <w:rFonts w:ascii="Cambria Math" w:hAnsi="Cambria Math"/>
                    </w:rPr>
                    <m:t>lnt</m:t>
                  </m:r>
                </m:sub>
              </m:sSub>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r>
            <m:rPr>
              <m:nor/>
            </m:rPr>
            <m:t>(11</m:t>
          </m:r>
          <m:r>
            <m:rPr>
              <m:nor/>
            </m:rPr>
            <m:t>)</m:t>
          </m:r>
        </m:oMath>
      </m:oMathPara>
    </w:p>
    <w:p w14:paraId="7F79344F" w14:textId="77777777" w:rsidR="008339D7" w:rsidRDefault="00000000">
      <w:pPr>
        <w:pStyle w:val="aff9"/>
      </w:pPr>
      <w:r>
        <w:t>其中，</w:t>
      </w:r>
      <m:oMath>
        <m:r>
          <w:rPr>
            <w:rFonts w:ascii="Cambria Math" w:hAnsi="Cambria Math"/>
          </w:rPr>
          <m:t>PT</m:t>
        </m:r>
        <m:sSub>
          <m:sSubPr>
            <m:ctrlPr>
              <w:rPr>
                <w:rFonts w:ascii="Cambria Math" w:hAnsi="Cambria Math"/>
              </w:rPr>
            </m:ctrlPr>
          </m:sSubPr>
          <m:e>
            <m:r>
              <w:rPr>
                <w:rFonts w:ascii="Cambria Math" w:hAnsi="Cambria Math"/>
              </w:rPr>
              <m:t>A</m:t>
            </m:r>
          </m:e>
          <m:sub>
            <m:r>
              <w:rPr>
                <w:rFonts w:ascii="Cambria Math" w:hAnsi="Cambria Math"/>
              </w:rPr>
              <m:t>lnt</m:t>
            </m:r>
          </m:sub>
        </m:sSub>
      </m:oMath>
      <w:r>
        <w:t xml:space="preserve"> </w:t>
      </w:r>
      <w:r>
        <w:t>表示是否存在生效协定的广延边际，</w:t>
      </w:r>
      <m:oMath>
        <m:r>
          <w:rPr>
            <w:rFonts w:ascii="Cambria Math" w:hAnsi="Cambria Math"/>
          </w:rPr>
          <m:t>DT</m:t>
        </m:r>
        <m:sSubSup>
          <m:sSubSupPr>
            <m:ctrlPr>
              <w:rPr>
                <w:rFonts w:ascii="Cambria Math" w:hAnsi="Cambria Math"/>
              </w:rPr>
            </m:ctrlPr>
          </m:sSubSupPr>
          <m:e>
            <m:r>
              <w:rPr>
                <w:rFonts w:ascii="Cambria Math" w:hAnsi="Cambria Math"/>
              </w:rPr>
              <m:t>A</m:t>
            </m:r>
          </m:e>
          <m:sub>
            <m:r>
              <w:rPr>
                <w:rFonts w:ascii="Cambria Math" w:hAnsi="Cambria Math"/>
              </w:rPr>
              <m:t>lnt</m:t>
            </m:r>
          </m:sub>
          <m:sup>
            <m:r>
              <w:rPr>
                <w:rFonts w:ascii="Cambria Math" w:hAnsi="Cambria Math"/>
              </w:rPr>
              <m:t>trade</m:t>
            </m:r>
          </m:sup>
        </m:sSubSup>
      </m:oMath>
      <w:r>
        <w:t xml:space="preserve"> </w:t>
      </w:r>
      <w:r>
        <w:t>和</w:t>
      </w:r>
      <w:r>
        <w:t xml:space="preserve"> </w:t>
      </w:r>
      <m:oMath>
        <m:r>
          <w:rPr>
            <w:rFonts w:ascii="Cambria Math" w:hAnsi="Cambria Math"/>
          </w:rPr>
          <m:t>DT</m:t>
        </m:r>
        <m:sSubSup>
          <m:sSubSupPr>
            <m:ctrlPr>
              <w:rPr>
                <w:rFonts w:ascii="Cambria Math" w:hAnsi="Cambria Math"/>
              </w:rPr>
            </m:ctrlPr>
          </m:sSubSupPr>
          <m:e>
            <m:r>
              <w:rPr>
                <w:rFonts w:ascii="Cambria Math" w:hAnsi="Cambria Math"/>
              </w:rPr>
              <m:t>A</m:t>
            </m:r>
          </m:e>
          <m:sub>
            <m:r>
              <w:rPr>
                <w:rFonts w:ascii="Cambria Math" w:hAnsi="Cambria Math"/>
              </w:rPr>
              <m:t>lnt</m:t>
            </m:r>
          </m:sub>
          <m:sup>
            <m:r>
              <w:rPr>
                <w:rFonts w:ascii="Cambria Math" w:hAnsi="Cambria Math"/>
              </w:rPr>
              <m:t>mp</m:t>
            </m:r>
          </m:sup>
        </m:sSubSup>
      </m:oMath>
      <w:r>
        <w:t xml:space="preserve"> </w:t>
      </w:r>
      <w:r>
        <w:t>则刻画协定制度内容的集约边际。二者的区分可以避免将</w:t>
      </w:r>
      <w:r>
        <w:t>“</w:t>
      </w:r>
      <w:r>
        <w:t>签署协定本身</w:t>
      </w:r>
      <w:r>
        <w:t>”</w:t>
      </w:r>
      <w:r>
        <w:t>的平均影响与</w:t>
      </w:r>
      <w:r>
        <w:t>“</w:t>
      </w:r>
      <w:r>
        <w:t>协定包含何种制度内容</w:t>
      </w:r>
      <w:r>
        <w:t>”</w:t>
      </w:r>
      <w:r>
        <w:t>的影响混为一谈。作为聚合口径的稳健性检验，可分别使用多份生效协定得分的最大值或平均值替代条款并集法。</w:t>
      </w:r>
    </w:p>
    <w:p w14:paraId="67D8C491" w14:textId="77777777" w:rsidR="008339D7" w:rsidRDefault="00000000">
      <w:pPr>
        <w:pStyle w:val="affc"/>
        <w:snapToGrid w:val="0"/>
      </w:pPr>
      <w:bookmarkStart w:id="6" w:name="从制度型开放指数到制度型成本变化"/>
      <w:bookmarkEnd w:id="5"/>
      <w:r>
        <w:t>从制度型开放指数到制度型成本变化</w:t>
      </w:r>
    </w:p>
    <w:p w14:paraId="01F9D0E9" w14:textId="77777777" w:rsidR="008339D7" w:rsidRDefault="00000000">
      <w:pPr>
        <w:pStyle w:val="aff9"/>
      </w:pPr>
      <w:r>
        <w:t>上述指数并不等同于成本本身，而是用于识别制度条款深化对经济活动的影响。对部门</w:t>
      </w:r>
      <w:r>
        <w:t xml:space="preserve"> </w:t>
      </w:r>
      <m:oMath>
        <m:r>
          <w:rPr>
            <w:rFonts w:ascii="Cambria Math" w:hAnsi="Cambria Math"/>
          </w:rPr>
          <m:t>j</m:t>
        </m:r>
      </m:oMath>
      <w:r>
        <w:t>，本文分别估计</w:t>
      </w:r>
    </w:p>
    <w:p w14:paraId="67D03323" w14:textId="77777777" w:rsidR="008339D7" w:rsidRPr="00D94839" w:rsidRDefault="00000000">
      <w:pPr>
        <w:pStyle w:val="affa"/>
        <w:snapToGrid w:val="0"/>
      </w:pPr>
      <m:oMathPara>
        <m:oMathParaPr>
          <m:jc m:val="left"/>
        </m:oMathParaPr>
        <m:oMath>
          <m:r>
            <m:rPr>
              <m:nor/>
            </m:rPr>
            <m:t>ln</m:t>
          </m:r>
          <m:sSubSup>
            <m:sSubSupPr>
              <m:ctrlPr>
                <w:rPr>
                  <w:rFonts w:ascii="Cambria Math" w:hAnsi="Cambria Math"/>
                </w:rPr>
              </m:ctrlPr>
            </m:sSubSupPr>
            <m:e>
              <m:r>
                <w:rPr>
                  <w:rFonts w:ascii="Cambria Math" w:hAnsi="Cambria Math"/>
                </w:rPr>
                <m:t>X</m:t>
              </m:r>
            </m:e>
            <m:sub>
              <m:r>
                <w:rPr>
                  <w:rFonts w:ascii="Cambria Math" w:hAnsi="Cambria Math"/>
                </w:rPr>
                <m:t>lnt</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j</m:t>
              </m:r>
            </m:sub>
            <m:sup>
              <m:r>
                <w:rPr>
                  <w:rFonts w:ascii="Cambria Math" w:hAnsi="Cambria Math"/>
                </w:rPr>
                <m:t>trade</m:t>
              </m:r>
            </m:sup>
          </m:sSubSup>
          <m:r>
            <w:rPr>
              <w:rFonts w:ascii="Cambria Math" w:hAnsi="Cambria Math"/>
            </w:rPr>
            <m:t>DT</m:t>
          </m:r>
          <m:sSubSup>
            <m:sSubSupPr>
              <m:ctrlPr>
                <w:rPr>
                  <w:rFonts w:ascii="Cambria Math" w:hAnsi="Cambria Math"/>
                </w:rPr>
              </m:ctrlPr>
            </m:sSubSupPr>
            <m:e>
              <m:r>
                <w:rPr>
                  <w:rFonts w:ascii="Cambria Math" w:hAnsi="Cambria Math"/>
                </w:rPr>
                <m:t>A</m:t>
              </m:r>
            </m:e>
            <m:sub>
              <m:r>
                <w:rPr>
                  <w:rFonts w:ascii="Cambria Math" w:hAnsi="Cambria Math"/>
                </w:rPr>
                <m:t>lnt</m:t>
              </m:r>
            </m:sub>
            <m:sup>
              <m:r>
                <w:rPr>
                  <w:rFonts w:ascii="Cambria Math" w:hAnsi="Cambria Math"/>
                </w:rPr>
                <m:t>trade</m:t>
              </m:r>
            </m:sup>
          </m:sSubSup>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j</m:t>
              </m:r>
            </m:sub>
            <m:sup>
              <m:r>
                <w:rPr>
                  <w:rFonts w:ascii="Cambria Math" w:hAnsi="Cambria Math"/>
                </w:rPr>
                <m:t>trade</m:t>
              </m:r>
            </m:sup>
          </m:sSubSup>
          <m:r>
            <w:rPr>
              <w:rFonts w:ascii="Cambria Math" w:hAnsi="Cambria Math"/>
            </w:rPr>
            <m:t>PT</m:t>
          </m:r>
          <m:sSub>
            <m:sSubPr>
              <m:ctrlPr>
                <w:rPr>
                  <w:rFonts w:ascii="Cambria Math" w:hAnsi="Cambria Math"/>
                </w:rPr>
              </m:ctrlPr>
            </m:sSubPr>
            <m:e>
              <m:r>
                <w:rPr>
                  <w:rFonts w:ascii="Cambria Math" w:hAnsi="Cambria Math"/>
                </w:rPr>
                <m:t>A</m:t>
              </m:r>
            </m:e>
            <m:sub>
              <m:r>
                <w:rPr>
                  <w:rFonts w:ascii="Cambria Math" w:hAnsi="Cambria Math"/>
                </w:rPr>
                <m:t>lnt</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γ</m:t>
              </m:r>
            </m:e>
            <m:sub>
              <m:r>
                <w:rPr>
                  <w:rFonts w:ascii="Cambria Math" w:hAnsi="Cambria Math"/>
                </w:rPr>
                <m:t>j</m:t>
              </m:r>
            </m:sub>
            <m:sup>
              <m:r>
                <w:rPr>
                  <w:rFonts w:ascii="Cambria Math" w:hAnsi="Cambria Math"/>
                </w:rPr>
                <m:t>trade</m:t>
              </m:r>
              <m:r>
                <m:rPr>
                  <m:sty m:val="p"/>
                </m:rPr>
                <w:rPr>
                  <w:rFonts w:ascii="Cambria Math" w:hAnsi="Cambria Math"/>
                </w:rPr>
                <m:t>'</m:t>
              </m:r>
            </m:sup>
          </m:sSubSup>
          <m:sSubSup>
            <m:sSubSupPr>
              <m:ctrlPr>
                <w:rPr>
                  <w:rFonts w:ascii="Cambria Math" w:hAnsi="Cambria Math"/>
                </w:rPr>
              </m:ctrlPr>
            </m:sSubSupPr>
            <m:e>
              <m:r>
                <m:rPr>
                  <m:sty m:val="b"/>
                </m:rPr>
                <w:rPr>
                  <w:rFonts w:ascii="Cambria Math" w:hAnsi="Cambria Math"/>
                </w:rPr>
                <m:t>Z</m:t>
              </m:r>
            </m:e>
            <m:sub>
              <m:r>
                <w:rPr>
                  <w:rFonts w:ascii="Cambria Math" w:hAnsi="Cambria Math"/>
                </w:rPr>
                <m:t>lnt</m:t>
              </m:r>
            </m:sub>
            <m:sup>
              <m:r>
                <w:rPr>
                  <w:rFonts w:ascii="Cambria Math" w:hAnsi="Cambria Math"/>
                </w:rPr>
                <m:t>trade</m:t>
              </m:r>
            </m:sup>
          </m:sSubSup>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ln</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lt</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nt</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lnt</m:t>
              </m:r>
            </m:sub>
            <m:sup>
              <m:r>
                <w:rPr>
                  <w:rFonts w:ascii="Cambria Math" w:hAnsi="Cambria Math"/>
                </w:rPr>
                <m:t>j</m:t>
              </m:r>
              <m:r>
                <m:rPr>
                  <m:sty m:val="p"/>
                </m:rPr>
                <w:rPr>
                  <w:rFonts w:ascii="Cambria Math" w:hAnsi="Cambria Math"/>
                </w:rPr>
                <m:t>,</m:t>
              </m:r>
              <m:r>
                <w:rPr>
                  <w:rFonts w:ascii="Cambria Math" w:hAnsi="Cambria Math"/>
                </w:rPr>
                <m:t>trade</m:t>
              </m:r>
            </m:sup>
          </m:sSubSup>
          <m:r>
            <m:rPr>
              <m:sty m:val="p"/>
            </m:rPr>
            <w:rPr>
              <w:rFonts w:ascii="Cambria Math" w:hAnsi="Cambria Math"/>
            </w:rPr>
            <m:t>,</m:t>
          </m:r>
          <m:r>
            <w:rPr>
              <w:rFonts w:ascii="Cambria Math" w:hAnsi="Cambria Math"/>
            </w:rPr>
            <m:t>  </m:t>
          </m:r>
          <m:r>
            <m:rPr>
              <m:nor/>
            </m:rPr>
            <m:t>(12</m:t>
          </m:r>
          <m:r>
            <m:rPr>
              <m:nor/>
            </m:rPr>
            <m:t>)</m:t>
          </m:r>
        </m:oMath>
      </m:oMathPara>
    </w:p>
    <w:p w14:paraId="3946C446" w14:textId="77777777" w:rsidR="008339D7" w:rsidRPr="00D94839" w:rsidRDefault="00000000">
      <w:pPr>
        <w:pStyle w:val="affa"/>
        <w:snapToGrid w:val="0"/>
      </w:pPr>
      <m:oMathPara>
        <m:oMathParaPr>
          <m:jc m:val="left"/>
        </m:oMathParaPr>
        <m:oMath>
          <m:r>
            <m:rPr>
              <m:nor/>
            </m:rPr>
            <m:t>ln</m:t>
          </m:r>
          <m:r>
            <w:rPr>
              <w:rFonts w:ascii="Cambria Math" w:hAnsi="Cambria Math"/>
            </w:rPr>
            <m:t>M</m:t>
          </m:r>
          <m:sSubSup>
            <m:sSubSupPr>
              <m:ctrlPr>
                <w:rPr>
                  <w:rFonts w:ascii="Cambria Math" w:hAnsi="Cambria Math"/>
                </w:rPr>
              </m:ctrlPr>
            </m:sSubSupPr>
            <m:e>
              <m:r>
                <w:rPr>
                  <w:rFonts w:ascii="Cambria Math" w:hAnsi="Cambria Math"/>
                </w:rPr>
                <m:t>P</m:t>
              </m:r>
            </m:e>
            <m:sub>
              <m:r>
                <w:rPr>
                  <w:rFonts w:ascii="Cambria Math" w:hAnsi="Cambria Math"/>
                </w:rPr>
                <m:t>lnt</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j</m:t>
              </m:r>
            </m:sub>
            <m:sup>
              <m:r>
                <w:rPr>
                  <w:rFonts w:ascii="Cambria Math" w:hAnsi="Cambria Math"/>
                </w:rPr>
                <m:t>mp</m:t>
              </m:r>
            </m:sup>
          </m:sSubSup>
          <m:r>
            <w:rPr>
              <w:rFonts w:ascii="Cambria Math" w:hAnsi="Cambria Math"/>
            </w:rPr>
            <m:t>DT</m:t>
          </m:r>
          <m:sSubSup>
            <m:sSubSupPr>
              <m:ctrlPr>
                <w:rPr>
                  <w:rFonts w:ascii="Cambria Math" w:hAnsi="Cambria Math"/>
                </w:rPr>
              </m:ctrlPr>
            </m:sSubSupPr>
            <m:e>
              <m:r>
                <w:rPr>
                  <w:rFonts w:ascii="Cambria Math" w:hAnsi="Cambria Math"/>
                </w:rPr>
                <m:t>A</m:t>
              </m:r>
            </m:e>
            <m:sub>
              <m:r>
                <w:rPr>
                  <w:rFonts w:ascii="Cambria Math" w:hAnsi="Cambria Math"/>
                </w:rPr>
                <m:t>lnt</m:t>
              </m:r>
            </m:sub>
            <m:sup>
              <m:r>
                <w:rPr>
                  <w:rFonts w:ascii="Cambria Math" w:hAnsi="Cambria Math"/>
                </w:rPr>
                <m:t>mp</m:t>
              </m:r>
            </m:sup>
          </m:sSubSup>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j</m:t>
              </m:r>
            </m:sub>
            <m:sup>
              <m:r>
                <w:rPr>
                  <w:rFonts w:ascii="Cambria Math" w:hAnsi="Cambria Math"/>
                </w:rPr>
                <m:t>mp</m:t>
              </m:r>
            </m:sup>
          </m:sSubSup>
          <m:r>
            <w:rPr>
              <w:rFonts w:ascii="Cambria Math" w:hAnsi="Cambria Math"/>
            </w:rPr>
            <m:t>PT</m:t>
          </m:r>
          <m:sSub>
            <m:sSubPr>
              <m:ctrlPr>
                <w:rPr>
                  <w:rFonts w:ascii="Cambria Math" w:hAnsi="Cambria Math"/>
                </w:rPr>
              </m:ctrlPr>
            </m:sSubPr>
            <m:e>
              <m:r>
                <w:rPr>
                  <w:rFonts w:ascii="Cambria Math" w:hAnsi="Cambria Math"/>
                </w:rPr>
                <m:t>A</m:t>
              </m:r>
            </m:e>
            <m:sub>
              <m:r>
                <w:rPr>
                  <w:rFonts w:ascii="Cambria Math" w:hAnsi="Cambria Math"/>
                </w:rPr>
                <m:t>lnt</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γ</m:t>
              </m:r>
            </m:e>
            <m:sub>
              <m:r>
                <w:rPr>
                  <w:rFonts w:ascii="Cambria Math" w:hAnsi="Cambria Math"/>
                </w:rPr>
                <m:t>j</m:t>
              </m:r>
            </m:sub>
            <m:sup>
              <m:r>
                <w:rPr>
                  <w:rFonts w:ascii="Cambria Math" w:hAnsi="Cambria Math"/>
                </w:rPr>
                <m:t>mp</m:t>
              </m:r>
              <m:r>
                <m:rPr>
                  <m:sty m:val="p"/>
                </m:rPr>
                <w:rPr>
                  <w:rFonts w:ascii="Cambria Math" w:hAnsi="Cambria Math"/>
                </w:rPr>
                <m:t>'</m:t>
              </m:r>
            </m:sup>
          </m:sSubSup>
          <m:sSubSup>
            <m:sSubSupPr>
              <m:ctrlPr>
                <w:rPr>
                  <w:rFonts w:ascii="Cambria Math" w:hAnsi="Cambria Math"/>
                </w:rPr>
              </m:ctrlPr>
            </m:sSubSupPr>
            <m:e>
              <m:r>
                <m:rPr>
                  <m:sty m:val="b"/>
                </m:rPr>
                <w:rPr>
                  <w:rFonts w:ascii="Cambria Math" w:hAnsi="Cambria Math"/>
                </w:rPr>
                <m:t>Z</m:t>
              </m:r>
            </m:e>
            <m:sub>
              <m:r>
                <w:rPr>
                  <w:rFonts w:ascii="Cambria Math" w:hAnsi="Cambria Math"/>
                </w:rPr>
                <m:t>lnt</m:t>
              </m:r>
            </m:sub>
            <m:sup>
              <m:r>
                <w:rPr>
                  <w:rFonts w:ascii="Cambria Math" w:hAnsi="Cambria Math"/>
                </w:rPr>
                <m:t>mp</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ln</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lt</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nt</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lnt</m:t>
              </m:r>
            </m:sub>
            <m:sup>
              <m:r>
                <w:rPr>
                  <w:rFonts w:ascii="Cambria Math" w:hAnsi="Cambria Math"/>
                </w:rPr>
                <m:t>j</m:t>
              </m:r>
              <m:r>
                <m:rPr>
                  <m:sty m:val="p"/>
                </m:rPr>
                <w:rPr>
                  <w:rFonts w:ascii="Cambria Math" w:hAnsi="Cambria Math"/>
                </w:rPr>
                <m:t>,</m:t>
              </m:r>
              <m:r>
                <w:rPr>
                  <w:rFonts w:ascii="Cambria Math" w:hAnsi="Cambria Math"/>
                </w:rPr>
                <m:t>mp</m:t>
              </m:r>
            </m:sup>
          </m:sSubSup>
          <m:r>
            <m:rPr>
              <m:sty m:val="p"/>
            </m:rPr>
            <w:rPr>
              <w:rFonts w:ascii="Cambria Math" w:hAnsi="Cambria Math"/>
            </w:rPr>
            <m:t>,</m:t>
          </m:r>
          <m:r>
            <w:rPr>
              <w:rFonts w:ascii="Cambria Math" w:hAnsi="Cambria Math"/>
            </w:rPr>
            <m:t>  </m:t>
          </m:r>
          <m:r>
            <m:rPr>
              <m:nor/>
            </m:rPr>
            <m:t>(13</m:t>
          </m:r>
          <m:r>
            <m:rPr>
              <m:nor/>
            </m:rPr>
            <m:t>)</m:t>
          </m:r>
        </m:oMath>
      </m:oMathPara>
    </w:p>
    <w:p w14:paraId="6AE473E4" w14:textId="77777777" w:rsidR="008339D7" w:rsidRDefault="00000000">
      <w:pPr>
        <w:pStyle w:val="aff9"/>
      </w:pPr>
      <w:r>
        <w:t>其中，</w:t>
      </w:r>
      <m:oMath>
        <m:sSubSup>
          <m:sSubSupPr>
            <m:ctrlPr>
              <w:rPr>
                <w:rFonts w:ascii="Cambria Math" w:hAnsi="Cambria Math"/>
              </w:rPr>
            </m:ctrlPr>
          </m:sSubSupPr>
          <m:e>
            <m:r>
              <w:rPr>
                <w:rFonts w:ascii="Cambria Math" w:hAnsi="Cambria Math"/>
              </w:rPr>
              <m:t>X</m:t>
            </m:r>
          </m:e>
          <m:sub>
            <m:r>
              <w:rPr>
                <w:rFonts w:ascii="Cambria Math" w:hAnsi="Cambria Math"/>
              </w:rPr>
              <m:t>lnt</m:t>
            </m:r>
          </m:sub>
          <m:sup>
            <m:r>
              <w:rPr>
                <w:rFonts w:ascii="Cambria Math" w:hAnsi="Cambria Math"/>
              </w:rPr>
              <m:t>j</m:t>
            </m:r>
          </m:sup>
        </m:sSubSup>
      </m:oMath>
      <w:r>
        <w:t xml:space="preserve"> </w:t>
      </w:r>
      <w:r>
        <w:t>和</w:t>
      </w:r>
      <w:r>
        <w:t xml:space="preserve"> </w:t>
      </w:r>
      <m:oMath>
        <m:r>
          <w:rPr>
            <w:rFonts w:ascii="Cambria Math" w:hAnsi="Cambria Math"/>
          </w:rPr>
          <m:t>M</m:t>
        </m:r>
        <m:sSubSup>
          <m:sSubSupPr>
            <m:ctrlPr>
              <w:rPr>
                <w:rFonts w:ascii="Cambria Math" w:hAnsi="Cambria Math"/>
              </w:rPr>
            </m:ctrlPr>
          </m:sSubSupPr>
          <m:e>
            <m:r>
              <w:rPr>
                <w:rFonts w:ascii="Cambria Math" w:hAnsi="Cambria Math"/>
              </w:rPr>
              <m:t>P</m:t>
            </m:r>
          </m:e>
          <m:sub>
            <m:r>
              <w:rPr>
                <w:rFonts w:ascii="Cambria Math" w:hAnsi="Cambria Math"/>
              </w:rPr>
              <m:t>lnt</m:t>
            </m:r>
          </m:sub>
          <m:sup>
            <m:r>
              <w:rPr>
                <w:rFonts w:ascii="Cambria Math" w:hAnsi="Cambria Math"/>
              </w:rPr>
              <m:t>j</m:t>
            </m:r>
          </m:sup>
        </m:sSubSup>
      </m:oMath>
      <w:r>
        <w:t xml:space="preserve"> </w:t>
      </w:r>
      <w:r>
        <w:t>分别表示部门层面的双边贸易流与跨国生产流，</w:t>
      </w:r>
      <m:oMath>
        <m:sSubSup>
          <m:sSubSupPr>
            <m:ctrlPr>
              <w:rPr>
                <w:rFonts w:ascii="Cambria Math" w:hAnsi="Cambria Math"/>
              </w:rPr>
            </m:ctrlPr>
          </m:sSubSupPr>
          <m:e>
            <m:r>
              <m:rPr>
                <m:sty m:val="b"/>
              </m:rPr>
              <w:rPr>
                <w:rFonts w:ascii="Cambria Math" w:hAnsi="Cambria Math"/>
              </w:rPr>
              <m:t>Z</m:t>
            </m:r>
          </m:e>
          <m:sub>
            <m:r>
              <w:rPr>
                <w:rFonts w:ascii="Cambria Math" w:hAnsi="Cambria Math"/>
              </w:rPr>
              <m:t>lnt</m:t>
            </m:r>
          </m:sub>
          <m:sup>
            <m:r>
              <w:rPr>
                <w:rFonts w:ascii="Cambria Math" w:hAnsi="Cambria Math"/>
              </w:rPr>
              <m:t>trade</m:t>
            </m:r>
          </m:sup>
        </m:sSubSup>
      </m:oMath>
      <w:r>
        <w:t xml:space="preserve"> </w:t>
      </w:r>
      <w:r>
        <w:t>和</w:t>
      </w:r>
      <w:r>
        <w:t xml:space="preserve"> </w:t>
      </w:r>
      <m:oMath>
        <m:sSubSup>
          <m:sSubSupPr>
            <m:ctrlPr>
              <w:rPr>
                <w:rFonts w:ascii="Cambria Math" w:hAnsi="Cambria Math"/>
              </w:rPr>
            </m:ctrlPr>
          </m:sSubSupPr>
          <m:e>
            <m:r>
              <m:rPr>
                <m:sty m:val="b"/>
              </m:rPr>
              <w:rPr>
                <w:rFonts w:ascii="Cambria Math" w:hAnsi="Cambria Math"/>
              </w:rPr>
              <m:t>Z</m:t>
            </m:r>
          </m:e>
          <m:sub>
            <m:r>
              <w:rPr>
                <w:rFonts w:ascii="Cambria Math" w:hAnsi="Cambria Math"/>
              </w:rPr>
              <m:t>lnt</m:t>
            </m:r>
          </m:sub>
          <m:sup>
            <m:r>
              <w:rPr>
                <w:rFonts w:ascii="Cambria Math" w:hAnsi="Cambria Math"/>
              </w:rPr>
              <m:t>mp</m:t>
            </m:r>
          </m:sup>
        </m:sSubSup>
      </m:oMath>
      <w:r>
        <w:t xml:space="preserve"> </w:t>
      </w:r>
      <w:r>
        <w:t>为相应方程的其他预定协变量；双边固定效应吸收不随时间变化的双边异质性，来源国</w:t>
      </w:r>
      <w:r>
        <w:t>—</w:t>
      </w:r>
      <w:r>
        <w:t>年份和目的国</w:t>
      </w:r>
      <w:r>
        <w:t>—</w:t>
      </w:r>
      <w:r>
        <w:t>年份固定效应吸收国家层面的年度冲击及多边阻力。</w:t>
      </w:r>
      <m:oMath>
        <m:r>
          <w:rPr>
            <w:rFonts w:ascii="Cambria Math" w:hAnsi="Cambria Math"/>
          </w:rPr>
          <m:t>PT</m:t>
        </m:r>
        <m:sSub>
          <m:sSubPr>
            <m:ctrlPr>
              <w:rPr>
                <w:rFonts w:ascii="Cambria Math" w:hAnsi="Cambria Math"/>
              </w:rPr>
            </m:ctrlPr>
          </m:sSubPr>
          <m:e>
            <m:r>
              <w:rPr>
                <w:rFonts w:ascii="Cambria Math" w:hAnsi="Cambria Math"/>
              </w:rPr>
              <m:t>A</m:t>
            </m:r>
          </m:e>
          <m:sub>
            <m:r>
              <w:rPr>
                <w:rFonts w:ascii="Cambria Math" w:hAnsi="Cambria Math"/>
              </w:rPr>
              <m:t>lnt</m:t>
            </m:r>
          </m:sub>
        </m:sSub>
      </m:oMath>
      <w:r>
        <w:t xml:space="preserve"> </w:t>
      </w:r>
      <w:r>
        <w:t>与制度内容指数同时进入方程，使</w:t>
      </w:r>
      <w:r>
        <w:t xml:space="preserve"> </w:t>
      </w:r>
      <m:oMath>
        <m:sSubSup>
          <m:sSubSupPr>
            <m:ctrlPr>
              <w:rPr>
                <w:rFonts w:ascii="Cambria Math" w:hAnsi="Cambria Math"/>
              </w:rPr>
            </m:ctrlPr>
          </m:sSubSupPr>
          <m:e>
            <m:r>
              <w:rPr>
                <w:rFonts w:ascii="Cambria Math" w:hAnsi="Cambria Math"/>
              </w:rPr>
              <m:t>α</m:t>
            </m:r>
          </m:e>
          <m:sub>
            <m:r>
              <w:rPr>
                <w:rFonts w:ascii="Cambria Math" w:hAnsi="Cambria Math"/>
              </w:rPr>
              <m:t>j</m:t>
            </m:r>
          </m:sub>
          <m:sup>
            <m:r>
              <w:rPr>
                <w:rFonts w:ascii="Cambria Math" w:hAnsi="Cambria Math"/>
              </w:rPr>
              <m:t>trade</m:t>
            </m:r>
          </m:sup>
        </m:sSubSup>
      </m:oMath>
      <w:r>
        <w:t xml:space="preserve"> </w:t>
      </w:r>
      <w:r>
        <w:t>和</w:t>
      </w:r>
      <w:r>
        <w:t xml:space="preserve"> </w:t>
      </w:r>
      <m:oMath>
        <m:sSubSup>
          <m:sSubSupPr>
            <m:ctrlPr>
              <w:rPr>
                <w:rFonts w:ascii="Cambria Math" w:hAnsi="Cambria Math"/>
              </w:rPr>
            </m:ctrlPr>
          </m:sSubSupPr>
          <m:e>
            <m:r>
              <w:rPr>
                <w:rFonts w:ascii="Cambria Math" w:hAnsi="Cambria Math"/>
              </w:rPr>
              <m:t>α</m:t>
            </m:r>
          </m:e>
          <m:sub>
            <m:r>
              <w:rPr>
                <w:rFonts w:ascii="Cambria Math" w:hAnsi="Cambria Math"/>
              </w:rPr>
              <m:t>j</m:t>
            </m:r>
          </m:sub>
          <m:sup>
            <m:r>
              <w:rPr>
                <w:rFonts w:ascii="Cambria Math" w:hAnsi="Cambria Math"/>
              </w:rPr>
              <m:t>mp</m:t>
            </m:r>
          </m:sup>
        </m:sSubSup>
      </m:oMath>
      <w:r>
        <w:t xml:space="preserve"> </w:t>
      </w:r>
      <w:r>
        <w:t>识别的是在是否存在协定之外，制度条款深度变化与双边经济活动之间的关系。</w:t>
      </w:r>
    </w:p>
    <w:p w14:paraId="593ED016" w14:textId="77777777" w:rsidR="008339D7" w:rsidRDefault="00000000">
      <w:pPr>
        <w:pStyle w:val="aff9"/>
      </w:pPr>
      <w:r>
        <w:t>设</w:t>
      </w:r>
      <w:r>
        <w:t xml:space="preserve"> </w:t>
      </w:r>
      <m:oMath>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w:t>
      </w:r>
      <w:r>
        <w:t>为贸易流对贸易成本的结构弹性，</w:t>
      </w:r>
      <m:oMath>
        <m:sSub>
          <m:sSubPr>
            <m:ctrlPr>
              <w:rPr>
                <w:rFonts w:ascii="Cambria Math" w:hAnsi="Cambria Math"/>
              </w:rPr>
            </m:ctrlPr>
          </m:sSubPr>
          <m:e>
            <m:r>
              <w:rPr>
                <w:rFonts w:ascii="Cambria Math" w:hAnsi="Cambria Math"/>
              </w:rPr>
              <m:t>κ</m:t>
            </m:r>
          </m:e>
          <m:sub>
            <m:r>
              <w:rPr>
                <w:rFonts w:ascii="Cambria Math" w:hAnsi="Cambria Math"/>
              </w:rPr>
              <m:t>j</m:t>
            </m:r>
          </m:sub>
        </m:sSub>
      </m:oMath>
      <w:r>
        <w:t xml:space="preserve"> </w:t>
      </w:r>
      <w:r>
        <w:t>为跨国生产流对跨国生产成本的结构弹性。对于基准情形</w:t>
      </w:r>
      <w:r>
        <w:t xml:space="preserve"> </w:t>
      </w:r>
      <m:oMath>
        <m:r>
          <w:rPr>
            <w:rFonts w:ascii="Cambria Math" w:hAnsi="Cambria Math"/>
          </w:rPr>
          <m:t>base</m:t>
        </m:r>
      </m:oMath>
      <w:r>
        <w:t xml:space="preserve"> </w:t>
      </w:r>
      <w:r>
        <w:t>与反事实情形</w:t>
      </w:r>
      <w:r>
        <w:t xml:space="preserve"> </w:t>
      </w:r>
      <m:oMath>
        <m:r>
          <w:rPr>
            <w:rFonts w:ascii="Cambria Math" w:hAnsi="Cambria Math"/>
          </w:rPr>
          <m:t>cf</m:t>
        </m:r>
      </m:oMath>
      <w:r>
        <w:t>，制度型贸易成本和制度型跨国生产成本的相对变化分别为</w:t>
      </w:r>
    </w:p>
    <w:p w14:paraId="59C1C950" w14:textId="77777777" w:rsidR="008339D7" w:rsidRPr="00D94839" w:rsidRDefault="00000000">
      <w:pPr>
        <w:pStyle w:val="affa"/>
        <w:snapToGrid w:val="0"/>
      </w:pPr>
      <m:oMathPara>
        <m:oMathParaPr>
          <m:jc m:val="left"/>
        </m:oMathParaPr>
        <m:oMath>
          <m:sSubSup>
            <m:sSubSupPr>
              <m:ctrlPr>
                <w:rPr>
                  <w:rFonts w:ascii="Cambria Math" w:hAnsi="Cambria Math"/>
                </w:rPr>
              </m:ctrlPr>
            </m:sSubSupPr>
            <m:e>
              <m:r>
                <w:rPr>
                  <w:rFonts w:ascii="Cambria Math" w:hAnsi="Cambria Math"/>
                </w:rPr>
                <m:t>ζ</m:t>
              </m:r>
            </m:e>
            <m:sub>
              <m:r>
                <w:rPr>
                  <w:rFonts w:ascii="Cambria Math" w:hAnsi="Cambria Math"/>
                </w:rPr>
                <m:t>ln</m:t>
              </m:r>
              <m:r>
                <m:rPr>
                  <m:sty m:val="p"/>
                </m:rPr>
                <w:rPr>
                  <w:rFonts w:ascii="Cambria Math" w:hAnsi="Cambria Math"/>
                </w:rPr>
                <m:t>,</m:t>
              </m:r>
              <m:r>
                <w:rPr>
                  <w:rFonts w:ascii="Cambria Math" w:hAnsi="Cambria Math"/>
                </w:rPr>
                <m:t>j</m:t>
              </m:r>
            </m:sub>
            <m:sup>
              <m:r>
                <w:rPr>
                  <w:rFonts w:ascii="Cambria Math" w:hAnsi="Cambria Math"/>
                </w:rPr>
                <m:t>trade</m:t>
              </m:r>
            </m:sup>
          </m:sSubSup>
          <m:r>
            <m:rPr>
              <m:sty m:val="p"/>
            </m:rPr>
            <w:rPr>
              <w:rFonts w:ascii="Cambria Math" w:hAnsi="Cambria Math"/>
            </w:rPr>
            <m:t>=</m:t>
          </m:r>
          <m:r>
            <m:rPr>
              <m:nor/>
            </m: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α</m:t>
                          </m:r>
                        </m:e>
                      </m:acc>
                    </m:e>
                    <m:sub>
                      <m:r>
                        <w:rPr>
                          <w:rFonts w:ascii="Cambria Math" w:hAnsi="Cambria Math"/>
                        </w:rPr>
                        <m:t>j</m:t>
                      </m:r>
                    </m:sub>
                    <m:sup>
                      <m:r>
                        <w:rPr>
                          <w:rFonts w:ascii="Cambria Math" w:hAnsi="Cambria Math"/>
                        </w:rPr>
                        <m:t>trade</m:t>
                      </m:r>
                    </m:sup>
                  </m:sSubSup>
                </m:num>
                <m:den>
                  <m:sSub>
                    <m:sSubPr>
                      <m:ctrlPr>
                        <w:rPr>
                          <w:rFonts w:ascii="Cambria Math" w:hAnsi="Cambria Math"/>
                        </w:rPr>
                      </m:ctrlPr>
                    </m:sSubPr>
                    <m:e>
                      <m:r>
                        <w:rPr>
                          <w:rFonts w:ascii="Cambria Math" w:hAnsi="Cambria Math"/>
                        </w:rPr>
                        <m:t>θ</m:t>
                      </m:r>
                    </m:e>
                    <m:sub>
                      <m:r>
                        <w:rPr>
                          <w:rFonts w:ascii="Cambria Math" w:hAnsi="Cambria Math"/>
                        </w:rPr>
                        <m:t>j</m:t>
                      </m:r>
                    </m:sub>
                  </m:sSub>
                </m:den>
              </m:f>
              <m:d>
                <m:dPr>
                  <m:ctrlPr>
                    <w:rPr>
                      <w:rFonts w:ascii="Cambria Math" w:hAnsi="Cambria Math"/>
                    </w:rPr>
                  </m:ctrlPr>
                </m:dPr>
                <m:e>
                  <m:r>
                    <w:rPr>
                      <w:rFonts w:ascii="Cambria Math" w:hAnsi="Cambria Math"/>
                    </w:rPr>
                    <m:t>DT</m:t>
                  </m:r>
                  <m:sSubSup>
                    <m:sSubSupPr>
                      <m:ctrlPr>
                        <w:rPr>
                          <w:rFonts w:ascii="Cambria Math" w:hAnsi="Cambria Math"/>
                        </w:rPr>
                      </m:ctrlPr>
                    </m:sSubSupPr>
                    <m:e>
                      <m:r>
                        <w:rPr>
                          <w:rFonts w:ascii="Cambria Math" w:hAnsi="Cambria Math"/>
                        </w:rPr>
                        <m:t>A</m:t>
                      </m:r>
                    </m:e>
                    <m:sub>
                      <m:r>
                        <w:rPr>
                          <w:rFonts w:ascii="Cambria Math" w:hAnsi="Cambria Math"/>
                        </w:rPr>
                        <m:t>ln</m:t>
                      </m:r>
                    </m:sub>
                    <m:sup>
                      <m:r>
                        <w:rPr>
                          <w:rFonts w:ascii="Cambria Math" w:hAnsi="Cambria Math"/>
                        </w:rPr>
                        <m:t>trade</m:t>
                      </m:r>
                      <m:r>
                        <m:rPr>
                          <m:sty m:val="p"/>
                        </m:rPr>
                        <w:rPr>
                          <w:rFonts w:ascii="Cambria Math" w:hAnsi="Cambria Math"/>
                        </w:rPr>
                        <m:t>,</m:t>
                      </m:r>
                      <m:r>
                        <w:rPr>
                          <w:rFonts w:ascii="Cambria Math" w:hAnsi="Cambria Math"/>
                        </w:rPr>
                        <m:t>cf</m:t>
                      </m:r>
                    </m:sup>
                  </m:sSubSup>
                  <m:r>
                    <m:rPr>
                      <m:sty m:val="p"/>
                    </m:rPr>
                    <w:rPr>
                      <w:rFonts w:ascii="Cambria Math" w:hAnsi="Cambria Math"/>
                    </w:rPr>
                    <m:t>-</m:t>
                  </m:r>
                  <m:r>
                    <w:rPr>
                      <w:rFonts w:ascii="Cambria Math" w:hAnsi="Cambria Math"/>
                    </w:rPr>
                    <m:t>DT</m:t>
                  </m:r>
                  <m:sSubSup>
                    <m:sSubSupPr>
                      <m:ctrlPr>
                        <w:rPr>
                          <w:rFonts w:ascii="Cambria Math" w:hAnsi="Cambria Math"/>
                        </w:rPr>
                      </m:ctrlPr>
                    </m:sSubSupPr>
                    <m:e>
                      <m:r>
                        <w:rPr>
                          <w:rFonts w:ascii="Cambria Math" w:hAnsi="Cambria Math"/>
                        </w:rPr>
                        <m:t>A</m:t>
                      </m:r>
                    </m:e>
                    <m:sub>
                      <m:r>
                        <w:rPr>
                          <w:rFonts w:ascii="Cambria Math" w:hAnsi="Cambria Math"/>
                        </w:rPr>
                        <m:t>ln</m:t>
                      </m:r>
                    </m:sub>
                    <m:sup>
                      <m:r>
                        <w:rPr>
                          <w:rFonts w:ascii="Cambria Math" w:hAnsi="Cambria Math"/>
                        </w:rPr>
                        <m:t>trade</m:t>
                      </m:r>
                      <m:r>
                        <m:rPr>
                          <m:sty m:val="p"/>
                        </m:rPr>
                        <w:rPr>
                          <w:rFonts w:ascii="Cambria Math" w:hAnsi="Cambria Math"/>
                        </w:rPr>
                        <m:t>,</m:t>
                      </m:r>
                      <m:r>
                        <w:rPr>
                          <w:rFonts w:ascii="Cambria Math" w:hAnsi="Cambria Math"/>
                        </w:rPr>
                        <m:t>base</m:t>
                      </m:r>
                    </m:sup>
                  </m:sSubSup>
                </m:e>
              </m:d>
            </m:e>
          </m:d>
          <m:r>
            <m:rPr>
              <m:sty m:val="p"/>
            </m:rPr>
            <w:rPr>
              <w:rFonts w:ascii="Cambria Math" w:hAnsi="Cambria Math"/>
            </w:rPr>
            <m:t>,</m:t>
          </m:r>
          <m:r>
            <w:rPr>
              <w:rFonts w:ascii="Cambria Math" w:hAnsi="Cambria Math"/>
            </w:rPr>
            <m:t>  </m:t>
          </m:r>
          <m:r>
            <m:rPr>
              <m:nor/>
            </m:rPr>
            <m:t>(14</m:t>
          </m:r>
          <m:r>
            <m:rPr>
              <m:nor/>
            </m:rPr>
            <m:t>)</m:t>
          </m:r>
        </m:oMath>
      </m:oMathPara>
    </w:p>
    <w:p w14:paraId="7A54DC6C" w14:textId="77777777" w:rsidR="008339D7" w:rsidRPr="00D94839" w:rsidRDefault="00000000">
      <w:pPr>
        <w:pStyle w:val="affa"/>
        <w:snapToGrid w:val="0"/>
      </w:pPr>
      <m:oMathPara>
        <m:oMathParaPr>
          <m:jc m:val="left"/>
        </m:oMathParaPr>
        <m:oMath>
          <m:sSubSup>
            <m:sSubSupPr>
              <m:ctrlPr>
                <w:rPr>
                  <w:rFonts w:ascii="Cambria Math" w:hAnsi="Cambria Math"/>
                </w:rPr>
              </m:ctrlPr>
            </m:sSubSupPr>
            <m:e>
              <m:r>
                <w:rPr>
                  <w:rFonts w:ascii="Cambria Math" w:hAnsi="Cambria Math"/>
                </w:rPr>
                <m:t>ζ</m:t>
              </m:r>
            </m:e>
            <m:sub>
              <m:r>
                <w:rPr>
                  <w:rFonts w:ascii="Cambria Math" w:hAnsi="Cambria Math"/>
                </w:rPr>
                <m:t>ln</m:t>
              </m:r>
              <m:r>
                <m:rPr>
                  <m:sty m:val="p"/>
                </m:rPr>
                <w:rPr>
                  <w:rFonts w:ascii="Cambria Math" w:hAnsi="Cambria Math"/>
                </w:rPr>
                <m:t>,</m:t>
              </m:r>
              <m:r>
                <w:rPr>
                  <w:rFonts w:ascii="Cambria Math" w:hAnsi="Cambria Math"/>
                </w:rPr>
                <m:t>j</m:t>
              </m:r>
            </m:sub>
            <m:sup>
              <m:r>
                <w:rPr>
                  <w:rFonts w:ascii="Cambria Math" w:hAnsi="Cambria Math"/>
                </w:rPr>
                <m:t>mp</m:t>
              </m:r>
            </m:sup>
          </m:sSubSup>
          <m:r>
            <m:rPr>
              <m:sty m:val="p"/>
            </m:rPr>
            <w:rPr>
              <w:rFonts w:ascii="Cambria Math" w:hAnsi="Cambria Math"/>
            </w:rPr>
            <m:t>=</m:t>
          </m:r>
          <m:r>
            <m:rPr>
              <m:nor/>
            </m: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α</m:t>
                          </m:r>
                        </m:e>
                      </m:acc>
                    </m:e>
                    <m:sub>
                      <m:r>
                        <w:rPr>
                          <w:rFonts w:ascii="Cambria Math" w:hAnsi="Cambria Math"/>
                        </w:rPr>
                        <m:t>j</m:t>
                      </m:r>
                    </m:sub>
                    <m:sup>
                      <m:r>
                        <w:rPr>
                          <w:rFonts w:ascii="Cambria Math" w:hAnsi="Cambria Math"/>
                        </w:rPr>
                        <m:t>mp</m:t>
                      </m:r>
                    </m:sup>
                  </m:sSubSup>
                </m:num>
                <m:den>
                  <m:sSub>
                    <m:sSubPr>
                      <m:ctrlPr>
                        <w:rPr>
                          <w:rFonts w:ascii="Cambria Math" w:hAnsi="Cambria Math"/>
                        </w:rPr>
                      </m:ctrlPr>
                    </m:sSubPr>
                    <m:e>
                      <m:r>
                        <w:rPr>
                          <w:rFonts w:ascii="Cambria Math" w:hAnsi="Cambria Math"/>
                        </w:rPr>
                        <m:t>κ</m:t>
                      </m:r>
                    </m:e>
                    <m:sub>
                      <m:r>
                        <w:rPr>
                          <w:rFonts w:ascii="Cambria Math" w:hAnsi="Cambria Math"/>
                        </w:rPr>
                        <m:t>j</m:t>
                      </m:r>
                    </m:sub>
                  </m:sSub>
                </m:den>
              </m:f>
              <m:d>
                <m:dPr>
                  <m:ctrlPr>
                    <w:rPr>
                      <w:rFonts w:ascii="Cambria Math" w:hAnsi="Cambria Math"/>
                    </w:rPr>
                  </m:ctrlPr>
                </m:dPr>
                <m:e>
                  <m:r>
                    <w:rPr>
                      <w:rFonts w:ascii="Cambria Math" w:hAnsi="Cambria Math"/>
                    </w:rPr>
                    <m:t>DT</m:t>
                  </m:r>
                  <m:sSubSup>
                    <m:sSubSupPr>
                      <m:ctrlPr>
                        <w:rPr>
                          <w:rFonts w:ascii="Cambria Math" w:hAnsi="Cambria Math"/>
                        </w:rPr>
                      </m:ctrlPr>
                    </m:sSubSupPr>
                    <m:e>
                      <m:r>
                        <w:rPr>
                          <w:rFonts w:ascii="Cambria Math" w:hAnsi="Cambria Math"/>
                        </w:rPr>
                        <m:t>A</m:t>
                      </m:r>
                    </m:e>
                    <m:sub>
                      <m:r>
                        <w:rPr>
                          <w:rFonts w:ascii="Cambria Math" w:hAnsi="Cambria Math"/>
                        </w:rPr>
                        <m:t>ln</m:t>
                      </m:r>
                    </m:sub>
                    <m:sup>
                      <m:r>
                        <w:rPr>
                          <w:rFonts w:ascii="Cambria Math" w:hAnsi="Cambria Math"/>
                        </w:rPr>
                        <m:t>mp</m:t>
                      </m:r>
                      <m:r>
                        <m:rPr>
                          <m:sty m:val="p"/>
                        </m:rPr>
                        <w:rPr>
                          <w:rFonts w:ascii="Cambria Math" w:hAnsi="Cambria Math"/>
                        </w:rPr>
                        <m:t>,</m:t>
                      </m:r>
                      <m:r>
                        <w:rPr>
                          <w:rFonts w:ascii="Cambria Math" w:hAnsi="Cambria Math"/>
                        </w:rPr>
                        <m:t>cf</m:t>
                      </m:r>
                    </m:sup>
                  </m:sSubSup>
                  <m:r>
                    <m:rPr>
                      <m:sty m:val="p"/>
                    </m:rPr>
                    <w:rPr>
                      <w:rFonts w:ascii="Cambria Math" w:hAnsi="Cambria Math"/>
                    </w:rPr>
                    <m:t>-</m:t>
                  </m:r>
                  <m:r>
                    <w:rPr>
                      <w:rFonts w:ascii="Cambria Math" w:hAnsi="Cambria Math"/>
                    </w:rPr>
                    <m:t>DT</m:t>
                  </m:r>
                  <m:sSubSup>
                    <m:sSubSupPr>
                      <m:ctrlPr>
                        <w:rPr>
                          <w:rFonts w:ascii="Cambria Math" w:hAnsi="Cambria Math"/>
                        </w:rPr>
                      </m:ctrlPr>
                    </m:sSubSupPr>
                    <m:e>
                      <m:r>
                        <w:rPr>
                          <w:rFonts w:ascii="Cambria Math" w:hAnsi="Cambria Math"/>
                        </w:rPr>
                        <m:t>A</m:t>
                      </m:r>
                    </m:e>
                    <m:sub>
                      <m:r>
                        <w:rPr>
                          <w:rFonts w:ascii="Cambria Math" w:hAnsi="Cambria Math"/>
                        </w:rPr>
                        <m:t>ln</m:t>
                      </m:r>
                    </m:sub>
                    <m:sup>
                      <m:r>
                        <w:rPr>
                          <w:rFonts w:ascii="Cambria Math" w:hAnsi="Cambria Math"/>
                        </w:rPr>
                        <m:t>mp</m:t>
                      </m:r>
                      <m:r>
                        <m:rPr>
                          <m:sty m:val="p"/>
                        </m:rPr>
                        <w:rPr>
                          <w:rFonts w:ascii="Cambria Math" w:hAnsi="Cambria Math"/>
                        </w:rPr>
                        <m:t>,</m:t>
                      </m:r>
                      <m:r>
                        <w:rPr>
                          <w:rFonts w:ascii="Cambria Math" w:hAnsi="Cambria Math"/>
                        </w:rPr>
                        <m:t>base</m:t>
                      </m:r>
                    </m:sup>
                  </m:sSubSup>
                </m:e>
              </m:d>
            </m:e>
          </m:d>
          <m:r>
            <m:rPr>
              <m:sty m:val="p"/>
            </m:rPr>
            <w:rPr>
              <w:rFonts w:ascii="Cambria Math" w:hAnsi="Cambria Math"/>
            </w:rPr>
            <m:t>.</m:t>
          </m:r>
          <m:r>
            <w:rPr>
              <w:rFonts w:ascii="Cambria Math" w:hAnsi="Cambria Math"/>
            </w:rPr>
            <m:t>  </m:t>
          </m:r>
          <m:r>
            <m:rPr>
              <m:nor/>
            </m:rPr>
            <m:t>(15</m:t>
          </m:r>
          <m:r>
            <m:rPr>
              <m:nor/>
            </m:rPr>
            <m:t>)</m:t>
          </m:r>
        </m:oMath>
      </m:oMathPara>
    </w:p>
    <w:p w14:paraId="24991DB0" w14:textId="77777777" w:rsidR="008339D7" w:rsidRDefault="00000000">
      <w:pPr>
        <w:pStyle w:val="aff9"/>
      </w:pPr>
      <w:r>
        <w:lastRenderedPageBreak/>
        <w:t>当</w:t>
      </w:r>
      <w:r>
        <w:t xml:space="preserve"> </w:t>
      </w:r>
      <m:oMath>
        <m:sSubSup>
          <m:sSubSupPr>
            <m:ctrlPr>
              <w:rPr>
                <w:rFonts w:ascii="Cambria Math" w:hAnsi="Cambria Math"/>
              </w:rPr>
            </m:ctrlPr>
          </m:sSubSupPr>
          <m:e>
            <m:r>
              <w:rPr>
                <w:rFonts w:ascii="Cambria Math" w:hAnsi="Cambria Math"/>
              </w:rPr>
              <m:t>ζ</m:t>
            </m:r>
          </m:e>
          <m:sub>
            <m:r>
              <w:rPr>
                <w:rFonts w:ascii="Cambria Math" w:hAnsi="Cambria Math"/>
              </w:rPr>
              <m:t>ln</m:t>
            </m:r>
            <m:r>
              <m:rPr>
                <m:sty m:val="p"/>
              </m:rPr>
              <w:rPr>
                <w:rFonts w:ascii="Cambria Math" w:hAnsi="Cambria Math"/>
              </w:rPr>
              <m:t>,</m:t>
            </m:r>
            <m:r>
              <w:rPr>
                <w:rFonts w:ascii="Cambria Math" w:hAnsi="Cambria Math"/>
              </w:rPr>
              <m:t>j</m:t>
            </m:r>
          </m:sub>
          <m:sup>
            <m:r>
              <w:rPr>
                <w:rFonts w:ascii="Cambria Math" w:hAnsi="Cambria Math"/>
              </w:rPr>
              <m:t>trade</m:t>
            </m:r>
          </m:sup>
        </m:sSubSup>
        <m:r>
          <m:rPr>
            <m:sty m:val="p"/>
          </m:rPr>
          <w:rPr>
            <w:rFonts w:ascii="Cambria Math" w:hAnsi="Cambria Math"/>
          </w:rPr>
          <m:t>&lt;</m:t>
        </m:r>
        <m:r>
          <w:rPr>
            <w:rFonts w:ascii="Cambria Math" w:hAnsi="Cambria Math"/>
          </w:rPr>
          <m:t>1</m:t>
        </m:r>
      </m:oMath>
      <w:r>
        <w:t xml:space="preserve"> </w:t>
      </w:r>
      <w:r>
        <w:t>时，表示</w:t>
      </w:r>
      <w:r>
        <w:t xml:space="preserve"> DTA </w:t>
      </w:r>
      <w:r>
        <w:t>制度条款深化降低了双边制度型贸易成本；当</w:t>
      </w:r>
      <w:r>
        <w:t xml:space="preserve"> </w:t>
      </w:r>
      <m:oMath>
        <m:sSubSup>
          <m:sSubSupPr>
            <m:ctrlPr>
              <w:rPr>
                <w:rFonts w:ascii="Cambria Math" w:hAnsi="Cambria Math"/>
              </w:rPr>
            </m:ctrlPr>
          </m:sSubSupPr>
          <m:e>
            <m:r>
              <w:rPr>
                <w:rFonts w:ascii="Cambria Math" w:hAnsi="Cambria Math"/>
              </w:rPr>
              <m:t>ζ</m:t>
            </m:r>
          </m:e>
          <m:sub>
            <m:r>
              <w:rPr>
                <w:rFonts w:ascii="Cambria Math" w:hAnsi="Cambria Math"/>
              </w:rPr>
              <m:t>ln</m:t>
            </m:r>
            <m:r>
              <m:rPr>
                <m:sty m:val="p"/>
              </m:rPr>
              <w:rPr>
                <w:rFonts w:ascii="Cambria Math" w:hAnsi="Cambria Math"/>
              </w:rPr>
              <m:t>,</m:t>
            </m:r>
            <m:r>
              <w:rPr>
                <w:rFonts w:ascii="Cambria Math" w:hAnsi="Cambria Math"/>
              </w:rPr>
              <m:t>j</m:t>
            </m:r>
          </m:sub>
          <m:sup>
            <m:r>
              <w:rPr>
                <w:rFonts w:ascii="Cambria Math" w:hAnsi="Cambria Math"/>
              </w:rPr>
              <m:t>mp</m:t>
            </m:r>
          </m:sup>
        </m:sSubSup>
        <m:r>
          <m:rPr>
            <m:sty m:val="p"/>
          </m:rPr>
          <w:rPr>
            <w:rFonts w:ascii="Cambria Math" w:hAnsi="Cambria Math"/>
          </w:rPr>
          <m:t>&lt;</m:t>
        </m:r>
        <m:r>
          <w:rPr>
            <w:rFonts w:ascii="Cambria Math" w:hAnsi="Cambria Math"/>
          </w:rPr>
          <m:t>1</m:t>
        </m:r>
      </m:oMath>
      <w:r>
        <w:t xml:space="preserve"> </w:t>
      </w:r>
      <w:r>
        <w:t>时，表示其降低了跨国生产的制度型进入或经营成本。相应的反事实成本由基准成本乘以该相对变化得到，即</w:t>
      </w:r>
    </w:p>
    <w:p w14:paraId="2114A58F" w14:textId="77777777" w:rsidR="008339D7" w:rsidRPr="00D94839" w:rsidRDefault="00000000">
      <w:pPr>
        <w:pStyle w:val="affa"/>
        <w:snapToGrid w:val="0"/>
      </w:pPr>
      <m:oMathPara>
        <m:oMathParaPr>
          <m:jc m:val="left"/>
        </m:oMathParaPr>
        <m:oMath>
          <m:sSubSup>
            <m:sSubSupPr>
              <m:ctrlPr>
                <w:rPr>
                  <w:rFonts w:ascii="Cambria Math" w:hAnsi="Cambria Math"/>
                </w:rPr>
              </m:ctrlPr>
            </m:sSubSupPr>
            <m:e>
              <m:r>
                <w:rPr>
                  <w:rFonts w:ascii="Cambria Math" w:hAnsi="Cambria Math"/>
                </w:rPr>
                <m:t>τ</m:t>
              </m:r>
            </m:e>
            <m:sub>
              <m:r>
                <w:rPr>
                  <w:rFonts w:ascii="Cambria Math" w:hAnsi="Cambria Math"/>
                </w:rPr>
                <m:t>ln</m:t>
              </m:r>
              <m:r>
                <m:rPr>
                  <m:sty m:val="p"/>
                </m:rPr>
                <w:rPr>
                  <w:rFonts w:ascii="Cambria Math" w:hAnsi="Cambria Math"/>
                </w:rPr>
                <m:t>,</m:t>
              </m:r>
              <m:r>
                <w:rPr>
                  <w:rFonts w:ascii="Cambria Math" w:hAnsi="Cambria Math"/>
                </w:rPr>
                <m:t>j</m:t>
              </m:r>
            </m:sub>
            <m:sup>
              <m:r>
                <w:rPr>
                  <w:rFonts w:ascii="Cambria Math" w:hAnsi="Cambria Math"/>
                </w:rPr>
                <m:t>cf</m:t>
              </m:r>
            </m:sup>
          </m:sSubSup>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ln</m:t>
              </m:r>
              <m:r>
                <m:rPr>
                  <m:sty m:val="p"/>
                </m:rPr>
                <w:rPr>
                  <w:rFonts w:ascii="Cambria Math" w:hAnsi="Cambria Math"/>
                </w:rPr>
                <m:t>,</m:t>
              </m:r>
              <m:r>
                <w:rPr>
                  <w:rFonts w:ascii="Cambria Math" w:hAnsi="Cambria Math"/>
                </w:rPr>
                <m:t>j</m:t>
              </m:r>
            </m:sub>
            <m:sup>
              <m:r>
                <w:rPr>
                  <w:rFonts w:ascii="Cambria Math" w:hAnsi="Cambria Math"/>
                </w:rPr>
                <m:t>base</m:t>
              </m:r>
            </m:sup>
          </m:sSubSup>
          <m:sSubSup>
            <m:sSubSupPr>
              <m:ctrlPr>
                <w:rPr>
                  <w:rFonts w:ascii="Cambria Math" w:hAnsi="Cambria Math"/>
                </w:rPr>
              </m:ctrlPr>
            </m:sSubSupPr>
            <m:e>
              <m:r>
                <w:rPr>
                  <w:rFonts w:ascii="Cambria Math" w:hAnsi="Cambria Math"/>
                </w:rPr>
                <m:t>ζ</m:t>
              </m:r>
            </m:e>
            <m:sub>
              <m:r>
                <w:rPr>
                  <w:rFonts w:ascii="Cambria Math" w:hAnsi="Cambria Math"/>
                </w:rPr>
                <m:t>ln</m:t>
              </m:r>
              <m:r>
                <m:rPr>
                  <m:sty m:val="p"/>
                </m:rPr>
                <w:rPr>
                  <w:rFonts w:ascii="Cambria Math" w:hAnsi="Cambria Math"/>
                </w:rPr>
                <m:t>,</m:t>
              </m:r>
              <m:r>
                <w:rPr>
                  <w:rFonts w:ascii="Cambria Math" w:hAnsi="Cambria Math"/>
                </w:rPr>
                <m:t>j</m:t>
              </m:r>
            </m:sub>
            <m:sup>
              <m:r>
                <w:rPr>
                  <w:rFonts w:ascii="Cambria Math" w:hAnsi="Cambria Math"/>
                </w:rPr>
                <m:t>trade</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ϕ</m:t>
              </m:r>
            </m:e>
            <m:sub>
              <m:r>
                <w:rPr>
                  <w:rFonts w:ascii="Cambria Math" w:hAnsi="Cambria Math"/>
                </w:rPr>
                <m:t>ln</m:t>
              </m:r>
              <m:r>
                <m:rPr>
                  <m:sty m:val="p"/>
                </m:rPr>
                <w:rPr>
                  <w:rFonts w:ascii="Cambria Math" w:hAnsi="Cambria Math"/>
                </w:rPr>
                <m:t>,</m:t>
              </m:r>
              <m:r>
                <w:rPr>
                  <w:rFonts w:ascii="Cambria Math" w:hAnsi="Cambria Math"/>
                </w:rPr>
                <m:t>j</m:t>
              </m:r>
            </m:sub>
            <m:sup>
              <m:r>
                <w:rPr>
                  <w:rFonts w:ascii="Cambria Math" w:hAnsi="Cambria Math"/>
                </w:rPr>
                <m:t>cf</m:t>
              </m:r>
            </m:sup>
          </m:sSubSup>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ln</m:t>
              </m:r>
              <m:r>
                <m:rPr>
                  <m:sty m:val="p"/>
                </m:rPr>
                <w:rPr>
                  <w:rFonts w:ascii="Cambria Math" w:hAnsi="Cambria Math"/>
                </w:rPr>
                <m:t>,</m:t>
              </m:r>
              <m:r>
                <w:rPr>
                  <w:rFonts w:ascii="Cambria Math" w:hAnsi="Cambria Math"/>
                </w:rPr>
                <m:t>j</m:t>
              </m:r>
            </m:sub>
            <m:sup>
              <m:r>
                <w:rPr>
                  <w:rFonts w:ascii="Cambria Math" w:hAnsi="Cambria Math"/>
                </w:rPr>
                <m:t>base</m:t>
              </m:r>
            </m:sup>
          </m:sSubSup>
          <m:sSubSup>
            <m:sSubSupPr>
              <m:ctrlPr>
                <w:rPr>
                  <w:rFonts w:ascii="Cambria Math" w:hAnsi="Cambria Math"/>
                </w:rPr>
              </m:ctrlPr>
            </m:sSubSupPr>
            <m:e>
              <m:r>
                <w:rPr>
                  <w:rFonts w:ascii="Cambria Math" w:hAnsi="Cambria Math"/>
                </w:rPr>
                <m:t>ζ</m:t>
              </m:r>
            </m:e>
            <m:sub>
              <m:r>
                <w:rPr>
                  <w:rFonts w:ascii="Cambria Math" w:hAnsi="Cambria Math"/>
                </w:rPr>
                <m:t>ln</m:t>
              </m:r>
              <m:r>
                <m:rPr>
                  <m:sty m:val="p"/>
                </m:rPr>
                <w:rPr>
                  <w:rFonts w:ascii="Cambria Math" w:hAnsi="Cambria Math"/>
                </w:rPr>
                <m:t>,</m:t>
              </m:r>
              <m:r>
                <w:rPr>
                  <w:rFonts w:ascii="Cambria Math" w:hAnsi="Cambria Math"/>
                </w:rPr>
                <m:t>j</m:t>
              </m:r>
            </m:sub>
            <m:sup>
              <m:r>
                <w:rPr>
                  <w:rFonts w:ascii="Cambria Math" w:hAnsi="Cambria Math"/>
                </w:rPr>
                <m:t>mp</m:t>
              </m:r>
            </m:sup>
          </m:sSubSup>
          <m:r>
            <m:rPr>
              <m:sty m:val="p"/>
            </m:rPr>
            <w:rPr>
              <w:rFonts w:ascii="Cambria Math" w:hAnsi="Cambria Math"/>
            </w:rPr>
            <m:t>.</m:t>
          </m:r>
          <m:r>
            <w:rPr>
              <w:rFonts w:ascii="Cambria Math" w:hAnsi="Cambria Math"/>
            </w:rPr>
            <m:t>  </m:t>
          </m:r>
          <m:r>
            <m:rPr>
              <m:nor/>
            </m:rPr>
            <m:t>(16</m:t>
          </m:r>
          <m:r>
            <m:rPr>
              <m:nor/>
            </m:rPr>
            <m:t>)</m:t>
          </m:r>
        </m:oMath>
      </m:oMathPara>
    </w:p>
    <w:p w14:paraId="30201067" w14:textId="77777777" w:rsidR="008339D7" w:rsidRDefault="00000000">
      <w:pPr>
        <w:pStyle w:val="aff9"/>
      </w:pPr>
      <w:r>
        <w:t>这一映射使进入量化模型的冲击具有清晰的文本依据：它不是含义宽泛的未观测残差，而是由协定条款变化、经验估计系数和结构弹性共同确定的制度型成本冲击。</w:t>
      </w:r>
    </w:p>
    <w:p w14:paraId="592214C3" w14:textId="77777777" w:rsidR="008339D7" w:rsidRDefault="00000000">
      <w:pPr>
        <w:pStyle w:val="affc"/>
        <w:snapToGrid w:val="0"/>
      </w:pPr>
      <w:bookmarkStart w:id="7" w:name="质量控制与可复现性"/>
      <w:bookmarkEnd w:id="6"/>
      <w:r>
        <w:t>质量控制与可复现性</w:t>
      </w:r>
    </w:p>
    <w:p w14:paraId="0B835269" w14:textId="77777777" w:rsidR="008339D7" w:rsidRDefault="00000000">
      <w:pPr>
        <w:pStyle w:val="aff9"/>
      </w:pPr>
      <w:r>
        <w:t>本文在每一阶段设置严格的门控与审计机制。模型输出必须为预定义</w:t>
      </w:r>
      <w:r>
        <w:t xml:space="preserve"> JSON </w:t>
      </w:r>
      <w:r>
        <w:t>对象，并同时通过格式解析、合法标签、置信度和权重约束校验；无效输出最多重试三次，仍不合格者进入技术错误队列并阻断最终化。各阶段记录输入文本哈希、提示词版本、模型版本、上游结果</w:t>
      </w:r>
      <w:r>
        <w:t xml:space="preserve"> SHA-256</w:t>
      </w:r>
      <w:r>
        <w:t>、运行编号和管线版本号，</w:t>
      </w:r>
      <w:r>
        <w:t xml:space="preserve">Stage 1 </w:t>
      </w:r>
      <w:r>
        <w:t>另行保存提示词</w:t>
      </w:r>
      <w:r>
        <w:t xml:space="preserve"> SHA-256</w:t>
      </w:r>
      <w:r>
        <w:t>；上游分类发生变化时，下游结果即被标记为过期并重新计算。最终化程序逐项检验条款编号的唯一性、样本覆盖的完整性、双渠道权重的正值与加总为</w:t>
      </w:r>
      <w:r>
        <w:t xml:space="preserve"> 1</w:t>
      </w:r>
      <w:r>
        <w:t>、非制度条款权重为</w:t>
      </w:r>
      <w:r>
        <w:t xml:space="preserve"> 0</w:t>
      </w:r>
      <w:r>
        <w:t>、国家对两个方向得分对称以及并存协定不重复计数。本次测算中，两个基础模型在三个识别阶段均完成全部应处理样本，技术失败、重复条款、缺失权重和未解决条款均为</w:t>
      </w:r>
      <w:r>
        <w:t xml:space="preserve"> 0</w:t>
      </w:r>
      <w:r>
        <w:t>。上述设计保证每一个最终得分均可回溯至原始条款、模型判断、冲突仲裁、最终权重和生效协定集合，从而形成可复核、可重复的制度型开放测量链条。</w:t>
      </w:r>
      <w:bookmarkEnd w:id="0"/>
      <w:bookmarkEnd w:id="7"/>
    </w:p>
    <w:sectPr w:rsidR="008339D7" w:rsidSect="00034616">
      <w:footerReference w:type="default" r:id="rId7"/>
      <w:pgSz w:w="11906" w:h="16838"/>
      <w:pgMar w:top="1417" w:right="1531" w:bottom="1417" w:left="153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7B235" w14:textId="77777777" w:rsidR="00C27EDD" w:rsidRDefault="00C27EDD">
      <w:pPr>
        <w:spacing w:line="240" w:lineRule="auto"/>
      </w:pPr>
      <w:r>
        <w:separator/>
      </w:r>
    </w:p>
  </w:endnote>
  <w:endnote w:type="continuationSeparator" w:id="0">
    <w:p w14:paraId="1B2A64AB" w14:textId="77777777" w:rsidR="00C27EDD" w:rsidRDefault="00C27E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A30DA" w14:textId="77777777" w:rsidR="008339D7" w:rsidRDefault="00000000">
    <w:pPr>
      <w:pStyle w:val="a7"/>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A7980" w14:textId="77777777" w:rsidR="00C27EDD" w:rsidRDefault="00C27EDD">
      <w:r>
        <w:separator/>
      </w:r>
    </w:p>
  </w:footnote>
  <w:footnote w:type="continuationSeparator" w:id="0">
    <w:p w14:paraId="758AE562" w14:textId="77777777" w:rsidR="00C27EDD" w:rsidRDefault="00C27E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C1AE401"/>
    <w:multiLevelType w:val="multilevel"/>
    <w:tmpl w:val="5BE0153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98450257">
    <w:abstractNumId w:val="8"/>
  </w:num>
  <w:num w:numId="2" w16cid:durableId="1085372567">
    <w:abstractNumId w:val="6"/>
  </w:num>
  <w:num w:numId="3" w16cid:durableId="1506633320">
    <w:abstractNumId w:val="5"/>
  </w:num>
  <w:num w:numId="4" w16cid:durableId="671224261">
    <w:abstractNumId w:val="4"/>
  </w:num>
  <w:num w:numId="5" w16cid:durableId="262686203">
    <w:abstractNumId w:val="7"/>
  </w:num>
  <w:num w:numId="6" w16cid:durableId="1899975366">
    <w:abstractNumId w:val="3"/>
  </w:num>
  <w:num w:numId="7" w16cid:durableId="899940381">
    <w:abstractNumId w:val="2"/>
  </w:num>
  <w:num w:numId="8" w16cid:durableId="970087746">
    <w:abstractNumId w:val="1"/>
  </w:num>
  <w:num w:numId="9" w16cid:durableId="1719351545">
    <w:abstractNumId w:val="0"/>
  </w:num>
  <w:num w:numId="10" w16cid:durableId="18780793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784D58"/>
    <w:rsid w:val="008339D7"/>
    <w:rsid w:val="008D6863"/>
    <w:rsid w:val="00B86B75"/>
    <w:rsid w:val="00BC48D5"/>
    <w:rsid w:val="00C27EDD"/>
    <w:rsid w:val="00C35361"/>
    <w:rsid w:val="00C36279"/>
    <w:rsid w:val="00D94839"/>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143EE"/>
  <w15:docId w15:val="{5D8154F1-6666-49C2-AC89-C1E84351B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0"/>
      <w:jc w:val="both"/>
    </w:pPr>
    <w:rPr>
      <w:rFonts w:ascii="Times New Roman" w:eastAsia="宋体" w:hAnsi="Times New Roman" w:cs="Times New Roman"/>
      <w:color w:val="000000"/>
      <w:sz w:val="21"/>
      <w:lang w:eastAsia="zh-CN"/>
    </w:rPr>
  </w:style>
  <w:style w:type="paragraph" w:styleId="1">
    <w:name w:val="heading 1"/>
    <w:basedOn w:val="a1"/>
    <w:next w:val="a1"/>
    <w:link w:val="10"/>
    <w:uiPriority w:val="9"/>
    <w:qFormat/>
    <w:rsid w:val="00FC693F"/>
    <w:pPr>
      <w:spacing w:after="360" w:line="288" w:lineRule="auto"/>
      <w:jc w:val="center"/>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spacing w:before="280" w:after="160" w:line="288" w:lineRule="auto"/>
      <w:jc w:val="left"/>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spacing w:before="200" w:after="120" w:line="288" w:lineRule="auto"/>
      <w:jc w:val="left"/>
      <w:outlineLvl w:val="2"/>
    </w:pPr>
    <w:rPr>
      <w:rFonts w:asciiTheme="majorHAnsi" w:eastAsiaTheme="majorEastAsia" w:hAnsiTheme="majorHAnsi" w:cstheme="majorBidi"/>
      <w:b/>
      <w:bCs/>
      <w:sz w:val="24"/>
    </w:rPr>
  </w:style>
  <w:style w:type="paragraph" w:styleId="4">
    <w:name w:val="heading 4"/>
    <w:basedOn w:val="a1"/>
    <w:next w:val="a1"/>
    <w:link w:val="40"/>
    <w:uiPriority w:val="9"/>
    <w:semiHidden/>
    <w:unhideWhenUsed/>
    <w:qFormat/>
    <w:rsid w:val="00FC693F"/>
    <w:pPr>
      <w:spacing w:before="160" w:after="80" w:line="288" w:lineRule="auto"/>
      <w:jc w:val="left"/>
      <w:outlineLvl w:val="3"/>
    </w:pPr>
    <w:rPr>
      <w:rFonts w:asciiTheme="majorHAnsi" w:eastAsiaTheme="majorEastAsia" w:hAnsiTheme="majorHAnsi" w:cstheme="majorBidi"/>
      <w:b/>
      <w:bCs/>
      <w:i/>
      <w:iCs/>
      <w:sz w:val="22"/>
    </w:rPr>
  </w:style>
  <w:style w:type="paragraph" w:styleId="5">
    <w:name w:val="heading 5"/>
    <w:basedOn w:val="a1"/>
    <w:next w:val="a1"/>
    <w:link w:val="50"/>
    <w:uiPriority w:val="9"/>
    <w:semiHidden/>
    <w:unhideWhenUsed/>
    <w:qFormat/>
    <w:rsid w:val="00FC693F"/>
    <w:pPr>
      <w:spacing w:before="20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spacing w:before="20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spacing w:before="20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spacing w:before="20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spacing w:before="20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000000"/>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000000"/>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after="360" w:line="288" w:lineRule="auto"/>
      <w:contextualSpacing/>
      <w:jc w:val="center"/>
    </w:pPr>
    <w:rPr>
      <w:rFonts w:asciiTheme="majorHAnsi" w:eastAsiaTheme="majorEastAsia" w:hAnsiTheme="majorHAnsi" w:cstheme="majorBidi"/>
      <w:b/>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i/>
      <w:iCs/>
      <w:color w:val="000000"/>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000000"/>
    </w:rPr>
  </w:style>
  <w:style w:type="character" w:customStyle="1" w:styleId="50">
    <w:name w:val="标题 5 字符"/>
    <w:basedOn w:val="a2"/>
    <w:link w:val="5"/>
    <w:uiPriority w:val="9"/>
    <w:semiHidden/>
    <w:rsid w:val="00FC693F"/>
    <w:rPr>
      <w:rFonts w:asciiTheme="majorHAnsi" w:eastAsiaTheme="majorEastAsia" w:hAnsiTheme="majorHAnsi" w:cstheme="majorBidi"/>
      <w:color w:val="000000"/>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000000"/>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000000"/>
    </w:rPr>
  </w:style>
  <w:style w:type="character" w:customStyle="1" w:styleId="80">
    <w:name w:val="标题 8 字符"/>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000000"/>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rPr>
  </w:style>
  <w:style w:type="character" w:customStyle="1" w:styleId="afb">
    <w:name w:val="明显引用 字符"/>
    <w:basedOn w:val="a2"/>
    <w:link w:val="afa"/>
    <w:uiPriority w:val="30"/>
    <w:rsid w:val="00FC693F"/>
    <w:rPr>
      <w:b/>
      <w:bCs/>
      <w:i/>
      <w:iCs/>
      <w:color w:val="000000"/>
    </w:rPr>
  </w:style>
  <w:style w:type="character" w:styleId="afc">
    <w:name w:val="Subtle Emphasis"/>
    <w:basedOn w:val="a2"/>
    <w:uiPriority w:val="19"/>
    <w:qFormat/>
    <w:rsid w:val="00FC693F"/>
    <w:rPr>
      <w:i/>
      <w:iCs/>
      <w:color w:val="000000"/>
    </w:rPr>
  </w:style>
  <w:style w:type="character" w:styleId="afd">
    <w:name w:val="Intense Emphasis"/>
    <w:basedOn w:val="a2"/>
    <w:uiPriority w:val="21"/>
    <w:qFormat/>
    <w:rsid w:val="00FC693F"/>
    <w:rPr>
      <w:b/>
      <w:bCs/>
      <w:i/>
      <w:iCs/>
      <w:color w:val="000000"/>
    </w:rPr>
  </w:style>
  <w:style w:type="character" w:styleId="afe">
    <w:name w:val="Subtle Reference"/>
    <w:basedOn w:val="a2"/>
    <w:uiPriority w:val="31"/>
    <w:qFormat/>
    <w:rsid w:val="00FC693F"/>
    <w:rPr>
      <w:smallCaps/>
      <w:color w:val="000000"/>
      <w:u w:val="single"/>
    </w:rPr>
  </w:style>
  <w:style w:type="character" w:styleId="aff">
    <w:name w:val="Intense Reference"/>
    <w:basedOn w:val="a2"/>
    <w:uiPriority w:val="32"/>
    <w:qFormat/>
    <w:rsid w:val="00FC693F"/>
    <w:rPr>
      <w:b/>
      <w:bCs/>
      <w:smallCaps/>
      <w:color w:val="000000"/>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1">
    <w:name w:val="Light Shading Accent 1"/>
    <w:basedOn w:val="a3"/>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2">
    <w:name w:val="Light Shading Accent 2"/>
    <w:basedOn w:val="a3"/>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3">
    <w:name w:val="Light Shading Accent 3"/>
    <w:basedOn w:val="a3"/>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4">
    <w:name w:val="Light Shading Accent 4"/>
    <w:basedOn w:val="a3"/>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5">
    <w:name w:val="Light Shading Accent 5"/>
    <w:basedOn w:val="a3"/>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6">
    <w:name w:val="Light Shading Accent 6"/>
    <w:basedOn w:val="a3"/>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FFFF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FFFF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FFFF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FFFF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FFFF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FFFF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FFFF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FFFF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FFFF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FFFF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FFFF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FFFF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FFFFF"/>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FFFFF"/>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FFFFF"/>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FFFFF"/>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FFFFF"/>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FFFFF"/>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FFFFF"/>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FFFFF"/>
      </w:tcPr>
    </w:tblStylePr>
    <w:tblStylePr w:type="band1Horz">
      <w:tblPr/>
      <w:tcPr>
        <w:shd w:val="clear" w:color="auto" w:fill="FFFFFF"/>
      </w:tcPr>
    </w:tblStylePr>
  </w:style>
  <w:style w:type="table" w:styleId="1-10">
    <w:name w:val="Medium List 1 Accent 1"/>
    <w:basedOn w:val="a3"/>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FFFFF"/>
      </w:tcPr>
    </w:tblStylePr>
    <w:tblStylePr w:type="band1Horz">
      <w:tblPr/>
      <w:tcPr>
        <w:shd w:val="clear" w:color="auto" w:fill="FFFFFF"/>
      </w:tcPr>
    </w:tblStylePr>
  </w:style>
  <w:style w:type="table" w:styleId="1-20">
    <w:name w:val="Medium List 1 Accent 2"/>
    <w:basedOn w:val="a3"/>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FFFFF"/>
      </w:tcPr>
    </w:tblStylePr>
    <w:tblStylePr w:type="band1Horz">
      <w:tblPr/>
      <w:tcPr>
        <w:shd w:val="clear" w:color="auto" w:fill="FFFFFF"/>
      </w:tcPr>
    </w:tblStylePr>
  </w:style>
  <w:style w:type="table" w:styleId="1-30">
    <w:name w:val="Medium List 1 Accent 3"/>
    <w:basedOn w:val="a3"/>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FFFFF"/>
      </w:tcPr>
    </w:tblStylePr>
    <w:tblStylePr w:type="band1Horz">
      <w:tblPr/>
      <w:tcPr>
        <w:shd w:val="clear" w:color="auto" w:fill="FFFFFF"/>
      </w:tcPr>
    </w:tblStylePr>
  </w:style>
  <w:style w:type="table" w:styleId="1-40">
    <w:name w:val="Medium List 1 Accent 4"/>
    <w:basedOn w:val="a3"/>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FFFFF"/>
      </w:tcPr>
    </w:tblStylePr>
    <w:tblStylePr w:type="band1Horz">
      <w:tblPr/>
      <w:tcPr>
        <w:shd w:val="clear" w:color="auto" w:fill="FFFFFF"/>
      </w:tcPr>
    </w:tblStylePr>
  </w:style>
  <w:style w:type="table" w:styleId="1-50">
    <w:name w:val="Medium List 1 Accent 5"/>
    <w:basedOn w:val="a3"/>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FFFFF"/>
      </w:tcPr>
    </w:tblStylePr>
    <w:tblStylePr w:type="band1Horz">
      <w:tblPr/>
      <w:tcPr>
        <w:shd w:val="clear" w:color="auto" w:fill="FFFFFF"/>
      </w:tcPr>
    </w:tblStylePr>
  </w:style>
  <w:style w:type="table" w:styleId="1-60">
    <w:name w:val="Medium List 1 Accent 6"/>
    <w:basedOn w:val="a3"/>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FFFFF"/>
      </w:tcPr>
    </w:tblStylePr>
    <w:tblStylePr w:type="band1Horz">
      <w:tblPr/>
      <w:tcPr>
        <w:shd w:val="clear" w:color="auto" w:fill="FFFFF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FFFFF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FFFFF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FFFFF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FFFFF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FFFFF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FFFFF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FFFF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themeColor="text1"/>
          <w:insideV w:val="single" w:sz="6" w:space="0" w:color="000000" w:themeColor="text1"/>
        </w:tcBorders>
        <w:shd w:val="clear" w:color="auto" w:fill="FFFFFF"/>
      </w:tcPr>
    </w:tblStylePr>
    <w:tblStylePr w:type="nwCell">
      <w:tblPr/>
      <w:tcPr>
        <w:shd w:val="clear" w:color="auto" w:fill="FFFFFF"/>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4F81BD" w:themeColor="accent1"/>
          <w:insideV w:val="single" w:sz="6" w:space="0" w:color="4F81BD" w:themeColor="accent1"/>
        </w:tcBorders>
        <w:shd w:val="clear" w:color="auto" w:fill="FFFFFF"/>
      </w:tcPr>
    </w:tblStylePr>
    <w:tblStylePr w:type="nwCell">
      <w:tblPr/>
      <w:tcPr>
        <w:shd w:val="clear" w:color="auto" w:fill="FFFFFF"/>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C0504D" w:themeColor="accent2"/>
          <w:insideV w:val="single" w:sz="6" w:space="0" w:color="C0504D" w:themeColor="accent2"/>
        </w:tcBorders>
        <w:shd w:val="clear" w:color="auto" w:fill="FFFFFF"/>
      </w:tcPr>
    </w:tblStylePr>
    <w:tblStylePr w:type="nwCell">
      <w:tblPr/>
      <w:tcPr>
        <w:shd w:val="clear" w:color="auto" w:fill="FFFFFF"/>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9BBB59" w:themeColor="accent3"/>
          <w:insideV w:val="single" w:sz="6" w:space="0" w:color="9BBB59" w:themeColor="accent3"/>
        </w:tcBorders>
        <w:shd w:val="clear" w:color="auto" w:fill="FFFFFF"/>
      </w:tcPr>
    </w:tblStylePr>
    <w:tblStylePr w:type="nwCell">
      <w:tblPr/>
      <w:tcPr>
        <w:shd w:val="clear" w:color="auto" w:fill="FFFFFF"/>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8064A2" w:themeColor="accent4"/>
          <w:insideV w:val="single" w:sz="6" w:space="0" w:color="8064A2" w:themeColor="accent4"/>
        </w:tcBorders>
        <w:shd w:val="clear" w:color="auto" w:fill="FFFFFF"/>
      </w:tcPr>
    </w:tblStylePr>
    <w:tblStylePr w:type="nwCell">
      <w:tblPr/>
      <w:tcPr>
        <w:shd w:val="clear" w:color="auto" w:fill="FFFFFF"/>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4BACC6" w:themeColor="accent5"/>
          <w:insideV w:val="single" w:sz="6" w:space="0" w:color="4BACC6" w:themeColor="accent5"/>
        </w:tcBorders>
        <w:shd w:val="clear" w:color="auto" w:fill="FFFFFF"/>
      </w:tcPr>
    </w:tblStylePr>
    <w:tblStylePr w:type="nwCell">
      <w:tblPr/>
      <w:tcPr>
        <w:shd w:val="clear" w:color="auto" w:fill="FFFFFF"/>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F79646" w:themeColor="accent6"/>
          <w:insideV w:val="single" w:sz="6" w:space="0" w:color="F79646" w:themeColor="accent6"/>
        </w:tcBorders>
        <w:shd w:val="clear" w:color="auto" w:fill="FFFFFF"/>
      </w:tcPr>
    </w:tblStylePr>
    <w:tblStylePr w:type="nwCell">
      <w:tblPr/>
      <w:tcPr>
        <w:shd w:val="clear" w:color="auto" w:fill="FFFFFF"/>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aff5">
    <w:name w:val="Dark List"/>
    <w:basedOn w:val="a3"/>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12">
    <w:name w:val="Dark List Accent 1"/>
    <w:basedOn w:val="a3"/>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22">
    <w:name w:val="Dark List Accent 2"/>
    <w:basedOn w:val="a3"/>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32">
    <w:name w:val="Dark List Accent 3"/>
    <w:basedOn w:val="a3"/>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42">
    <w:name w:val="Dark List Accent 4"/>
    <w:basedOn w:val="a3"/>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52">
    <w:name w:val="Dark List Accent 5"/>
    <w:basedOn w:val="a3"/>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62">
    <w:name w:val="Dark List Accent 6"/>
    <w:basedOn w:val="a3"/>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aff6">
    <w:name w:val="Colorful Shading"/>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13">
    <w:name w:val="Colorful Shading Accent 1"/>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23">
    <w:name w:val="Colorful Shading Accent 2"/>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33">
    <w:name w:val="Colorful Shading Accent 3"/>
    <w:basedOn w:val="a3"/>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43">
    <w:name w:val="Colorful Shading Accent 4"/>
    <w:basedOn w:val="a3"/>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53">
    <w:name w:val="Colorful Shading Accent 5"/>
    <w:basedOn w:val="a3"/>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63">
    <w:name w:val="Colorful Shading Accent 6"/>
    <w:basedOn w:val="a3"/>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aff7">
    <w:name w:val="Colorful List"/>
    <w:basedOn w:val="a3"/>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14">
    <w:name w:val="Colorful List Accent 1"/>
    <w:basedOn w:val="a3"/>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24">
    <w:name w:val="Colorful List Accent 2"/>
    <w:basedOn w:val="a3"/>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34">
    <w:name w:val="Colorful List Accent 3"/>
    <w:basedOn w:val="a3"/>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44">
    <w:name w:val="Colorful List Accent 4"/>
    <w:basedOn w:val="a3"/>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54">
    <w:name w:val="Colorful List Accent 5"/>
    <w:basedOn w:val="a3"/>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64">
    <w:name w:val="Colorful List Accent 6"/>
    <w:basedOn w:val="a3"/>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aff8">
    <w:name w:val="Colorful Grid"/>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15">
    <w:name w:val="Colorful Grid Accent 1"/>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25">
    <w:name w:val="Colorful Grid Accent 2"/>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35">
    <w:name w:val="Colorful Grid Accent 3"/>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45">
    <w:name w:val="Colorful Grid Accent 4"/>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55">
    <w:name w:val="Colorful Grid Accent 5"/>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65">
    <w:name w:val="Colorful Grid Accent 6"/>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paragraph" w:customStyle="1" w:styleId="SourceCode">
    <w:name w:val="Source Code"/>
    <w:basedOn w:val="a1"/>
    <w:pPr>
      <w:wordWrap w:val="0"/>
    </w:pPr>
  </w:style>
  <w:style w:type="character" w:customStyle="1" w:styleId="KeywordTok">
    <w:name w:val="KeywordTok"/>
    <w:rPr>
      <w:b/>
      <w:color w:val="000000"/>
    </w:rPr>
  </w:style>
  <w:style w:type="character" w:customStyle="1" w:styleId="DataTypeTok">
    <w:name w:val="DataTypeTok"/>
    <w:rPr>
      <w:color w:val="000000"/>
    </w:rPr>
  </w:style>
  <w:style w:type="character" w:customStyle="1" w:styleId="DecValTok">
    <w:name w:val="DecValTok"/>
    <w:rPr>
      <w:color w:val="000000"/>
    </w:rPr>
  </w:style>
  <w:style w:type="character" w:customStyle="1" w:styleId="BaseNTok">
    <w:name w:val="BaseNTok"/>
    <w:rPr>
      <w:color w:val="000000"/>
    </w:rPr>
  </w:style>
  <w:style w:type="character" w:customStyle="1" w:styleId="FloatTok">
    <w:name w:val="FloatTok"/>
    <w:rPr>
      <w:color w:val="000000"/>
    </w:rPr>
  </w:style>
  <w:style w:type="character" w:customStyle="1" w:styleId="ConstantTok">
    <w:name w:val="ConstantTok"/>
    <w:rPr>
      <w:color w:val="000000"/>
    </w:rPr>
  </w:style>
  <w:style w:type="character" w:customStyle="1" w:styleId="CharTok">
    <w:name w:val="CharTok"/>
    <w:rPr>
      <w:color w:val="000000"/>
    </w:rPr>
  </w:style>
  <w:style w:type="character" w:customStyle="1" w:styleId="SpecialCharTok">
    <w:name w:val="SpecialCharTok"/>
    <w:rPr>
      <w:color w:val="000000"/>
    </w:rPr>
  </w:style>
  <w:style w:type="character" w:customStyle="1" w:styleId="StringTok">
    <w:name w:val="StringTok"/>
    <w:rPr>
      <w:color w:val="000000"/>
    </w:rPr>
  </w:style>
  <w:style w:type="character" w:customStyle="1" w:styleId="VerbatimStringTok">
    <w:name w:val="VerbatimStringTok"/>
    <w:rPr>
      <w:color w:val="000000"/>
    </w:rPr>
  </w:style>
  <w:style w:type="character" w:customStyle="1" w:styleId="SpecialStringTok">
    <w:name w:val="SpecialStringTok"/>
    <w:rPr>
      <w:color w:val="000000"/>
    </w:rPr>
  </w:style>
  <w:style w:type="character" w:customStyle="1" w:styleId="ImportTok">
    <w:name w:val="ImportTok"/>
  </w:style>
  <w:style w:type="character" w:customStyle="1" w:styleId="CommentTok">
    <w:name w:val="CommentTok"/>
    <w:rPr>
      <w:i/>
      <w:color w:val="000000"/>
    </w:rPr>
  </w:style>
  <w:style w:type="character" w:customStyle="1" w:styleId="DocumentationTok">
    <w:name w:val="DocumentationTok"/>
    <w:rPr>
      <w:i/>
      <w:color w:val="000000"/>
    </w:rPr>
  </w:style>
  <w:style w:type="character" w:customStyle="1" w:styleId="AnnotationTok">
    <w:name w:val="AnnotationTok"/>
    <w:rPr>
      <w:b/>
      <w:i/>
      <w:color w:val="000000"/>
    </w:rPr>
  </w:style>
  <w:style w:type="character" w:customStyle="1" w:styleId="CommentVarTok">
    <w:name w:val="CommentVarTok"/>
    <w:rPr>
      <w:b/>
      <w:i/>
      <w:color w:val="000000"/>
    </w:rPr>
  </w:style>
  <w:style w:type="character" w:customStyle="1" w:styleId="OtherTok">
    <w:name w:val="OtherTok"/>
    <w:rPr>
      <w:color w:val="000000"/>
    </w:rPr>
  </w:style>
  <w:style w:type="character" w:customStyle="1" w:styleId="FunctionTok">
    <w:name w:val="FunctionTok"/>
    <w:rPr>
      <w:color w:val="000000"/>
    </w:rPr>
  </w:style>
  <w:style w:type="character" w:customStyle="1" w:styleId="VariableTok">
    <w:name w:val="VariableTok"/>
    <w:rPr>
      <w:color w:val="000000"/>
    </w:rPr>
  </w:style>
  <w:style w:type="character" w:customStyle="1" w:styleId="ControlFlowTok">
    <w:name w:val="ControlFlowTok"/>
    <w:rPr>
      <w:b/>
      <w:color w:val="000000"/>
    </w:rPr>
  </w:style>
  <w:style w:type="character" w:customStyle="1" w:styleId="OperatorTok">
    <w:name w:val="OperatorTok"/>
    <w:rPr>
      <w:color w:val="000000"/>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000000"/>
    </w:rPr>
  </w:style>
  <w:style w:type="character" w:customStyle="1" w:styleId="AttributeTok">
    <w:name w:val="AttributeTok"/>
    <w:rPr>
      <w:color w:val="000000"/>
    </w:rPr>
  </w:style>
  <w:style w:type="character" w:customStyle="1" w:styleId="RegionMarkerTok">
    <w:name w:val="RegionMarkerTok"/>
  </w:style>
  <w:style w:type="character" w:customStyle="1" w:styleId="InformationTok">
    <w:name w:val="InformationTok"/>
    <w:rPr>
      <w:b/>
      <w:i/>
      <w:color w:val="000000"/>
    </w:rPr>
  </w:style>
  <w:style w:type="character" w:customStyle="1" w:styleId="WarningTok">
    <w:name w:val="WarningTok"/>
    <w:rPr>
      <w:b/>
      <w:i/>
      <w:color w:val="000000"/>
    </w:rPr>
  </w:style>
  <w:style w:type="character" w:customStyle="1" w:styleId="AlertTok">
    <w:name w:val="AlertTok"/>
    <w:rPr>
      <w:b/>
      <w:color w:val="000000"/>
    </w:rPr>
  </w:style>
  <w:style w:type="character" w:customStyle="1" w:styleId="ErrorTok">
    <w:name w:val="ErrorTok"/>
    <w:rPr>
      <w:b/>
      <w:color w:val="000000"/>
    </w:rPr>
  </w:style>
  <w:style w:type="character" w:customStyle="1" w:styleId="NormalTok">
    <w:name w:val="NormalTok"/>
  </w:style>
  <w:style w:type="paragraph" w:customStyle="1" w:styleId="aff9">
    <w:name w:val="期刊正文"/>
    <w:basedOn w:val="a1"/>
  </w:style>
  <w:style w:type="paragraph" w:customStyle="1" w:styleId="affa">
    <w:name w:val="期刊公式"/>
    <w:basedOn w:val="a1"/>
    <w:pPr>
      <w:spacing w:before="60" w:line="240" w:lineRule="auto"/>
      <w:ind w:firstLine="0"/>
      <w:jc w:val="center"/>
    </w:pPr>
  </w:style>
  <w:style w:type="paragraph" w:customStyle="1" w:styleId="affb">
    <w:name w:val="期刊主标题"/>
    <w:basedOn w:val="a1"/>
    <w:pPr>
      <w:spacing w:after="360" w:line="240" w:lineRule="auto"/>
      <w:ind w:firstLine="0"/>
      <w:jc w:val="center"/>
    </w:pPr>
    <w:rPr>
      <w:rFonts w:eastAsia="黑体"/>
      <w:b/>
      <w:sz w:val="32"/>
    </w:rPr>
  </w:style>
  <w:style w:type="paragraph" w:customStyle="1" w:styleId="affc">
    <w:name w:val="期刊一级标题"/>
    <w:basedOn w:val="a1"/>
    <w:pPr>
      <w:spacing w:before="220" w:after="80" w:line="240" w:lineRule="auto"/>
      <w:ind w:firstLine="0"/>
      <w:jc w:val="left"/>
    </w:pPr>
    <w:rPr>
      <w:rFonts w:eastAsia="黑体"/>
      <w:b/>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894</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镇宇 杨</cp:lastModifiedBy>
  <cp:revision>2</cp:revision>
  <dcterms:created xsi:type="dcterms:W3CDTF">2026-07-23T03:11:00Z</dcterms:created>
  <dcterms:modified xsi:type="dcterms:W3CDTF">2026-07-30T01:28:00Z</dcterms:modified>
</cp:coreProperties>
</file>