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00" w:after="400" w:line="30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1"/>
        </w:rPr>
        <w:t>数据与实证研究参考指南</w:t>
      </w:r>
    </w:p>
    <w:p>
      <w:pPr>
        <w:keepNext w:val="0"/>
        <w:spacing w:before="0" w:after="120" w:line="24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DTA 制度型开放指标</w:t>
      </w:r>
    </w:p>
    <w:p>
      <w:pPr>
        <w:keepNext w:val="0"/>
        <w:spacing w:before="0" w:after="440" w:line="24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40"/>
        </w:rPr>
        <w:t>trade / mp 变量与字段说明</w:t>
      </w:r>
    </w:p>
    <w:p>
      <w:pPr>
        <w:keepNext w:val="0"/>
        <w:spacing w:before="0" w:after="1560" w:line="300" w:lineRule="auto"/>
        <w:jc w:val="center"/>
      </w:pPr>
      <w:r>
        <w:rPr>
          <w:rFonts w:ascii="Calibri" w:hAnsi="Calibri" w:eastAsia="Microsoft YaHei"/>
          <w:b w:val="0"/>
          <w:i/>
          <w:color w:val="5C6670"/>
          <w:sz w:val="23"/>
        </w:rPr>
        <w:t>用于跨项目复用的命名口径、数据字典、匹配规则与建模提示</w:t>
      </w:r>
    </w:p>
    <w:p>
      <w:pPr>
        <w:keepNext w:val="0"/>
        <w:spacing w:before="0" w:after="8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数据快照：2026 年 7 月 30 日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5C6670"/>
          <w:sz w:val="19"/>
        </w:rPr>
        <w:t>适用对象：使用 DTA 制度条款解释贸易或跨国生产结果的实证研究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使用结论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  <w:insideH w:val="single" w:sz="8" w:color="C8D2DE"/>
              <w:insideV w:val="single" w:sz="8" w:color="C8D2DE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核心口径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贸易渠道统一记为 trade，跨国生产/投资渠道统一记为 mp。贸易方程使用 raw_trade_score，跨国生产方程使用 raw_mp_score；二者均为 DTA 条款内容的深度得分，不是关税或协定虚拟变量。</w:t>
            </w:r>
          </w:p>
        </w:tc>
      </w:tr>
    </w:tbl>
    <w:p>
      <w:pPr>
        <w:spacing w:after="40"/>
      </w:pPr>
    </w:p>
    <w:p>
      <w:pPr>
        <w:spacing w:after="100" w:line="300" w:lineRule="auto"/>
      </w:pPr>
      <w:r>
        <w:rPr>
          <w:rFonts w:ascii="Calibri" w:hAnsi="Calibri" w:eastAsia="Microsoft YaHei"/>
          <w:b/>
          <w:color w:val="0B2545"/>
          <w:sz w:val="22"/>
        </w:rPr>
        <w:t>最直接的使用方式：</w:t>
      </w:r>
      <w:r>
        <w:rPr>
          <w:rFonts w:ascii="Calibri" w:hAnsi="Calibri" w:eastAsia="Microsoft YaHei"/>
          <w:color w:val="000000"/>
          <w:sz w:val="22"/>
        </w:rPr>
        <w:t>若新项目只需要 DTA 解释变量，使用 data/processed/trade_dummy_icio_2000_2023.csv；若需要已经匹配因变量和控制变量的建模表，使用 result/model_inputs/match_y_x_cons/ 下相应方程、年份和控制方案的 CSV/DTA。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color w:val="0B2545"/>
          <w:sz w:val="22"/>
        </w:rPr>
        <w:t>主键原则：</w:t>
      </w:r>
      <w:r>
        <w:rPr>
          <w:rFonts w:ascii="Calibri" w:hAnsi="Calibri" w:eastAsia="Microsoft YaHei"/>
          <w:color w:val="000000"/>
          <w:sz w:val="22"/>
        </w:rPr>
        <w:t>DTA 国家对—年份指标以无方向国家对构造，但在与有方向的贸易流或跨国生产流匹配时，同一得分赋给 origin→destination 和 destination→origin 两个方向。</w:t>
      </w:r>
    </w:p>
    <w:p>
      <w:pPr>
        <w:spacing w:after="100" w:line="300" w:lineRule="auto"/>
      </w:pPr>
      <w:r>
        <w:rPr>
          <w:rFonts w:ascii="Calibri" w:hAnsi="Calibri" w:eastAsia="Microsoft YaHei"/>
          <w:b/>
          <w:color w:val="0B2545"/>
          <w:sz w:val="22"/>
        </w:rPr>
        <w:t>缺失值原则：</w:t>
      </w:r>
      <w:r>
        <w:rPr>
          <w:rFonts w:ascii="Calibri" w:hAnsi="Calibri" w:eastAsia="Microsoft YaHei"/>
          <w:color w:val="000000"/>
          <w:sz w:val="22"/>
        </w:rPr>
        <w:t>控制变量未匹配时保留缺失，绝不把缺失填为 0；只有“没有生效协定”时 DTA 得分和协定虚拟变量的 0 才具有结构性含义。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1　统一命名与测度逻辑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条款首先判断是否属于制度型开放，再识别其直接作用渠道。最终条款权重被汇总为协定层面和国家对—年份层面的 trade 与 mp 得分。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200"/>
        <w:gridCol w:w="1250"/>
        <w:gridCol w:w="1250"/>
        <w:gridCol w:w="3160"/>
      </w:tblGrid>
      <w:tr>
        <w:trPr>
          <w:tblHeader w:val="true"/>
        </w:trPr>
        <w:tc>
          <w:tcPr>
            <w:tcW w:type="dxa" w:w="15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类型值</w:t>
            </w:r>
          </w:p>
        </w:tc>
        <w:tc>
          <w:tcPr>
            <w:tcW w:type="dxa" w:w="22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经济含义</w:t>
            </w:r>
          </w:p>
        </w:tc>
        <w:tc>
          <w:tcPr>
            <w:tcW w:type="dxa" w:w="125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trade 权重</w:t>
            </w:r>
          </w:p>
        </w:tc>
        <w:tc>
          <w:tcPr>
            <w:tcW w:type="dxa" w:w="125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mp 权重</w:t>
            </w:r>
          </w:p>
        </w:tc>
        <w:tc>
          <w:tcPr>
            <w:tcW w:type="dxa" w:w="31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实证解释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trade</w:t>
            </w:r>
          </w:p>
        </w:tc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仅贸易渠道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1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直接影响货物或服务跨境交易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mp</w:t>
            </w:r>
          </w:p>
        </w:tc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仅跨国生产/投资渠道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1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直接影响进入、设立、经营或投资保护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both</w:t>
            </w:r>
          </w:p>
        </w:tc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双渠道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按最终规则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按最终规则</w:t>
            </w:r>
          </w:p>
        </w:tc>
        <w:tc>
          <w:tcPr>
            <w:tcW w:type="dxa" w:w="31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同时存在可识别的 trade 与 mp 机制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none</w:t>
            </w:r>
          </w:p>
        </w:tc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制度型开放但无直接渠道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1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不直接计入两类渠道得分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not_applicable</w:t>
            </w:r>
          </w:p>
        </w:tc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非制度型开放条款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12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31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不进入 Stage 2 渠道识别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5C6670"/>
          <w:sz w:val="20"/>
        </w:rPr>
        <w:t>当前条款样本共有 1,071 项：制度型开放条款 764 项，非制度型开放条款 307 项。最终渠道分布为 trade=500、mp=132、both=56、none=76、not_applicable=307。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2　数据产品层级与推荐用途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2900"/>
        <w:gridCol w:w="37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数据产品</w:t>
            </w:r>
          </w:p>
        </w:tc>
        <w:tc>
          <w:tcPr>
            <w:tcW w:type="dxa" w:w="29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数据粒度／主键</w:t>
            </w:r>
          </w:p>
        </w:tc>
        <w:tc>
          <w:tcPr>
            <w:tcW w:type="dxa" w:w="37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核心用途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final_provision_weights.csv</w:t>
            </w:r>
          </w:p>
        </w:tc>
        <w:tc>
          <w:tcPr>
            <w:tcW w:type="dxa" w:w="2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条款；provision_id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审计条款分类、渠道类型、权重、模型与仲裁来源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agreement_level_indices.csv</w:t>
            </w:r>
          </w:p>
        </w:tc>
        <w:tc>
          <w:tcPr>
            <w:tcW w:type="dxa" w:w="2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协定；agreement_id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研究单份协定的条款覆盖和 trade/mp 深度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country_pair_year_indices.csv</w:t>
            </w:r>
          </w:p>
        </w:tc>
        <w:tc>
          <w:tcPr>
            <w:tcW w:type="dxa" w:w="2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无方向国家对—年份；pair_key + year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观察生效协定集合及国家对层面的 DTA 深度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trade_dummy_icio_2000_2023.csv</w:t>
            </w:r>
          </w:p>
        </w:tc>
        <w:tc>
          <w:tcPr>
            <w:tcW w:type="dxa" w:w="2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有方向国家对—年份；iso_o + iso_d + year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跨项目最常用的 DTA 解释变量和政治距离来源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trade_y_x_&lt;year&gt;.csv / mp_y_x_&lt;year&gt;.csv</w:t>
            </w:r>
          </w:p>
        </w:tc>
        <w:tc>
          <w:tcPr>
            <w:tcW w:type="dxa" w:w="2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有方向国家对—年份—部门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已把因变量 Y 与核心 DTA 得分 X 匹配，尚未加入控制变量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*_y_x_cons_&lt;year&gt;.csv</w:t>
            </w:r>
          </w:p>
        </w:tc>
        <w:tc>
          <w:tcPr>
            <w:tcW w:type="dxa" w:w="2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有方向国家对—年份—部门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可直接用于建模的 Y-X-控制变量表，并带匹配诊断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3　核心标识和连接键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050"/>
        <w:gridCol w:w="4410"/>
      </w:tblGrid>
      <w:tr>
        <w:trPr>
          <w:tblHeader w:val="true"/>
        </w:trPr>
        <w:tc>
          <w:tcPr>
            <w:tcW w:type="dxa" w:w="19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305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441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使用提示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year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观测年份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现有建模输出包含 2000 与 2019；DTA 面板覆盖 2000—2023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iso_o / iso_d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来源国／目的国 ISO3 代码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保留因变量原始方向；主回归连接键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iso_o_match / iso_d_match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经别名桥接后的匹配代码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用于连接 DTA 和双边控制变量；ROM→ROU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iso_o1 / iso_d1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因变量来源中的备用国家标识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主要用于部门关税匹配或兼容源文件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country_o / country_d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来源国／目的国名称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描述性字段，不建议作为连接键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sector_amne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部门代码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贸易和 MP 因变量均在国家对—部门层面组织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pair_a / pair_b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按固定顺序排列的国家代码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构造无方向国家对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pair_key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无方向国家对键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用于 DTA 国家对—年份数据去重和审计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agreement_id / WBID</w:t>
            </w:r>
          </w:p>
        </w:tc>
        <w:tc>
          <w:tcPr>
            <w:tcW w:type="dxa" w:w="30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内部协定编号／世界银行协定编号</w:t>
            </w:r>
          </w:p>
        </w:tc>
        <w:tc>
          <w:tcPr>
            <w:tcW w:type="dxa" w:w="44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用于从国家对追溯到协定层面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  <w:insideH w:val="single" w:sz="8" w:color="C8D2DE"/>
              <w:insideV w:val="single" w:sz="8" w:color="C8D2DE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连接规则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因变量表的标准主键是 year + iso_o + iso_d + sector_amne；DTA 和双边控制变量按 year + iso_o_match + iso_d_match 连接；关税还需要 sector_amne。当前行策略删除 ROW，保留国内国家对。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4　核心解释变量与协定信息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7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53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含义与解释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raw_trade_score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核心 X（trade）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当年生效 DTA 中贸易渠道制度条款的原始综合得分；越高表示贸易制度开放越深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raw_mp_score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核心 X（mp）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当年生效 DTA 中跨国生产/投资渠道制度条款的原始综合得分；越高表示 MP 制度开放越深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trade_agreement_dummy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确认控制变量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当年是否存在生效贸易协定；1=存在，0=不存在或不适用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num_active_agreements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描述／诊断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该国家对当年同时生效的协定数量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agreement_id_list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追溯字段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当年生效的内部协定编号列表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WBID_list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追溯字段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当年生效的世界银行协定编号列表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rta_name_list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追溯字段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当年生效协定名称列表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agreement_applicable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适用性标记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该观测是否适用双边协定判定；国内国家对通常不适用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match_status / dta_match_status</w:t>
            </w:r>
          </w:p>
        </w:tc>
        <w:tc>
          <w:tcPr>
            <w:tcW w:type="dxa" w:w="1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匹配诊断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区分有生效协定、无生效协定和国内国家对不适用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5C6670"/>
          <w:sz w:val="20"/>
        </w:rPr>
        <w:t>多份协定同时生效时采用条款并集/最高覆盖合并，避免同一条款因协定重叠被重复累计。因此 raw_trade_score 与 raw_mp_score 不是把多份协定得分简单相加。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5　因变量及基础建模字段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8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适用方程</w:t>
            </w:r>
          </w:p>
        </w:tc>
        <w:tc>
          <w:tcPr>
            <w:tcW w:type="dxa" w:w="53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value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/ mp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源数据中的双边部门结果变量；trade 来自 ICIO，mp 来自 AMNE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positive_value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/ mp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value 是否大于 0 的诊断标记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is_domestic_pair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/ mp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是否为国内国家对；现有行策略保留国内观测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is_row_pair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/ mp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是否涉及 ROW；当前行策略删除 ROW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matched_x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/ mp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是否成功匹配核心 DTA 得分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uses_iso_bridge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/ mp</w:t>
            </w:r>
          </w:p>
        </w:tc>
        <w:tc>
          <w:tcPr>
            <w:tcW w:type="dxa" w:w="53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是否使用国家代码别名桥接；当前显式桥接为 ROM→ROU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6　控制变量：确认项与候选池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sz w:val="26"/>
        </w:rPr>
        <w:t>6.1　确认控制变量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400"/>
        <w:gridCol w:w="1400"/>
        <w:gridCol w:w="4260"/>
      </w:tblGrid>
      <w:tr>
        <w:trPr>
          <w:tblHeader w:val="true"/>
        </w:trPr>
        <w:tc>
          <w:tcPr>
            <w:tcW w:type="dxa" w:w="23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4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trade 方程</w:t>
            </w:r>
          </w:p>
        </w:tc>
        <w:tc>
          <w:tcPr>
            <w:tcW w:type="dxa" w:w="14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mp 方程</w:t>
            </w:r>
          </w:p>
        </w:tc>
        <w:tc>
          <w:tcPr>
            <w:tcW w:type="dxa" w:w="42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tariff</w:t>
            </w:r>
          </w:p>
        </w:tc>
        <w:tc>
          <w:tcPr>
            <w:tcW w:type="dxa" w:w="1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</w:t>
            </w:r>
          </w:p>
        </w:tc>
        <w:tc>
          <w:tcPr>
            <w:tcW w:type="dxa" w:w="1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不使用</w:t>
            </w:r>
          </w:p>
        </w:tc>
        <w:tc>
          <w:tcPr>
            <w:tcW w:type="dxa" w:w="42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部门层面的双边关税；缺失保留，不填 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trade_agreement_dummy</w:t>
            </w:r>
          </w:p>
        </w:tc>
        <w:tc>
          <w:tcPr>
            <w:tcW w:type="dxa" w:w="1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</w:t>
            </w:r>
          </w:p>
        </w:tc>
        <w:tc>
          <w:tcPr>
            <w:tcW w:type="dxa" w:w="1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</w:t>
            </w:r>
          </w:p>
        </w:tc>
        <w:tc>
          <w:tcPr>
            <w:tcW w:type="dxa" w:w="42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协定关系的广延边际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idealpoint_abs_distance</w:t>
            </w:r>
          </w:p>
        </w:tc>
        <w:tc>
          <w:tcPr>
            <w:tcW w:type="dxa" w:w="1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</w:t>
            </w:r>
          </w:p>
        </w:tc>
        <w:tc>
          <w:tcPr>
            <w:tcW w:type="dxa" w:w="1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</w:t>
            </w:r>
          </w:p>
        </w:tc>
        <w:tc>
          <w:tcPr>
            <w:tcW w:type="dxa" w:w="42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双边政治理想点绝对距离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sz w:val="26"/>
        </w:rPr>
        <w:t>6.2　trade 方程候选控制变量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3000"/>
        <w:gridCol w:w="4510"/>
      </w:tblGrid>
      <w:tr>
        <w:trPr>
          <w:tblHeader w:val="true"/>
        </w:trPr>
        <w:tc>
          <w:tcPr>
            <w:tcW w:type="dxa" w:w="185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30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具体字段</w:t>
            </w:r>
          </w:p>
        </w:tc>
        <w:tc>
          <w:tcPr>
            <w:tcW w:type="dxa" w:w="451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解释与当前状态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进入成本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entry_cost_o / entry_cost_d</w:t>
            </w:r>
          </w:p>
        </w:tc>
        <w:tc>
          <w:tcPr>
            <w:tcW w:type="dxa" w:w="45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来源国、目的国进入成本；已匹配，但未选入基准模型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进入程序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entry_proc_o / entry_proc_d</w:t>
            </w:r>
          </w:p>
        </w:tc>
        <w:tc>
          <w:tcPr>
            <w:tcW w:type="dxa" w:w="45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进入所需程序数量；候选变量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进入时间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entry_time_o / entry_time_d</w:t>
            </w:r>
          </w:p>
        </w:tc>
        <w:tc>
          <w:tcPr>
            <w:tcW w:type="dxa" w:w="45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进入所需时间；候选变量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进入综合指标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entry_tp_o / entry_tp_d</w:t>
            </w:r>
          </w:p>
        </w:tc>
        <w:tc>
          <w:tcPr>
            <w:tcW w:type="dxa" w:w="45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进入时间/程序相关指标；候选变量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共同官方语言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comlang_off</w:t>
            </w:r>
          </w:p>
        </w:tc>
        <w:tc>
          <w:tcPr>
            <w:tcW w:type="dxa" w:w="45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是否具有共同官方语言；候选变量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宗教相似度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comrelig</w:t>
            </w:r>
          </w:p>
        </w:tc>
        <w:tc>
          <w:tcPr>
            <w:tcW w:type="dxa" w:w="45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双边宗教相似度；候选变量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宗教文化距离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cultural_distance_religion</w:t>
            </w:r>
          </w:p>
        </w:tc>
        <w:tc>
          <w:tcPr>
            <w:tcW w:type="dxa" w:w="451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由 1 − comrelig 构造的 0—1 距离；候选变量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  <w:insideH w:val="single" w:sz="8" w:color="C8D2DE"/>
              <w:insideV w:val="single" w:sz="8" w:color="C8D2DE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选择纪律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候选控制变量已经完成匹配，但“可用”不等于“应全部进入基准回归”。新项目应依据识别假设、潜在中介关系和多重共线性另行决定，并在文中区分确认控制变量与稳健性候选变量。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7　匹配诊断和样本标记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59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match_tariff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方程中关税是否匹配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match_trade_agreement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协定虚拟变量是否匹配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match_idealpoint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政治理想点距离是否匹配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match_pair_controls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确认的双边控制变量是否完整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match_gravity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Gravity 候选控制数据是否匹配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match_entry_cost / proc / time / tp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相应进入成本候选字段是否可用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match_comlang / match_comrelig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语言、宗教字段是否匹配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available_*</w:t>
            </w:r>
          </w:p>
        </w:tc>
        <w:tc>
          <w:tcPr>
            <w:tcW w:type="dxa" w:w="59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候选变量组是否具有可用值；用于稳健性样本筛选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样本标记</w:t>
            </w:r>
          </w:p>
        </w:tc>
        <w:tc>
          <w:tcPr>
            <w:tcW w:type="dxa" w:w="60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纳入条件与用途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sample_trade_y_x</w:t>
            </w:r>
          </w:p>
        </w:tc>
        <w:tc>
          <w:tcPr>
            <w:tcW w:type="dxa" w:w="60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因变量和 raw_trade_score 已匹配；现有输出中为基础 Y-X 全样本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sample_trade_base_controls</w:t>
            </w:r>
          </w:p>
        </w:tc>
        <w:tc>
          <w:tcPr>
            <w:tcW w:type="dxa" w:w="60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 基础 Y-X 且 tariff、协定虚拟变量、政治距离满足基准控制要求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sample_mp_y_x</w:t>
            </w:r>
          </w:p>
        </w:tc>
        <w:tc>
          <w:tcPr>
            <w:tcW w:type="dxa" w:w="60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mp 因变量和 raw_mp_score 已匹配；现有输出中为基础 Y-X 全样本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sample_mp_controls</w:t>
            </w:r>
          </w:p>
        </w:tc>
        <w:tc>
          <w:tcPr>
            <w:tcW w:type="dxa" w:w="60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mp 基础 Y-X 且协定虚拟变量、政治距离满足控制要求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8　现有样本快照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800"/>
        <w:gridCol w:w="2100"/>
        <w:gridCol w:w="1800"/>
        <w:gridCol w:w="1860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年份／方程</w:t>
            </w:r>
          </w:p>
        </w:tc>
        <w:tc>
          <w:tcPr>
            <w:tcW w:type="dxa" w:w="18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基础 Y-X 行数</w:t>
            </w:r>
          </w:p>
        </w:tc>
        <w:tc>
          <w:tcPr>
            <w:tcW w:type="dxa" w:w="21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控制变量可用样本</w:t>
            </w:r>
          </w:p>
        </w:tc>
        <w:tc>
          <w:tcPr>
            <w:tcW w:type="dxa" w:w="18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因变量零值率</w:t>
            </w:r>
          </w:p>
        </w:tc>
        <w:tc>
          <w:tcPr>
            <w:tcW w:type="dxa" w:w="18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核心得分零值率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2000 trade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115,520</w:t>
            </w:r>
          </w:p>
        </w:tc>
        <w:tc>
          <w:tcPr>
            <w:tcW w:type="dxa" w:w="21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101,308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9.94%</w:t>
            </w:r>
          </w:p>
        </w:tc>
        <w:tc>
          <w:tcPr>
            <w:tcW w:type="dxa" w:w="18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80.68%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2000 mp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115,520</w:t>
            </w:r>
          </w:p>
        </w:tc>
        <w:tc>
          <w:tcPr>
            <w:tcW w:type="dxa" w:w="21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106,640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62.34%</w:t>
            </w:r>
          </w:p>
        </w:tc>
        <w:tc>
          <w:tcPr>
            <w:tcW w:type="dxa" w:w="18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80.89%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2019 trade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115,520</w:t>
            </w:r>
          </w:p>
        </w:tc>
        <w:tc>
          <w:tcPr>
            <w:tcW w:type="dxa" w:w="21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104,082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5.35%</w:t>
            </w:r>
          </w:p>
        </w:tc>
        <w:tc>
          <w:tcPr>
            <w:tcW w:type="dxa" w:w="18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48.93%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2019 mp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236,816</w:t>
            </w:r>
          </w:p>
        </w:tc>
        <w:tc>
          <w:tcPr>
            <w:tcW w:type="dxa" w:w="21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224,598</w:t>
            </w:r>
          </w:p>
        </w:tc>
        <w:tc>
          <w:tcPr>
            <w:tcW w:type="dxa" w:w="18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61.43%</w:t>
            </w:r>
          </w:p>
        </w:tc>
        <w:tc>
          <w:tcPr>
            <w:tcW w:type="dxa" w:w="18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50.17%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5C6670"/>
          <w:sz w:val="20"/>
        </w:rPr>
        <w:t>零值占比较高，尤其是 mp 方程。若因变量是非负流量或销售额，PPML 通常比对数 OLS 更适合保留零值并处理异方差。是否采用 PPML 仍应结合新项目的因变量定义、固定效应结构和识别设计确定。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9　推荐实证设定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sz w:val="26"/>
        </w:rPr>
        <w:t>9.1　trade 方程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核心解释变量：raw_trade_score；确认控制变量：tariff、trade_agreement_dummy、idealpoint_abs_distance。可在理论允许时加入来源国×年份、目的国×年份、国家对或部门固定效应，并对标准误进行与处理层级一致的聚类。</w:t>
      </w:r>
    </w:p>
    <w:p>
      <w:pPr>
        <w:keepNext w:val="0"/>
        <w:spacing w:before="80" w:after="200" w:line="300" w:lineRule="auto"/>
        <w:jc w:val="center"/>
      </w:pPr>
      <w:r>
        <w:rPr>
          <w:rFonts w:ascii="Calibri" w:hAnsi="Calibri" w:eastAsia="Microsoft YaHei"/>
          <w:b w:val="0"/>
          <w:i w:val="0"/>
          <w:color w:val="0B2545"/>
          <w:sz w:val="20"/>
        </w:rPr>
        <w:t>示意：E[valueᵢⱼₛₜ | X] = exp(β_trade·raw_trade_scoreᵢⱼₜ + γ·trade_agreement_dummyᵢⱼₜ + θ·tariffᵢⱼₛₜ + π·idealpoint_abs_distanceᵢⱼₜ + FE)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sz w:val="26"/>
        </w:rPr>
        <w:t>9.2　mp 方程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核心解释变量：raw_mp_score；确认控制变量：trade_agreement_dummy、idealpoint_abs_distance。mp 统一指跨国生产/投资渠道，不应再用 tr 表示。</w:t>
      </w:r>
    </w:p>
    <w:p>
      <w:pPr>
        <w:keepNext w:val="0"/>
        <w:spacing w:before="80" w:after="200" w:line="300" w:lineRule="auto"/>
        <w:jc w:val="center"/>
      </w:pPr>
      <w:r>
        <w:rPr>
          <w:rFonts w:ascii="Calibri" w:hAnsi="Calibri" w:eastAsia="Microsoft YaHei"/>
          <w:b w:val="0"/>
          <w:i w:val="0"/>
          <w:color w:val="0B2545"/>
          <w:sz w:val="20"/>
        </w:rPr>
        <w:t>示意：E[valueᵢⱼₛₜ | X] = exp(β_mp·raw_mp_scoreᵢⱼₜ + γ·trade_agreement_dummyᵢⱼₜ + π·idealpoint_abs_distanceᵢⱼₜ + FE)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C8D2DE"/>
              <w:left w:val="single" w:sz="8" w:color="C8D2DE"/>
              <w:bottom w:val="single" w:sz="8" w:color="C8D2DE"/>
              <w:right w:val="single" w:sz="8" w:color="C8D2DE"/>
              <w:insideH w:val="single" w:sz="8" w:color="C8D2DE"/>
              <w:insideV w:val="single" w:sz="8" w:color="C8D2DE"/>
            </w:tcBorders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识别提醒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raw_trade_score/raw_mp_score 描述协定制度内容的集约边际，trade_agreement_dummy 描述是否存在协定的广延边际。两者同时进入模型，才能区分“签署协定”与“协定内容更深”。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10　缺失、零值与方向处理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没有生效协定：trade_agreement_dummy=0，raw_trade_score=0，raw_mp_score=0。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控制变量未匹配：保留为缺失，并通过 match_* 或 sample_* 字段控制样本。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国内国家对：保留在现有因变量行策略中，但协定通常标记为不适用；是否保留应由新项目模型决定。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ROW：现有匹配规范删除 ROW 观测。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国家代码：使用 iso_o_match/iso_d_match 连接双边变量，并记录 uses_iso_bridge。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对称性：DTA 得分按无方向国家对构造，再复制到双向经济流；不能误解为方向性政策冲击。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11　迁移到另一个项目的最小清单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固定命名：trade 对应贸易，mp 对应跨国生产/投资；禁止恢复旧 mp/tr 映射。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确定观测粒度和主键，再选择 pair-year 表或已匹配的部门层面建模表。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检查年份覆盖；现有可复用建模输出为 2000 与 2019，DTA 解释变量面板覆盖 2000—2023。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保留 raw_trade_score/raw_mp_score 的原始尺度，若标准化需生成新变量并记录方法。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区分结构性 0 与匹配缺失；不得对控制变量进行无依据的零填充。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先用 sample_* 复现基准样本，再根据新项目理论调整控制变量和样本。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记录源文件哈希、schema、年份、筛选条件、固定效应和聚类层级。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附录 A　旧—新字段映射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旧字段／旧类型</w:t>
            </w:r>
          </w:p>
        </w:tc>
        <w:tc>
          <w:tcPr>
            <w:tcW w:type="dxa" w:w="30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当前统一字段／类型</w:t>
            </w:r>
          </w:p>
        </w:tc>
        <w:tc>
          <w:tcPr>
            <w:tcW w:type="dxa" w:w="37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mp（旧类型值）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trade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旧 mp 表示贸易渠道，已废弃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tr（旧类型值）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mp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旧 tr 表示投资渠道，已废弃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raw_investment_score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raw_mp_score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跨国生产/投资渠道得分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*_investment_weight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*_mp_weight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所有内部渠道权重统一使用 mp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investment_related_*</w:t>
            </w:r>
          </w:p>
        </w:tc>
        <w:tc>
          <w:tcPr>
            <w:tcW w:type="dxa" w:w="30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mp_related_*</w:t>
            </w:r>
          </w:p>
        </w:tc>
        <w:tc>
          <w:tcPr>
            <w:tcW w:type="dxa" w:w="37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协定层面的 MP 条款覆盖字段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sz w:val="32"/>
        </w:rPr>
        <w:t>附录 B　推荐文件位置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6660"/>
            <w:vAlign w:val="center"/>
            <w:shd w:fill="E8EEF5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项目内相对路径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DTA 国家对面板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data/processed/trade_dummy_icio_2000_2023.csv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条款最终权重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data/processed/final_provision_weights.csv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协定层面得分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data/processed/agreement_level_indices.csv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国家对—年份得分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data/processed/country_pair_year_indices.csv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基础 Y-X 表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result/model_inputs/match_y_x/&lt;year&gt;/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trade 控制变量表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result/model_inputs/match_y_x_cons/trade_candidate_pool_v1/&lt;year&gt;/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mp 控制变量表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result/model_inputs/match_y_x_cons/mp_controls_v1/&lt;year&gt;/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匹配规范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configs/matching_specs.json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逐列数据字典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 match_y_x_cons 目录下 variable_dictionary_&lt;year&gt;.csv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构建与质量记录</w:t>
            </w:r>
          </w:p>
        </w:tc>
        <w:tc>
          <w:tcPr>
            <w:tcW w:type="dxa" w:w="6660"/>
            <w:vAlign w:val="center"/>
            <w:tcBorders>
              <w:top w:val="single" w:sz="6" w:color="D5DCE5"/>
              <w:left w:val="single" w:sz="6" w:color="D5DCE5"/>
              <w:bottom w:val="single" w:sz="6" w:color="D5DCE5"/>
              <w:right w:val="single" w:sz="6" w:color="D5DCE5"/>
              <w:insideH w:val="single" w:sz="6" w:color="D5DCE5"/>
              <w:insideV w:val="single" w:sz="6" w:color="D5DCE5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各输出目录下 build_manifest.json 和 matching_diagnostics*</w:t>
            </w:r>
          </w:p>
        </w:tc>
      </w:tr>
    </w:tbl>
    <w:p>
      <w:pPr>
        <w:spacing w:after="40"/>
      </w:pPr>
    </w:p>
    <w:p>
      <w:pPr>
        <w:keepNext w:val="0"/>
        <w:spacing w:before="160" w:after="0" w:line="300" w:lineRule="auto"/>
        <w:jc w:val="left"/>
      </w:pPr>
      <w:r>
        <w:rPr>
          <w:rFonts w:ascii="Calibri" w:hAnsi="Calibri" w:eastAsia="Microsoft YaHei"/>
          <w:b w:val="0"/>
          <w:i/>
          <w:color w:val="5C6670"/>
          <w:sz w:val="19"/>
        </w:rPr>
        <w:t>本说明总结的是字段口径和使用方法，不替代具体项目的识别设计。在新项目中使用前，应再次核对变量定义、样本年份、数据版本及许可要求。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67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C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C6670"/>
        <w:sz w:val="17"/>
      </w:rPr>
      <w:t>DTA trade/mp 数据字典｜实证项目使用版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