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DTA 制度型开放条款编码</w:t>
        <w:br/>
        <w:t>Stage 1A / Stage 1B 提示词的官方依据与操作化论证</w:t>
      </w:r>
    </w:p>
    <w:p>
      <w:pPr>
        <w:spacing w:before="320"/>
        <w:jc w:val="center"/>
      </w:pPr>
      <w:r>
        <w:rPr>
          <w:rFonts w:ascii="Noto Serif CJK SC" w:hAnsi="Noto Serif CJK SC" w:eastAsia="Noto Serif CJK SC"/>
          <w:sz w:val="28"/>
        </w:rPr>
        <w:t>适用于双模型独立编码、冲突比较与仲裁流程</w:t>
      </w:r>
    </w:p>
    <w:p>
      <w:pPr>
        <w:spacing w:before="2400"/>
        <w:jc w:val="center"/>
      </w:pPr>
      <w:r>
        <w:rPr>
          <w:sz w:val="24"/>
        </w:rPr>
        <w:t>编制日期：2026年6月18日</w:t>
      </w:r>
    </w:p>
    <w:p>
      <w:r>
        <w:br w:type="page"/>
      </w:r>
    </w:p>
    <w:p>
      <w:pPr>
        <w:pStyle w:val="Heading1"/>
      </w:pPr>
      <w:r>
        <w:t>摘要</w:t>
      </w:r>
    </w:p>
    <w:p>
      <w:pPr>
        <w:pStyle w:val="正文"/>
      </w:pPr>
      <w:r>
        <w:t>本文件对 DTA 条款“制度型开放”识别提示词进行重新设计。原提示词要求同一模型同时判断“是否属于制度型开放”和“属于哪一维度”，容易使二元纳入判断与四维度归类相互牵连，并放大模型间分歧。修改后将第一阶段拆分为 Stage 1A 和 Stage 1B：Stage 1A 仅判断是否属于制度型开放；Stage 1B 仅对 Stage 1A 最终认定为制度型开放的条款进行 rules、regulation、management、standards 四维度归类。编码模型与仲裁模型分别配置提示词，因此共形成四份文本。</w:t>
      </w:r>
    </w:p>
    <w:p>
      <w:pPr>
        <w:pStyle w:val="正文"/>
      </w:pPr>
      <w:r>
        <w:t>四维度的总体框架直接来自党的二十大部署和国务院关于“稳步扩大规则、规制、管理、标准等制度型开放”“构建与高标准经贸规则相衔接的制度体系和监管模式”的正式文件。[1][2] 但商务部官方研究页面同时指出，当前对制度型开放内涵及包括内容尚无公开统一的规范表述。[3] 因此，本文件采用“官方政策总框架 + 官方法律文本和国际组织正式文书 + 明示的研究操作化规则”的路径，不把研究团队形成的分类定义表述为官方逐字定义。</w:t>
      </w:r>
    </w:p>
    <w:p>
      <w:pPr>
        <w:pStyle w:val="正文"/>
      </w:pPr>
      <w:r>
        <w:t>修改后的提示词重点解决三个问题：第一，将一般合作宣示与具有具体制度功能的条款区分开；第二，以条款最直接改变的制度对象为主，而不是按政策领域或关键词机械归类；第三，通过明确 standards、management、regulation、rules 的判定顺序和高频边界，抑制将大量条款泛化归入 regulation 的倾向。</w:t>
      </w:r>
    </w:p>
    <w:p>
      <w:pPr>
        <w:pStyle w:val="Heading1"/>
      </w:pPr>
      <w:r>
        <w:t>一、为什么必须拆分为 Stage 1A 和 Stage 1B</w:t>
      </w:r>
    </w:p>
    <w:p>
      <w:pPr>
        <w:pStyle w:val="正文"/>
      </w:pPr>
      <w:r>
        <w:t>原提示词把二元纳入判断和四维度归类放在同一输出中：若模型判断不属于制度型开放，就必须同步输出 none；若另一模型判断属于制度型开放，就必须同步输出四维度之一。这样，一次二元判断分歧会机械地同时形成维度分歧。原始提示词的任务和逻辑约束确实体现了这种耦合。</w:t>
      </w:r>
    </w:p>
    <w:p>
      <w:pPr>
        <w:pStyle w:val="正文"/>
      </w:pPr>
      <w:r>
        <w:t>拆分后，Stage 1A 只处理“是否存在可识别的制度性安排”，不受四维度概念边界影响；Stage 1B 只在已确认属于制度型开放的样本中识别最主要制度功能。该设计并未改变导师提出的先完成第一阶段再进入贸易—投资分类的总体顺序，只是将第一阶段内部改造为两个连续子阶段。</w:t>
      </w:r>
    </w:p>
    <w:p>
      <w:pPr>
        <w:pStyle w:val="正文"/>
      </w:pPr>
      <w:r>
        <w:rPr>
          <w:b/>
        </w:rPr>
        <w:t xml:space="preserve">Stage 1A： </w:t>
      </w:r>
      <w:r>
        <w:t>对全部条款进行制度型开放 0/1 判断；双模型不一致者仅就 0/1 结论仲裁。</w:t>
      </w:r>
    </w:p>
    <w:p>
      <w:pPr>
        <w:pStyle w:val="正文"/>
      </w:pPr>
      <w:r>
        <w:rPr>
          <w:b/>
        </w:rPr>
        <w:t xml:space="preserve">Stage 1B： </w:t>
      </w:r>
      <w:r>
        <w:t>仅处理 Stage 1A 最终值为 1 的条款；双模型分别判断四维度，不一致者仅就主维度仲裁。</w:t>
      </w:r>
    </w:p>
    <w:p>
      <w:pPr>
        <w:pStyle w:val="正文"/>
      </w:pPr>
      <w:r>
        <w:rPr>
          <w:b/>
        </w:rPr>
        <w:t xml:space="preserve">Stage 2： </w:t>
      </w:r>
      <w:r>
        <w:t>Stage 1A 和 Stage 1B 均完成后，再判断 mp、tr、both、none 及相关权重。</w:t>
      </w:r>
    </w:p>
    <w:p>
      <w:pPr>
        <w:pStyle w:val="Heading1"/>
      </w:pPr>
      <w:r>
        <w:t>二、官方依据的层级与使用原则</w:t>
      </w:r>
    </w:p>
    <w:p>
      <w:pPr>
        <w:pStyle w:val="正文"/>
      </w:pPr>
      <w:r>
        <w:t>本研究使用的“官方依据”分为三层。不同层级的资料承担不同功能，不能混为一谈。</w:t>
      </w:r>
    </w:p>
    <w:tbl>
      <w:tblPr>
        <w:tblStyle w:val="TableGrid"/>
        <w:tblW w:type="auto" w:w="0"/>
        <w:jc w:val="center"/>
        <w:tblLook w:firstColumn="1" w:firstRow="1" w:lastColumn="0" w:lastRow="0" w:noHBand="0" w:noVBand="1" w:val="04A0"/>
      </w:tblPr>
      <w:tblGrid>
        <w:gridCol w:w="3097"/>
        <w:gridCol w:w="3097"/>
        <w:gridCol w:w="3097"/>
      </w:tblGrid>
      <w:tr>
        <w:trPr>
          <w:tblHeader w:val="true"/>
          <w:cantSplit/>
        </w:trPr>
        <w:tc>
          <w:tcPr>
            <w:tcW w:type="dxa" w:w="3097"/>
            <w:vAlign w:val="center"/>
            <w:shd w:fill="E7E6E6"/>
          </w:tcPr>
          <w:p>
            <w:pPr>
              <w:spacing w:after="0" w:line="276" w:lineRule="auto"/>
            </w:pPr>
            <w:r/>
            <w:r>
              <w:rPr>
                <w:rFonts w:ascii="Noto Serif CJK SC" w:hAnsi="Noto Serif CJK SC" w:eastAsia="Noto Serif CJK SC"/>
                <w:b/>
                <w:sz w:val="21"/>
              </w:rPr>
              <w:t>资料层级</w:t>
            </w:r>
          </w:p>
        </w:tc>
        <w:tc>
          <w:tcPr>
            <w:tcW w:type="dxa" w:w="3097"/>
            <w:vAlign w:val="center"/>
            <w:shd w:fill="E7E6E6"/>
          </w:tcPr>
          <w:p>
            <w:pPr>
              <w:spacing w:after="0" w:line="276" w:lineRule="auto"/>
            </w:pPr>
            <w:r/>
            <w:r>
              <w:rPr>
                <w:rFonts w:ascii="Noto Serif CJK SC" w:hAnsi="Noto Serif CJK SC" w:eastAsia="Noto Serif CJK SC"/>
                <w:b/>
                <w:sz w:val="21"/>
              </w:rPr>
              <w:t>代表性来源</w:t>
            </w:r>
          </w:p>
        </w:tc>
        <w:tc>
          <w:tcPr>
            <w:tcW w:type="dxa" w:w="3097"/>
            <w:vAlign w:val="center"/>
            <w:shd w:fill="E7E6E6"/>
          </w:tcPr>
          <w:p>
            <w:pPr>
              <w:spacing w:after="0" w:line="276" w:lineRule="auto"/>
            </w:pPr>
            <w:r/>
            <w:r>
              <w:rPr>
                <w:rFonts w:ascii="Noto Serif CJK SC" w:hAnsi="Noto Serif CJK SC" w:eastAsia="Noto Serif CJK SC"/>
                <w:b/>
                <w:sz w:val="21"/>
              </w:rPr>
              <w:t>在提示词中的作用</w:t>
            </w:r>
          </w:p>
        </w:tc>
      </w:tr>
      <w:tr>
        <w:trPr>
          <w:cantSplit/>
        </w:trPr>
        <w:tc>
          <w:tcPr>
            <w:tcW w:type="dxa" w:w="3097"/>
            <w:vAlign w:val="center"/>
          </w:tcPr>
          <w:p>
            <w:pPr>
              <w:spacing w:after="0" w:line="276" w:lineRule="auto"/>
            </w:pPr>
            <w:r/>
            <w:r>
              <w:rPr>
                <w:rFonts w:ascii="Noto Serif CJK SC" w:hAnsi="Noto Serif CJK SC" w:eastAsia="Noto Serif CJK SC"/>
                <w:b w:val="0"/>
                <w:sz w:val="21"/>
              </w:rPr>
              <w:t>中央和国务院正式文件</w:t>
            </w:r>
          </w:p>
        </w:tc>
        <w:tc>
          <w:tcPr>
            <w:tcW w:type="dxa" w:w="3097"/>
            <w:vAlign w:val="center"/>
          </w:tcPr>
          <w:p>
            <w:pPr>
              <w:spacing w:after="0" w:line="276" w:lineRule="auto"/>
            </w:pPr>
            <w:r/>
            <w:r>
              <w:rPr>
                <w:rFonts w:ascii="Noto Serif CJK SC" w:hAnsi="Noto Serif CJK SC" w:eastAsia="Noto Serif CJK SC"/>
                <w:b w:val="0"/>
                <w:sz w:val="21"/>
              </w:rPr>
              <w:t>国发〔2023〕23号、国函〔2024〕156号</w:t>
            </w:r>
          </w:p>
        </w:tc>
        <w:tc>
          <w:tcPr>
            <w:tcW w:type="dxa" w:w="3097"/>
            <w:vAlign w:val="center"/>
          </w:tcPr>
          <w:p>
            <w:pPr>
              <w:spacing w:after="0" w:line="276" w:lineRule="auto"/>
            </w:pPr>
            <w:r/>
            <w:r>
              <w:rPr>
                <w:rFonts w:ascii="Noto Serif CJK SC" w:hAnsi="Noto Serif CJK SC" w:eastAsia="Noto Serif CJK SC"/>
                <w:b w:val="0"/>
                <w:sz w:val="21"/>
              </w:rPr>
              <w:t>确定制度型开放总体方向、四维度框架、国际高标准对接、制度体系和监管模式等核心口径。</w:t>
            </w:r>
          </w:p>
        </w:tc>
      </w:tr>
      <w:tr>
        <w:trPr>
          <w:cantSplit/>
        </w:trPr>
        <w:tc>
          <w:tcPr>
            <w:tcW w:type="dxa" w:w="3097"/>
            <w:vAlign w:val="center"/>
          </w:tcPr>
          <w:p>
            <w:pPr>
              <w:spacing w:after="0" w:line="276" w:lineRule="auto"/>
            </w:pPr>
            <w:r/>
            <w:r>
              <w:rPr>
                <w:rFonts w:ascii="Noto Serif CJK SC" w:hAnsi="Noto Serif CJK SC" w:eastAsia="Noto Serif CJK SC"/>
                <w:b w:val="0"/>
                <w:sz w:val="21"/>
              </w:rPr>
              <w:t>国际组织正式法律或规范文书</w:t>
            </w:r>
          </w:p>
        </w:tc>
        <w:tc>
          <w:tcPr>
            <w:tcW w:type="dxa" w:w="3097"/>
            <w:vAlign w:val="center"/>
          </w:tcPr>
          <w:p>
            <w:pPr>
              <w:spacing w:after="0" w:line="276" w:lineRule="auto"/>
            </w:pPr>
            <w:r/>
            <w:r>
              <w:rPr>
                <w:rFonts w:ascii="Noto Serif CJK SC" w:hAnsi="Noto Serif CJK SC" w:eastAsia="Noto Serif CJK SC"/>
                <w:b w:val="0"/>
                <w:sz w:val="21"/>
              </w:rPr>
              <w:t>WTO 协定、WCO 公约、OECD 法律文书</w:t>
            </w:r>
          </w:p>
        </w:tc>
        <w:tc>
          <w:tcPr>
            <w:tcW w:type="dxa" w:w="3097"/>
            <w:vAlign w:val="center"/>
          </w:tcPr>
          <w:p>
            <w:pPr>
              <w:spacing w:after="0" w:line="276" w:lineRule="auto"/>
            </w:pPr>
            <w:r/>
            <w:r>
              <w:rPr>
                <w:rFonts w:ascii="Noto Serif CJK SC" w:hAnsi="Noto Serif CJK SC" w:eastAsia="Noto Serif CJK SC"/>
                <w:b w:val="0"/>
                <w:sz w:val="21"/>
              </w:rPr>
              <w:t>为“规制、管理、标准、规则”的可观察制度功能提供可核验定义和典型机制。</w:t>
            </w:r>
          </w:p>
        </w:tc>
      </w:tr>
      <w:tr>
        <w:trPr>
          <w:cantSplit/>
        </w:trPr>
        <w:tc>
          <w:tcPr>
            <w:tcW w:type="dxa" w:w="3097"/>
            <w:vAlign w:val="center"/>
          </w:tcPr>
          <w:p>
            <w:pPr>
              <w:spacing w:after="0" w:line="276" w:lineRule="auto"/>
            </w:pPr>
            <w:r/>
            <w:r>
              <w:rPr>
                <w:rFonts w:ascii="Noto Serif CJK SC" w:hAnsi="Noto Serif CJK SC" w:eastAsia="Noto Serif CJK SC"/>
                <w:b w:val="0"/>
                <w:sz w:val="21"/>
              </w:rPr>
              <w:t>政府部门官方研究阐释</w:t>
            </w:r>
          </w:p>
        </w:tc>
        <w:tc>
          <w:tcPr>
            <w:tcW w:type="dxa" w:w="3097"/>
            <w:vAlign w:val="center"/>
          </w:tcPr>
          <w:p>
            <w:pPr>
              <w:spacing w:after="0" w:line="276" w:lineRule="auto"/>
            </w:pPr>
            <w:r/>
            <w:r>
              <w:rPr>
                <w:rFonts w:ascii="Noto Serif CJK SC" w:hAnsi="Noto Serif CJK SC" w:eastAsia="Noto Serif CJK SC"/>
                <w:b w:val="0"/>
                <w:sz w:val="21"/>
              </w:rPr>
              <w:t>商务部平台研究、上海市司法局研究</w:t>
            </w:r>
          </w:p>
        </w:tc>
        <w:tc>
          <w:tcPr>
            <w:tcW w:type="dxa" w:w="3097"/>
            <w:vAlign w:val="center"/>
          </w:tcPr>
          <w:p>
            <w:pPr>
              <w:spacing w:after="0" w:line="276" w:lineRule="auto"/>
            </w:pPr>
            <w:r/>
            <w:r>
              <w:rPr>
                <w:rFonts w:ascii="Noto Serif CJK SC" w:hAnsi="Noto Serif CJK SC" w:eastAsia="Noto Serif CJK SC"/>
                <w:b w:val="0"/>
                <w:sz w:val="21"/>
              </w:rPr>
              <w:t>用于解释概念边界和形成操作化分类，但明确标注其不是法律规范或官方统一定义。</w:t>
            </w:r>
          </w:p>
        </w:tc>
      </w:tr>
    </w:tbl>
    <w:p>
      <w:pPr>
        <w:pStyle w:val="正文"/>
      </w:pPr>
      <w:r>
        <w:t>最重要的方法论声明是：本研究的四维度定义属于“以官方文件为依据的操作性定义”，而不是声称中央文件已经逐字给出了四个概念的统一法定定义。商务部官方研究材料明确表示，对制度型开放的内涵及包括内容尚无公开的规范表述。[3] 这一事实决定了研究必须公开说明从官方框架到机器编码规则的转换过程。</w:t>
      </w:r>
    </w:p>
    <w:p>
      <w:pPr>
        <w:pStyle w:val="Heading1"/>
      </w:pPr>
      <w:r>
        <w:t>三、Stage 1A：制度型开放二元判断的官方依据</w:t>
      </w:r>
    </w:p>
    <w:p>
      <w:pPr>
        <w:pStyle w:val="正文"/>
      </w:pPr>
      <w:r>
        <w:t>国务院 2023 年总体方案要求“全面对接国际高标准经贸规则”，稳步扩大规则、规制、管理、标准等制度型开放，并率先构建与高标准经贸规则相衔接的制度体系和监管模式。[1] 2024 年国务院复制推广通知进一步强调，在更大范围推动四者相通相容，打造透明、稳定、可预期的制度环境。[2] 因而，Stage 1A 不以某个关键词作为纳入标准，而以条款是否指向可识别的制度体系、监管模式、行政实施机制或标准体系为判断核心。</w:t>
      </w:r>
    </w:p>
    <w:p>
      <w:pPr>
        <w:pStyle w:val="正文"/>
      </w:pPr>
      <w:r>
        <w:t>商务部官方研究将制度型开放与商品、要素流动型开放相区分，强调对接国际高标准经贸规则、完善市场规则制度体系以及侧重“边境后”制度建设。[3] 据此，提示词将单纯税率、配额数量、削减幅度或时间表等纯数量性减让排除在 Stage 1A 之外；但如果条款进一步规定待遇义务、监管条件、行政程序或标准安排，则属于制度型开放。该排除规则是为实现上述官方区分而设置的研究操作化标准。</w:t>
      </w:r>
    </w:p>
    <w:p>
      <w:pPr>
        <w:pStyle w:val="正文"/>
      </w:pPr>
      <w:r>
        <w:t>国务院总体方案列举了电子支付标准、数据跨境监管、移动通信非歧视待遇、商用密码技术法规和合格评定、通关便利化等多种制度措施，说明制度型开放不仅包括实体规则，也包括监管、管理和标准机制。[1] 因而 Stage 1A 的正向判据覆盖四类可观察制度安排：权利义务、监管要求、行政实施机制、技术标准和合格评定。</w:t>
      </w:r>
    </w:p>
    <w:p>
      <w:pPr>
        <w:pStyle w:val="Heading2"/>
      </w:pPr>
      <w:r>
        <w:t>（一）Stage 1A 的纳入规则</w:t>
      </w:r>
    </w:p>
    <w:p>
      <w:pPr>
        <w:pStyle w:val="正文"/>
        <w:ind w:left="420" w:hanging="283"/>
      </w:pPr>
      <w:r>
        <w:t>• 条款直接指向实体性权利、义务、禁止、待遇、适用范围或争端规则；</w:t>
      </w:r>
    </w:p>
    <w:p>
      <w:pPr>
        <w:pStyle w:val="正文"/>
        <w:ind w:left="420" w:hanging="283"/>
      </w:pPr>
      <w:r>
        <w:t>• 条款直接指向政府监管要求、许可条件、监督或合规约束；</w:t>
      </w:r>
    </w:p>
    <w:p>
      <w:pPr>
        <w:pStyle w:val="正文"/>
        <w:ind w:left="420" w:hanging="283"/>
      </w:pPr>
      <w:r>
        <w:t>• 条款直接指向行政程序、实施机制、机构协作、公开通知、核查或风险管理；</w:t>
      </w:r>
    </w:p>
    <w:p>
      <w:pPr>
        <w:pStyle w:val="正文"/>
        <w:ind w:left="420" w:hanging="283"/>
      </w:pPr>
      <w:r>
        <w:t>• 条款直接指向技术要求、标准、检验检测、认证认可、合格评定、等效或互认。</w:t>
      </w:r>
    </w:p>
    <w:p>
      <w:pPr>
        <w:pStyle w:val="Heading2"/>
      </w:pPr>
      <w:r>
        <w:t>（二）Stage 1A 的排除规则</w:t>
      </w:r>
    </w:p>
    <w:p>
      <w:pPr>
        <w:pStyle w:val="正文"/>
      </w:pPr>
      <w:r>
        <w:t>一般合作、鼓励、对话或经验交流并非当然无效，但如果没有明确对象、程序、机构、时限、义务或执行机制，难以识别独立制度内容，应判为 0。相反，若信息交换规定了联络点、报告义务、时限、用途或执行机制，则具有可执行的管理功能，可以判为 1。这一边界规则不是中央文件的逐字表述，而是为了将官方要求的“制度体系和监管模式”转换为可重复编码标准。</w:t>
      </w:r>
    </w:p>
    <w:p>
      <w:pPr>
        <w:pStyle w:val="Heading1"/>
      </w:pPr>
      <w:r>
        <w:t>四、Stage 1B：四维度定义及其官方来源</w:t>
      </w:r>
    </w:p>
    <w:p>
      <w:pPr>
        <w:pStyle w:val="正文"/>
      </w:pPr>
      <w:r>
        <w:t>Stage 1B 的核心不是判断条款是否以法律形式出现，因为四类制度都可能表现为协定义务。真正需要识别的是条款最直接改变的制度对象或最主要可执行功能。上海市司法局发布的研究成果提出，规则主要对应制度内容层面，规制与管理主要对应制度实施层面，标准兼具内容和实施连接功能。[4] 该阐释不是规范性定义，但为进一步结合 WTO、WCO、OECD 和国内法律进行操作化提供了清晰起点。</w:t>
      </w:r>
    </w:p>
    <w:tbl>
      <w:tblPr>
        <w:tblStyle w:val="TableGrid"/>
        <w:tblW w:type="auto" w:w="0"/>
        <w:jc w:val="center"/>
        <w:tblLook w:firstColumn="1" w:firstRow="1" w:lastColumn="0" w:lastRow="0" w:noHBand="0" w:noVBand="1" w:val="04A0"/>
      </w:tblPr>
      <w:tblGrid>
        <w:gridCol w:w="3097"/>
        <w:gridCol w:w="3097"/>
        <w:gridCol w:w="3097"/>
      </w:tblGrid>
      <w:tr>
        <w:trPr>
          <w:tblHeader w:val="true"/>
          <w:cantSplit/>
        </w:trPr>
        <w:tc>
          <w:tcPr>
            <w:tcW w:type="dxa" w:w="3097"/>
            <w:vAlign w:val="center"/>
            <w:shd w:fill="E7E6E6"/>
          </w:tcPr>
          <w:p>
            <w:pPr>
              <w:spacing w:after="0" w:line="276" w:lineRule="auto"/>
            </w:pPr>
            <w:r/>
            <w:r>
              <w:rPr>
                <w:rFonts w:ascii="Noto Serif CJK SC" w:hAnsi="Noto Serif CJK SC" w:eastAsia="Noto Serif CJK SC"/>
                <w:b/>
                <w:sz w:val="21"/>
              </w:rPr>
              <w:t>维度</w:t>
            </w:r>
          </w:p>
        </w:tc>
        <w:tc>
          <w:tcPr>
            <w:tcW w:type="dxa" w:w="3097"/>
            <w:vAlign w:val="center"/>
            <w:shd w:fill="E7E6E6"/>
          </w:tcPr>
          <w:p>
            <w:pPr>
              <w:spacing w:after="0" w:line="276" w:lineRule="auto"/>
            </w:pPr>
            <w:r/>
            <w:r>
              <w:rPr>
                <w:rFonts w:ascii="Noto Serif CJK SC" w:hAnsi="Noto Serif CJK SC" w:eastAsia="Noto Serif CJK SC"/>
                <w:b/>
                <w:sz w:val="21"/>
              </w:rPr>
              <w:t>提示词操作性定义</w:t>
            </w:r>
          </w:p>
        </w:tc>
        <w:tc>
          <w:tcPr>
            <w:tcW w:type="dxa" w:w="3097"/>
            <w:vAlign w:val="center"/>
            <w:shd w:fill="E7E6E6"/>
          </w:tcPr>
          <w:p>
            <w:pPr>
              <w:spacing w:after="0" w:line="276" w:lineRule="auto"/>
            </w:pPr>
            <w:r/>
            <w:r>
              <w:rPr>
                <w:rFonts w:ascii="Noto Serif CJK SC" w:hAnsi="Noto Serif CJK SC" w:eastAsia="Noto Serif CJK SC"/>
                <w:b/>
                <w:sz w:val="21"/>
              </w:rPr>
              <w:t>主要官方依据</w:t>
            </w:r>
          </w:p>
        </w:tc>
      </w:tr>
      <w:tr>
        <w:trPr>
          <w:cantSplit/>
        </w:trPr>
        <w:tc>
          <w:tcPr>
            <w:tcW w:type="dxa" w:w="3097"/>
            <w:vAlign w:val="center"/>
          </w:tcPr>
          <w:p>
            <w:pPr>
              <w:spacing w:after="0" w:line="276" w:lineRule="auto"/>
            </w:pPr>
            <w:r/>
            <w:r>
              <w:rPr>
                <w:rFonts w:ascii="Noto Serif CJK SC" w:hAnsi="Noto Serif CJK SC" w:eastAsia="Noto Serif CJK SC"/>
                <w:b w:val="0"/>
                <w:sz w:val="20"/>
              </w:rPr>
              <w:t>rules</w:t>
            </w:r>
          </w:p>
        </w:tc>
        <w:tc>
          <w:tcPr>
            <w:tcW w:type="dxa" w:w="3097"/>
            <w:vAlign w:val="center"/>
          </w:tcPr>
          <w:p>
            <w:pPr>
              <w:spacing w:after="0" w:line="276" w:lineRule="auto"/>
            </w:pPr>
            <w:r/>
            <w:r>
              <w:rPr>
                <w:rFonts w:ascii="Noto Serif CJK SC" w:hAnsi="Noto Serif CJK SC" w:eastAsia="Noto Serif CJK SC"/>
                <w:b w:val="0"/>
                <w:sz w:val="20"/>
              </w:rPr>
              <w:t>协定直接确立的实体权利义务、待遇、资格、禁止、适用范围、法律后果或争端规则。</w:t>
            </w:r>
          </w:p>
        </w:tc>
        <w:tc>
          <w:tcPr>
            <w:tcW w:type="dxa" w:w="3097"/>
            <w:vAlign w:val="center"/>
          </w:tcPr>
          <w:p>
            <w:pPr>
              <w:spacing w:after="0" w:line="276" w:lineRule="auto"/>
            </w:pPr>
            <w:r/>
            <w:r>
              <w:rPr>
                <w:rFonts w:ascii="Noto Serif CJK SC" w:hAnsi="Noto Serif CJK SC" w:eastAsia="Noto Serif CJK SC"/>
                <w:b w:val="0"/>
                <w:sz w:val="20"/>
              </w:rPr>
              <w:t>WTO 官方法律文本将多边经贸协定概括为对成员适用的权利和义务；国务院文件以高标准经贸规则及相关制度领域为制度型开放基础。[1][10]</w:t>
            </w:r>
          </w:p>
        </w:tc>
      </w:tr>
      <w:tr>
        <w:trPr>
          <w:cantSplit/>
        </w:trPr>
        <w:tc>
          <w:tcPr>
            <w:tcW w:type="dxa" w:w="3097"/>
            <w:vAlign w:val="center"/>
          </w:tcPr>
          <w:p>
            <w:pPr>
              <w:spacing w:after="0" w:line="276" w:lineRule="auto"/>
            </w:pPr>
            <w:r/>
            <w:r>
              <w:rPr>
                <w:rFonts w:ascii="Noto Serif CJK SC" w:hAnsi="Noto Serif CJK SC" w:eastAsia="Noto Serif CJK SC"/>
                <w:b w:val="0"/>
                <w:sz w:val="20"/>
              </w:rPr>
              <w:t>regulation</w:t>
            </w:r>
          </w:p>
        </w:tc>
        <w:tc>
          <w:tcPr>
            <w:tcW w:type="dxa" w:w="3097"/>
            <w:vAlign w:val="center"/>
          </w:tcPr>
          <w:p>
            <w:pPr>
              <w:spacing w:after="0" w:line="276" w:lineRule="auto"/>
            </w:pPr>
            <w:r/>
            <w:r>
              <w:rPr>
                <w:rFonts w:ascii="Noto Serif CJK SC" w:hAnsi="Noto Serif CJK SC" w:eastAsia="Noto Serif CJK SC"/>
                <w:b w:val="0"/>
                <w:sz w:val="20"/>
              </w:rPr>
              <w:t>政府针对行业、主体或经济活动设置、调整或协调的准入、许可、审慎、竞争、补贴、国企、数据、环境、劳动和执法等监管条件及合规约束。</w:t>
            </w:r>
          </w:p>
        </w:tc>
        <w:tc>
          <w:tcPr>
            <w:tcW w:type="dxa" w:w="3097"/>
            <w:vAlign w:val="center"/>
          </w:tcPr>
          <w:p>
            <w:pPr>
              <w:spacing w:after="0" w:line="276" w:lineRule="auto"/>
            </w:pPr>
            <w:r/>
            <w:r>
              <w:rPr>
                <w:rFonts w:ascii="Noto Serif CJK SC" w:hAnsi="Noto Serif CJK SC" w:eastAsia="Noto Serif CJK SC"/>
                <w:b w:val="0"/>
                <w:sz w:val="20"/>
              </w:rPr>
              <w:t>OECD 正式法律文书把 regulation 界定为政府向企业和公民设定要求的多样化工具，涵盖法律、命令、从属规则、行政手续及被授权主体制定的规则。[5]</w:t>
            </w:r>
          </w:p>
        </w:tc>
      </w:tr>
      <w:tr>
        <w:trPr>
          <w:cantSplit/>
        </w:trPr>
        <w:tc>
          <w:tcPr>
            <w:tcW w:type="dxa" w:w="3097"/>
            <w:vAlign w:val="center"/>
          </w:tcPr>
          <w:p>
            <w:pPr>
              <w:spacing w:after="0" w:line="276" w:lineRule="auto"/>
            </w:pPr>
            <w:r/>
            <w:r>
              <w:rPr>
                <w:rFonts w:ascii="Noto Serif CJK SC" w:hAnsi="Noto Serif CJK SC" w:eastAsia="Noto Serif CJK SC"/>
                <w:b w:val="0"/>
                <w:sz w:val="20"/>
              </w:rPr>
              <w:t>management</w:t>
            </w:r>
          </w:p>
        </w:tc>
        <w:tc>
          <w:tcPr>
            <w:tcW w:type="dxa" w:w="3097"/>
            <w:vAlign w:val="center"/>
          </w:tcPr>
          <w:p>
            <w:pPr>
              <w:spacing w:after="0" w:line="276" w:lineRule="auto"/>
            </w:pPr>
            <w:r/>
            <w:r>
              <w:rPr>
                <w:rFonts w:ascii="Noto Serif CJK SC" w:hAnsi="Noto Serif CJK SC" w:eastAsia="Noto Serif CJK SC"/>
                <w:b w:val="0"/>
                <w:sz w:val="20"/>
              </w:rPr>
              <w:t>政府或协定机构实施、办理、协调和控制具体事务的方式，包括申请、核查、清关、公开通知、时限、单一窗口、机构协作和风险管理。</w:t>
            </w:r>
          </w:p>
        </w:tc>
        <w:tc>
          <w:tcPr>
            <w:tcW w:type="dxa" w:w="3097"/>
            <w:vAlign w:val="center"/>
          </w:tcPr>
          <w:p>
            <w:pPr>
              <w:spacing w:after="0" w:line="276" w:lineRule="auto"/>
            </w:pPr>
            <w:r/>
            <w:r>
              <w:rPr>
                <w:rFonts w:ascii="Noto Serif CJK SC" w:hAnsi="Noto Serif CJK SC" w:eastAsia="Noto Serif CJK SC"/>
                <w:b w:val="0"/>
                <w:sz w:val="20"/>
              </w:rPr>
              <w:t>WTO《贸易便利化协定》对单一窗口、共同程序、文件要求和风险管理作出规定；WCO《修订京都公约》强调简化程序、信息技术、风险管理、审计控制和边境机构协调。[6][7]</w:t>
            </w:r>
          </w:p>
        </w:tc>
      </w:tr>
      <w:tr>
        <w:trPr>
          <w:cantSplit/>
        </w:trPr>
        <w:tc>
          <w:tcPr>
            <w:tcW w:type="dxa" w:w="3097"/>
            <w:vAlign w:val="center"/>
          </w:tcPr>
          <w:p>
            <w:pPr>
              <w:spacing w:after="0" w:line="276" w:lineRule="auto"/>
            </w:pPr>
            <w:r/>
            <w:r>
              <w:rPr>
                <w:rFonts w:ascii="Noto Serif CJK SC" w:hAnsi="Noto Serif CJK SC" w:eastAsia="Noto Serif CJK SC"/>
                <w:b w:val="0"/>
                <w:sz w:val="20"/>
              </w:rPr>
              <w:t>standards</w:t>
            </w:r>
          </w:p>
        </w:tc>
        <w:tc>
          <w:tcPr>
            <w:tcW w:type="dxa" w:w="3097"/>
            <w:vAlign w:val="center"/>
          </w:tcPr>
          <w:p>
            <w:pPr>
              <w:spacing w:after="0" w:line="276" w:lineRule="auto"/>
            </w:pPr>
            <w:r/>
            <w:r>
              <w:rPr>
                <w:rFonts w:ascii="Noto Serif CJK SC" w:hAnsi="Noto Serif CJK SC" w:eastAsia="Noto Serif CJK SC"/>
                <w:b w:val="0"/>
                <w:sz w:val="20"/>
              </w:rPr>
              <w:t>统一的技术、质量、安全、卫生、性能或服务要求，以及检测、检验、认证、认可、合格评定、等效和互认机制。</w:t>
            </w:r>
          </w:p>
        </w:tc>
        <w:tc>
          <w:tcPr>
            <w:tcW w:type="dxa" w:w="3097"/>
            <w:vAlign w:val="center"/>
          </w:tcPr>
          <w:p>
            <w:pPr>
              <w:spacing w:after="0" w:line="276" w:lineRule="auto"/>
            </w:pPr>
            <w:r/>
            <w:r>
              <w:rPr>
                <w:rFonts w:ascii="Noto Serif CJK SC" w:hAnsi="Noto Serif CJK SC" w:eastAsia="Noto Serif CJK SC"/>
                <w:b w:val="0"/>
                <w:sz w:val="20"/>
              </w:rPr>
              <w:t>《标准化法》将标准定义为有关领域需要统一的技术要求；WTO TBT 体系区分技术法规、标准和合格评定程序，并把检测、检验、认证等视为确认符合要求的程序。[8][9]</w:t>
            </w:r>
          </w:p>
        </w:tc>
      </w:tr>
    </w:tbl>
    <w:p>
      <w:pPr>
        <w:pStyle w:val="Heading2"/>
      </w:pPr>
      <w:r>
        <w:t>（一）rules：实体制度内容和权利义务</w:t>
      </w:r>
    </w:p>
    <w:p>
      <w:pPr>
        <w:pStyle w:val="正文"/>
      </w:pPr>
      <w:r>
        <w:t>WTO 官方法律文本说明，WTO 协定包含适用于成员的权利和义务。[10] 国民待遇、最惠国待遇、市场准入、原产资格、采购准入、知识产权实体保护、禁止性义务、例外和争端解决等，均首先回答“什么被允许、禁止或要求”。因此，提示词把这种直接确立实体性法律地位和行为边界的条款归为 rules。</w:t>
      </w:r>
    </w:p>
    <w:p>
      <w:pPr>
        <w:pStyle w:val="正文"/>
      </w:pPr>
      <w:r>
        <w:t>需要强调的是，规则不是“所有具有法律约束力的条款”的同义词。行政程序、监管条件和技术要求也可具有法律约束力，但应按其最直接制度功能分别归入 management、regulation 或 standards。</w:t>
      </w:r>
    </w:p>
    <w:p>
      <w:pPr>
        <w:pStyle w:val="Heading2"/>
      </w:pPr>
      <w:r>
        <w:t>（二）regulation：政府设置和协调的监管约束</w:t>
      </w:r>
    </w:p>
    <w:p>
      <w:pPr>
        <w:pStyle w:val="正文"/>
      </w:pPr>
      <w:r>
        <w:t>OECD《促进创新的敏捷监管治理理事会建议》作为正式法律文书，将 regulation 概括为政府向企业和公民设定要求的多样化工具，并明确包括法律、正式或非正式命令、从属规则、行政手续及经政府授权的非政府或自律机构规则。[5] 该定义支持把行业准入、许可资格、审慎监管、竞争监管、补贴、国企、数据、环境、劳动和执法合规要求归入 regulation。</w:t>
      </w:r>
    </w:p>
    <w:p>
      <w:pPr>
        <w:pStyle w:val="正文"/>
      </w:pPr>
      <w:r>
        <w:t>为防止 regulation 过宽，提示词同时设置两项排除：一是仅描述申请、审查、备案、时限和机构协作的实施程序，应归 management；二是以产品技术特性、质量尺度和合格评定为核心的要求，应归 standards。</w:t>
      </w:r>
    </w:p>
    <w:p>
      <w:pPr>
        <w:pStyle w:val="Heading2"/>
      </w:pPr>
      <w:r>
        <w:t>（三）management：行政实施、程序和机构协作</w:t>
      </w:r>
    </w:p>
    <w:p>
      <w:pPr>
        <w:pStyle w:val="正文"/>
      </w:pPr>
      <w:r>
        <w:t>WTO《贸易便利化协定》规定单一窗口、统一文件要求、共同海关程序、风险管理和机构合作等具体实施机制。[6] WCO《修订京都公约》把透明可预期的海关行动、申报文件简化、信息技术、最低必要控制、风险管理、审计控制和边境机构协调列为现代高效海关程序的主要原则。[7] 这些官方文书共同支持把“由谁、按什么流程、在何时、以何种方式实施”作为 management 的核心识别问题。</w:t>
      </w:r>
    </w:p>
    <w:p>
      <w:pPr>
        <w:pStyle w:val="正文"/>
      </w:pPr>
      <w:r>
        <w:t>例如，原产资格条件属于 rules；但原产地证书的申请、签发、核查、联合验证和海关协作属于 management。该边界直接用于处理此前 P0481 一类条款。</w:t>
      </w:r>
    </w:p>
    <w:p>
      <w:pPr>
        <w:pStyle w:val="Heading2"/>
      </w:pPr>
      <w:r>
        <w:t>（四）standards：统一技术要求和符合性确认</w:t>
      </w:r>
    </w:p>
    <w:p>
      <w:pPr>
        <w:pStyle w:val="正文"/>
      </w:pPr>
      <w:r>
        <w:t>《中华人民共和国标准化法》第二条将标准界定为农业、工业、服务业以及社会事业等领域需要统一的技术要求。[8] WTO TBT 官方材料进一步区分技术法规、标准和合格评定程序，并将检测、验证、检验和认证等视为确认产品是否符合技术法规或标准的程序。[9] 因此，提示词中的 standards 不只包括“标准”字样，也包括技术要求、检测认证、合格评定、等效、互认和采用国际标准。</w:t>
      </w:r>
    </w:p>
    <w:p>
      <w:pPr>
        <w:pStyle w:val="正文"/>
      </w:pPr>
      <w:r>
        <w:t>同时，提示词明确：一般环境、劳动、数据或知识产权条款不能因为涉及“高标准”而自动归入 standards；只有核心内容是统一技术、质量、安全、性能或服务尺度，或者确认是否符合这些尺度，才归入该维度。</w:t>
      </w:r>
    </w:p>
    <w:p>
      <w:pPr>
        <w:pStyle w:val="Heading1"/>
      </w:pPr>
      <w:r>
        <w:t>五、四维度强制判定顺序及边界处理</w:t>
      </w:r>
    </w:p>
    <w:p>
      <w:pPr>
        <w:pStyle w:val="正文"/>
      </w:pPr>
      <w:r>
        <w:t>为减少不同模型对 regulation 的泛化解释，Stage 1B 不采用并列关键词清单，而采用功能性决策树。决策顺序并不表示四类存在价值高低，而是优先识别边界更清楚、误判成本更高的技术标准和行政程序，再判断监管约束与一般实体规则。</w:t>
      </w:r>
    </w:p>
    <w:p>
      <w:pPr>
        <w:pStyle w:val="正文"/>
      </w:pPr>
      <w:r>
        <w:rPr>
          <w:b/>
        </w:rPr>
        <w:t xml:space="preserve">A. </w:t>
      </w:r>
      <w:r>
        <w:t>核心是否为技术尺度、产品或服务要求、测试认证、合格评定、等效或互认？是则 standards。</w:t>
      </w:r>
    </w:p>
    <w:p>
      <w:pPr>
        <w:pStyle w:val="正文"/>
      </w:pPr>
      <w:r>
        <w:rPr>
          <w:b/>
        </w:rPr>
        <w:t xml:space="preserve">B. </w:t>
      </w:r>
      <w:r>
        <w:t>核心是否为实施步骤、办理流程、机构分工、核查、通知、时限、协作或风险控制？是则 management。</w:t>
      </w:r>
    </w:p>
    <w:p>
      <w:pPr>
        <w:pStyle w:val="正文"/>
      </w:pPr>
      <w:r>
        <w:rPr>
          <w:b/>
        </w:rPr>
        <w:t xml:space="preserve">C. </w:t>
      </w:r>
      <w:r>
        <w:t>核心是否为政府对行业、主体或活动设置的监管条件、限制或监督要求？是则 regulation。</w:t>
      </w:r>
    </w:p>
    <w:p>
      <w:pPr>
        <w:pStyle w:val="正文"/>
      </w:pPr>
      <w:r>
        <w:rPr>
          <w:b/>
        </w:rPr>
        <w:t xml:space="preserve">D. </w:t>
      </w:r>
      <w:r>
        <w:t>其余以实体性权利义务、待遇、资格、禁止、适用范围或法律后果为核心者，归 rules。</w:t>
      </w:r>
    </w:p>
    <w:tbl>
      <w:tblPr>
        <w:tblStyle w:val="TableGrid"/>
        <w:tblW w:type="auto" w:w="0"/>
        <w:jc w:val="center"/>
        <w:tblLook w:firstColumn="1" w:firstRow="1" w:lastColumn="0" w:lastRow="0" w:noHBand="0" w:noVBand="1" w:val="04A0"/>
      </w:tblPr>
      <w:tblGrid>
        <w:gridCol w:w="3097"/>
        <w:gridCol w:w="3097"/>
        <w:gridCol w:w="3097"/>
      </w:tblGrid>
      <w:tr>
        <w:trPr>
          <w:tblHeader w:val="true"/>
          <w:cantSplit/>
        </w:trPr>
        <w:tc>
          <w:tcPr>
            <w:tcW w:type="dxa" w:w="3097"/>
            <w:vAlign w:val="center"/>
            <w:shd w:fill="E7E6E6"/>
          </w:tcPr>
          <w:p>
            <w:pPr>
              <w:spacing w:after="0" w:line="276" w:lineRule="auto"/>
            </w:pPr>
            <w:r/>
            <w:r>
              <w:rPr>
                <w:rFonts w:ascii="Noto Serif CJK SC" w:hAnsi="Noto Serif CJK SC" w:eastAsia="Noto Serif CJK SC"/>
                <w:b/>
                <w:sz w:val="21"/>
              </w:rPr>
              <w:t>相近事项</w:t>
            </w:r>
          </w:p>
        </w:tc>
        <w:tc>
          <w:tcPr>
            <w:tcW w:type="dxa" w:w="3097"/>
            <w:vAlign w:val="center"/>
            <w:shd w:fill="E7E6E6"/>
          </w:tcPr>
          <w:p>
            <w:pPr>
              <w:spacing w:after="0" w:line="276" w:lineRule="auto"/>
            </w:pPr>
            <w:r/>
            <w:r>
              <w:rPr>
                <w:rFonts w:ascii="Noto Serif CJK SC" w:hAnsi="Noto Serif CJK SC" w:eastAsia="Noto Serif CJK SC"/>
                <w:b/>
                <w:sz w:val="21"/>
              </w:rPr>
              <w:t>主维度判断</w:t>
            </w:r>
          </w:p>
        </w:tc>
        <w:tc>
          <w:tcPr>
            <w:tcW w:type="dxa" w:w="3097"/>
            <w:vAlign w:val="center"/>
            <w:shd w:fill="E7E6E6"/>
          </w:tcPr>
          <w:p>
            <w:pPr>
              <w:spacing w:after="0" w:line="276" w:lineRule="auto"/>
            </w:pPr>
            <w:r/>
            <w:r>
              <w:rPr>
                <w:rFonts w:ascii="Noto Serif CJK SC" w:hAnsi="Noto Serif CJK SC" w:eastAsia="Noto Serif CJK SC"/>
                <w:b/>
                <w:sz w:val="21"/>
              </w:rPr>
              <w:t>区分依据</w:t>
            </w:r>
          </w:p>
        </w:tc>
      </w:tr>
      <w:tr>
        <w:trPr>
          <w:cantSplit/>
        </w:trPr>
        <w:tc>
          <w:tcPr>
            <w:tcW w:type="dxa" w:w="3097"/>
            <w:vAlign w:val="center"/>
          </w:tcPr>
          <w:p>
            <w:pPr>
              <w:spacing w:after="0" w:line="276" w:lineRule="auto"/>
            </w:pPr>
            <w:r/>
            <w:r>
              <w:rPr>
                <w:rFonts w:ascii="Noto Serif CJK SC" w:hAnsi="Noto Serif CJK SC" w:eastAsia="Noto Serif CJK SC"/>
                <w:b w:val="0"/>
                <w:sz w:val="20"/>
              </w:rPr>
              <w:t>原产地</w:t>
            </w:r>
          </w:p>
        </w:tc>
        <w:tc>
          <w:tcPr>
            <w:tcW w:type="dxa" w:w="3097"/>
            <w:vAlign w:val="center"/>
          </w:tcPr>
          <w:p>
            <w:pPr>
              <w:spacing w:after="0" w:line="276" w:lineRule="auto"/>
            </w:pPr>
            <w:r/>
            <w:r>
              <w:rPr>
                <w:rFonts w:ascii="Noto Serif CJK SC" w:hAnsi="Noto Serif CJK SC" w:eastAsia="Noto Serif CJK SC"/>
                <w:b w:val="0"/>
                <w:sz w:val="20"/>
              </w:rPr>
              <w:t>资格条件 rules；证书申请、签发、核查 management</w:t>
            </w:r>
          </w:p>
        </w:tc>
        <w:tc>
          <w:tcPr>
            <w:tcW w:type="dxa" w:w="3097"/>
            <w:vAlign w:val="center"/>
          </w:tcPr>
          <w:p>
            <w:pPr>
              <w:spacing w:after="0" w:line="276" w:lineRule="auto"/>
            </w:pPr>
            <w:r/>
            <w:r>
              <w:rPr>
                <w:rFonts w:ascii="Noto Serif CJK SC" w:hAnsi="Noto Serif CJK SC" w:eastAsia="Noto Serif CJK SC"/>
                <w:b w:val="0"/>
                <w:sz w:val="20"/>
              </w:rPr>
              <w:t>前者决定实体资格，后者决定行政实施流程。</w:t>
            </w:r>
          </w:p>
        </w:tc>
      </w:tr>
      <w:tr>
        <w:trPr>
          <w:cantSplit/>
        </w:trPr>
        <w:tc>
          <w:tcPr>
            <w:tcW w:type="dxa" w:w="3097"/>
            <w:vAlign w:val="center"/>
          </w:tcPr>
          <w:p>
            <w:pPr>
              <w:spacing w:after="0" w:line="276" w:lineRule="auto"/>
            </w:pPr>
            <w:r/>
            <w:r>
              <w:rPr>
                <w:rFonts w:ascii="Noto Serif CJK SC" w:hAnsi="Noto Serif CJK SC" w:eastAsia="Noto Serif CJK SC"/>
                <w:b w:val="0"/>
                <w:sz w:val="20"/>
              </w:rPr>
              <w:t>许可</w:t>
            </w:r>
          </w:p>
        </w:tc>
        <w:tc>
          <w:tcPr>
            <w:tcW w:type="dxa" w:w="3097"/>
            <w:vAlign w:val="center"/>
          </w:tcPr>
          <w:p>
            <w:pPr>
              <w:spacing w:after="0" w:line="276" w:lineRule="auto"/>
            </w:pPr>
            <w:r/>
            <w:r>
              <w:rPr>
                <w:rFonts w:ascii="Noto Serif CJK SC" w:hAnsi="Noto Serif CJK SC" w:eastAsia="Noto Serif CJK SC"/>
                <w:b w:val="0"/>
                <w:sz w:val="20"/>
              </w:rPr>
              <w:t>行业限制或资格条件 regulation；办理材料、步骤、时限 management</w:t>
            </w:r>
          </w:p>
        </w:tc>
        <w:tc>
          <w:tcPr>
            <w:tcW w:type="dxa" w:w="3097"/>
            <w:vAlign w:val="center"/>
          </w:tcPr>
          <w:p>
            <w:pPr>
              <w:spacing w:after="0" w:line="276" w:lineRule="auto"/>
            </w:pPr>
            <w:r/>
            <w:r>
              <w:rPr>
                <w:rFonts w:ascii="Noto Serif CJK SC" w:hAnsi="Noto Serif CJK SC" w:eastAsia="Noto Serif CJK SC"/>
                <w:b w:val="0"/>
                <w:sz w:val="20"/>
              </w:rPr>
              <w:t>前者是监管约束，后者是程序实施。</w:t>
            </w:r>
          </w:p>
        </w:tc>
      </w:tr>
      <w:tr>
        <w:trPr>
          <w:cantSplit/>
        </w:trPr>
        <w:tc>
          <w:tcPr>
            <w:tcW w:type="dxa" w:w="3097"/>
            <w:vAlign w:val="center"/>
          </w:tcPr>
          <w:p>
            <w:pPr>
              <w:spacing w:after="0" w:line="276" w:lineRule="auto"/>
            </w:pPr>
            <w:r/>
            <w:r>
              <w:rPr>
                <w:rFonts w:ascii="Noto Serif CJK SC" w:hAnsi="Noto Serif CJK SC" w:eastAsia="Noto Serif CJK SC"/>
                <w:b w:val="0"/>
                <w:sz w:val="20"/>
              </w:rPr>
              <w:t>SPS/TBT</w:t>
            </w:r>
          </w:p>
        </w:tc>
        <w:tc>
          <w:tcPr>
            <w:tcW w:type="dxa" w:w="3097"/>
            <w:vAlign w:val="center"/>
          </w:tcPr>
          <w:p>
            <w:pPr>
              <w:spacing w:after="0" w:line="276" w:lineRule="auto"/>
            </w:pPr>
            <w:r/>
            <w:r>
              <w:rPr>
                <w:rFonts w:ascii="Noto Serif CJK SC" w:hAnsi="Noto Serif CJK SC" w:eastAsia="Noto Serif CJK SC"/>
                <w:b w:val="0"/>
                <w:sz w:val="20"/>
              </w:rPr>
              <w:t>技术指标和合格评定 standards；通知和询问点 management；必要性、非歧视 rules</w:t>
            </w:r>
          </w:p>
        </w:tc>
        <w:tc>
          <w:tcPr>
            <w:tcW w:type="dxa" w:w="3097"/>
            <w:vAlign w:val="center"/>
          </w:tcPr>
          <w:p>
            <w:pPr>
              <w:spacing w:after="0" w:line="276" w:lineRule="auto"/>
            </w:pPr>
            <w:r/>
            <w:r>
              <w:rPr>
                <w:rFonts w:ascii="Noto Serif CJK SC" w:hAnsi="Noto Serif CJK SC" w:eastAsia="Noto Serif CJK SC"/>
                <w:b w:val="0"/>
                <w:sz w:val="20"/>
              </w:rPr>
              <w:t>不能按章节整体映射，必须看条款直接功能。</w:t>
            </w:r>
          </w:p>
        </w:tc>
      </w:tr>
      <w:tr>
        <w:trPr>
          <w:cantSplit/>
        </w:trPr>
        <w:tc>
          <w:tcPr>
            <w:tcW w:type="dxa" w:w="3097"/>
            <w:vAlign w:val="center"/>
          </w:tcPr>
          <w:p>
            <w:pPr>
              <w:spacing w:after="0" w:line="276" w:lineRule="auto"/>
            </w:pPr>
            <w:r/>
            <w:r>
              <w:rPr>
                <w:rFonts w:ascii="Noto Serif CJK SC" w:hAnsi="Noto Serif CJK SC" w:eastAsia="Noto Serif CJK SC"/>
                <w:b w:val="0"/>
                <w:sz w:val="20"/>
              </w:rPr>
              <w:t>知识产权</w:t>
            </w:r>
          </w:p>
        </w:tc>
        <w:tc>
          <w:tcPr>
            <w:tcW w:type="dxa" w:w="3097"/>
            <w:vAlign w:val="center"/>
          </w:tcPr>
          <w:p>
            <w:pPr>
              <w:spacing w:after="0" w:line="276" w:lineRule="auto"/>
            </w:pPr>
            <w:r/>
            <w:r>
              <w:rPr>
                <w:rFonts w:ascii="Noto Serif CJK SC" w:hAnsi="Noto Serif CJK SC" w:eastAsia="Noto Serif CJK SC"/>
                <w:b w:val="0"/>
                <w:sz w:val="20"/>
              </w:rPr>
              <w:t>权利范围和期限 rules；行政申请审查 management；执法监管要求 regulation</w:t>
            </w:r>
          </w:p>
        </w:tc>
        <w:tc>
          <w:tcPr>
            <w:tcW w:type="dxa" w:w="3097"/>
            <w:vAlign w:val="center"/>
          </w:tcPr>
          <w:p>
            <w:pPr>
              <w:spacing w:after="0" w:line="276" w:lineRule="auto"/>
            </w:pPr>
            <w:r/>
            <w:r>
              <w:rPr>
                <w:rFonts w:ascii="Noto Serif CJK SC" w:hAnsi="Noto Serif CJK SC" w:eastAsia="Noto Serif CJK SC"/>
                <w:b w:val="0"/>
                <w:sz w:val="20"/>
              </w:rPr>
              <w:t>同一政策领域可包含多个维度。</w:t>
            </w:r>
          </w:p>
        </w:tc>
      </w:tr>
      <w:tr>
        <w:trPr>
          <w:cantSplit/>
        </w:trPr>
        <w:tc>
          <w:tcPr>
            <w:tcW w:type="dxa" w:w="3097"/>
            <w:vAlign w:val="center"/>
          </w:tcPr>
          <w:p>
            <w:pPr>
              <w:spacing w:after="0" w:line="276" w:lineRule="auto"/>
            </w:pPr>
            <w:r/>
            <w:r>
              <w:rPr>
                <w:rFonts w:ascii="Noto Serif CJK SC" w:hAnsi="Noto Serif CJK SC" w:eastAsia="Noto Serif CJK SC"/>
                <w:b w:val="0"/>
                <w:sz w:val="20"/>
              </w:rPr>
              <w:t>环境、劳动、数据</w:t>
            </w:r>
          </w:p>
        </w:tc>
        <w:tc>
          <w:tcPr>
            <w:tcW w:type="dxa" w:w="3097"/>
            <w:vAlign w:val="center"/>
          </w:tcPr>
          <w:p>
            <w:pPr>
              <w:spacing w:after="0" w:line="276" w:lineRule="auto"/>
            </w:pPr>
            <w:r/>
            <w:r>
              <w:rPr>
                <w:rFonts w:ascii="Noto Serif CJK SC" w:hAnsi="Noto Serif CJK SC" w:eastAsia="Noto Serif CJK SC"/>
                <w:b w:val="0"/>
                <w:sz w:val="20"/>
              </w:rPr>
              <w:t>一般监管约束 regulation；实体待遇或禁止 rules；可量化技术尺度才是 standards</w:t>
            </w:r>
          </w:p>
        </w:tc>
        <w:tc>
          <w:tcPr>
            <w:tcW w:type="dxa" w:w="3097"/>
            <w:vAlign w:val="center"/>
          </w:tcPr>
          <w:p>
            <w:pPr>
              <w:spacing w:after="0" w:line="276" w:lineRule="auto"/>
            </w:pPr>
            <w:r/>
            <w:r>
              <w:rPr>
                <w:rFonts w:ascii="Noto Serif CJK SC" w:hAnsi="Noto Serif CJK SC" w:eastAsia="Noto Serif CJK SC"/>
                <w:b w:val="0"/>
                <w:sz w:val="20"/>
              </w:rPr>
              <w:t>“高标准”或“标准”日常用语不等于标准维度。</w:t>
            </w:r>
          </w:p>
        </w:tc>
      </w:tr>
    </w:tbl>
    <w:p>
      <w:pPr>
        <w:pStyle w:val="Heading1"/>
      </w:pPr>
      <w:r>
        <w:t>六、修改后的提示词如何体现官方依据</w:t>
      </w:r>
    </w:p>
    <w:tbl>
      <w:tblPr>
        <w:tblStyle w:val="TableGrid"/>
        <w:tblW w:type="auto" w:w="0"/>
        <w:jc w:val="center"/>
        <w:tblLook w:firstColumn="1" w:firstRow="1" w:lastColumn="0" w:lastRow="0" w:noHBand="0" w:noVBand="1" w:val="04A0"/>
      </w:tblPr>
      <w:tblGrid>
        <w:gridCol w:w="3097"/>
        <w:gridCol w:w="3097"/>
        <w:gridCol w:w="3097"/>
      </w:tblGrid>
      <w:tr>
        <w:trPr>
          <w:tblHeader w:val="true"/>
          <w:cantSplit/>
        </w:trPr>
        <w:tc>
          <w:tcPr>
            <w:tcW w:type="dxa" w:w="3097"/>
            <w:vAlign w:val="center"/>
            <w:shd w:fill="E7E6E6"/>
          </w:tcPr>
          <w:p>
            <w:pPr>
              <w:spacing w:after="0" w:line="276" w:lineRule="auto"/>
            </w:pPr>
            <w:r/>
            <w:r>
              <w:rPr>
                <w:rFonts w:ascii="Noto Serif CJK SC" w:hAnsi="Noto Serif CJK SC" w:eastAsia="Noto Serif CJK SC"/>
                <w:b/>
                <w:sz w:val="21"/>
              </w:rPr>
              <w:t>提示词设计</w:t>
            </w:r>
          </w:p>
        </w:tc>
        <w:tc>
          <w:tcPr>
            <w:tcW w:type="dxa" w:w="3097"/>
            <w:vAlign w:val="center"/>
            <w:shd w:fill="E7E6E6"/>
          </w:tcPr>
          <w:p>
            <w:pPr>
              <w:spacing w:after="0" w:line="276" w:lineRule="auto"/>
            </w:pPr>
            <w:r/>
            <w:r>
              <w:rPr>
                <w:rFonts w:ascii="Noto Serif CJK SC" w:hAnsi="Noto Serif CJK SC" w:eastAsia="Noto Serif CJK SC"/>
                <w:b/>
                <w:sz w:val="21"/>
              </w:rPr>
              <w:t>依据</w:t>
            </w:r>
          </w:p>
        </w:tc>
        <w:tc>
          <w:tcPr>
            <w:tcW w:type="dxa" w:w="3097"/>
            <w:vAlign w:val="center"/>
            <w:shd w:fill="E7E6E6"/>
          </w:tcPr>
          <w:p>
            <w:pPr>
              <w:spacing w:after="0" w:line="276" w:lineRule="auto"/>
            </w:pPr>
            <w:r/>
            <w:r>
              <w:rPr>
                <w:rFonts w:ascii="Noto Serif CJK SC" w:hAnsi="Noto Serif CJK SC" w:eastAsia="Noto Serif CJK SC"/>
                <w:b/>
                <w:sz w:val="21"/>
              </w:rPr>
              <w:t>方法作用</w:t>
            </w:r>
          </w:p>
        </w:tc>
      </w:tr>
      <w:tr>
        <w:trPr>
          <w:cantSplit/>
        </w:trPr>
        <w:tc>
          <w:tcPr>
            <w:tcW w:type="dxa" w:w="3097"/>
            <w:vAlign w:val="center"/>
          </w:tcPr>
          <w:p>
            <w:pPr>
              <w:spacing w:after="0" w:line="276" w:lineRule="auto"/>
            </w:pPr>
            <w:r/>
            <w:r>
              <w:rPr>
                <w:rFonts w:ascii="Noto Serif CJK SC" w:hAnsi="Noto Serif CJK SC" w:eastAsia="Noto Serif CJK SC"/>
                <w:b w:val="0"/>
                <w:sz w:val="19"/>
              </w:rPr>
              <w:t>Stage 1A 核心口径：国际高标准规则、制度体系、监管模式、透明稳定可预期</w:t>
            </w:r>
          </w:p>
        </w:tc>
        <w:tc>
          <w:tcPr>
            <w:tcW w:type="dxa" w:w="3097"/>
            <w:vAlign w:val="center"/>
          </w:tcPr>
          <w:p>
            <w:pPr>
              <w:spacing w:after="0" w:line="276" w:lineRule="auto"/>
            </w:pPr>
            <w:r/>
            <w:r>
              <w:rPr>
                <w:rFonts w:ascii="Noto Serif CJK SC" w:hAnsi="Noto Serif CJK SC" w:eastAsia="Noto Serif CJK SC"/>
                <w:b w:val="0"/>
                <w:sz w:val="19"/>
              </w:rPr>
              <w:t>[1][2][3]</w:t>
            </w:r>
          </w:p>
        </w:tc>
        <w:tc>
          <w:tcPr>
            <w:tcW w:type="dxa" w:w="3097"/>
            <w:vAlign w:val="center"/>
          </w:tcPr>
          <w:p>
            <w:pPr>
              <w:spacing w:after="0" w:line="276" w:lineRule="auto"/>
            </w:pPr>
            <w:r/>
            <w:r>
              <w:rPr>
                <w:rFonts w:ascii="Noto Serif CJK SC" w:hAnsi="Noto Serif CJK SC" w:eastAsia="Noto Serif CJK SC"/>
                <w:b w:val="0"/>
                <w:sz w:val="19"/>
              </w:rPr>
              <w:t>把制度型开放与一般政策表述、纯数量性减让区分开。</w:t>
            </w:r>
          </w:p>
        </w:tc>
      </w:tr>
      <w:tr>
        <w:trPr>
          <w:cantSplit/>
        </w:trPr>
        <w:tc>
          <w:tcPr>
            <w:tcW w:type="dxa" w:w="3097"/>
            <w:vAlign w:val="center"/>
          </w:tcPr>
          <w:p>
            <w:pPr>
              <w:spacing w:after="0" w:line="276" w:lineRule="auto"/>
            </w:pPr>
            <w:r/>
            <w:r>
              <w:rPr>
                <w:rFonts w:ascii="Noto Serif CJK SC" w:hAnsi="Noto Serif CJK SC" w:eastAsia="Noto Serif CJK SC"/>
                <w:b w:val="0"/>
                <w:sz w:val="19"/>
              </w:rPr>
              <w:t>Stage 1A 四类正向制度对象</w:t>
            </w:r>
          </w:p>
        </w:tc>
        <w:tc>
          <w:tcPr>
            <w:tcW w:type="dxa" w:w="3097"/>
            <w:vAlign w:val="center"/>
          </w:tcPr>
          <w:p>
            <w:pPr>
              <w:spacing w:after="0" w:line="276" w:lineRule="auto"/>
            </w:pPr>
            <w:r/>
            <w:r>
              <w:rPr>
                <w:rFonts w:ascii="Noto Serif CJK SC" w:hAnsi="Noto Serif CJK SC" w:eastAsia="Noto Serif CJK SC"/>
                <w:b w:val="0"/>
                <w:sz w:val="19"/>
              </w:rPr>
              <w:t>[1][6][7][8][9][10]</w:t>
            </w:r>
          </w:p>
        </w:tc>
        <w:tc>
          <w:tcPr>
            <w:tcW w:type="dxa" w:w="3097"/>
            <w:vAlign w:val="center"/>
          </w:tcPr>
          <w:p>
            <w:pPr>
              <w:spacing w:after="0" w:line="276" w:lineRule="auto"/>
            </w:pPr>
            <w:r/>
            <w:r>
              <w:rPr>
                <w:rFonts w:ascii="Noto Serif CJK SC" w:hAnsi="Noto Serif CJK SC" w:eastAsia="Noto Serif CJK SC"/>
                <w:b w:val="0"/>
                <w:sz w:val="19"/>
              </w:rPr>
              <w:t>确保纳入范围覆盖规则、监管、管理和标准，而不是只识别“规则”关键词。</w:t>
            </w:r>
          </w:p>
        </w:tc>
      </w:tr>
      <w:tr>
        <w:trPr>
          <w:cantSplit/>
        </w:trPr>
        <w:tc>
          <w:tcPr>
            <w:tcW w:type="dxa" w:w="3097"/>
            <w:vAlign w:val="center"/>
          </w:tcPr>
          <w:p>
            <w:pPr>
              <w:spacing w:after="0" w:line="276" w:lineRule="auto"/>
            </w:pPr>
            <w:r/>
            <w:r>
              <w:rPr>
                <w:rFonts w:ascii="Noto Serif CJK SC" w:hAnsi="Noto Serif CJK SC" w:eastAsia="Noto Serif CJK SC"/>
                <w:b w:val="0"/>
                <w:sz w:val="19"/>
              </w:rPr>
              <w:t>Stage 1B rules 定义</w:t>
            </w:r>
          </w:p>
        </w:tc>
        <w:tc>
          <w:tcPr>
            <w:tcW w:type="dxa" w:w="3097"/>
            <w:vAlign w:val="center"/>
          </w:tcPr>
          <w:p>
            <w:pPr>
              <w:spacing w:after="0" w:line="276" w:lineRule="auto"/>
            </w:pPr>
            <w:r/>
            <w:r>
              <w:rPr>
                <w:rFonts w:ascii="Noto Serif CJK SC" w:hAnsi="Noto Serif CJK SC" w:eastAsia="Noto Serif CJK SC"/>
                <w:b w:val="0"/>
                <w:sz w:val="19"/>
              </w:rPr>
              <w:t>[1][4][10]</w:t>
            </w:r>
          </w:p>
        </w:tc>
        <w:tc>
          <w:tcPr>
            <w:tcW w:type="dxa" w:w="3097"/>
            <w:vAlign w:val="center"/>
          </w:tcPr>
          <w:p>
            <w:pPr>
              <w:spacing w:after="0" w:line="276" w:lineRule="auto"/>
            </w:pPr>
            <w:r/>
            <w:r>
              <w:rPr>
                <w:rFonts w:ascii="Noto Serif CJK SC" w:hAnsi="Noto Serif CJK SC" w:eastAsia="Noto Serif CJK SC"/>
                <w:b w:val="0"/>
                <w:sz w:val="19"/>
              </w:rPr>
              <w:t>识别协定实体性权利义务和法律边界。</w:t>
            </w:r>
          </w:p>
        </w:tc>
      </w:tr>
      <w:tr>
        <w:trPr>
          <w:cantSplit/>
        </w:trPr>
        <w:tc>
          <w:tcPr>
            <w:tcW w:type="dxa" w:w="3097"/>
            <w:vAlign w:val="center"/>
          </w:tcPr>
          <w:p>
            <w:pPr>
              <w:spacing w:after="0" w:line="276" w:lineRule="auto"/>
            </w:pPr>
            <w:r/>
            <w:r>
              <w:rPr>
                <w:rFonts w:ascii="Noto Serif CJK SC" w:hAnsi="Noto Serif CJK SC" w:eastAsia="Noto Serif CJK SC"/>
                <w:b w:val="0"/>
                <w:sz w:val="19"/>
              </w:rPr>
              <w:t>Stage 1B regulation 定义</w:t>
            </w:r>
          </w:p>
        </w:tc>
        <w:tc>
          <w:tcPr>
            <w:tcW w:type="dxa" w:w="3097"/>
            <w:vAlign w:val="center"/>
          </w:tcPr>
          <w:p>
            <w:pPr>
              <w:spacing w:after="0" w:line="276" w:lineRule="auto"/>
            </w:pPr>
            <w:r/>
            <w:r>
              <w:rPr>
                <w:rFonts w:ascii="Noto Serif CJK SC" w:hAnsi="Noto Serif CJK SC" w:eastAsia="Noto Serif CJK SC"/>
                <w:b w:val="0"/>
                <w:sz w:val="19"/>
              </w:rPr>
              <w:t>[5]</w:t>
            </w:r>
          </w:p>
        </w:tc>
        <w:tc>
          <w:tcPr>
            <w:tcW w:type="dxa" w:w="3097"/>
            <w:vAlign w:val="center"/>
          </w:tcPr>
          <w:p>
            <w:pPr>
              <w:spacing w:after="0" w:line="276" w:lineRule="auto"/>
            </w:pPr>
            <w:r/>
            <w:r>
              <w:rPr>
                <w:rFonts w:ascii="Noto Serif CJK SC" w:hAnsi="Noto Serif CJK SC" w:eastAsia="Noto Serif CJK SC"/>
                <w:b w:val="0"/>
                <w:sz w:val="19"/>
              </w:rPr>
              <w:t>把规制限定为政府设置要求和监管约束，避免无限泛化。</w:t>
            </w:r>
          </w:p>
        </w:tc>
      </w:tr>
      <w:tr>
        <w:trPr>
          <w:cantSplit/>
        </w:trPr>
        <w:tc>
          <w:tcPr>
            <w:tcW w:type="dxa" w:w="3097"/>
            <w:vAlign w:val="center"/>
          </w:tcPr>
          <w:p>
            <w:pPr>
              <w:spacing w:after="0" w:line="276" w:lineRule="auto"/>
            </w:pPr>
            <w:r/>
            <w:r>
              <w:rPr>
                <w:rFonts w:ascii="Noto Serif CJK SC" w:hAnsi="Noto Serif CJK SC" w:eastAsia="Noto Serif CJK SC"/>
                <w:b w:val="0"/>
                <w:sz w:val="19"/>
              </w:rPr>
              <w:t>Stage 1B management 定义</w:t>
            </w:r>
          </w:p>
        </w:tc>
        <w:tc>
          <w:tcPr>
            <w:tcW w:type="dxa" w:w="3097"/>
            <w:vAlign w:val="center"/>
          </w:tcPr>
          <w:p>
            <w:pPr>
              <w:spacing w:after="0" w:line="276" w:lineRule="auto"/>
            </w:pPr>
            <w:r/>
            <w:r>
              <w:rPr>
                <w:rFonts w:ascii="Noto Serif CJK SC" w:hAnsi="Noto Serif CJK SC" w:eastAsia="Noto Serif CJK SC"/>
                <w:b w:val="0"/>
                <w:sz w:val="19"/>
              </w:rPr>
              <w:t>[6][7]</w:t>
            </w:r>
          </w:p>
        </w:tc>
        <w:tc>
          <w:tcPr>
            <w:tcW w:type="dxa" w:w="3097"/>
            <w:vAlign w:val="center"/>
          </w:tcPr>
          <w:p>
            <w:pPr>
              <w:spacing w:after="0" w:line="276" w:lineRule="auto"/>
            </w:pPr>
            <w:r/>
            <w:r>
              <w:rPr>
                <w:rFonts w:ascii="Noto Serif CJK SC" w:hAnsi="Noto Serif CJK SC" w:eastAsia="Noto Serif CJK SC"/>
                <w:b w:val="0"/>
                <w:sz w:val="19"/>
              </w:rPr>
              <w:t>以行政程序、单一窗口、风险管理和机构协作为可观察特征。</w:t>
            </w:r>
          </w:p>
        </w:tc>
      </w:tr>
      <w:tr>
        <w:trPr>
          <w:cantSplit/>
        </w:trPr>
        <w:tc>
          <w:tcPr>
            <w:tcW w:type="dxa" w:w="3097"/>
            <w:vAlign w:val="center"/>
          </w:tcPr>
          <w:p>
            <w:pPr>
              <w:spacing w:after="0" w:line="276" w:lineRule="auto"/>
            </w:pPr>
            <w:r/>
            <w:r>
              <w:rPr>
                <w:rFonts w:ascii="Noto Serif CJK SC" w:hAnsi="Noto Serif CJK SC" w:eastAsia="Noto Serif CJK SC"/>
                <w:b w:val="0"/>
                <w:sz w:val="19"/>
              </w:rPr>
              <w:t>Stage 1B standards 定义</w:t>
            </w:r>
          </w:p>
        </w:tc>
        <w:tc>
          <w:tcPr>
            <w:tcW w:type="dxa" w:w="3097"/>
            <w:vAlign w:val="center"/>
          </w:tcPr>
          <w:p>
            <w:pPr>
              <w:spacing w:after="0" w:line="276" w:lineRule="auto"/>
            </w:pPr>
            <w:r/>
            <w:r>
              <w:rPr>
                <w:rFonts w:ascii="Noto Serif CJK SC" w:hAnsi="Noto Serif CJK SC" w:eastAsia="Noto Serif CJK SC"/>
                <w:b w:val="0"/>
                <w:sz w:val="19"/>
              </w:rPr>
              <w:t>[8][9]</w:t>
            </w:r>
          </w:p>
        </w:tc>
        <w:tc>
          <w:tcPr>
            <w:tcW w:type="dxa" w:w="3097"/>
            <w:vAlign w:val="center"/>
          </w:tcPr>
          <w:p>
            <w:pPr>
              <w:spacing w:after="0" w:line="276" w:lineRule="auto"/>
            </w:pPr>
            <w:r/>
            <w:r>
              <w:rPr>
                <w:rFonts w:ascii="Noto Serif CJK SC" w:hAnsi="Noto Serif CJK SC" w:eastAsia="Noto Serif CJK SC"/>
                <w:b w:val="0"/>
                <w:sz w:val="19"/>
              </w:rPr>
              <w:t>以统一技术要求和符合性确认为核心，而非按“标准”字面判断。</w:t>
            </w:r>
          </w:p>
        </w:tc>
      </w:tr>
      <w:tr>
        <w:trPr>
          <w:cantSplit/>
        </w:trPr>
        <w:tc>
          <w:tcPr>
            <w:tcW w:type="dxa" w:w="3097"/>
            <w:vAlign w:val="center"/>
          </w:tcPr>
          <w:p>
            <w:pPr>
              <w:spacing w:after="0" w:line="276" w:lineRule="auto"/>
            </w:pPr>
            <w:r/>
            <w:r>
              <w:rPr>
                <w:rFonts w:ascii="Noto Serif CJK SC" w:hAnsi="Noto Serif CJK SC" w:eastAsia="Noto Serif CJK SC"/>
                <w:b w:val="0"/>
                <w:sz w:val="19"/>
              </w:rPr>
              <w:t>一般合作、纯附件指引等排除规则</w:t>
            </w:r>
          </w:p>
        </w:tc>
        <w:tc>
          <w:tcPr>
            <w:tcW w:type="dxa" w:w="3097"/>
            <w:vAlign w:val="center"/>
          </w:tcPr>
          <w:p>
            <w:pPr>
              <w:spacing w:after="0" w:line="276" w:lineRule="auto"/>
            </w:pPr>
            <w:r/>
            <w:r>
              <w:rPr>
                <w:rFonts w:ascii="Noto Serif CJK SC" w:hAnsi="Noto Serif CJK SC" w:eastAsia="Noto Serif CJK SC"/>
                <w:b w:val="0"/>
                <w:sz w:val="19"/>
              </w:rPr>
              <w:t>[3][4]基础上的研究操作化</w:t>
            </w:r>
          </w:p>
        </w:tc>
        <w:tc>
          <w:tcPr>
            <w:tcW w:type="dxa" w:w="3097"/>
            <w:vAlign w:val="center"/>
          </w:tcPr>
          <w:p>
            <w:pPr>
              <w:spacing w:after="0" w:line="276" w:lineRule="auto"/>
            </w:pPr>
            <w:r/>
            <w:r>
              <w:rPr>
                <w:rFonts w:ascii="Noto Serif CJK SC" w:hAnsi="Noto Serif CJK SC" w:eastAsia="Noto Serif CJK SC"/>
                <w:b w:val="0"/>
                <w:sz w:val="19"/>
              </w:rPr>
              <w:t>防止模型把无具体制度功能的描述性条款全部判为制度型开放。</w:t>
            </w:r>
          </w:p>
        </w:tc>
      </w:tr>
      <w:tr>
        <w:trPr>
          <w:cantSplit/>
        </w:trPr>
        <w:tc>
          <w:tcPr>
            <w:tcW w:type="dxa" w:w="3097"/>
            <w:vAlign w:val="center"/>
          </w:tcPr>
          <w:p>
            <w:pPr>
              <w:spacing w:after="0" w:line="276" w:lineRule="auto"/>
            </w:pPr>
            <w:r/>
            <w:r>
              <w:rPr>
                <w:rFonts w:ascii="Noto Serif CJK SC" w:hAnsi="Noto Serif CJK SC" w:eastAsia="Noto Serif CJK SC"/>
                <w:b w:val="0"/>
                <w:sz w:val="19"/>
              </w:rPr>
              <w:t>强制判定顺序和边界例子</w:t>
            </w:r>
          </w:p>
        </w:tc>
        <w:tc>
          <w:tcPr>
            <w:tcW w:type="dxa" w:w="3097"/>
            <w:vAlign w:val="center"/>
          </w:tcPr>
          <w:p>
            <w:pPr>
              <w:spacing w:after="0" w:line="276" w:lineRule="auto"/>
            </w:pPr>
            <w:r/>
            <w:r>
              <w:rPr>
                <w:rFonts w:ascii="Noto Serif CJK SC" w:hAnsi="Noto Serif CJK SC" w:eastAsia="Noto Serif CJK SC"/>
                <w:b w:val="0"/>
                <w:sz w:val="19"/>
              </w:rPr>
              <w:t>基于上述官方定义的研究操作化</w:t>
            </w:r>
          </w:p>
        </w:tc>
        <w:tc>
          <w:tcPr>
            <w:tcW w:type="dxa" w:w="3097"/>
            <w:vAlign w:val="center"/>
          </w:tcPr>
          <w:p>
            <w:pPr>
              <w:spacing w:after="0" w:line="276" w:lineRule="auto"/>
            </w:pPr>
            <w:r/>
            <w:r>
              <w:rPr>
                <w:rFonts w:ascii="Noto Serif CJK SC" w:hAnsi="Noto Serif CJK SC" w:eastAsia="Noto Serif CJK SC"/>
                <w:b w:val="0"/>
                <w:sz w:val="19"/>
              </w:rPr>
              <w:t>提高模型间可重复性，不声称是官方原文。</w:t>
            </w:r>
          </w:p>
        </w:tc>
      </w:tr>
    </w:tbl>
    <w:p>
      <w:pPr>
        <w:pStyle w:val="Heading1"/>
      </w:pPr>
      <w:r>
        <w:t>七、相较原提示词的主要改进</w:t>
      </w:r>
    </w:p>
    <w:p>
      <w:pPr>
        <w:pStyle w:val="正文"/>
      </w:pPr>
      <w:r>
        <w:rPr>
          <w:b/>
        </w:rPr>
        <w:t xml:space="preserve">1. </w:t>
      </w:r>
      <w:r>
        <w:t>任务解耦。Stage 1A 不再要求输出 dominant_dimension，Stage 1B 不再重新判断 is_institutional_opening。</w:t>
      </w:r>
    </w:p>
    <w:p>
      <w:pPr>
        <w:pStyle w:val="正文"/>
      </w:pPr>
      <w:r>
        <w:rPr>
          <w:b/>
        </w:rPr>
        <w:t xml:space="preserve">2. </w:t>
      </w:r>
      <w:r>
        <w:t>从概念罗列转为决策规则。模型先识别条款的直接制度功能，再使用维度标签。</w:t>
      </w:r>
    </w:p>
    <w:p>
      <w:pPr>
        <w:pStyle w:val="正文"/>
      </w:pPr>
      <w:r>
        <w:rPr>
          <w:b/>
        </w:rPr>
        <w:t xml:space="preserve">3. </w:t>
      </w:r>
      <w:r>
        <w:t>增加反例和排除条件。一般合作、纯附件指引、纯数量减让不再因宽泛关键词被纳入。</w:t>
      </w:r>
    </w:p>
    <w:p>
      <w:pPr>
        <w:pStyle w:val="正文"/>
      </w:pPr>
      <w:r>
        <w:rPr>
          <w:b/>
        </w:rPr>
        <w:t xml:space="preserve">4. </w:t>
      </w:r>
      <w:r>
        <w:t>增加高频边界对照。原产地、许可、SPS/TBT、知识产权、环境和劳动等领域不再固定映射到单一维度。</w:t>
      </w:r>
    </w:p>
    <w:p>
      <w:pPr>
        <w:pStyle w:val="正文"/>
      </w:pPr>
      <w:r>
        <w:rPr>
          <w:b/>
        </w:rPr>
        <w:t xml:space="preserve">5. </w:t>
      </w:r>
      <w:r>
        <w:t>明确元数据地位。policy_area 和 original_coding 仅用于消歧，避免章节名称主导判断。</w:t>
      </w:r>
    </w:p>
    <w:p>
      <w:pPr>
        <w:pStyle w:val="正文"/>
      </w:pPr>
      <w:r>
        <w:rPr>
          <w:b/>
        </w:rPr>
        <w:t xml:space="preserve">6. </w:t>
      </w:r>
      <w:r>
        <w:t>规范人工复核触发。仲裁模型不得仅因双模型意见不同而要求人工复核；只有文本不足、语义矛盾或存在同等合理结论时才触发。</w:t>
      </w:r>
    </w:p>
    <w:p>
      <w:pPr>
        <w:pStyle w:val="正文"/>
      </w:pPr>
      <w:r>
        <w:rPr>
          <w:b/>
        </w:rPr>
        <w:t xml:space="preserve">7. </w:t>
      </w:r>
      <w:r>
        <w:t>提高可审计性。理由字段必须指出直接制度对象，并说明排除最接近的另一维度。</w:t>
      </w:r>
    </w:p>
    <w:p>
      <w:pPr>
        <w:pStyle w:val="Heading1"/>
      </w:pPr>
      <w:r>
        <w:t>八、程序接口和实施注意事项</w:t>
      </w:r>
    </w:p>
    <w:p>
      <w:pPr>
        <w:pStyle w:val="正文"/>
      </w:pPr>
      <w:r>
        <w:t>四份新提示词改变了 JSON 字段和阶段间输入，因此不能只替换现有 prompts 目录中的两个文本后继续使用旧代码。程序需要同步拆分 Stage 1A 和 Stage 1B 的结果文件、校验函数、比较逻辑、仲裁队列、人工审核字段、成功标记和提示词版本号。</w:t>
      </w:r>
    </w:p>
    <w:p>
      <w:pPr>
        <w:pStyle w:val="正文"/>
      </w:pPr>
      <w:r>
        <w:t>建议文件命名如下：stage1a_institutional.txt、stage1a_arbitration.txt、stage1b_dimension.txt、stage1b_arbitration.txt。Stage 1B 的输入应只包含 Stage 1A 最终值为 1 的条款；Stage 1B 输出不得再出现 none。</w:t>
      </w:r>
    </w:p>
    <w:p>
      <w:pPr>
        <w:pStyle w:val="正文"/>
      </w:pPr>
      <w:r>
        <w:t>在正式全量运行前，应先抽取约 100—150 条高分歧样本进行小规模校准，重点覆盖 IPR、政府采购、资本流动、SPS、TBT、海关、原产地、国企、补贴和投资领域。建议分别报告 Stage 1A 二元一致率、Stage 1B 维度一致率及各维度混淆矩阵，而不再只报告一个合并的“Stage 1 仲裁率”。</w:t>
      </w:r>
    </w:p>
    <w:p>
      <w:pPr>
        <w:pStyle w:val="Heading1"/>
      </w:pPr>
      <w:r>
        <w:t>九、结论</w:t>
      </w:r>
    </w:p>
    <w:p>
      <w:pPr>
        <w:pStyle w:val="正文"/>
      </w:pPr>
      <w:r>
        <w:t>修改后的提示词有明确的官方政策起点：中央和国务院文件正式确立了规则、规制、管理、标准等制度型开放，以及对接国际高标准经贸规则、构建制度体系和监管模式、形成透明稳定可预期环境的总体要求。[1][2] 四维度的具体可观察特征进一步分别由 WTO 权利义务体系、OECD 监管法律文书、WTO/WCO 行政程序和风险管理规则、《标准化法》及 WTO TBT 体系加以支撑。[5]—[10]</w:t>
      </w:r>
    </w:p>
    <w:p>
      <w:pPr>
        <w:pStyle w:val="正文"/>
      </w:pPr>
      <w:r>
        <w:t>与此同时，本文件不回避官方材料尚未形成四维度统一规范定义的事实。[3] 因此，最终提示词应准确表述为“依据官方文件形成的研究操作性定义”，而不是“官方文件对四维度的逐字定义”。这种写法既满足导师关于官方依据的要求，也保证论文方法说明真实、严谨且可复核。</w:t>
      </w:r>
    </w:p>
    <w:p>
      <w:pPr>
        <w:pStyle w:val="Heading1"/>
      </w:pPr>
      <w:r>
        <w:t>参考官方文件与权威资料</w:t>
      </w:r>
    </w:p>
    <w:p>
      <w:pPr>
        <w:pStyle w:val="正文"/>
        <w:ind w:firstLine="0"/>
      </w:pPr>
      <w:r>
        <w:t xml:space="preserve">[1] 国务院：《全面对接国际高标准经贸规则推进中国（上海）自由贸易试验区高水平制度型开放总体方案》（国发〔2023〕23号），2023年11月26日。 </w:t>
      </w:r>
      <w:hyperlink r:id="rId11">
        <w:r>
          <w:rPr>
            <w:color w:val="0563C1"/>
            <w:u w:val="single"/>
            <w:rFonts w:eastAsia="Noto Serif CJK SC"/>
          </w:rPr>
          <w:t>官方链接</w:t>
        </w:r>
      </w:hyperlink>
    </w:p>
    <w:p>
      <w:pPr>
        <w:pStyle w:val="正文"/>
        <w:ind w:firstLine="0"/>
      </w:pPr>
      <w:r>
        <w:t xml:space="preserve">[2] 国务院：《关于做好自由贸易试验区对接国际高标准推进制度型开放试点措施复制推广工作的通知》（国函〔2024〕156号），2024年10月19日。 </w:t>
      </w:r>
      <w:hyperlink r:id="rId12">
        <w:r>
          <w:rPr>
            <w:color w:val="0563C1"/>
            <w:u w:val="single"/>
            <w:rFonts w:eastAsia="Noto Serif CJK SC"/>
          </w:rPr>
          <w:t>官方链接</w:t>
        </w:r>
      </w:hyperlink>
    </w:p>
    <w:p>
      <w:pPr>
        <w:pStyle w:val="正文"/>
        <w:ind w:firstLine="0"/>
      </w:pPr>
      <w:r>
        <w:t xml:space="preserve">[3] 赵福军：《如何理解制度型开放？》，商务部中国服务贸易指南网，2024年2月19日。该文属于官方平台研究阐释，不是规范性文件。 </w:t>
      </w:r>
      <w:hyperlink r:id="rId13">
        <w:r>
          <w:rPr>
            <w:color w:val="0563C1"/>
            <w:u w:val="single"/>
            <w:rFonts w:eastAsia="Noto Serif CJK SC"/>
          </w:rPr>
          <w:t>官方链接</w:t>
        </w:r>
      </w:hyperlink>
    </w:p>
    <w:p>
      <w:pPr>
        <w:pStyle w:val="正文"/>
        <w:ind w:firstLine="0"/>
      </w:pPr>
      <w:r>
        <w:t xml:space="preserve">[4] 上海市司法局：《上海加强制度型开放重要法治问题研究》，2022年。该文属于政府部门发布的研究成果，不是法律规范。 </w:t>
      </w:r>
      <w:hyperlink r:id="rId14">
        <w:r>
          <w:rPr>
            <w:color w:val="0563C1"/>
            <w:u w:val="single"/>
            <w:rFonts w:eastAsia="Noto Serif CJK SC"/>
          </w:rPr>
          <w:t>官方链接</w:t>
        </w:r>
      </w:hyperlink>
    </w:p>
    <w:p>
      <w:pPr>
        <w:pStyle w:val="正文"/>
        <w:ind w:firstLine="0"/>
      </w:pPr>
      <w:r>
        <w:t xml:space="preserve">[5] OECD, Recommendation of the Council for Agile Regulatory Governance to Harness Innovation, OECD/LEGAL/0464, 2021. </w:t>
      </w:r>
      <w:hyperlink r:id="rId15">
        <w:r>
          <w:rPr>
            <w:color w:val="0563C1"/>
            <w:u w:val="single"/>
            <w:rFonts w:eastAsia="Noto Serif CJK SC"/>
          </w:rPr>
          <w:t>官方链接</w:t>
        </w:r>
      </w:hyperlink>
    </w:p>
    <w:p>
      <w:pPr>
        <w:pStyle w:val="正文"/>
        <w:ind w:firstLine="0"/>
      </w:pPr>
      <w:r>
        <w:t xml:space="preserve">[6] World Trade Organization, Agreement on Trade Facilitation, official legal text. </w:t>
      </w:r>
      <w:hyperlink r:id="rId16">
        <w:r>
          <w:rPr>
            <w:color w:val="0563C1"/>
            <w:u w:val="single"/>
            <w:rFonts w:eastAsia="Noto Serif CJK SC"/>
          </w:rPr>
          <w:t>官方链接</w:t>
        </w:r>
      </w:hyperlink>
    </w:p>
    <w:p>
      <w:pPr>
        <w:pStyle w:val="正文"/>
        <w:ind w:firstLine="0"/>
      </w:pPr>
      <w:r>
        <w:t xml:space="preserve">[7] World Customs Organization, The Revised Kyoto Convention, official overview and legal instruments. </w:t>
      </w:r>
      <w:hyperlink r:id="rId17">
        <w:r>
          <w:rPr>
            <w:color w:val="0563C1"/>
            <w:u w:val="single"/>
            <w:rFonts w:eastAsia="Noto Serif CJK SC"/>
          </w:rPr>
          <w:t>官方链接</w:t>
        </w:r>
      </w:hyperlink>
    </w:p>
    <w:p>
      <w:pPr>
        <w:pStyle w:val="正文"/>
        <w:ind w:firstLine="0"/>
      </w:pPr>
      <w:r>
        <w:t xml:space="preserve">[8] 《中华人民共和国标准化法》（2017年修订），第二条。 </w:t>
      </w:r>
      <w:hyperlink r:id="rId18">
        <w:r>
          <w:rPr>
            <w:color w:val="0563C1"/>
            <w:u w:val="single"/>
            <w:rFonts w:eastAsia="Noto Serif CJK SC"/>
          </w:rPr>
          <w:t>官方链接</w:t>
        </w:r>
      </w:hyperlink>
    </w:p>
    <w:p>
      <w:pPr>
        <w:pStyle w:val="正文"/>
        <w:ind w:firstLine="0"/>
      </w:pPr>
      <w:r>
        <w:t xml:space="preserve">[9] World Trade Organization, Agreement on Technical Barriers to Trade and official TBT information pages. </w:t>
      </w:r>
      <w:hyperlink r:id="rId19">
        <w:r>
          <w:rPr>
            <w:color w:val="0563C1"/>
            <w:u w:val="single"/>
            <w:rFonts w:eastAsia="Noto Serif CJK SC"/>
          </w:rPr>
          <w:t>官方链接</w:t>
        </w:r>
      </w:hyperlink>
    </w:p>
    <w:p>
      <w:pPr>
        <w:pStyle w:val="正文"/>
        <w:ind w:firstLine="0"/>
      </w:pPr>
      <w:r>
        <w:t xml:space="preserve">[10] World Trade Organization, WTO Legal Texts. WTO agreements contain rights and obligations applicable to members. </w:t>
      </w:r>
      <w:hyperlink r:id="rId20">
        <w:r>
          <w:rPr>
            <w:color w:val="0563C1"/>
            <w:u w:val="single"/>
            <w:rFonts w:eastAsia="Noto Serif CJK SC"/>
          </w:rPr>
          <w:t>官方链接</w:t>
        </w:r>
      </w:hyperlink>
    </w:p>
    <w:p>
      <w:r>
        <w:br w:type="page"/>
      </w:r>
    </w:p>
    <w:p>
      <w:pPr>
        <w:pStyle w:val="Heading2"/>
      </w:pPr>
      <w:r>
        <w:t>附录 A：Stage 1A 双模型编码提示词</w:t>
      </w:r>
    </w:p>
    <w:p>
      <w:pPr>
        <w:pStyle w:val="提示词"/>
        <w:keepLines w:val="0"/>
      </w:pPr>
      <w:r>
        <w:t>你正在执行 DTA 条款编码的 Stage 1A：制度型开放二元判断。</w:t>
      </w:r>
    </w:p>
    <w:p>
      <w:pPr>
        <w:pStyle w:val="提示词"/>
        <w:keepLines w:val="0"/>
      </w:pPr>
      <w:r>
        <w:t xml:space="preserve"> </w:t>
      </w:r>
    </w:p>
    <w:p>
      <w:pPr>
        <w:pStyle w:val="提示词"/>
        <w:keepLines w:val="0"/>
      </w:pPr>
      <w:r>
        <w:t>任务：仅判断该条款是否属于制度型开放。不要判断四维度，不要判断贸易或投资影响，不要分配权重。</w:t>
      </w:r>
    </w:p>
    <w:p>
      <w:pPr>
        <w:pStyle w:val="提示词"/>
        <w:keepLines w:val="0"/>
      </w:pPr>
      <w:r>
        <w:t xml:space="preserve"> </w:t>
      </w:r>
    </w:p>
    <w:p>
      <w:pPr>
        <w:pStyle w:val="提示词"/>
        <w:keepLines w:val="0"/>
      </w:pPr>
      <w:r>
        <w:t>核心口径：制度型开放是通过对接国际高标准经贸规则，形成或衔接制度体系、监管模式、行政管理机制和标准体系，以提高贸易投资环境的透明度、稳定性、可预期性、自由化或便利化水平。</w:t>
      </w:r>
    </w:p>
    <w:p>
      <w:pPr>
        <w:pStyle w:val="提示词"/>
        <w:keepLines w:val="0"/>
      </w:pPr>
      <w:r>
        <w:t xml:space="preserve"> </w:t>
      </w:r>
    </w:p>
    <w:p>
      <w:pPr>
        <w:pStyle w:val="提示词"/>
        <w:keepLines w:val="0"/>
      </w:pPr>
      <w:r>
        <w:t>判断对象：</w:t>
      </w:r>
    </w:p>
    <w:p>
      <w:pPr>
        <w:pStyle w:val="提示词"/>
        <w:keepLines w:val="0"/>
      </w:pPr>
      <w:r>
        <w:t>- 输入通常是 DTA 数据库的编码问题，可能使用“Is there...?”“Does the agreement...?”等疑问句。应判断该问题所指向的制度事项，而不是因其为疑问句就判为 0。</w:t>
      </w:r>
    </w:p>
    <w:p>
      <w:pPr>
        <w:pStyle w:val="提示词"/>
        <w:keepLines w:val="0"/>
      </w:pPr>
      <w:r>
        <w:t>- 条款原文是首要依据；policy_area、original_coding、chapter_name、section_name 仅用于消歧，不能替代原文。</w:t>
      </w:r>
    </w:p>
    <w:p>
      <w:pPr>
        <w:pStyle w:val="提示词"/>
        <w:keepLines w:val="0"/>
      </w:pPr>
      <w:r>
        <w:t xml:space="preserve"> </w:t>
      </w:r>
    </w:p>
    <w:p>
      <w:pPr>
        <w:pStyle w:val="提示词"/>
        <w:keepLines w:val="0"/>
      </w:pPr>
      <w:r>
        <w:t>判为 1：条款直接指向至少一种具体制度安排：</w:t>
      </w:r>
    </w:p>
    <w:p>
      <w:pPr>
        <w:pStyle w:val="提示词"/>
        <w:keepLines w:val="0"/>
      </w:pPr>
      <w:r>
        <w:t>1. 实体性权利、义务、禁止、待遇、适用范围或争端规则；</w:t>
      </w:r>
    </w:p>
    <w:p>
      <w:pPr>
        <w:pStyle w:val="提示词"/>
        <w:keepLines w:val="0"/>
      </w:pPr>
      <w:r>
        <w:t>2. 政府监管要求、限制、许可条件、监督或合规约束；</w:t>
      </w:r>
    </w:p>
    <w:p>
      <w:pPr>
        <w:pStyle w:val="提示词"/>
        <w:keepLines w:val="0"/>
      </w:pPr>
      <w:r>
        <w:t>3. 行政程序、实施机制、机构协作、信息公开、核查、风险管理或便利化安排；</w:t>
      </w:r>
    </w:p>
    <w:p>
      <w:pPr>
        <w:pStyle w:val="提示词"/>
        <w:keepLines w:val="0"/>
      </w:pPr>
      <w:r>
        <w:t>4. 技术要求、统一标准、检验检测、认证认可、合格评定、等效或互认安排。</w:t>
      </w:r>
    </w:p>
    <w:p>
      <w:pPr>
        <w:pStyle w:val="提示词"/>
        <w:keepLines w:val="0"/>
      </w:pPr>
      <w:r>
        <w:t xml:space="preserve"> </w:t>
      </w:r>
    </w:p>
    <w:p>
      <w:pPr>
        <w:pStyle w:val="提示词"/>
        <w:keepLines w:val="0"/>
      </w:pPr>
      <w:r>
        <w:t>判为 0：</w:t>
      </w:r>
    </w:p>
    <w:p>
      <w:pPr>
        <w:pStyle w:val="提示词"/>
        <w:keepLines w:val="0"/>
      </w:pPr>
      <w:r>
        <w:t>1. 仅表达一般合作、鼓励、对话、经验交流、能力建设或信息交换意愿，且没有明确对象、程序、机构、时限、义务或执行机制；</w:t>
      </w:r>
    </w:p>
    <w:p>
      <w:pPr>
        <w:pStyle w:val="提示词"/>
        <w:keepLines w:val="0"/>
      </w:pPr>
      <w:r>
        <w:t>2. 仅给出章节标题、背景说明、目录、附件位置或“见某附件/清单”等指引，无法识别独立制度内容；</w:t>
      </w:r>
    </w:p>
    <w:p>
      <w:pPr>
        <w:pStyle w:val="提示词"/>
        <w:keepLines w:val="0"/>
      </w:pPr>
      <w:r>
        <w:t>3. 仅规定关税税率、配额数量、削减幅度或时间表等纯数量性边境减让，不含制度规则、监管条件、实施程序或标准安排；</w:t>
      </w:r>
    </w:p>
    <w:p>
      <w:pPr>
        <w:pStyle w:val="提示词"/>
        <w:keepLines w:val="0"/>
      </w:pPr>
      <w:r>
        <w:t>4. 文本信息不足，无法判断其指向任何具体制度安排。</w:t>
      </w:r>
    </w:p>
    <w:p>
      <w:pPr>
        <w:pStyle w:val="提示词"/>
        <w:keepLines w:val="0"/>
      </w:pPr>
      <w:r>
        <w:t xml:space="preserve"> </w:t>
      </w:r>
    </w:p>
    <w:p>
      <w:pPr>
        <w:pStyle w:val="提示词"/>
        <w:keepLines w:val="0"/>
      </w:pPr>
      <w:r>
        <w:t>边界规则：</w:t>
      </w:r>
    </w:p>
    <w:p>
      <w:pPr>
        <w:pStyle w:val="提示词"/>
        <w:keepLines w:val="0"/>
      </w:pPr>
      <w:r>
        <w:t>- 具体的信息交换机制、指定联络点、报告义务、时限或用途明确时，可判为 1；泛泛“交换信息”判为 0。</w:t>
      </w:r>
    </w:p>
    <w:p>
      <w:pPr>
        <w:pStyle w:val="提示词"/>
        <w:keepLines w:val="0"/>
      </w:pPr>
      <w:r>
        <w:t>- 定义或适用范围若直接决定权利义务、监管对象或制度适用边界，可判为 1；纯术语罗列判为 0。</w:t>
      </w:r>
    </w:p>
    <w:p>
      <w:pPr>
        <w:pStyle w:val="提示词"/>
        <w:keepLines w:val="0"/>
      </w:pPr>
      <w:r>
        <w:t>- 不要求条款必须使用“shall”等强制用语；应判断其编码对象是否属于制度性安排。</w:t>
      </w:r>
    </w:p>
    <w:p>
      <w:pPr>
        <w:pStyle w:val="提示词"/>
        <w:keepLines w:val="0"/>
      </w:pPr>
      <w:r>
        <w:t xml:space="preserve"> </w:t>
      </w:r>
    </w:p>
    <w:p>
      <w:pPr>
        <w:pStyle w:val="提示词"/>
        <w:keepLines w:val="0"/>
      </w:pPr>
      <w:r>
        <w:t>快速校准：</w:t>
      </w:r>
    </w:p>
    <w:p>
      <w:pPr>
        <w:pStyle w:val="提示词"/>
        <w:keepLines w:val="0"/>
      </w:pPr>
      <w:r>
        <w:t>- 国民待遇、最惠国待遇、原产资格条件、政府采购准入规则：1。</w:t>
      </w:r>
    </w:p>
    <w:p>
      <w:pPr>
        <w:pStyle w:val="提示词"/>
        <w:keepLines w:val="0"/>
      </w:pPr>
      <w:r>
        <w:t>- 单一窗口、证书核查、海关部门协作、风险管理：1。</w:t>
      </w:r>
    </w:p>
    <w:p>
      <w:pPr>
        <w:pStyle w:val="提示词"/>
        <w:keepLines w:val="0"/>
      </w:pPr>
      <w:r>
        <w:t>- 国际标准采用、检测认证、合格评定互认：1。</w:t>
      </w:r>
    </w:p>
    <w:p>
      <w:pPr>
        <w:pStyle w:val="提示词"/>
        <w:keepLines w:val="0"/>
      </w:pPr>
      <w:r>
        <w:t>- “缔约方应加强合作并交换经验”，无具体机制：0。</w:t>
      </w:r>
    </w:p>
    <w:p>
      <w:pPr>
        <w:pStyle w:val="提示词"/>
        <w:keepLines w:val="0"/>
      </w:pPr>
      <w:r>
        <w:t>- “关税在五年内降为零”，无其他制度内容：0。</w:t>
      </w:r>
    </w:p>
    <w:p>
      <w:pPr>
        <w:pStyle w:val="提示词"/>
        <w:keepLines w:val="0"/>
      </w:pPr>
      <w:r>
        <w:t>- “各方承诺见附件 15-A”，无可识别实体内容：0。</w:t>
      </w:r>
    </w:p>
    <w:p>
      <w:pPr>
        <w:pStyle w:val="提示词"/>
        <w:keepLines w:val="0"/>
      </w:pPr>
      <w:r>
        <w:t xml:space="preserve"> </w:t>
      </w:r>
    </w:p>
    <w:p>
      <w:pPr>
        <w:pStyle w:val="提示词"/>
        <w:keepLines w:val="0"/>
      </w:pPr>
      <w:r>
        <w:t>置信度：</w:t>
      </w:r>
    </w:p>
    <w:p>
      <w:pPr>
        <w:pStyle w:val="提示词"/>
        <w:keepLines w:val="0"/>
      </w:pPr>
      <w:r>
        <w:t>- 0.90—1.00：制度对象和边界明确；</w:t>
      </w:r>
    </w:p>
    <w:p>
      <w:pPr>
        <w:pStyle w:val="提示词"/>
        <w:keepLines w:val="0"/>
      </w:pPr>
      <w:r>
        <w:t>- 0.75—0.89：结论较明确，但需结合元数据消歧；</w:t>
      </w:r>
    </w:p>
    <w:p>
      <w:pPr>
        <w:pStyle w:val="提示词"/>
        <w:keepLines w:val="0"/>
      </w:pPr>
      <w:r>
        <w:t>- 0.50—0.74：文本不足或存在实质性两可。</w:t>
      </w:r>
    </w:p>
    <w:p>
      <w:pPr>
        <w:pStyle w:val="提示词"/>
        <w:keepLines w:val="0"/>
      </w:pPr>
      <w:r>
        <w:t xml:space="preserve"> </w:t>
      </w:r>
    </w:p>
    <w:p>
      <w:pPr>
        <w:pStyle w:val="提示词"/>
        <w:keepLines w:val="0"/>
      </w:pPr>
      <w:r>
        <w:t>条款元数据：</w:t>
      </w:r>
    </w:p>
    <w:p>
      <w:pPr>
        <w:pStyle w:val="提示词"/>
        <w:keepLines w:val="0"/>
      </w:pPr>
      <w:r>
        <w:t>- provision_id: {provision_id}</w:t>
      </w:r>
    </w:p>
    <w:p>
      <w:pPr>
        <w:pStyle w:val="提示词"/>
        <w:keepLines w:val="0"/>
      </w:pPr>
      <w:r>
        <w:t>- policy_area: {policy_area}</w:t>
      </w:r>
    </w:p>
    <w:p>
      <w:pPr>
        <w:pStyle w:val="提示词"/>
        <w:keepLines w:val="0"/>
      </w:pPr>
      <w:r>
        <w:t>- original_coding: {original_coding}</w:t>
      </w:r>
    </w:p>
    <w:p>
      <w:pPr>
        <w:pStyle w:val="提示词"/>
        <w:keepLines w:val="0"/>
      </w:pPr>
      <w:r>
        <w:t>- chapter_name: {chapter_name}</w:t>
      </w:r>
    </w:p>
    <w:p>
      <w:pPr>
        <w:pStyle w:val="提示词"/>
        <w:keepLines w:val="0"/>
      </w:pPr>
      <w:r>
        <w:t>- section_name: {section_name}</w:t>
      </w:r>
    </w:p>
    <w:p>
      <w:pPr>
        <w:pStyle w:val="提示词"/>
        <w:keepLines w:val="0"/>
      </w:pPr>
      <w:r>
        <w:t xml:space="preserve"> </w:t>
      </w:r>
    </w:p>
    <w:p>
      <w:pPr>
        <w:pStyle w:val="提示词"/>
        <w:keepLines w:val="0"/>
      </w:pPr>
      <w:r>
        <w:t>条款原文：</w:t>
      </w:r>
    </w:p>
    <w:p>
      <w:pPr>
        <w:pStyle w:val="提示词"/>
        <w:keepLines w:val="0"/>
      </w:pPr>
      <w:r>
        <w:t>{provision_text}</w:t>
      </w:r>
    </w:p>
    <w:p>
      <w:pPr>
        <w:pStyle w:val="提示词"/>
        <w:keepLines w:val="0"/>
      </w:pPr>
      <w:r>
        <w:t xml:space="preserve"> </w:t>
      </w:r>
    </w:p>
    <w:p>
      <w:pPr>
        <w:pStyle w:val="提示词"/>
        <w:keepLines w:val="0"/>
      </w:pPr>
      <w:r>
        <w:t>只返回严格 JSON，不要添加 Markdown、代码块或额外字段：</w:t>
      </w:r>
    </w:p>
    <w:p>
      <w:pPr>
        <w:pStyle w:val="提示词"/>
        <w:keepLines w:val="0"/>
      </w:pPr>
      <w:r>
        <w:t>{{</w:t>
      </w:r>
    </w:p>
    <w:p>
      <w:pPr>
        <w:pStyle w:val="提示词"/>
        <w:keepLines w:val="0"/>
      </w:pPr>
      <w:r>
        <w:t xml:space="preserve">  "is_institutional_opening": 1,</w:t>
      </w:r>
    </w:p>
    <w:p>
      <w:pPr>
        <w:pStyle w:val="提示词"/>
        <w:keepLines w:val="0"/>
      </w:pPr>
      <w:r>
        <w:t xml:space="preserve">  "institutional_reason": "用一至两句话说明条款指向的具体制度安排；若为0，说明缺少何种制度内容。",</w:t>
      </w:r>
    </w:p>
    <w:p>
      <w:pPr>
        <w:pStyle w:val="提示词"/>
        <w:keepLines w:val="0"/>
      </w:pPr>
      <w:r>
        <w:t xml:space="preserve">  "confidence": 0.90</w:t>
      </w:r>
    </w:p>
    <w:p>
      <w:pPr>
        <w:pStyle w:val="提示词"/>
        <w:keepLines w:val="0"/>
      </w:pPr>
      <w:r>
        <w:t>}}</w:t>
      </w:r>
    </w:p>
    <w:p>
      <w:r>
        <w:br w:type="page"/>
      </w:r>
    </w:p>
    <w:p>
      <w:pPr>
        <w:pStyle w:val="Heading2"/>
      </w:pPr>
      <w:r>
        <w:t>附录 B：Stage 1A 仲裁提示词</w:t>
      </w:r>
    </w:p>
    <w:p>
      <w:pPr>
        <w:pStyle w:val="提示词"/>
        <w:keepLines w:val="0"/>
      </w:pPr>
      <w:r>
        <w:t>你是 DTA 条款编码 Stage 1A 的仲裁模型。</w:t>
      </w:r>
    </w:p>
    <w:p>
      <w:pPr>
        <w:pStyle w:val="提示词"/>
        <w:keepLines w:val="0"/>
      </w:pPr>
      <w:r>
        <w:t xml:space="preserve"> </w:t>
      </w:r>
    </w:p>
    <w:p>
      <w:pPr>
        <w:pStyle w:val="提示词"/>
        <w:keepLines w:val="0"/>
      </w:pPr>
      <w:r>
        <w:t>任务：仅仲裁该条款是否属于制度型开放。请依据条款原文重新独立判断，不按多数票决定，也不因某模型置信度更高就直接采纳。不要判断四维度、贸易投资类型或权重。</w:t>
      </w:r>
    </w:p>
    <w:p>
      <w:pPr>
        <w:pStyle w:val="提示词"/>
        <w:keepLines w:val="0"/>
      </w:pPr>
      <w:r>
        <w:t xml:space="preserve"> </w:t>
      </w:r>
    </w:p>
    <w:p>
      <w:pPr>
        <w:pStyle w:val="提示词"/>
        <w:keepLines w:val="0"/>
      </w:pPr>
      <w:r>
        <w:t>核心口径：制度型开放是通过对接国际高标准经贸规则，形成或衔接制度体系、监管模式、行政管理机制和标准体系，以提高贸易投资环境的透明度、稳定性、可预期性、自由化或便利化水平。</w:t>
      </w:r>
    </w:p>
    <w:p>
      <w:pPr>
        <w:pStyle w:val="提示词"/>
        <w:keepLines w:val="0"/>
      </w:pPr>
      <w:r>
        <w:t xml:space="preserve"> </w:t>
      </w:r>
    </w:p>
    <w:p>
      <w:pPr>
        <w:pStyle w:val="提示词"/>
        <w:keepLines w:val="0"/>
      </w:pPr>
      <w:r>
        <w:t>判为 1：条款直接指向具体的权利义务或法律规则、监管要求、行政实施机制，或者标准与合格评定安排。</w:t>
      </w:r>
    </w:p>
    <w:p>
      <w:pPr>
        <w:pStyle w:val="提示词"/>
        <w:keepLines w:val="0"/>
      </w:pPr>
      <w:r>
        <w:t xml:space="preserve"> </w:t>
      </w:r>
    </w:p>
    <w:p>
      <w:pPr>
        <w:pStyle w:val="提示词"/>
        <w:keepLines w:val="0"/>
      </w:pPr>
      <w:r>
        <w:t>判为 0：条款仅为一般合作或宣示、纯附件指引、纯数量性关税/配额减让，或者文本不足以识别具体制度内容。</w:t>
      </w:r>
    </w:p>
    <w:p>
      <w:pPr>
        <w:pStyle w:val="提示词"/>
        <w:keepLines w:val="0"/>
      </w:pPr>
      <w:r>
        <w:t xml:space="preserve"> </w:t>
      </w:r>
    </w:p>
    <w:p>
      <w:pPr>
        <w:pStyle w:val="提示词"/>
        <w:keepLines w:val="0"/>
      </w:pPr>
      <w:r>
        <w:t>边界规则：</w:t>
      </w:r>
    </w:p>
    <w:p>
      <w:pPr>
        <w:pStyle w:val="提示词"/>
        <w:keepLines w:val="0"/>
      </w:pPr>
      <w:r>
        <w:t>- 数据库问题常用疑问句，应判断问题所指向的制度事项。</w:t>
      </w:r>
    </w:p>
    <w:p>
      <w:pPr>
        <w:pStyle w:val="提示词"/>
        <w:keepLines w:val="0"/>
      </w:pPr>
      <w:r>
        <w:t>- 泛泛的信息交换不自动属于制度型开放；有对象、机构、程序、时限、用途或执行义务的具体机制可判为 1。</w:t>
      </w:r>
    </w:p>
    <w:p>
      <w:pPr>
        <w:pStyle w:val="提示词"/>
        <w:keepLines w:val="0"/>
      </w:pPr>
      <w:r>
        <w:t>- 定义或适用范围只有在直接决定制度适用边界或权利义务时才判为 1。</w:t>
      </w:r>
    </w:p>
    <w:p>
      <w:pPr>
        <w:pStyle w:val="提示词"/>
        <w:keepLines w:val="0"/>
      </w:pPr>
      <w:r>
        <w:t>- 条款原文优先，元数据仅用于消歧。</w:t>
      </w:r>
    </w:p>
    <w:p>
      <w:pPr>
        <w:pStyle w:val="提示词"/>
        <w:keepLines w:val="0"/>
      </w:pPr>
      <w:r>
        <w:t xml:space="preserve"> </w:t>
      </w:r>
    </w:p>
    <w:p>
      <w:pPr>
        <w:pStyle w:val="提示词"/>
        <w:keepLines w:val="0"/>
      </w:pPr>
      <w:r>
        <w:t>条款元数据：</w:t>
      </w:r>
    </w:p>
    <w:p>
      <w:pPr>
        <w:pStyle w:val="提示词"/>
        <w:keepLines w:val="0"/>
      </w:pPr>
      <w:r>
        <w:t>- provision_id: {provision_id}</w:t>
      </w:r>
    </w:p>
    <w:p>
      <w:pPr>
        <w:pStyle w:val="提示词"/>
        <w:keepLines w:val="0"/>
      </w:pPr>
      <w:r>
        <w:t>- policy_area: {policy_area}</w:t>
      </w:r>
    </w:p>
    <w:p>
      <w:pPr>
        <w:pStyle w:val="提示词"/>
        <w:keepLines w:val="0"/>
      </w:pPr>
      <w:r>
        <w:t>- original_coding: {original_coding}</w:t>
      </w:r>
    </w:p>
    <w:p>
      <w:pPr>
        <w:pStyle w:val="提示词"/>
        <w:keepLines w:val="0"/>
      </w:pPr>
      <w:r>
        <w:t>- chapter_name: {chapter_name}</w:t>
      </w:r>
    </w:p>
    <w:p>
      <w:pPr>
        <w:pStyle w:val="提示词"/>
        <w:keepLines w:val="0"/>
      </w:pPr>
      <w:r>
        <w:t>- section_name: {section_name}</w:t>
      </w:r>
    </w:p>
    <w:p>
      <w:pPr>
        <w:pStyle w:val="提示词"/>
        <w:keepLines w:val="0"/>
      </w:pPr>
      <w:r>
        <w:t xml:space="preserve"> </w:t>
      </w:r>
    </w:p>
    <w:p>
      <w:pPr>
        <w:pStyle w:val="提示词"/>
        <w:keepLines w:val="0"/>
      </w:pPr>
      <w:r>
        <w:t>条款原文：</w:t>
      </w:r>
    </w:p>
    <w:p>
      <w:pPr>
        <w:pStyle w:val="提示词"/>
        <w:keepLines w:val="0"/>
      </w:pPr>
      <w:r>
        <w:t>{provision_text}</w:t>
      </w:r>
    </w:p>
    <w:p>
      <w:pPr>
        <w:pStyle w:val="提示词"/>
        <w:keepLines w:val="0"/>
      </w:pPr>
      <w:r>
        <w:t xml:space="preserve"> </w:t>
      </w:r>
    </w:p>
    <w:p>
      <w:pPr>
        <w:pStyle w:val="提示词"/>
        <w:keepLines w:val="0"/>
      </w:pPr>
      <w:r>
        <w:t>模型 A：</w:t>
      </w:r>
    </w:p>
    <w:p>
      <w:pPr>
        <w:pStyle w:val="提示词"/>
        <w:keepLines w:val="0"/>
      </w:pPr>
      <w:r>
        <w:t>- is_institutional_opening: {model_a_is_institutional_opening}</w:t>
      </w:r>
    </w:p>
    <w:p>
      <w:pPr>
        <w:pStyle w:val="提示词"/>
        <w:keepLines w:val="0"/>
      </w:pPr>
      <w:r>
        <w:t>- institutional_reason: {model_a_institutional_reason}</w:t>
      </w:r>
    </w:p>
    <w:p>
      <w:pPr>
        <w:pStyle w:val="提示词"/>
        <w:keepLines w:val="0"/>
      </w:pPr>
      <w:r>
        <w:t>- confidence: {model_a_confidence}</w:t>
      </w:r>
    </w:p>
    <w:p>
      <w:pPr>
        <w:pStyle w:val="提示词"/>
        <w:keepLines w:val="0"/>
      </w:pPr>
      <w:r>
        <w:t xml:space="preserve"> </w:t>
      </w:r>
    </w:p>
    <w:p>
      <w:pPr>
        <w:pStyle w:val="提示词"/>
        <w:keepLines w:val="0"/>
      </w:pPr>
      <w:r>
        <w:t>模型 B：</w:t>
      </w:r>
    </w:p>
    <w:p>
      <w:pPr>
        <w:pStyle w:val="提示词"/>
        <w:keepLines w:val="0"/>
      </w:pPr>
      <w:r>
        <w:t>- is_institutional_opening: {model_b_is_institutional_opening}</w:t>
      </w:r>
    </w:p>
    <w:p>
      <w:pPr>
        <w:pStyle w:val="提示词"/>
        <w:keepLines w:val="0"/>
      </w:pPr>
      <w:r>
        <w:t>- institutional_reason: {model_b_institutional_reason}</w:t>
      </w:r>
    </w:p>
    <w:p>
      <w:pPr>
        <w:pStyle w:val="提示词"/>
        <w:keepLines w:val="0"/>
      </w:pPr>
      <w:r>
        <w:t>- confidence: {model_b_confidence}</w:t>
      </w:r>
    </w:p>
    <w:p>
      <w:pPr>
        <w:pStyle w:val="提示词"/>
        <w:keepLines w:val="0"/>
      </w:pPr>
      <w:r>
        <w:t xml:space="preserve"> </w:t>
      </w:r>
    </w:p>
    <w:p>
      <w:pPr>
        <w:pStyle w:val="提示词"/>
        <w:keepLines w:val="0"/>
      </w:pPr>
      <w:r>
        <w:t>人工复核规则：</w:t>
      </w:r>
    </w:p>
    <w:p>
      <w:pPr>
        <w:pStyle w:val="提示词"/>
        <w:keepLines w:val="0"/>
      </w:pPr>
      <w:r>
        <w:t>- 仅当原文和元数据仍不足、关键语义相互矛盾，或按上述规则仍存在两个同等合理结论时，need_human_review 才为 true。</w:t>
      </w:r>
    </w:p>
    <w:p>
      <w:pPr>
        <w:pStyle w:val="提示词"/>
        <w:keepLines w:val="0"/>
      </w:pPr>
      <w:r>
        <w:t>- 不得仅因模型 A、B 不一致而设为 true。</w:t>
      </w:r>
    </w:p>
    <w:p>
      <w:pPr>
        <w:pStyle w:val="提示词"/>
        <w:keepLines w:val="0"/>
      </w:pPr>
      <w:r>
        <w:t>- confidence 低于 0.75 时，need_human_review 应为 true。</w:t>
      </w:r>
    </w:p>
    <w:p>
      <w:pPr>
        <w:pStyle w:val="提示词"/>
        <w:keepLines w:val="0"/>
      </w:pPr>
      <w:r>
        <w:t xml:space="preserve"> </w:t>
      </w:r>
    </w:p>
    <w:p>
      <w:pPr>
        <w:pStyle w:val="提示词"/>
        <w:keepLines w:val="0"/>
      </w:pPr>
      <w:r>
        <w:t>只返回严格 JSON，不要添加 Markdown、代码块或额外字段：</w:t>
      </w:r>
    </w:p>
    <w:p>
      <w:pPr>
        <w:pStyle w:val="提示词"/>
        <w:keepLines w:val="0"/>
      </w:pPr>
      <w:r>
        <w:t>{{</w:t>
      </w:r>
    </w:p>
    <w:p>
      <w:pPr>
        <w:pStyle w:val="提示词"/>
        <w:keepLines w:val="0"/>
      </w:pPr>
      <w:r>
        <w:t xml:space="preserve">  "final_is_institutional_opening": 1,</w:t>
      </w:r>
    </w:p>
    <w:p>
      <w:pPr>
        <w:pStyle w:val="提示词"/>
        <w:keepLines w:val="0"/>
      </w:pPr>
      <w:r>
        <w:t xml:space="preserve">  "arbitration_reason": "指出决定结论的制度对象，并简要解释为何采纳或排除制度型开放。",</w:t>
      </w:r>
    </w:p>
    <w:p>
      <w:pPr>
        <w:pStyle w:val="提示词"/>
        <w:keepLines w:val="0"/>
      </w:pPr>
      <w:r>
        <w:t xml:space="preserve">  "confidence": 0.86,</w:t>
      </w:r>
    </w:p>
    <w:p>
      <w:pPr>
        <w:pStyle w:val="提示词"/>
        <w:keepLines w:val="0"/>
      </w:pPr>
      <w:r>
        <w:t xml:space="preserve">  "need_human_review": false</w:t>
      </w:r>
    </w:p>
    <w:p>
      <w:pPr>
        <w:pStyle w:val="提示词"/>
        <w:keepLines w:val="0"/>
      </w:pPr>
      <w:r>
        <w:t>}}</w:t>
      </w:r>
    </w:p>
    <w:p>
      <w:r>
        <w:br w:type="page"/>
      </w:r>
    </w:p>
    <w:p>
      <w:pPr>
        <w:pStyle w:val="Heading2"/>
      </w:pPr>
      <w:r>
        <w:t>附录 C：Stage 1B 双模型编码提示词</w:t>
      </w:r>
    </w:p>
    <w:p>
      <w:pPr>
        <w:pStyle w:val="提示词"/>
        <w:keepLines w:val="0"/>
      </w:pPr>
      <w:r>
        <w:t>你正在执行 DTA 条款编码的 Stage 1B：制度型开放四维度判断。</w:t>
      </w:r>
    </w:p>
    <w:p>
      <w:pPr>
        <w:pStyle w:val="提示词"/>
        <w:keepLines w:val="0"/>
      </w:pPr>
      <w:r>
        <w:t xml:space="preserve"> </w:t>
      </w:r>
    </w:p>
    <w:p>
      <w:pPr>
        <w:pStyle w:val="提示词"/>
        <w:keepLines w:val="0"/>
      </w:pPr>
      <w:r>
        <w:t>前提：该条款已在 Stage 1A 最终认定为制度型开放。任务是从 rules、regulation、management、standards 中选择一个最主要维度。不要再次判断是否属于制度型开放，不要判断贸易投资类型，不要分配权重。</w:t>
      </w:r>
    </w:p>
    <w:p>
      <w:pPr>
        <w:pStyle w:val="提示词"/>
        <w:keepLines w:val="0"/>
      </w:pPr>
      <w:r>
        <w:t xml:space="preserve"> </w:t>
      </w:r>
    </w:p>
    <w:p>
      <w:pPr>
        <w:pStyle w:val="提示词"/>
        <w:keepLines w:val="0"/>
      </w:pPr>
      <w:r>
        <w:t>总原则：按条款最直接改变的制度对象或最主要的可执行功能分类，不按章节名称、政策领域或关键词数量分类。四类均可能以法律义务形式出现，不能仅因出现“shall”“law”“regulation”等词就归为某一类。</w:t>
      </w:r>
    </w:p>
    <w:p>
      <w:pPr>
        <w:pStyle w:val="提示词"/>
        <w:keepLines w:val="0"/>
      </w:pPr>
      <w:r>
        <w:t xml:space="preserve"> </w:t>
      </w:r>
    </w:p>
    <w:p>
      <w:pPr>
        <w:pStyle w:val="提示词"/>
        <w:keepLines w:val="0"/>
      </w:pPr>
      <w:r>
        <w:t>四维度操作性定义：</w:t>
      </w:r>
    </w:p>
    <w:p>
      <w:pPr>
        <w:pStyle w:val="提示词"/>
        <w:keepLines w:val="0"/>
      </w:pPr>
      <w:r>
        <w:t xml:space="preserve"> </w:t>
      </w:r>
    </w:p>
    <w:p>
      <w:pPr>
        <w:pStyle w:val="提示词"/>
        <w:keepLines w:val="0"/>
      </w:pPr>
      <w:r>
        <w:t>1. standards（标准）</w:t>
      </w:r>
    </w:p>
    <w:p>
      <w:pPr>
        <w:pStyle w:val="提示词"/>
        <w:keepLines w:val="0"/>
      </w:pPr>
      <w:r>
        <w:t>核心：统一的技术、质量、安全、卫生、性能、兼容性或服务要求，以及判断是否符合这些要求的机制。</w:t>
      </w:r>
    </w:p>
    <w:p>
      <w:pPr>
        <w:pStyle w:val="提示词"/>
        <w:keepLines w:val="0"/>
      </w:pPr>
      <w:r>
        <w:t>包括：技术标准、SPS/TBT 技术要求、检测、检验、认证、认可、合格评定、等效、互认、采用国际标准。</w:t>
      </w:r>
    </w:p>
    <w:p>
      <w:pPr>
        <w:pStyle w:val="提示词"/>
        <w:keepLines w:val="0"/>
      </w:pPr>
      <w:r>
        <w:t>判断问题：条款主要在回答“依据什么技术或质量尺度衡量，以及如何确认符合要求”吗？</w:t>
      </w:r>
    </w:p>
    <w:p>
      <w:pPr>
        <w:pStyle w:val="提示词"/>
        <w:keepLines w:val="0"/>
      </w:pPr>
      <w:r>
        <w:t>排除：一般法律义务、行业准入限制、行政办事流程不因出现“标准”一词就属于 standards。</w:t>
      </w:r>
    </w:p>
    <w:p>
      <w:pPr>
        <w:pStyle w:val="提示词"/>
        <w:keepLines w:val="0"/>
      </w:pPr>
      <w:r>
        <w:t xml:space="preserve"> </w:t>
      </w:r>
    </w:p>
    <w:p>
      <w:pPr>
        <w:pStyle w:val="提示词"/>
        <w:keepLines w:val="0"/>
      </w:pPr>
      <w:r>
        <w:t>2. management（管理）</w:t>
      </w:r>
    </w:p>
    <w:p>
      <w:pPr>
        <w:pStyle w:val="提示词"/>
        <w:keepLines w:val="0"/>
      </w:pPr>
      <w:r>
        <w:t>核心：政府或协定机构如何组织、实施、办理、协调和控制具体事务。</w:t>
      </w:r>
    </w:p>
    <w:p>
      <w:pPr>
        <w:pStyle w:val="提示词"/>
        <w:keepLines w:val="0"/>
      </w:pPr>
      <w:r>
        <w:t>包括：申请、提交、备案、审查、核查、清关、通知、公开、时限、单一窗口、联络点、委员会、部门协作、风险管理、事后审核和信息系统。</w:t>
      </w:r>
    </w:p>
    <w:p>
      <w:pPr>
        <w:pStyle w:val="提示词"/>
        <w:keepLines w:val="0"/>
      </w:pPr>
      <w:r>
        <w:t>判断问题：条款主要在回答“由谁、按什么流程、在何时、以何种方式实施”吗？</w:t>
      </w:r>
    </w:p>
    <w:p>
      <w:pPr>
        <w:pStyle w:val="提示词"/>
        <w:keepLines w:val="0"/>
      </w:pPr>
      <w:r>
        <w:t>排除：实体资格条件属于 regulation 或 rules；产品符合性检测认证属于 standards。</w:t>
      </w:r>
    </w:p>
    <w:p>
      <w:pPr>
        <w:pStyle w:val="提示词"/>
        <w:keepLines w:val="0"/>
      </w:pPr>
      <w:r>
        <w:t xml:space="preserve"> </w:t>
      </w:r>
    </w:p>
    <w:p>
      <w:pPr>
        <w:pStyle w:val="提示词"/>
        <w:keepLines w:val="0"/>
      </w:pPr>
      <w:r>
        <w:t>3. regulation（规制）</w:t>
      </w:r>
    </w:p>
    <w:p>
      <w:pPr>
        <w:pStyle w:val="提示词"/>
        <w:keepLines w:val="0"/>
      </w:pPr>
      <w:r>
        <w:t>核心：政府针对行业、市场主体或经济活动设置、调整或协调监管要求和合规约束。</w:t>
      </w:r>
    </w:p>
    <w:p>
      <w:pPr>
        <w:pStyle w:val="提示词"/>
        <w:keepLines w:val="0"/>
      </w:pPr>
      <w:r>
        <w:t>包括：行业准入与许可条件、审慎监管、竞争监管、补贴和国有企业约束、数据与隐私监管、环境和劳动监管、市场行为监督、知识产权执法要求。</w:t>
      </w:r>
    </w:p>
    <w:p>
      <w:pPr>
        <w:pStyle w:val="提示词"/>
        <w:keepLines w:val="0"/>
      </w:pPr>
      <w:r>
        <w:t>判断问题：条款主要在回答“政府对何种活动设置或协调什么监管限制、条件或监督要求”吗？</w:t>
      </w:r>
    </w:p>
    <w:p>
      <w:pPr>
        <w:pStyle w:val="提示词"/>
        <w:keepLines w:val="0"/>
      </w:pPr>
      <w:r>
        <w:t>排除：行政办理步骤属于 management；技术特性和合格评定属于 standards；缔约方之间的一般实体待遇义务属于 rules。</w:t>
      </w:r>
    </w:p>
    <w:p>
      <w:pPr>
        <w:pStyle w:val="提示词"/>
        <w:keepLines w:val="0"/>
      </w:pPr>
      <w:r>
        <w:t xml:space="preserve"> </w:t>
      </w:r>
    </w:p>
    <w:p>
      <w:pPr>
        <w:pStyle w:val="提示词"/>
        <w:keepLines w:val="0"/>
      </w:pPr>
      <w:r>
        <w:t>4. rules（规则）</w:t>
      </w:r>
    </w:p>
    <w:p>
      <w:pPr>
        <w:pStyle w:val="提示词"/>
        <w:keepLines w:val="0"/>
      </w:pPr>
      <w:r>
        <w:t>核心：协定直接确立的实体性制度内容、权利义务、禁止、待遇、资格、适用范围、法律后果或争端规则。</w:t>
      </w:r>
    </w:p>
    <w:p>
      <w:pPr>
        <w:pStyle w:val="提示词"/>
        <w:keepLines w:val="0"/>
      </w:pPr>
      <w:r>
        <w:t>包括：国民待遇、最惠国待遇、市场准入义务、原产资格规则、政府采购准入、知识产权实体权利、电子商务实体规则、禁止性义务、例外和争端解决安排。</w:t>
      </w:r>
    </w:p>
    <w:p>
      <w:pPr>
        <w:pStyle w:val="提示词"/>
        <w:keepLines w:val="0"/>
      </w:pPr>
      <w:r>
        <w:t>判断问题：条款主要在回答“各方、企业或个人享有什么权利、承担什么义务，什么被允许或禁止”吗？</w:t>
      </w:r>
    </w:p>
    <w:p>
      <w:pPr>
        <w:pStyle w:val="提示词"/>
        <w:keepLines w:val="0"/>
      </w:pPr>
      <w:r>
        <w:t xml:space="preserve"> </w:t>
      </w:r>
    </w:p>
    <w:p>
      <w:pPr>
        <w:pStyle w:val="提示词"/>
        <w:keepLines w:val="0"/>
      </w:pPr>
      <w:r>
        <w:t>强制判定顺序：</w:t>
      </w:r>
    </w:p>
    <w:p>
      <w:pPr>
        <w:pStyle w:val="提示词"/>
        <w:keepLines w:val="0"/>
      </w:pPr>
      <w:r>
        <w:t>A. 核心是技术尺度、测试认证或符合性判断 → standards。</w:t>
      </w:r>
    </w:p>
    <w:p>
      <w:pPr>
        <w:pStyle w:val="提示词"/>
        <w:keepLines w:val="0"/>
      </w:pPr>
      <w:r>
        <w:t>B. 核心是实施步骤、机构分工、核查办理或风险控制 → management。</w:t>
      </w:r>
    </w:p>
    <w:p>
      <w:pPr>
        <w:pStyle w:val="提示词"/>
        <w:keepLines w:val="0"/>
      </w:pPr>
      <w:r>
        <w:t>C. 核心是政府对行业或活动施加的监管条件、限制或监督 → regulation。</w:t>
      </w:r>
    </w:p>
    <w:p>
      <w:pPr>
        <w:pStyle w:val="提示词"/>
        <w:keepLines w:val="0"/>
      </w:pPr>
      <w:r>
        <w:t>D. 其余以实体权利义务、待遇、资格、禁止或法律后果为核心 → rules。</w:t>
      </w:r>
    </w:p>
    <w:p>
      <w:pPr>
        <w:pStyle w:val="提示词"/>
        <w:keepLines w:val="0"/>
      </w:pPr>
      <w:r>
        <w:t xml:space="preserve"> </w:t>
      </w:r>
    </w:p>
    <w:p>
      <w:pPr>
        <w:pStyle w:val="提示词"/>
        <w:keepLines w:val="0"/>
      </w:pPr>
      <w:r>
        <w:t>高频边界：</w:t>
      </w:r>
    </w:p>
    <w:p>
      <w:pPr>
        <w:pStyle w:val="提示词"/>
        <w:keepLines w:val="0"/>
      </w:pPr>
      <w:r>
        <w:t>- 原产资格或实质性改变条件 → rules；原产地证书申请、签发、核查或联合验证 → management。</w:t>
      </w:r>
    </w:p>
    <w:p>
      <w:pPr>
        <w:pStyle w:val="提示词"/>
        <w:keepLines w:val="0"/>
      </w:pPr>
      <w:r>
        <w:t>- 进口许可的行业限制或资格条件 → regulation；许可申请材料、办理步骤或时限 → management。</w:t>
      </w:r>
    </w:p>
    <w:p>
      <w:pPr>
        <w:pStyle w:val="提示词"/>
        <w:keepLines w:val="0"/>
      </w:pPr>
      <w:r>
        <w:t>- 产品技术特性、卫生限量、测试、认证或合格评定 → standards。</w:t>
      </w:r>
    </w:p>
    <w:p>
      <w:pPr>
        <w:pStyle w:val="提示词"/>
        <w:keepLines w:val="0"/>
      </w:pPr>
      <w:r>
        <w:t>- 国民待遇、最惠国待遇、非歧视、禁止措施、争端解决 → rules。</w:t>
      </w:r>
    </w:p>
    <w:p>
      <w:pPr>
        <w:pStyle w:val="提示词"/>
        <w:keepLines w:val="0"/>
      </w:pPr>
      <w:r>
        <w:t>- SPS/TBT 章节不能整体判为 standards：技术指标和合格评定是 standards；透明度、通知和询问点程序是 management；必要性或非歧视义务是 rules。</w:t>
      </w:r>
    </w:p>
    <w:p>
      <w:pPr>
        <w:pStyle w:val="提示词"/>
        <w:keepLines w:val="0"/>
      </w:pPr>
      <w:r>
        <w:t>- 知识产权不能整体判为 rules：权利范围和保护期限是 rules；行政申请审查是 management；执法监管约束可为 regulation。</w:t>
      </w:r>
    </w:p>
    <w:p>
      <w:pPr>
        <w:pStyle w:val="提示词"/>
        <w:keepLines w:val="0"/>
      </w:pPr>
      <w:r>
        <w:t>- 环境、劳动或数据条款只有在规定统一技术/性能尺度时才是 standards；一般监管约束通常是 regulation。</w:t>
      </w:r>
    </w:p>
    <w:p>
      <w:pPr>
        <w:pStyle w:val="提示词"/>
        <w:keepLines w:val="0"/>
      </w:pPr>
      <w:r>
        <w:t>- “technical regulation”若核心是产品技术特性或符合性，仍归 standards，而非因名称中有 regulation 就归 regulation。</w:t>
      </w:r>
    </w:p>
    <w:p>
      <w:pPr>
        <w:pStyle w:val="提示词"/>
        <w:keepLines w:val="0"/>
      </w:pPr>
      <w:r>
        <w:t xml:space="preserve"> </w:t>
      </w:r>
    </w:p>
    <w:p>
      <w:pPr>
        <w:pStyle w:val="提示词"/>
        <w:keepLines w:val="0"/>
      </w:pPr>
      <w:r>
        <w:t>条款元数据：</w:t>
      </w:r>
    </w:p>
    <w:p>
      <w:pPr>
        <w:pStyle w:val="提示词"/>
        <w:keepLines w:val="0"/>
      </w:pPr>
      <w:r>
        <w:t>- provision_id: {provision_id}</w:t>
      </w:r>
    </w:p>
    <w:p>
      <w:pPr>
        <w:pStyle w:val="提示词"/>
        <w:keepLines w:val="0"/>
      </w:pPr>
      <w:r>
        <w:t>- policy_area: {policy_area}</w:t>
      </w:r>
    </w:p>
    <w:p>
      <w:pPr>
        <w:pStyle w:val="提示词"/>
        <w:keepLines w:val="0"/>
      </w:pPr>
      <w:r>
        <w:t>- original_coding: {original_coding}</w:t>
      </w:r>
    </w:p>
    <w:p>
      <w:pPr>
        <w:pStyle w:val="提示词"/>
        <w:keepLines w:val="0"/>
      </w:pPr>
      <w:r>
        <w:t>- chapter_name: {chapter_name}</w:t>
      </w:r>
    </w:p>
    <w:p>
      <w:pPr>
        <w:pStyle w:val="提示词"/>
        <w:keepLines w:val="0"/>
      </w:pPr>
      <w:r>
        <w:t>- section_name: {section_name}</w:t>
      </w:r>
    </w:p>
    <w:p>
      <w:pPr>
        <w:pStyle w:val="提示词"/>
        <w:keepLines w:val="0"/>
      </w:pPr>
      <w:r>
        <w:t xml:space="preserve"> </w:t>
      </w:r>
    </w:p>
    <w:p>
      <w:pPr>
        <w:pStyle w:val="提示词"/>
        <w:keepLines w:val="0"/>
      </w:pPr>
      <w:r>
        <w:t>条款原文：</w:t>
      </w:r>
    </w:p>
    <w:p>
      <w:pPr>
        <w:pStyle w:val="提示词"/>
        <w:keepLines w:val="0"/>
      </w:pPr>
      <w:r>
        <w:t>{provision_text}</w:t>
      </w:r>
    </w:p>
    <w:p>
      <w:pPr>
        <w:pStyle w:val="提示词"/>
        <w:keepLines w:val="0"/>
      </w:pPr>
      <w:r>
        <w:t xml:space="preserve"> </w:t>
      </w:r>
    </w:p>
    <w:p>
      <w:pPr>
        <w:pStyle w:val="提示词"/>
        <w:keepLines w:val="0"/>
      </w:pPr>
      <w:r>
        <w:t>置信度：</w:t>
      </w:r>
    </w:p>
    <w:p>
      <w:pPr>
        <w:pStyle w:val="提示词"/>
        <w:keepLines w:val="0"/>
      </w:pPr>
      <w:r>
        <w:t>- 0.90—1.00：直接功能和边界清楚；</w:t>
      </w:r>
    </w:p>
    <w:p>
      <w:pPr>
        <w:pStyle w:val="提示词"/>
        <w:keepLines w:val="0"/>
      </w:pPr>
      <w:r>
        <w:t>- 0.75—0.89：主维度明确，但存在次要维度；</w:t>
      </w:r>
    </w:p>
    <w:p>
      <w:pPr>
        <w:pStyle w:val="提示词"/>
        <w:keepLines w:val="0"/>
      </w:pPr>
      <w:r>
        <w:t>- 0.50—0.74：两个维度同等直接或文本不足。</w:t>
      </w:r>
    </w:p>
    <w:p>
      <w:pPr>
        <w:pStyle w:val="提示词"/>
        <w:keepLines w:val="0"/>
      </w:pPr>
      <w:r>
        <w:t xml:space="preserve"> </w:t>
      </w:r>
    </w:p>
    <w:p>
      <w:pPr>
        <w:pStyle w:val="提示词"/>
        <w:keepLines w:val="0"/>
      </w:pPr>
      <w:r>
        <w:t>只返回严格 JSON，不要添加 Markdown、代码块或额外字段：</w:t>
      </w:r>
    </w:p>
    <w:p>
      <w:pPr>
        <w:pStyle w:val="提示词"/>
        <w:keepLines w:val="0"/>
      </w:pPr>
      <w:r>
        <w:t>{{</w:t>
      </w:r>
    </w:p>
    <w:p>
      <w:pPr>
        <w:pStyle w:val="提示词"/>
        <w:keepLines w:val="0"/>
      </w:pPr>
      <w:r>
        <w:t xml:space="preserve">  "dominant_dimension": "management",</w:t>
      </w:r>
    </w:p>
    <w:p>
      <w:pPr>
        <w:pStyle w:val="提示词"/>
        <w:keepLines w:val="0"/>
      </w:pPr>
      <w:r>
        <w:t xml:space="preserve">  "dimension_reason": "指出条款最直接的制度功能，并说明为何不归入最容易混淆的相邻维度。",</w:t>
      </w:r>
    </w:p>
    <w:p>
      <w:pPr>
        <w:pStyle w:val="提示词"/>
        <w:keepLines w:val="0"/>
      </w:pPr>
      <w:r>
        <w:t xml:space="preserve">  "confidence": 0.88</w:t>
      </w:r>
    </w:p>
    <w:p>
      <w:pPr>
        <w:pStyle w:val="提示词"/>
        <w:keepLines w:val="0"/>
      </w:pPr>
      <w:r>
        <w:t>}}</w:t>
      </w:r>
    </w:p>
    <w:p>
      <w:r>
        <w:br w:type="page"/>
      </w:r>
    </w:p>
    <w:p>
      <w:pPr>
        <w:pStyle w:val="Heading2"/>
      </w:pPr>
      <w:r>
        <w:t>附录 D：Stage 1B 仲裁提示词</w:t>
      </w:r>
    </w:p>
    <w:p>
      <w:pPr>
        <w:pStyle w:val="提示词"/>
        <w:keepLines w:val="0"/>
      </w:pPr>
      <w:r>
        <w:t>你是 DTA 条款编码 Stage 1B 的仲裁模型。</w:t>
      </w:r>
    </w:p>
    <w:p>
      <w:pPr>
        <w:pStyle w:val="提示词"/>
        <w:keepLines w:val="0"/>
      </w:pPr>
      <w:r>
        <w:t xml:space="preserve"> </w:t>
      </w:r>
    </w:p>
    <w:p>
      <w:pPr>
        <w:pStyle w:val="提示词"/>
        <w:keepLines w:val="0"/>
      </w:pPr>
      <w:r>
        <w:t>前提：该条款已被最终认定为制度型开放。任务是独立仲裁其最主要维度：rules、regulation、management、standards。不要重新判断是否属于制度型开放，不按多数票决定，也不因某模型置信度更高就直接采纳。</w:t>
      </w:r>
    </w:p>
    <w:p>
      <w:pPr>
        <w:pStyle w:val="提示词"/>
        <w:keepLines w:val="0"/>
      </w:pPr>
      <w:r>
        <w:t xml:space="preserve"> </w:t>
      </w:r>
    </w:p>
    <w:p>
      <w:pPr>
        <w:pStyle w:val="提示词"/>
        <w:keepLines w:val="0"/>
      </w:pPr>
      <w:r>
        <w:t>总原则：按条款最直接改变的制度对象或最主要的可执行功能分类；条款原文优先，元数据只用于消歧；不得按章节名称或关键词机械归类。</w:t>
      </w:r>
    </w:p>
    <w:p>
      <w:pPr>
        <w:pStyle w:val="提示词"/>
        <w:keepLines w:val="0"/>
      </w:pPr>
      <w:r>
        <w:t xml:space="preserve"> </w:t>
      </w:r>
    </w:p>
    <w:p>
      <w:pPr>
        <w:pStyle w:val="提示词"/>
        <w:keepLines w:val="0"/>
      </w:pPr>
      <w:r>
        <w:t>四维度：</w:t>
      </w:r>
    </w:p>
    <w:p>
      <w:pPr>
        <w:pStyle w:val="提示词"/>
        <w:keepLines w:val="0"/>
      </w:pPr>
      <w:r>
        <w:t>- standards：技术、质量、安全、卫生、性能或服务尺度，以及检测、检验、认证、认可、合格评定、等效、互认和国际标准采用。</w:t>
      </w:r>
    </w:p>
    <w:p>
      <w:pPr>
        <w:pStyle w:val="提示词"/>
        <w:keepLines w:val="0"/>
      </w:pPr>
      <w:r>
        <w:t>- management：实施和办理方式，包括申请、备案、审查、核查、清关、公开、通知、时限、单一窗口、联络点、委员会、部门协作和风险管理。</w:t>
      </w:r>
    </w:p>
    <w:p>
      <w:pPr>
        <w:pStyle w:val="提示词"/>
        <w:keepLines w:val="0"/>
      </w:pPr>
      <w:r>
        <w:t>- regulation：政府对行业、主体或经济活动设置的准入、许可、审慎、竞争、补贴、国企、数据、环境、劳动或执法等监管条件和合规约束。</w:t>
      </w:r>
    </w:p>
    <w:p>
      <w:pPr>
        <w:pStyle w:val="提示词"/>
        <w:keepLines w:val="0"/>
      </w:pPr>
      <w:r>
        <w:t>- rules：协定直接确立的实体权利义务、待遇、资格、禁止、适用范围、例外、法律后果和争端规则。</w:t>
      </w:r>
    </w:p>
    <w:p>
      <w:pPr>
        <w:pStyle w:val="提示词"/>
        <w:keepLines w:val="0"/>
      </w:pPr>
      <w:r>
        <w:t xml:space="preserve"> </w:t>
      </w:r>
    </w:p>
    <w:p>
      <w:pPr>
        <w:pStyle w:val="提示词"/>
        <w:keepLines w:val="0"/>
      </w:pPr>
      <w:r>
        <w:t>判定顺序：</w:t>
      </w:r>
    </w:p>
    <w:p>
      <w:pPr>
        <w:pStyle w:val="提示词"/>
        <w:keepLines w:val="0"/>
      </w:pPr>
      <w:r>
        <w:t>A. 技术尺度或符合性判断 → standards。</w:t>
      </w:r>
    </w:p>
    <w:p>
      <w:pPr>
        <w:pStyle w:val="提示词"/>
        <w:keepLines w:val="0"/>
      </w:pPr>
      <w:r>
        <w:t>B. 实施步骤、机构分工、核查办理或风险控制 → management。</w:t>
      </w:r>
    </w:p>
    <w:p>
      <w:pPr>
        <w:pStyle w:val="提示词"/>
        <w:keepLines w:val="0"/>
      </w:pPr>
      <w:r>
        <w:t>C. 国内监管条件、限制或市场监督 → regulation。</w:t>
      </w:r>
    </w:p>
    <w:p>
      <w:pPr>
        <w:pStyle w:val="提示词"/>
        <w:keepLines w:val="0"/>
      </w:pPr>
      <w:r>
        <w:t>D. 其他实体性权利义务、待遇、资格、禁止或法律后果 → rules。</w:t>
      </w:r>
    </w:p>
    <w:p>
      <w:pPr>
        <w:pStyle w:val="提示词"/>
        <w:keepLines w:val="0"/>
      </w:pPr>
      <w:r>
        <w:t xml:space="preserve"> </w:t>
      </w:r>
    </w:p>
    <w:p>
      <w:pPr>
        <w:pStyle w:val="提示词"/>
        <w:keepLines w:val="0"/>
      </w:pPr>
      <w:r>
        <w:t>关键边界：</w:t>
      </w:r>
    </w:p>
    <w:p>
      <w:pPr>
        <w:pStyle w:val="提示词"/>
        <w:keepLines w:val="0"/>
      </w:pPr>
      <w:r>
        <w:t>- 原产资格 → rules；证书签发或核查 → management。</w:t>
      </w:r>
    </w:p>
    <w:p>
      <w:pPr>
        <w:pStyle w:val="提示词"/>
        <w:keepLines w:val="0"/>
      </w:pPr>
      <w:r>
        <w:t>- 许可资格/行业限制 → regulation；许可办理流程/时限 → management。</w:t>
      </w:r>
    </w:p>
    <w:p>
      <w:pPr>
        <w:pStyle w:val="提示词"/>
        <w:keepLines w:val="0"/>
      </w:pPr>
      <w:r>
        <w:t>- 技术要求、测试认证、合格评定 → standards。</w:t>
      </w:r>
    </w:p>
    <w:p>
      <w:pPr>
        <w:pStyle w:val="提示词"/>
        <w:keepLines w:val="0"/>
      </w:pPr>
      <w:r>
        <w:t>- SPS/TBT 的通知程序 → management；必要性和非歧视义务 → rules；技术指标和符合性 → standards。</w:t>
      </w:r>
    </w:p>
    <w:p>
      <w:pPr>
        <w:pStyle w:val="提示词"/>
        <w:keepLines w:val="0"/>
      </w:pPr>
      <w:r>
        <w:t>- 不得把所有政府行为都归 regulation，也不得把整个政策领域固定映射到一个维度。</w:t>
      </w:r>
    </w:p>
    <w:p>
      <w:pPr>
        <w:pStyle w:val="提示词"/>
        <w:keepLines w:val="0"/>
      </w:pPr>
      <w:r>
        <w:t xml:space="preserve"> </w:t>
      </w:r>
    </w:p>
    <w:p>
      <w:pPr>
        <w:pStyle w:val="提示词"/>
        <w:keepLines w:val="0"/>
      </w:pPr>
      <w:r>
        <w:t>条款元数据：</w:t>
      </w:r>
    </w:p>
    <w:p>
      <w:pPr>
        <w:pStyle w:val="提示词"/>
        <w:keepLines w:val="0"/>
      </w:pPr>
      <w:r>
        <w:t>- provision_id: {provision_id}</w:t>
      </w:r>
    </w:p>
    <w:p>
      <w:pPr>
        <w:pStyle w:val="提示词"/>
        <w:keepLines w:val="0"/>
      </w:pPr>
      <w:r>
        <w:t>- policy_area: {policy_area}</w:t>
      </w:r>
    </w:p>
    <w:p>
      <w:pPr>
        <w:pStyle w:val="提示词"/>
        <w:keepLines w:val="0"/>
      </w:pPr>
      <w:r>
        <w:t>- original_coding: {original_coding}</w:t>
      </w:r>
    </w:p>
    <w:p>
      <w:pPr>
        <w:pStyle w:val="提示词"/>
        <w:keepLines w:val="0"/>
      </w:pPr>
      <w:r>
        <w:t>- chapter_name: {chapter_name}</w:t>
      </w:r>
    </w:p>
    <w:p>
      <w:pPr>
        <w:pStyle w:val="提示词"/>
        <w:keepLines w:val="0"/>
      </w:pPr>
      <w:r>
        <w:t>- section_name: {section_name}</w:t>
      </w:r>
    </w:p>
    <w:p>
      <w:pPr>
        <w:pStyle w:val="提示词"/>
        <w:keepLines w:val="0"/>
      </w:pPr>
      <w:r>
        <w:t xml:space="preserve"> </w:t>
      </w:r>
    </w:p>
    <w:p>
      <w:pPr>
        <w:pStyle w:val="提示词"/>
        <w:keepLines w:val="0"/>
      </w:pPr>
      <w:r>
        <w:t>条款原文：</w:t>
      </w:r>
    </w:p>
    <w:p>
      <w:pPr>
        <w:pStyle w:val="提示词"/>
        <w:keepLines w:val="0"/>
      </w:pPr>
      <w:r>
        <w:t>{provision_text}</w:t>
      </w:r>
    </w:p>
    <w:p>
      <w:pPr>
        <w:pStyle w:val="提示词"/>
        <w:keepLines w:val="0"/>
      </w:pPr>
      <w:r>
        <w:t xml:space="preserve"> </w:t>
      </w:r>
    </w:p>
    <w:p>
      <w:pPr>
        <w:pStyle w:val="提示词"/>
        <w:keepLines w:val="0"/>
      </w:pPr>
      <w:r>
        <w:t>模型 A：</w:t>
      </w:r>
    </w:p>
    <w:p>
      <w:pPr>
        <w:pStyle w:val="提示词"/>
        <w:keepLines w:val="0"/>
      </w:pPr>
      <w:r>
        <w:t>- dominant_dimension: {model_a_dominant_dimension}</w:t>
      </w:r>
    </w:p>
    <w:p>
      <w:pPr>
        <w:pStyle w:val="提示词"/>
        <w:keepLines w:val="0"/>
      </w:pPr>
      <w:r>
        <w:t>- dimension_reason: {model_a_dimension_reason}</w:t>
      </w:r>
    </w:p>
    <w:p>
      <w:pPr>
        <w:pStyle w:val="提示词"/>
        <w:keepLines w:val="0"/>
      </w:pPr>
      <w:r>
        <w:t>- confidence: {model_a_confidence}</w:t>
      </w:r>
    </w:p>
    <w:p>
      <w:pPr>
        <w:pStyle w:val="提示词"/>
        <w:keepLines w:val="0"/>
      </w:pPr>
      <w:r>
        <w:t xml:space="preserve"> </w:t>
      </w:r>
    </w:p>
    <w:p>
      <w:pPr>
        <w:pStyle w:val="提示词"/>
        <w:keepLines w:val="0"/>
      </w:pPr>
      <w:r>
        <w:t>模型 B：</w:t>
      </w:r>
    </w:p>
    <w:p>
      <w:pPr>
        <w:pStyle w:val="提示词"/>
        <w:keepLines w:val="0"/>
      </w:pPr>
      <w:r>
        <w:t>- dominant_dimension: {model_b_dominant_dimension}</w:t>
      </w:r>
    </w:p>
    <w:p>
      <w:pPr>
        <w:pStyle w:val="提示词"/>
        <w:keepLines w:val="0"/>
      </w:pPr>
      <w:r>
        <w:t>- dimension_reason: {model_b_dimension_reason}</w:t>
      </w:r>
    </w:p>
    <w:p>
      <w:pPr>
        <w:pStyle w:val="提示词"/>
        <w:keepLines w:val="0"/>
      </w:pPr>
      <w:r>
        <w:t>- confidence: {model_b_confidence}</w:t>
      </w:r>
    </w:p>
    <w:p>
      <w:pPr>
        <w:pStyle w:val="提示词"/>
        <w:keepLines w:val="0"/>
      </w:pPr>
      <w:r>
        <w:t xml:space="preserve"> </w:t>
      </w:r>
    </w:p>
    <w:p>
      <w:pPr>
        <w:pStyle w:val="提示词"/>
        <w:keepLines w:val="0"/>
      </w:pPr>
      <w:r>
        <w:t>人工复核规则：</w:t>
      </w:r>
    </w:p>
    <w:p>
      <w:pPr>
        <w:pStyle w:val="提示词"/>
        <w:keepLines w:val="0"/>
      </w:pPr>
      <w:r>
        <w:t>- 仅当原文和元数据不足、关键语义矛盾，或两个维度确实承担同等直接功能时，need_human_review 才为 true。</w:t>
      </w:r>
    </w:p>
    <w:p>
      <w:pPr>
        <w:pStyle w:val="提示词"/>
        <w:keepLines w:val="0"/>
      </w:pPr>
      <w:r>
        <w:t>- 不得仅因模型 A、B 不一致而设为 true。</w:t>
      </w:r>
    </w:p>
    <w:p>
      <w:pPr>
        <w:pStyle w:val="提示词"/>
        <w:keepLines w:val="0"/>
      </w:pPr>
      <w:r>
        <w:t>- confidence 低于 0.75 时，need_human_review 应为 true。</w:t>
      </w:r>
    </w:p>
    <w:p>
      <w:pPr>
        <w:pStyle w:val="提示词"/>
        <w:keepLines w:val="0"/>
      </w:pPr>
      <w:r>
        <w:t xml:space="preserve"> </w:t>
      </w:r>
    </w:p>
    <w:p>
      <w:pPr>
        <w:pStyle w:val="提示词"/>
        <w:keepLines w:val="0"/>
      </w:pPr>
      <w:r>
        <w:t>只返回严格 JSON，不要添加 Markdown、代码块或额外字段：</w:t>
      </w:r>
    </w:p>
    <w:p>
      <w:pPr>
        <w:pStyle w:val="提示词"/>
        <w:keepLines w:val="0"/>
      </w:pPr>
      <w:r>
        <w:t>{{</w:t>
      </w:r>
    </w:p>
    <w:p>
      <w:pPr>
        <w:pStyle w:val="提示词"/>
        <w:keepLines w:val="0"/>
      </w:pPr>
      <w:r>
        <w:t xml:space="preserve">  "final_dominant_dimension": "rules",</w:t>
      </w:r>
    </w:p>
    <w:p>
      <w:pPr>
        <w:pStyle w:val="提示词"/>
        <w:keepLines w:val="0"/>
      </w:pPr>
      <w:r>
        <w:t xml:space="preserve">  "arbitration_reason": "指出最直接制度功能，并说明为何排除最接近的另一维度。",</w:t>
      </w:r>
    </w:p>
    <w:p>
      <w:pPr>
        <w:pStyle w:val="提示词"/>
        <w:keepLines w:val="0"/>
      </w:pPr>
      <w:r>
        <w:t xml:space="preserve">  "confidence": 0.85,</w:t>
      </w:r>
    </w:p>
    <w:p>
      <w:pPr>
        <w:pStyle w:val="提示词"/>
        <w:keepLines w:val="0"/>
      </w:pPr>
      <w:r>
        <w:t xml:space="preserve">  "need_human_review": false</w:t>
      </w:r>
    </w:p>
    <w:p>
      <w:pPr>
        <w:pStyle w:val="提示词"/>
        <w:keepLines w:val="0"/>
      </w:pPr>
      <w:r>
        <w:t>}}</w:t>
      </w:r>
    </w:p>
    <w:sectPr w:rsidR="00FC693F" w:rsidRPr="0006063C" w:rsidSect="00034616">
      <w:headerReference w:type="default" r:id="rId9"/>
      <w:footerReference w:type="default" r:id="rId10"/>
      <w:pgSz w:w="12240" w:h="15840"/>
      <w:pgMar w:top="1417" w:right="1417" w:bottom="1304" w:left="153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sz w:val="18"/>
      </w:rPr>
      <w:t>DTA 制度型开放条款编码：Stage 1A / Stage 1B 提示词依据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SC" w:hAnsi="Noto Sans CJK SC"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CJK SC" w:hAnsi="Noto Sans CJK SC" w:eastAsia="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pPr>
      <w:spacing w:line="300" w:lineRule="auto" w:after="60"/>
      <w:ind w:firstLine="420"/>
      <w:jc w:val="both"/>
    </w:pPr>
    <w:rPr>
      <w:rFonts w:ascii="Noto Serif CJK SC" w:hAnsi="Noto Serif CJK SC" w:eastAsia="Noto Serif CJK SC"/>
      <w:sz w:val="24"/>
    </w:rPr>
  </w:style>
  <w:style w:type="paragraph" w:customStyle="1" w:styleId="提示词">
    <w:name w:val="提示词"/>
    <w:pPr>
      <w:spacing w:line="252" w:lineRule="auto" w:after="0"/>
      <w:ind w:left="170" w:right="113"/>
    </w:pPr>
    <w:rPr>
      <w:rFonts w:ascii="Noto Sans Mono CJK SC" w:hAnsi="Noto Sans Mono CJK SC" w:eastAsia="Noto Sans Mono CJK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ee.gov.cn/zcwj/gwywj/202312/t20231212_1058867.shtml" TargetMode="External"/><Relationship Id="rId12" Type="http://schemas.openxmlformats.org/officeDocument/2006/relationships/hyperlink" Target="https://www.mofcom.gov.cn/zcfb/zgdwjjmywg/art/2025/art_01a9d7919ed843c1979eb627f72e9af8.html" TargetMode="External"/><Relationship Id="rId13" Type="http://schemas.openxmlformats.org/officeDocument/2006/relationships/hyperlink" Target="https://tradeinservices.mofcom.gov.cn/article/yanjiu/pinglun/202402/161460.html" TargetMode="External"/><Relationship Id="rId14" Type="http://schemas.openxmlformats.org/officeDocument/2006/relationships/hyperlink" Target="https://sfj.sh.gov.cn/ztzl_xsqk/20221125/31a7b2b5e1ef436bba16b04d1b6b7f67.html" TargetMode="External"/><Relationship Id="rId15" Type="http://schemas.openxmlformats.org/officeDocument/2006/relationships/hyperlink" Target="https://legalinstruments.oecd.org/en/instruments/OECD-LEGAL-0464" TargetMode="External"/><Relationship Id="rId16" Type="http://schemas.openxmlformats.org/officeDocument/2006/relationships/hyperlink" Target="https://www.wto.org/english/docs_e/legal_e/tfa_e.htm" TargetMode="External"/><Relationship Id="rId17" Type="http://schemas.openxmlformats.org/officeDocument/2006/relationships/hyperlink" Target="https://www.wcoomd.org/en/topics/facilitation/instrument-and-tools/conventions/pf_revised_kyoto_conv.aspx" TargetMode="External"/><Relationship Id="rId18" Type="http://schemas.openxmlformats.org/officeDocument/2006/relationships/hyperlink" Target="https://www.cnipa.gov.cn/art/2019/7/29/art_104_67809.html" TargetMode="External"/><Relationship Id="rId19" Type="http://schemas.openxmlformats.org/officeDocument/2006/relationships/hyperlink" Target="https://www.wto.org/english/tratop_e/tbt_e/tbtagr_e.htm" TargetMode="External"/><Relationship Id="rId20" Type="http://schemas.openxmlformats.org/officeDocument/2006/relationships/hyperlink" Target="https://www.wto.org/english/docs_e/legal_e/legal_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DTA 制度型开放 Stage 1A / Stage 1B 提示词官方依据与操作化论证</dc:title>
  <dc:subject>制度型开放、DTA 2.0、LLM 条款编码、规则规制管理标准</dc:subject>
  <dc:creator>研究项目工作稿</dc:creator>
  <cp:keywords>DTA, 制度型开放, rules, regulation, management, standards, LLM</cp:keywords>
  <dc:description>generated by python-docx</dc:description>
  <cp:lastModifiedBy/>
  <cp:revision>1</cp:revision>
  <dcterms:created xsi:type="dcterms:W3CDTF">2013-12-23T23:15:00Z</dcterms:created>
  <dcterms:modified xsi:type="dcterms:W3CDTF">2013-12-23T23:15:00Z</dcterms:modified>
  <cp:category/>
</cp:coreProperties>
</file>