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center"/>
        <w:tblLayout w:type="fixed"/>
        <w:tblLook w:firstColumn="1" w:firstRow="1" w:lastColumn="0" w:lastRow="0" w:noHBand="0" w:noVBand="1" w:val="04A0"/>
        <w:tblInd w:w="0" w:type="dxa"/>
      </w:tblPr>
      <w:tblGrid>
        <w:gridCol w:w="9360"/>
      </w:tblGrid>
      <w:tr>
        <w:tc>
          <w:tcPr>
            <w:tcW w:type="dxa" w:w="9360"/>
            <w:shd w:fill="17324D"/>
            <w:tcMar>
              <w:top w:w="70" w:type="dxa"/>
              <w:start w:w="90" w:type="dxa"/>
              <w:bottom w:w="70" w:type="dxa"/>
              <w:end w:w="90" w:type="dxa"/>
            </w:tcMar>
            <w:vAlign w:val="top"/>
          </w:tcPr>
          <w:p>
            <w:pPr>
              <w:spacing w:before="0" w:after="0" w:line="240" w:lineRule="auto"/>
              <w:jc w:val="left"/>
            </w:pPr>
            <w:r/>
            <w:r>
              <w:rPr>
                <w:rFonts w:ascii="Calibri" w:hAnsi="Calibri" w:eastAsia="Microsoft YaHei"/>
                <w:b/>
                <w:color w:val="FFFFFF"/>
                <w:sz w:val="21"/>
              </w:rPr>
              <w:t>导师阶段性进展汇报</w:t>
            </w:r>
          </w:p>
        </w:tc>
      </w:tr>
    </w:tbl>
    <w:p>
      <w:pPr>
        <w:spacing w:before="200" w:after="40"/>
      </w:pPr>
      <w:r>
        <w:rPr>
          <w:rFonts w:ascii="Calibri" w:hAnsi="Calibri" w:eastAsia="Microsoft YaHei"/>
          <w:b/>
          <w:color w:val="17324D"/>
          <w:sz w:val="40"/>
        </w:rPr>
        <w:t>数字贸易协定制度性开放量化与 ICIO 双边面板构建</w:t>
      </w:r>
    </w:p>
    <w:p>
      <w:pPr>
        <w:spacing w:after="160"/>
      </w:pPr>
      <w:r>
        <w:rPr>
          <w:rFonts w:ascii="Calibri" w:hAnsi="Calibri" w:eastAsia="Microsoft YaHei"/>
          <w:color w:val="5C6F7B"/>
          <w:sz w:val="21"/>
        </w:rPr>
        <w:t>数据识别、理想点匹配、质量核查与可回溯交付｜2026年7月11日</w:t>
      </w:r>
    </w:p>
    <w:p>
      <w:pPr>
        <w:spacing w:before="40" w:after="100"/>
      </w:pPr>
      <w:r>
        <w:rPr>
          <w:rFonts w:ascii="Calibri" w:hAnsi="Calibri" w:eastAsia="Microsoft YaHei"/>
          <w:b/>
          <w:color w:val="2E74B5"/>
          <w:sz w:val="32"/>
        </w:rPr>
        <w:t>一页摘要</w:t>
      </w:r>
    </w:p>
    <w:tbl>
      <w:tblPr>
        <w:tblW w:type="dxa" w:w="9360"/>
        <w:jc w:val="center"/>
        <w:tblLayout w:type="fixed"/>
        <w:tblLook w:firstColumn="1" w:firstRow="1" w:lastColumn="0" w:lastRow="0" w:noHBand="0" w:noVBand="1" w:val="04A0"/>
        <w:tblInd w:w="0" w:type="dxa"/>
      </w:tblPr>
      <w:tblGrid>
        <w:gridCol w:w="9360"/>
      </w:tblGrid>
      <w:tr>
        <w:tc>
          <w:tcPr>
            <w:tcW w:type="dxa" w:w="9360"/>
            <w:shd w:fill="EAF2F8"/>
            <w:tcMar>
              <w:top w:w="120" w:type="dxa"/>
              <w:start w:w="160" w:type="dxa"/>
              <w:bottom w:w="120" w:type="dxa"/>
              <w:end w:w="160" w:type="dxa"/>
            </w:tcMar>
          </w:tcPr>
          <w:p>
            <w:pPr>
              <w:spacing w:after="40"/>
            </w:pPr>
            <w:r/>
            <w:r>
              <w:rPr>
                <w:rFonts w:ascii="Calibri" w:hAnsi="Calibri" w:eastAsia="Microsoft YaHei"/>
                <w:b/>
                <w:color w:val="17324D"/>
                <w:sz w:val="21"/>
              </w:rPr>
              <w:t>研究目标与当前判断</w:t>
            </w:r>
          </w:p>
          <w:p>
            <w:pPr>
              <w:spacing w:before="0" w:after="0" w:line="259" w:lineRule="auto"/>
            </w:pPr>
            <w:r>
              <w:rPr>
                <w:rFonts w:ascii="Calibri" w:hAnsi="Calibri" w:eastAsia="Microsoft YaHei"/>
                <w:color w:val="243746"/>
                <w:sz w:val="19"/>
              </w:rPr>
              <w:t>项目以 DTA 2.0 的 1,071 项条款和 400 份协定为基础，通过 Stage 1A 制度性识别、Stage 1B 四维分类、Stage 2 贸易/投资作用识别，再与协定有效年份、ICIO2019 经济体样本和 UNGA 理想点距离合并，形成可用于双边实证研究的有向经济体对—年份面板。交叉核查表明，当前 processed 数据对应“双模型一致＋冲突仲裁”路线。</w:t>
            </w:r>
          </w:p>
        </w:tc>
      </w:tr>
    </w:tbl>
    <w:p>
      <w:pPr>
        <w:spacing w:after="0"/>
      </w:pPr>
    </w:p>
    <w:tbl>
      <w:tblPr>
        <w:tblW w:type="dxa" w:w="9360"/>
        <w:jc w:val="center"/>
        <w:tblLayout w:type="fixed"/>
        <w:tblLook w:firstColumn="1" w:firstRow="1" w:lastColumn="0" w:lastRow="0" w:noHBand="0" w:noVBand="1" w:val="04A0"/>
        <w:tblInd w:w="0" w:type="dxa"/>
      </w:tblPr>
      <w:tblGrid>
        <w:gridCol w:w="2340"/>
        <w:gridCol w:w="2340"/>
        <w:gridCol w:w="2340"/>
        <w:gridCol w:w="2340"/>
      </w:tblGrid>
      <w:tr>
        <w:tc>
          <w:tcPr>
            <w:tcW w:type="dxa" w:w="2340"/>
            <w:shd w:fill="2A7F80"/>
            <w:vAlign w:val="top"/>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7"/>
              </w:rPr>
              <w:t>最终主表</w:t>
            </w:r>
          </w:p>
        </w:tc>
        <w:tc>
          <w:tcPr>
            <w:tcW w:type="dxa" w:w="2340"/>
            <w:shd w:fill="2A7F80"/>
            <w:vAlign w:val="top"/>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7"/>
              </w:rPr>
              <w:t>近期切片</w:t>
            </w:r>
          </w:p>
        </w:tc>
        <w:tc>
          <w:tcPr>
            <w:tcW w:type="dxa" w:w="2340"/>
            <w:shd w:fill="2A7F80"/>
            <w:vAlign w:val="top"/>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7"/>
              </w:rPr>
              <w:t>样本覆盖</w:t>
            </w:r>
          </w:p>
        </w:tc>
        <w:tc>
          <w:tcPr>
            <w:tcW w:type="dxa" w:w="2340"/>
            <w:shd w:fill="2A7F80"/>
            <w:vAlign w:val="top"/>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7"/>
              </w:rPr>
              <w:t>条款识别</w:t>
            </w:r>
          </w:p>
        </w:tc>
      </w:tr>
      <w:tr>
        <w:tc>
          <w:tcPr>
            <w:tcW w:type="dxa" w:w="2340"/>
            <w:shd w:fill="E8F3F2"/>
            <w:vAlign w:val="top"/>
            <w:tcMar>
              <w:top w:w="70" w:type="dxa"/>
              <w:start w:w="90" w:type="dxa"/>
              <w:bottom w:w="70" w:type="dxa"/>
              <w:end w:w="90" w:type="dxa"/>
            </w:tcMar>
          </w:tcPr>
          <w:p>
            <w:pPr>
              <w:spacing w:before="0" w:after="0" w:line="240" w:lineRule="auto"/>
              <w:jc w:val="center"/>
            </w:pPr>
            <w:r/>
            <w:r>
              <w:rPr>
                <w:rFonts w:ascii="Calibri" w:hAnsi="Calibri" w:eastAsia="Microsoft YaHei"/>
                <w:b/>
                <w:color w:val="17324D"/>
                <w:sz w:val="20"/>
              </w:rPr>
              <w:t>381,216×20</w:t>
              <w:br/>
              <w:t>1958—2023</w:t>
            </w:r>
          </w:p>
        </w:tc>
        <w:tc>
          <w:tcPr>
            <w:tcW w:type="dxa" w:w="2340"/>
            <w:shd w:fill="E8F3F2"/>
            <w:vAlign w:val="top"/>
            <w:tcMar>
              <w:top w:w="70" w:type="dxa"/>
              <w:start w:w="90" w:type="dxa"/>
              <w:bottom w:w="70" w:type="dxa"/>
              <w:end w:w="90" w:type="dxa"/>
            </w:tcMar>
          </w:tcPr>
          <w:p>
            <w:pPr>
              <w:spacing w:before="0" w:after="0" w:line="240" w:lineRule="auto"/>
              <w:jc w:val="center"/>
            </w:pPr>
            <w:r/>
            <w:r>
              <w:rPr>
                <w:rFonts w:ascii="Calibri" w:hAnsi="Calibri" w:eastAsia="Microsoft YaHei"/>
                <w:b/>
                <w:color w:val="17324D"/>
                <w:sz w:val="20"/>
              </w:rPr>
              <w:t>138,624×20</w:t>
              <w:br/>
              <w:t>2000—2023</w:t>
            </w:r>
          </w:p>
        </w:tc>
        <w:tc>
          <w:tcPr>
            <w:tcW w:type="dxa" w:w="2340"/>
            <w:shd w:fill="E8F3F2"/>
            <w:vAlign w:val="top"/>
            <w:tcMar>
              <w:top w:w="70" w:type="dxa"/>
              <w:start w:w="90" w:type="dxa"/>
              <w:bottom w:w="70" w:type="dxa"/>
              <w:end w:w="90" w:type="dxa"/>
            </w:tcMar>
          </w:tcPr>
          <w:p>
            <w:pPr>
              <w:spacing w:before="0" w:after="0" w:line="240" w:lineRule="auto"/>
              <w:jc w:val="center"/>
            </w:pPr>
            <w:r/>
            <w:r>
              <w:rPr>
                <w:rFonts w:ascii="Calibri" w:hAnsi="Calibri" w:eastAsia="Microsoft YaHei"/>
                <w:b/>
                <w:color w:val="17324D"/>
                <w:sz w:val="20"/>
              </w:rPr>
              <w:t>76×76</w:t>
              <w:br/>
              <w:t>每年5,776行</w:t>
            </w:r>
          </w:p>
        </w:tc>
        <w:tc>
          <w:tcPr>
            <w:tcW w:type="dxa" w:w="2340"/>
            <w:shd w:fill="E8F3F2"/>
            <w:vAlign w:val="top"/>
            <w:tcMar>
              <w:top w:w="70" w:type="dxa"/>
              <w:start w:w="90" w:type="dxa"/>
              <w:bottom w:w="70" w:type="dxa"/>
              <w:end w:w="90" w:type="dxa"/>
            </w:tcMar>
          </w:tcPr>
          <w:p>
            <w:pPr>
              <w:spacing w:before="0" w:after="0" w:line="240" w:lineRule="auto"/>
              <w:jc w:val="center"/>
            </w:pPr>
            <w:r/>
            <w:r>
              <w:rPr>
                <w:rFonts w:ascii="Calibri" w:hAnsi="Calibri" w:eastAsia="Microsoft YaHei"/>
                <w:b/>
                <w:color w:val="17324D"/>
                <w:sz w:val="20"/>
              </w:rPr>
              <w:t>764 制度型</w:t>
              <w:br/>
              <w:t>307 非制度型</w:t>
            </w:r>
          </w:p>
        </w:tc>
      </w:tr>
    </w:tbl>
    <w:p>
      <w:pPr>
        <w:spacing w:before="140" w:after="40"/>
      </w:pPr>
      <w:r>
        <w:rPr>
          <w:rFonts w:ascii="Calibri" w:hAnsi="Calibri" w:eastAsia="Microsoft YaHei"/>
          <w:b/>
          <w:color w:val="2E74B5"/>
          <w:sz w:val="22"/>
        </w:rPr>
        <w:t>已完成成果</w:t>
      </w:r>
    </w:p>
    <w:p>
      <w:pPr>
        <w:pStyle w:val="ListBullet"/>
        <w:spacing w:before="0" w:after="40" w:line="252" w:lineRule="auto"/>
        <w:ind w:left="317" w:hanging="202"/>
      </w:pPr>
      <w:r>
        <w:rPr>
          <w:rFonts w:ascii="Calibri" w:hAnsi="Calibri" w:eastAsia="Microsoft YaHei"/>
          <w:color w:val="243746"/>
          <w:sz w:val="19"/>
        </w:rPr>
        <w:t>两份最终 CSV 的 20 个字段均已完成来源、生成逻辑、类别和注意事项解释；2000—2023 文件经逐值验证是全期表的精确切片。</w:t>
      </w:r>
    </w:p>
    <w:p>
      <w:pPr>
        <w:pStyle w:val="ListBullet"/>
        <w:spacing w:before="0" w:after="40" w:line="252" w:lineRule="auto"/>
        <w:ind w:left="317" w:hanging="202"/>
      </w:pPr>
      <w:r>
        <w:rPr>
          <w:rFonts w:ascii="Calibri" w:hAnsi="Calibri" w:eastAsia="Microsoft YaHei"/>
          <w:color w:val="243746"/>
          <w:sz w:val="19"/>
        </w:rPr>
        <w:t>唯一键 iso_o+iso_d+year 在两表中均无重复；协定状态、分数、方向对称、2019 切片和理想点计算均完成复算或一致性校验。</w:t>
      </w:r>
    </w:p>
    <w:p>
      <w:pPr>
        <w:pStyle w:val="ListBullet"/>
        <w:spacing w:before="0" w:after="40" w:line="252" w:lineRule="auto"/>
        <w:ind w:left="317" w:hanging="202"/>
      </w:pPr>
      <w:r>
        <w:rPr>
          <w:rFonts w:ascii="Calibri" w:hAnsi="Calibri" w:eastAsia="Microsoft YaHei"/>
          <w:color w:val="243746"/>
          <w:sz w:val="19"/>
        </w:rPr>
        <w:t>已建立“最终记录—协定 pair-year—协议分数—条款权重—模型判定”的逆向回溯路径。</w:t>
      </w:r>
    </w:p>
    <w:p>
      <w:pPr>
        <w:spacing w:before="80" w:after="40"/>
      </w:pPr>
      <w:r>
        <w:rPr>
          <w:rFonts w:ascii="Calibri" w:hAnsi="Calibri" w:eastAsia="Microsoft YaHei"/>
          <w:b/>
          <w:color w:val="2E74B5"/>
          <w:sz w:val="22"/>
        </w:rPr>
        <w:t>仍待确认</w:t>
      </w:r>
    </w:p>
    <w:p>
      <w:pPr>
        <w:pStyle w:val="ListBullet"/>
        <w:spacing w:before="0" w:after="40" w:line="252" w:lineRule="auto"/>
        <w:ind w:left="317" w:hanging="202"/>
      </w:pPr>
      <w:r>
        <w:rPr>
          <w:rFonts w:ascii="Calibri" w:hAnsi="Calibri" w:eastAsia="Microsoft YaHei"/>
          <w:color w:val="243746"/>
          <w:sz w:val="19"/>
        </w:rPr>
        <w:t>单模型方法文档和流程图属于旧版/备选快照；现行最终数据是双模型路线。发导师前应确认正式方法口径不再切换。</w:t>
      </w:r>
    </w:p>
    <w:p>
      <w:pPr>
        <w:pStyle w:val="ListBullet"/>
        <w:spacing w:before="0" w:after="40" w:line="252" w:lineRule="auto"/>
        <w:ind w:left="317" w:hanging="202"/>
      </w:pPr>
      <w:r>
        <w:rPr>
          <w:rFonts w:ascii="Calibri" w:hAnsi="Calibri" w:eastAsia="Microsoft YaHei"/>
          <w:color w:val="243746"/>
          <w:sz w:val="19"/>
        </w:rPr>
        <w:t>Stage 1 成功标记的哈希门控当前失败，且若干阶段结果文本出现 #NAME?；分类结果未变，但应在正式复跑前修复版本留痕。</w:t>
      </w:r>
    </w:p>
    <w:p>
      <w:pPr>
        <w:pStyle w:val="ListBullet"/>
        <w:spacing w:before="0" w:after="40" w:line="252" w:lineRule="auto"/>
        <w:ind w:left="317" w:hanging="202"/>
      </w:pPr>
      <w:r>
        <w:rPr>
          <w:rFonts w:ascii="Calibri" w:hAnsi="Calibri" w:eastAsia="Microsoft YaHei"/>
          <w:color w:val="243746"/>
          <w:sz w:val="19"/>
        </w:rPr>
        <w:t>理想点在全期表缺失 85,842 条（22.52%），近期切片缺失 7,444 条（5.37%）；1964 年整年及 HKG/TWN 覆盖不足，实证中需明确处理。</w:t>
      </w:r>
    </w:p>
    <w:p>
      <w:r>
        <w:br w:type="page"/>
      </w:r>
    </w:p>
    <w:p>
      <w:pPr>
        <w:pStyle w:val="Heading1"/>
        <w:keepNext/>
        <w:keepLines/>
      </w:pPr>
      <w:r>
        <w:rPr>
          <w:rFonts w:ascii="Calibri" w:hAnsi="Calibri" w:eastAsia="Microsoft YaHei"/>
          <w:b/>
          <w:color w:val="2E74B5"/>
          <w:sz w:val="32"/>
        </w:rPr>
        <w:t>内容导航</w:t>
      </w:r>
    </w:p>
    <w:tbl>
      <w:tblPr>
        <w:tblStyle w:val="TableGrid"/>
        <w:tblW w:type="dxa" w:w="9360"/>
        <w:jc w:val="center"/>
        <w:tblLayout w:type="fixed"/>
        <w:tblLook w:firstColumn="1" w:firstRow="1" w:lastColumn="0" w:lastRow="0" w:noHBand="0" w:noVBand="1" w:val="04A0"/>
        <w:tblInd w:w="0" w:type="dxa"/>
      </w:tblPr>
      <w:tblGrid>
        <w:gridCol w:w="1152"/>
        <w:gridCol w:w="4608"/>
        <w:gridCol w:w="3600"/>
      </w:tblGrid>
      <w:tr>
        <w:trPr>
          <w:tblHeader w:val="true"/>
          <w:cantSplit/>
        </w:trPr>
        <w:tc>
          <w:tcPr>
            <w:tcW w:type="dxa" w:w="1152"/>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部分</w:t>
            </w:r>
          </w:p>
        </w:tc>
        <w:tc>
          <w:tcPr>
            <w:tcW w:type="dxa" w:w="4608"/>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核心内容</w:t>
            </w:r>
          </w:p>
        </w:tc>
        <w:tc>
          <w:tcPr>
            <w:tcW w:type="dxa" w:w="3600"/>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阅读重点</w:t>
            </w:r>
          </w:p>
        </w:tc>
      </w:tr>
      <w:tr>
        <w:trPr>
          <w:cantSplit/>
        </w:trPr>
        <w:tc>
          <w:tcPr>
            <w:tcW w:type="dxa" w:w="11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8"/>
              </w:rPr>
              <w:t>一—二</w:t>
            </w:r>
          </w:p>
        </w:tc>
        <w:tc>
          <w:tcPr>
            <w:tcW w:type="dxa" w:w="460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8"/>
              </w:rPr>
              <w:t>研究范围与数据基础</w:t>
            </w:r>
          </w:p>
        </w:tc>
        <w:tc>
          <w:tcPr>
            <w:tcW w:type="dxa" w:w="36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8"/>
              </w:rPr>
              <w:t>样本边界、原始表与实际输入</w:t>
            </w:r>
          </w:p>
        </w:tc>
      </w:tr>
      <w:tr>
        <w:trPr>
          <w:cantSplit/>
        </w:trPr>
        <w:tc>
          <w:tcPr>
            <w:tcW w:type="dxa" w:w="1152"/>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8"/>
              </w:rPr>
              <w:t>三</w:t>
            </w:r>
          </w:p>
        </w:tc>
        <w:tc>
          <w:tcPr>
            <w:tcW w:type="dxa" w:w="460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8"/>
              </w:rPr>
              <w:t>双模型识别与条款权重</w:t>
            </w:r>
          </w:p>
        </w:tc>
        <w:tc>
          <w:tcPr>
            <w:tcW w:type="dxa" w:w="360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8"/>
              </w:rPr>
              <w:t>Stage 1A/1B/2、仲裁、案例</w:t>
            </w:r>
          </w:p>
        </w:tc>
      </w:tr>
      <w:tr>
        <w:trPr>
          <w:cantSplit/>
        </w:trPr>
        <w:tc>
          <w:tcPr>
            <w:tcW w:type="dxa" w:w="11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8"/>
              </w:rPr>
              <w:t>四</w:t>
            </w:r>
          </w:p>
        </w:tc>
        <w:tc>
          <w:tcPr>
            <w:tcW w:type="dxa" w:w="460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8"/>
              </w:rPr>
              <w:t>协定评分、匹配与理想点</w:t>
            </w:r>
          </w:p>
        </w:tc>
        <w:tc>
          <w:tcPr>
            <w:tcW w:type="dxa" w:w="36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8"/>
              </w:rPr>
              <w:t>从条款到 pair-year 的生成链</w:t>
            </w:r>
          </w:p>
        </w:tc>
      </w:tr>
      <w:tr>
        <w:trPr>
          <w:cantSplit/>
        </w:trPr>
        <w:tc>
          <w:tcPr>
            <w:tcW w:type="dxa" w:w="1152"/>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8"/>
              </w:rPr>
              <w:t>五—六</w:t>
            </w:r>
          </w:p>
        </w:tc>
        <w:tc>
          <w:tcPr>
            <w:tcW w:type="dxa" w:w="460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8"/>
              </w:rPr>
              <w:t>两份最终 CSV 与质量检查</w:t>
            </w:r>
          </w:p>
        </w:tc>
        <w:tc>
          <w:tcPr>
            <w:tcW w:type="dxa" w:w="360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8"/>
              </w:rPr>
              <w:t>用途、字段、主键、缺失和异常</w:t>
            </w:r>
          </w:p>
        </w:tc>
      </w:tr>
      <w:tr>
        <w:trPr>
          <w:cantSplit/>
        </w:trPr>
        <w:tc>
          <w:tcPr>
            <w:tcW w:type="dxa" w:w="11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8"/>
              </w:rPr>
              <w:t>七—八</w:t>
            </w:r>
          </w:p>
        </w:tc>
        <w:tc>
          <w:tcPr>
            <w:tcW w:type="dxa" w:w="460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8"/>
              </w:rPr>
              <w:t>回溯方法与待确认事项</w:t>
            </w:r>
          </w:p>
        </w:tc>
        <w:tc>
          <w:tcPr>
            <w:tcW w:type="dxa" w:w="36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8"/>
              </w:rPr>
              <w:t>质疑单条记录时的证据链</w:t>
            </w:r>
          </w:p>
        </w:tc>
      </w:tr>
      <w:tr>
        <w:trPr>
          <w:cantSplit/>
        </w:trPr>
        <w:tc>
          <w:tcPr>
            <w:tcW w:type="dxa" w:w="1152"/>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8"/>
              </w:rPr>
              <w:t>附录</w:t>
            </w:r>
          </w:p>
        </w:tc>
        <w:tc>
          <w:tcPr>
            <w:tcW w:type="dxa" w:w="460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8"/>
              </w:rPr>
              <w:t>字段字典、过程文件与复核清单</w:t>
            </w:r>
          </w:p>
        </w:tc>
        <w:tc>
          <w:tcPr>
            <w:tcW w:type="dxa" w:w="360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8"/>
              </w:rPr>
              <w:t>后续查询和复跑入口</w:t>
            </w:r>
          </w:p>
        </w:tc>
      </w:tr>
    </w:tbl>
    <w:p>
      <w:pPr>
        <w:spacing w:after="0"/>
      </w:pPr>
    </w:p>
    <w:p>
      <w:pPr>
        <w:pStyle w:val="Heading1"/>
        <w:keepNext/>
        <w:keepLines/>
      </w:pPr>
      <w:r>
        <w:rPr>
          <w:rFonts w:ascii="Calibri" w:hAnsi="Calibri" w:eastAsia="Microsoft YaHei"/>
          <w:b/>
          <w:color w:val="2E74B5"/>
          <w:sz w:val="32"/>
        </w:rPr>
        <w:t>一、研究目标、完成边界与证据原则</w:t>
      </w:r>
    </w:p>
    <w:p>
      <w:pPr>
        <w:keepLines w:val="0"/>
        <w:spacing w:before="0" w:after="120" w:line="264" w:lineRule="auto"/>
        <w:ind w:firstLine="420"/>
      </w:pPr>
      <w:r>
        <w:rPr>
          <w:rFonts w:ascii="Calibri" w:hAnsi="Calibri" w:eastAsia="Microsoft YaHei"/>
          <w:color w:val="243746"/>
          <w:sz w:val="21"/>
        </w:rPr>
        <w:t>本项目旨在把数字贸易协定中的制度性开放条款转化为可观察、可合并、可回溯的双边年度变量。核心任务不是简单识别是否存在协定，而是进一步区分条款是否构成制度性开放、主要制度维度、对贸易与投资的作用类型及权重，并据此形成经济体对—年份层面的原始分数和协定虚拟变量。</w:t>
      </w:r>
    </w:p>
    <w:p>
      <w:pPr>
        <w:keepLines w:val="0"/>
        <w:spacing w:before="0" w:after="120" w:line="264" w:lineRule="auto"/>
        <w:ind w:firstLine="420"/>
      </w:pPr>
      <w:r>
        <w:rPr>
          <w:rFonts w:ascii="Calibri" w:hAnsi="Calibri" w:eastAsia="Microsoft YaHei"/>
          <w:color w:val="243746"/>
          <w:sz w:val="21"/>
        </w:rPr>
        <w:t>本次核查以项目目录 dta_institutional_opening 为唯一范围，实际读取了 README、config、方法文档、流程图、案例材料、Stage 1/2 编码和仲裁代码、协定评分与合并代码，以及 data 目录各阶段文件。结论遵循“可复算的实际数据与现行代码优先、文档用于解释、不能闭环者标记待确认”的原则。</w:t>
      </w:r>
    </w:p>
    <w:tbl>
      <w:tblPr>
        <w:tblW w:type="dxa" w:w="9360"/>
        <w:jc w:val="center"/>
        <w:tblLayout w:type="fixed"/>
        <w:tblLook w:firstColumn="1" w:firstRow="1" w:lastColumn="0" w:lastRow="0" w:noHBand="0" w:noVBand="1" w:val="04A0"/>
        <w:tblInd w:w="0" w:type="dxa"/>
      </w:tblPr>
      <w:tblGrid>
        <w:gridCol w:w="9360"/>
      </w:tblGrid>
      <w:tr>
        <w:tc>
          <w:tcPr>
            <w:tcW w:type="dxa" w:w="9360"/>
            <w:shd w:fill="E8F3F2"/>
            <w:tcMar>
              <w:top w:w="120" w:type="dxa"/>
              <w:start w:w="160" w:type="dxa"/>
              <w:bottom w:w="120" w:type="dxa"/>
              <w:end w:w="160" w:type="dxa"/>
            </w:tcMar>
          </w:tcPr>
          <w:p>
            <w:pPr>
              <w:spacing w:after="40"/>
            </w:pPr>
            <w:r/>
            <w:r>
              <w:rPr>
                <w:rFonts w:ascii="Calibri" w:hAnsi="Calibri" w:eastAsia="Microsoft YaHei"/>
                <w:b/>
                <w:color w:val="17324D"/>
                <w:sz w:val="21"/>
              </w:rPr>
              <w:t>结果解释边界</w:t>
            </w:r>
          </w:p>
          <w:p>
            <w:pPr>
              <w:spacing w:before="0" w:after="0" w:line="259" w:lineRule="auto"/>
            </w:pPr>
            <w:r>
              <w:rPr>
                <w:rFonts w:ascii="Calibri" w:hAnsi="Calibri" w:eastAsia="Microsoft YaHei"/>
                <w:color w:val="243746"/>
                <w:sz w:val="19"/>
              </w:rPr>
              <w:t>最终样本是 ICIO2019 中剔除 ROW 后的 76 个经济体，而不是 DTA 数据库的全部 211 个经济体。最终表保留方向，因此每年为 76×76＝5,776 行；国际双边关系的制度变量方向对称，但 iso_o 与 iso_d 不可在有向贸易合并中互换。</w:t>
            </w:r>
          </w:p>
        </w:tc>
      </w:tr>
    </w:tbl>
    <w:p>
      <w:pPr>
        <w:spacing w:after="0"/>
      </w:pPr>
    </w:p>
    <w:p>
      <w:pPr>
        <w:pStyle w:val="Heading1"/>
        <w:keepNext/>
        <w:keepLines/>
      </w:pPr>
      <w:r>
        <w:rPr>
          <w:rFonts w:ascii="Calibri" w:hAnsi="Calibri" w:eastAsia="Microsoft YaHei"/>
          <w:b/>
          <w:color w:val="2E74B5"/>
          <w:sz w:val="32"/>
        </w:rPr>
        <w:t>二、数据基础与处理链条</w:t>
      </w:r>
    </w:p>
    <w:p>
      <w:pPr>
        <w:pStyle w:val="Heading2"/>
        <w:keepNext/>
        <w:keepLines/>
      </w:pPr>
      <w:r>
        <w:rPr>
          <w:rFonts w:ascii="Calibri" w:hAnsi="Calibri" w:eastAsia="Microsoft YaHei"/>
          <w:b/>
          <w:color w:val="2E74B5"/>
          <w:sz w:val="26"/>
        </w:rPr>
        <w:t>2.1 实际使用的输入与样本构造</w:t>
      </w:r>
    </w:p>
    <w:p>
      <w:pPr>
        <w:keepLines w:val="0"/>
        <w:spacing w:before="0" w:after="120" w:line="264" w:lineRule="auto"/>
        <w:ind w:firstLine="420"/>
      </w:pPr>
      <w:r>
        <w:rPr>
          <w:rFonts w:ascii="Calibri" w:hAnsi="Calibri" w:eastAsia="Microsoft YaHei"/>
          <w:color w:val="243746"/>
          <w:sz w:val="21"/>
        </w:rPr>
        <w:t>DTA 原始输入实际由 config.py 指向 data/raw/DTA 2.0 - Vertical Content (v2)_code.xlsx。该工作簿含 5 个工作表，其中 STATA 表为 1,071×404，Agreements 为 400×24，Bilateral Information 原始为 294,165×9。README 所列不带“_code”的工作簿少一列 Provision 译文，且不是当前配置路径。</w:t>
      </w:r>
    </w:p>
    <w:tbl>
      <w:tblPr>
        <w:tblStyle w:val="TableGrid"/>
        <w:tblW w:type="dxa" w:w="9360"/>
        <w:jc w:val="center"/>
        <w:tblLayout w:type="fixed"/>
        <w:tblLook w:firstColumn="1" w:firstRow="1" w:lastColumn="0" w:lastRow="0" w:noHBand="0" w:noVBand="1" w:val="04A0"/>
        <w:tblInd w:w="0" w:type="dxa"/>
      </w:tblPr>
      <w:tblGrid>
        <w:gridCol w:w="1656"/>
        <w:gridCol w:w="3528"/>
        <w:gridCol w:w="1800"/>
        <w:gridCol w:w="2376"/>
      </w:tblGrid>
      <w:tr>
        <w:trPr>
          <w:tblHeader w:val="true"/>
          <w:cantSplit/>
        </w:trPr>
        <w:tc>
          <w:tcPr>
            <w:tcW w:type="dxa" w:w="1656"/>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数据层</w:t>
            </w:r>
          </w:p>
        </w:tc>
        <w:tc>
          <w:tcPr>
            <w:tcW w:type="dxa" w:w="3528"/>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实际文件</w:t>
            </w:r>
          </w:p>
        </w:tc>
        <w:tc>
          <w:tcPr>
            <w:tcW w:type="dxa" w:w="1800"/>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核查规模</w:t>
            </w:r>
          </w:p>
        </w:tc>
        <w:tc>
          <w:tcPr>
            <w:tcW w:type="dxa" w:w="2376"/>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在流程中的作用</w:t>
            </w:r>
          </w:p>
        </w:tc>
      </w:tr>
      <w:tr>
        <w:trPr>
          <w:cantSplit/>
        </w:trPr>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DTA 原始条款/协定</w:t>
            </w:r>
          </w:p>
        </w:tc>
        <w:tc>
          <w:tcPr>
            <w:tcW w:type="dxa" w:w="352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data/raw/..._code.xlsx</w:t>
            </w:r>
          </w:p>
        </w:tc>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1,071 条款；400 协定</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生成条款主表、覆盖矩阵、协定和双边有效期</w:t>
            </w:r>
          </w:p>
        </w:tc>
      </w:tr>
      <w:tr>
        <w:trPr>
          <w:cantSplit/>
        </w:trPr>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ICIO 样本</w:t>
            </w:r>
          </w:p>
        </w:tc>
        <w:tc>
          <w:tcPr>
            <w:tcW w:type="dxa" w:w="352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data/need_dummy/icio2019.dta</w:t>
            </w:r>
          </w:p>
        </w:tc>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118,580×8；77 经济体含 ROW</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提取 76 个非 ROW 经济体及稳定名称</w:t>
            </w:r>
          </w:p>
        </w:tc>
      </w:tr>
      <w:tr>
        <w:trPr>
          <w:cantSplit/>
        </w:trPr>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理想点</w:t>
            </w:r>
          </w:p>
        </w:tc>
        <w:tc>
          <w:tcPr>
            <w:tcW w:type="dxa" w:w="352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ideapoint/IdealpointestimatesAll_Jun2024.csv</w:t>
            </w:r>
          </w:p>
        </w:tc>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11,238×20</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提供国家/UNGA session 理想点</w:t>
            </w:r>
          </w:p>
        </w:tc>
      </w:tr>
      <w:tr>
        <w:trPr>
          <w:cantSplit/>
        </w:trPr>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session—year</w:t>
            </w:r>
          </w:p>
        </w:tc>
        <w:tc>
          <w:tcPr>
            <w:tcW w:type="dxa" w:w="352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ideapoint/AgreementScoresAll_Jun2024.csv</w:t>
            </w:r>
          </w:p>
        </w:tc>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1,800,294×11</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把 UNGA session 映射到年份</w:t>
            </w:r>
          </w:p>
        </w:tc>
      </w:tr>
    </w:tbl>
    <w:p>
      <w:pPr>
        <w:spacing w:after="0"/>
      </w:pPr>
    </w:p>
    <w:p>
      <w:pPr>
        <w:pStyle w:val="Heading2"/>
        <w:keepNext/>
        <w:keepLines/>
      </w:pPr>
      <w:r>
        <w:rPr>
          <w:rFonts w:ascii="Calibri" w:hAnsi="Calibri" w:eastAsia="Microsoft YaHei"/>
          <w:b/>
          <w:color w:val="2E74B5"/>
          <w:sz w:val="26"/>
        </w:rPr>
        <w:t>2.2 主要输入—输出链</w:t>
      </w:r>
    </w:p>
    <w:p>
      <w:pPr>
        <w:spacing w:before="0" w:after="40" w:line="259" w:lineRule="auto"/>
        <w:ind w:left="346" w:hanging="216"/>
      </w:pPr>
      <w:r>
        <w:rPr>
          <w:rFonts w:ascii="Calibri" w:hAnsi="Calibri" w:eastAsia="Microsoft YaHei"/>
          <w:b/>
          <w:color w:val="5C6F7B"/>
          <w:sz w:val="19"/>
        </w:rPr>
        <w:t xml:space="preserve">1. </w:t>
      </w:r>
      <w:r>
        <w:rPr>
          <w:rFonts w:ascii="Calibri" w:hAnsi="Calibri" w:eastAsia="Microsoft YaHei"/>
          <w:color w:val="243746"/>
          <w:sz w:val="19"/>
        </w:rPr>
        <w:t>原始数据载入：以 data/raw/DTA 2.0 - Vertical Content (v2)_code.xlsx（STATA、Agreements、Bilateral Information） 为输入；清洗列名；构造 P0001—P1071；拆出 400×1071 协定—条款矩阵；整理协定和双边年份表。 输出 provisions_master、agreement_matrix、agreement_provision_long、agreements_master、bilateral_panel，用于作为全部 LLM 编码、协定评分和匹配的基础。 核查结论：实际表量已核对；但当前代码与已有 interim schema 有两处漂移，见待确认项。</w:t>
      </w:r>
    </w:p>
    <w:p>
      <w:pPr>
        <w:spacing w:before="0" w:after="40" w:line="259" w:lineRule="auto"/>
        <w:ind w:left="346" w:hanging="216"/>
      </w:pPr>
      <w:r>
        <w:rPr>
          <w:rFonts w:ascii="Calibri" w:hAnsi="Calibri" w:eastAsia="Microsoft YaHei"/>
          <w:b/>
          <w:color w:val="5C6F7B"/>
          <w:sz w:val="19"/>
        </w:rPr>
        <w:t xml:space="preserve">2. </w:t>
      </w:r>
      <w:r>
        <w:rPr>
          <w:rFonts w:ascii="Calibri" w:hAnsi="Calibri" w:eastAsia="Microsoft YaHei"/>
          <w:color w:val="243746"/>
          <w:sz w:val="19"/>
        </w:rPr>
        <w:t>Stage 1A 双模型编码：以 provisions_master.csv + prompts/stage1a_institutional.txt 为输入；模型 A/B 分别判断是否属于制度型开放，严格 JSON、解析校验、语义校验、输入哈希与运行信息留痕。 输出 stage1a_model_a_results.csv；stage1a_model_b_results.csv，用于二元识别候选结果。 核查结论：两模型均 1,071 条有效、无重复、无技术失败。</w:t>
      </w:r>
    </w:p>
    <w:p>
      <w:pPr>
        <w:spacing w:before="0" w:after="40" w:line="259" w:lineRule="auto"/>
        <w:ind w:left="346" w:hanging="216"/>
      </w:pPr>
      <w:r>
        <w:rPr>
          <w:rFonts w:ascii="Calibri" w:hAnsi="Calibri" w:eastAsia="Microsoft YaHei"/>
          <w:b/>
          <w:color w:val="5C6F7B"/>
          <w:sz w:val="19"/>
        </w:rPr>
        <w:t xml:space="preserve">3. </w:t>
      </w:r>
      <w:r>
        <w:rPr>
          <w:rFonts w:ascii="Calibri" w:hAnsi="Calibri" w:eastAsia="Microsoft YaHei"/>
          <w:color w:val="243746"/>
          <w:sz w:val="19"/>
        </w:rPr>
        <w:t>Stage 1A 比较与仲裁：以 Stage 1A 两模型结果 为输入；仅比较 is_institutional_opening；不一致的 103 条进入 GLM-5 仲裁；低置信/需复核才进入人工队列。 输出 stage1a_dual_model_comparison、conflict_queue、arbitration_results、manual_review_queue，用于形成可审计冲突链。 核查结论：968 一致、103 冲突（9.62%）；103 仲裁全部有效；人工队列 0。</w:t>
      </w:r>
    </w:p>
    <w:p>
      <w:pPr>
        <w:spacing w:before="0" w:after="40" w:line="259" w:lineRule="auto"/>
        <w:ind w:left="346" w:hanging="216"/>
      </w:pPr>
      <w:r>
        <w:rPr>
          <w:rFonts w:ascii="Calibri" w:hAnsi="Calibri" w:eastAsia="Microsoft YaHei"/>
          <w:b/>
          <w:color w:val="5C6F7B"/>
          <w:sz w:val="19"/>
        </w:rPr>
        <w:t xml:space="preserve">4. </w:t>
      </w:r>
      <w:r>
        <w:rPr>
          <w:rFonts w:ascii="Calibri" w:hAnsi="Calibri" w:eastAsia="Microsoft YaHei"/>
          <w:color w:val="243746"/>
          <w:sz w:val="19"/>
        </w:rPr>
        <w:t>Stage 1A 最终化：以 比较、仲裁、人工队列 为输入；优先级：完成人工复核 &gt; 有效仲裁 &gt; 双模型一致；禁止未解决记录。 输出 stage1a_final_classification.csv + STAGE1A_SUCCESS + manifest，用于确定 764 条制度型开放、307 条非制度型开放。 核查结论：核心分类完整；但当前文本副本和哈希门控失效，见待确认项。</w:t>
      </w:r>
    </w:p>
    <w:p>
      <w:pPr>
        <w:spacing w:before="0" w:after="40" w:line="259" w:lineRule="auto"/>
        <w:ind w:left="346" w:hanging="216"/>
      </w:pPr>
      <w:r>
        <w:rPr>
          <w:rFonts w:ascii="Calibri" w:hAnsi="Calibri" w:eastAsia="Microsoft YaHei"/>
          <w:b/>
          <w:color w:val="5C6F7B"/>
          <w:sz w:val="19"/>
        </w:rPr>
        <w:t xml:space="preserve">5. </w:t>
      </w:r>
      <w:r>
        <w:rPr>
          <w:rFonts w:ascii="Calibri" w:hAnsi="Calibri" w:eastAsia="Microsoft YaHei"/>
          <w:color w:val="243746"/>
          <w:sz w:val="19"/>
        </w:rPr>
        <w:t>Stage 1B 双模型编码：以 Stage 1A 的 764 条正例 + prompts/stage1b_dimension.txt 为输入；在 rules/regulation/management/standards 中选主导维度；两模型独立编码。 输出 stage1b_model_a_results.csv；stage1b_model_b_results.csv，用于制度维度候选结果。 核查结论：两模型均 764 条有效、无重复。</w:t>
      </w:r>
    </w:p>
    <w:p>
      <w:pPr>
        <w:spacing w:before="0" w:after="40" w:line="259" w:lineRule="auto"/>
        <w:ind w:left="346" w:hanging="216"/>
      </w:pPr>
      <w:r>
        <w:rPr>
          <w:rFonts w:ascii="Calibri" w:hAnsi="Calibri" w:eastAsia="Microsoft YaHei"/>
          <w:b/>
          <w:color w:val="5C6F7B"/>
          <w:sz w:val="19"/>
        </w:rPr>
        <w:t xml:space="preserve">6. </w:t>
      </w:r>
      <w:r>
        <w:rPr>
          <w:rFonts w:ascii="Calibri" w:hAnsi="Calibri" w:eastAsia="Microsoft YaHei"/>
          <w:color w:val="243746"/>
          <w:sz w:val="19"/>
        </w:rPr>
        <w:t>Stage 1B 比较与仲裁：以 Stage 1B 两模型结果 为输入；仅比较 dominant_dimension；109 条冲突进入 GLM-5 仲裁。 输出 stage1b_dual_model_comparison、conflict_queue、arbitration_results、manual_review_queue，用于确定最终四维度。 核查结论：655 一致、109 冲突；按 eligible 分母冲突率 14.27%；人工队列 0。</w:t>
      </w:r>
    </w:p>
    <w:p>
      <w:pPr>
        <w:spacing w:before="0" w:after="40" w:line="259" w:lineRule="auto"/>
        <w:ind w:left="346" w:hanging="216"/>
      </w:pPr>
      <w:r>
        <w:rPr>
          <w:rFonts w:ascii="Calibri" w:hAnsi="Calibri" w:eastAsia="Microsoft YaHei"/>
          <w:b/>
          <w:color w:val="5C6F7B"/>
          <w:sz w:val="19"/>
        </w:rPr>
        <w:t xml:space="preserve">7. </w:t>
      </w:r>
      <w:r>
        <w:rPr>
          <w:rFonts w:ascii="Calibri" w:hAnsi="Calibri" w:eastAsia="Microsoft YaHei"/>
          <w:color w:val="243746"/>
          <w:sz w:val="19"/>
        </w:rPr>
        <w:t>Stage 1 合并：以 Stage 1A/1B 最终结果 为输入；非制度型条款维度统一置 none；正例保留四维度；合并决策来源和哈希。 输出 stage1_final_classification.csv + STAGE1_SUCCESS + manifest，用于Stage 2 门控输入。 核查结论：1,071 条、无重复、无 unresolved；当前门控因文件后改动而失败。</w:t>
      </w:r>
    </w:p>
    <w:p>
      <w:pPr>
        <w:spacing w:before="0" w:after="40" w:line="259" w:lineRule="auto"/>
        <w:ind w:left="346" w:hanging="216"/>
      </w:pPr>
      <w:r>
        <w:rPr>
          <w:rFonts w:ascii="Calibri" w:hAnsi="Calibri" w:eastAsia="Microsoft YaHei"/>
          <w:b/>
          <w:color w:val="5C6F7B"/>
          <w:sz w:val="19"/>
        </w:rPr>
        <w:t xml:space="preserve">8. </w:t>
      </w:r>
      <w:r>
        <w:rPr>
          <w:rFonts w:ascii="Calibri" w:hAnsi="Calibri" w:eastAsia="Microsoft YaHei"/>
          <w:color w:val="243746"/>
          <w:sz w:val="19"/>
        </w:rPr>
        <w:t>Stage 2 双模型编码：以 Stage 1 的 764 条正例 + prompts/stage2_trade_investment.txt 为输入；模型 A/B 独立给出 mp/tr/both/none 与权重；固定类型权重由代码强制；both 权重必须为正且和为 1。 输出 stage2_model_a_results.csv；stage2_model_b_results.csv，用于贸易/投资渠道候选结果。 核查结论：两模型均 764 条有效、无技术失败；A=DeepSeek v4 pro，B=qwen3.7-plus。</w:t>
      </w:r>
    </w:p>
    <w:p>
      <w:pPr>
        <w:spacing w:before="0" w:after="40" w:line="259" w:lineRule="auto"/>
        <w:ind w:left="346" w:hanging="216"/>
      </w:pPr>
      <w:r>
        <w:rPr>
          <w:rFonts w:ascii="Calibri" w:hAnsi="Calibri" w:eastAsia="Microsoft YaHei"/>
          <w:b/>
          <w:color w:val="5C6F7B"/>
          <w:sz w:val="19"/>
        </w:rPr>
        <w:t xml:space="preserve">9. </w:t>
      </w:r>
      <w:r>
        <w:rPr>
          <w:rFonts w:ascii="Calibri" w:hAnsi="Calibri" w:eastAsia="Microsoft YaHei"/>
          <w:color w:val="243746"/>
          <w:sz w:val="19"/>
        </w:rPr>
        <w:t>Stage 2 比较与仲裁：以 Stage 2 两模型结果 为输入；仅 impact_type 不一致才仲裁；若双方均为 both，权重差异不触发仲裁并在最终化取均值。 输出 stage2_dual_model_comparison、type_conflict_queue、arbitration_results、manual_review_queue，用于解决 82 条渠道冲突。 核查结论：682 一致、82 冲突（10.73%）；82 条 GLM-5 仲裁有效；人工队列 0。</w:t>
      </w:r>
    </w:p>
    <w:p>
      <w:pPr>
        <w:spacing w:before="0" w:after="40" w:line="259" w:lineRule="auto"/>
        <w:ind w:left="346" w:hanging="216"/>
      </w:pPr>
      <w:r>
        <w:rPr>
          <w:rFonts w:ascii="Calibri" w:hAnsi="Calibri" w:eastAsia="Microsoft YaHei"/>
          <w:b/>
          <w:color w:val="5C6F7B"/>
          <w:sz w:val="19"/>
        </w:rPr>
        <w:t xml:space="preserve">10. </w:t>
      </w:r>
      <w:r>
        <w:rPr>
          <w:rFonts w:ascii="Calibri" w:hAnsi="Calibri" w:eastAsia="Microsoft YaHei"/>
          <w:color w:val="243746"/>
          <w:sz w:val="19"/>
        </w:rPr>
        <w:t>条款最终权重（当前正式路径）：以 Stage 1 final + Stage 2 comparison/arbitration 为输入；非制度型→not_applicable/0；一致 fixed 类型用固定权重；一致 both 取两模型均值；冲突采用仲裁结果。 输出 final_provision_weights.csv，用于为协议和经济体对评分提供条款权重。 核查结论：实际为 682 双模型一致 + 82 仲裁 + 307 not_applicable；不是单模型 B。</w:t>
      </w:r>
    </w:p>
    <w:p>
      <w:pPr>
        <w:spacing w:before="0" w:after="40" w:line="259" w:lineRule="auto"/>
        <w:ind w:left="346" w:hanging="216"/>
      </w:pPr>
      <w:r>
        <w:rPr>
          <w:rFonts w:ascii="Calibri" w:hAnsi="Calibri" w:eastAsia="Microsoft YaHei"/>
          <w:b/>
          <w:color w:val="5C6F7B"/>
          <w:sz w:val="19"/>
        </w:rPr>
        <w:t xml:space="preserve">11. </w:t>
      </w:r>
      <w:r>
        <w:rPr>
          <w:rFonts w:ascii="Calibri" w:hAnsi="Calibri" w:eastAsia="Microsoft YaHei"/>
          <w:color w:val="243746"/>
          <w:sz w:val="19"/>
        </w:rPr>
        <w:t>条款最终权重（备选/旧版路径）：以 Stage 1 final + 单一模型 B 结果 为输入；所有 764 条直接采用模型 B；会改写 Stage 2 比较与仲裁中间文件。 输出 旧版 final_provision_weights（归档于 old data/...单模型），用于仅作为方法比较，不代表当前 data/processed。 核查结论：中文单模型方法稿的 SHA 与旧版归档一致；与当前最终权重有 58 条类型差异。</w:t>
      </w:r>
    </w:p>
    <w:p>
      <w:pPr>
        <w:spacing w:before="0" w:after="40" w:line="259" w:lineRule="auto"/>
        <w:ind w:left="346" w:hanging="216"/>
      </w:pPr>
      <w:r>
        <w:rPr>
          <w:rFonts w:ascii="Calibri" w:hAnsi="Calibri" w:eastAsia="Microsoft YaHei"/>
          <w:b/>
          <w:color w:val="5C6F7B"/>
          <w:sz w:val="19"/>
        </w:rPr>
        <w:t xml:space="preserve">12. </w:t>
      </w:r>
      <w:r>
        <w:rPr>
          <w:rFonts w:ascii="Calibri" w:hAnsi="Calibri" w:eastAsia="Microsoft YaHei"/>
          <w:color w:val="243746"/>
          <w:sz w:val="19"/>
        </w:rPr>
        <w:t>协议层评分：以 agreement_matrix.csv + final_provision_weights.csv + agreements_master.csv 为输入；协议覆盖矩阵分别乘以有效贸易/投资权重；保留维度覆盖统计。 输出 agreement_level_indices.csv（400 条），用于协议层分析并支持经济体对评分。 核查结论：两项分数对 400 条协议逐值矩阵复算，0 处不一致。</w:t>
      </w:r>
    </w:p>
    <w:p>
      <w:pPr>
        <w:spacing w:before="0" w:after="40" w:line="259" w:lineRule="auto"/>
        <w:ind w:left="346" w:hanging="216"/>
      </w:pPr>
      <w:r>
        <w:rPr>
          <w:rFonts w:ascii="Calibri" w:hAnsi="Calibri" w:eastAsia="Microsoft YaHei"/>
          <w:b/>
          <w:color w:val="5C6F7B"/>
          <w:sz w:val="19"/>
        </w:rPr>
        <w:t xml:space="preserve">13. </w:t>
      </w:r>
      <w:r>
        <w:rPr>
          <w:rFonts w:ascii="Calibri" w:hAnsi="Calibri" w:eastAsia="Microsoft YaHei"/>
          <w:color w:val="243746"/>
          <w:sz w:val="19"/>
        </w:rPr>
        <w:t>经济体对—年份评分：以 bilateral_panel + agreement_matrix + final weights + agreement indices 为输入；默认 union：同一 pair-year 多协议时，对每个条款取最大覆盖度后再加权，避免重复计数。 输出 country_pair_year_indices.csv（246,917 个有向活跃记录），用于为最终 ICIO 面板匹配活跃协定分数。 核查结论：与 dta_active 无向表 123,488 个 pair-year 全部一致。</w:t>
      </w:r>
    </w:p>
    <w:p>
      <w:pPr>
        <w:spacing w:before="0" w:after="40" w:line="259" w:lineRule="auto"/>
        <w:ind w:left="346" w:hanging="216"/>
      </w:pPr>
      <w:r>
        <w:rPr>
          <w:rFonts w:ascii="Calibri" w:hAnsi="Calibri" w:eastAsia="Microsoft YaHei"/>
          <w:b/>
          <w:color w:val="5C6F7B"/>
          <w:sz w:val="19"/>
        </w:rPr>
        <w:t xml:space="preserve">14. </w:t>
      </w:r>
      <w:r>
        <w:rPr>
          <w:rFonts w:ascii="Calibri" w:hAnsi="Calibri" w:eastAsia="Microsoft YaHei"/>
          <w:color w:val="243746"/>
          <w:sz w:val="19"/>
        </w:rPr>
        <w:t>ICIO 样本与全期面板：以 icio2019.dta + bilateral_panel + country_pair_year_indices 为输入；剔除 ROW，保留 76 个可匹配经济体；生成 76×76×66 有向面板；国内或无协定行置零。 输出 trade_dummy_icio2019、trade_dummy_icio_all_years、dta_active、union、诊断与错码报告，用于构造最终协定 dummy 和两项原始分数。 核查结论：全期 381,216 行；2019 与 ICIO 交叉核查 0 差异；主键重复 0。</w:t>
      </w:r>
    </w:p>
    <w:p>
      <w:pPr>
        <w:spacing w:before="0" w:after="40" w:line="259" w:lineRule="auto"/>
        <w:ind w:left="346" w:hanging="216"/>
      </w:pPr>
      <w:r>
        <w:rPr>
          <w:rFonts w:ascii="Calibri" w:hAnsi="Calibri" w:eastAsia="Microsoft YaHei"/>
          <w:b/>
          <w:color w:val="5C6F7B"/>
          <w:sz w:val="19"/>
        </w:rPr>
        <w:t xml:space="preserve">15. </w:t>
      </w:r>
      <w:r>
        <w:rPr>
          <w:rFonts w:ascii="Calibri" w:hAnsi="Calibri" w:eastAsia="Microsoft YaHei"/>
          <w:color w:val="243746"/>
          <w:sz w:val="19"/>
        </w:rPr>
        <w:t>理想点距离匹配：以 IdealpointestimatesAll_Jun2024.csv + AgreementScoresAll_Jun2024.csv 为输入；session 映射年份，构造 ISO3-year 理想点，再计算两经济体绝对差；国内对置 0。 输出 idealpoint_abs_distance，用于最终面板的政治偏好距离控制变量。 核查结论：对 381,216 行逐值复算，0 处不一致；源数据缺口单列。</w:t>
      </w:r>
    </w:p>
    <w:p>
      <w:pPr>
        <w:spacing w:before="0" w:after="40" w:line="259" w:lineRule="auto"/>
        <w:ind w:left="346" w:hanging="216"/>
      </w:pPr>
      <w:r>
        <w:rPr>
          <w:rFonts w:ascii="Calibri" w:hAnsi="Calibri" w:eastAsia="Microsoft YaHei"/>
          <w:b/>
          <w:color w:val="5C6F7B"/>
          <w:sz w:val="19"/>
        </w:rPr>
        <w:t xml:space="preserve">16. </w:t>
      </w:r>
      <w:r>
        <w:rPr>
          <w:rFonts w:ascii="Calibri" w:hAnsi="Calibri" w:eastAsia="Microsoft YaHei"/>
          <w:color w:val="243746"/>
          <w:sz w:val="19"/>
        </w:rPr>
        <w:t>2000—2023 工作样本：以 trade_dummy_icio_all_years.csv 为输入；按 year between 2000 and 2023 精确筛选。 输出 trade_dummy_icio_2000_2023.csv，用于近期实证研究便捷输入。 核查结论：138,624 行；与全期表对应切片逐值完全一致。</w:t>
      </w:r>
    </w:p>
    <w:p>
      <w:pPr>
        <w:pStyle w:val="Heading1"/>
        <w:keepNext/>
        <w:keepLines/>
      </w:pPr>
      <w:r>
        <w:rPr>
          <w:rFonts w:ascii="Calibri" w:hAnsi="Calibri" w:eastAsia="Microsoft YaHei"/>
          <w:b/>
          <w:color w:val="2E74B5"/>
          <w:sz w:val="32"/>
        </w:rPr>
        <w:t>三、双模型识别、仲裁与条款权重</w:t>
      </w:r>
    </w:p>
    <w:p>
      <w:pPr>
        <w:pStyle w:val="Heading2"/>
        <w:keepNext/>
        <w:keepLines/>
      </w:pPr>
      <w:r>
        <w:rPr>
          <w:rFonts w:ascii="Calibri" w:hAnsi="Calibri" w:eastAsia="Microsoft YaHei"/>
          <w:b/>
          <w:color w:val="2E74B5"/>
          <w:sz w:val="26"/>
        </w:rPr>
        <w:t>3.1 Stage 1A：制度型开放二元识别</w:t>
      </w:r>
    </w:p>
    <w:p>
      <w:pPr>
        <w:keepLines w:val="0"/>
        <w:spacing w:before="0" w:after="120" w:line="264" w:lineRule="auto"/>
        <w:ind w:firstLine="420"/>
      </w:pPr>
      <w:r>
        <w:rPr>
          <w:rFonts w:ascii="Calibri" w:hAnsi="Calibri" w:eastAsia="Microsoft YaHei"/>
          <w:color w:val="243746"/>
          <w:sz w:val="21"/>
        </w:rPr>
        <w:t>Stage 1A 对 1,071 项条款分别调用模型 A（DeepSeek deepseek-v4-pro）和模型 B（DashScope qwen3.7-plus），要求严格 JSON 输出并执行解析、字段和语义校验。两模型均返回 1,071 条有效结果，无技术失败；其中 968 条一致、103 条冲突，冲突率 9.62%。全部冲突进入 GLM-5 仲裁，人工队列为 0，最终得到 764 条制度型开放条款和 307 条非制度型条款。</w:t>
      </w:r>
    </w:p>
    <w:p>
      <w:pPr>
        <w:pStyle w:val="Heading2"/>
        <w:keepNext/>
        <w:keepLines/>
      </w:pPr>
      <w:r>
        <w:rPr>
          <w:rFonts w:ascii="Calibri" w:hAnsi="Calibri" w:eastAsia="Microsoft YaHei"/>
          <w:b/>
          <w:color w:val="2E74B5"/>
          <w:sz w:val="26"/>
        </w:rPr>
        <w:t>3.2 Stage 1B：四维制度分类</w:t>
      </w:r>
    </w:p>
    <w:p>
      <w:pPr>
        <w:keepLines w:val="0"/>
        <w:spacing w:before="0" w:after="120" w:line="264" w:lineRule="auto"/>
        <w:ind w:firstLine="420"/>
      </w:pPr>
      <w:r>
        <w:rPr>
          <w:rFonts w:ascii="Calibri" w:hAnsi="Calibri" w:eastAsia="Microsoft YaHei"/>
          <w:color w:val="243746"/>
          <w:sz w:val="21"/>
        </w:rPr>
        <w:t>仅对 Stage 1A 判定为制度型开放的 764 条条款进行四维分类。两模型在 655 条上取得一致，109 条由 GLM-5 仲裁；以 764 条 eligible 条款为分母，冲突率为 14.27%。最终维度分布为规则型 497、管理型 189、监管型 47、标准型 31。项目 manifest 中出现的 10.18% 使用了全部 1,071 条作分母，不宜作为 Stage 1B 的方法统计口径。</w:t>
      </w:r>
    </w:p>
    <w:p>
      <w:pPr>
        <w:pStyle w:val="Heading2"/>
        <w:keepNext/>
        <w:keepLines/>
      </w:pPr>
      <w:r>
        <w:rPr>
          <w:rFonts w:ascii="Calibri" w:hAnsi="Calibri" w:eastAsia="Microsoft YaHei"/>
          <w:b/>
          <w:color w:val="2E74B5"/>
          <w:sz w:val="26"/>
        </w:rPr>
        <w:t>3.3 Stage 2：贸易/投资作用类型与权重</w:t>
      </w:r>
    </w:p>
    <w:p>
      <w:pPr>
        <w:keepLines w:val="0"/>
        <w:spacing w:before="0" w:after="120" w:line="264" w:lineRule="auto"/>
        <w:ind w:firstLine="420"/>
      </w:pPr>
      <w:r>
        <w:rPr>
          <w:rFonts w:ascii="Calibri" w:hAnsi="Calibri" w:eastAsia="Microsoft YaHei"/>
          <w:color w:val="243746"/>
          <w:sz w:val="21"/>
        </w:rPr>
        <w:t>Stage 2 对 764 条制度型开放条款再次由模型 A/B 独立识别其作用类型：market promotion（mp，贸易权重1、投资权重0）、transaction rules（tr，0、1）、both（贸易与投资权重均为正且和为1）或 none（0、0）。两模型在 682 条上类型一致，82 条冲突由 GLM-5 仲裁，冲突率 10.73%，无人工复核和未解决记录。</w:t>
      </w:r>
    </w:p>
    <w:tbl>
      <w:tblPr>
        <w:tblStyle w:val="TableGrid"/>
        <w:tblW w:type="dxa" w:w="9360"/>
        <w:jc w:val="center"/>
        <w:tblLayout w:type="fixed"/>
        <w:tblLook w:firstColumn="1" w:firstRow="1" w:lastColumn="0" w:lastRow="0" w:noHBand="0" w:noVBand="1" w:val="04A0"/>
        <w:tblInd w:w="0" w:type="dxa"/>
      </w:tblPr>
      <w:tblGrid>
        <w:gridCol w:w="1512"/>
        <w:gridCol w:w="1037"/>
        <w:gridCol w:w="1224"/>
        <w:gridCol w:w="1296"/>
        <w:gridCol w:w="1080"/>
        <w:gridCol w:w="3211"/>
      </w:tblGrid>
      <w:tr>
        <w:trPr>
          <w:tblHeader w:val="true"/>
          <w:cantSplit/>
        </w:trPr>
        <w:tc>
          <w:tcPr>
            <w:tcW w:type="dxa" w:w="1512"/>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阶段</w:t>
            </w:r>
          </w:p>
        </w:tc>
        <w:tc>
          <w:tcPr>
            <w:tcW w:type="dxa" w:w="1037"/>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eligible</w:t>
            </w:r>
          </w:p>
        </w:tc>
        <w:tc>
          <w:tcPr>
            <w:tcW w:type="dxa" w:w="1224"/>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双模一致</w:t>
            </w:r>
          </w:p>
        </w:tc>
        <w:tc>
          <w:tcPr>
            <w:tcW w:type="dxa" w:w="1296"/>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冲突/仲裁</w:t>
            </w:r>
          </w:p>
        </w:tc>
        <w:tc>
          <w:tcPr>
            <w:tcW w:type="dxa" w:w="1080"/>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冲突率</w:t>
            </w:r>
          </w:p>
        </w:tc>
        <w:tc>
          <w:tcPr>
            <w:tcW w:type="dxa" w:w="3211"/>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最终结果</w:t>
            </w:r>
          </w:p>
        </w:tc>
      </w:tr>
      <w:tr>
        <w:trPr>
          <w:cantSplit/>
        </w:trPr>
        <w:tc>
          <w:tcPr>
            <w:tcW w:type="dxa" w:w="151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Stage 1A</w:t>
            </w:r>
          </w:p>
        </w:tc>
        <w:tc>
          <w:tcPr>
            <w:tcW w:type="dxa" w:w="1037"/>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1,071</w:t>
            </w:r>
          </w:p>
        </w:tc>
        <w:tc>
          <w:tcPr>
            <w:tcW w:type="dxa" w:w="122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968</w:t>
            </w:r>
          </w:p>
        </w:tc>
        <w:tc>
          <w:tcPr>
            <w:tcW w:type="dxa" w:w="12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103 / 103</w:t>
            </w:r>
          </w:p>
        </w:tc>
        <w:tc>
          <w:tcPr>
            <w:tcW w:type="dxa" w:w="108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9.62%</w:t>
            </w:r>
          </w:p>
        </w:tc>
        <w:tc>
          <w:tcPr>
            <w:tcW w:type="dxa" w:w="3211"/>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制度型764；非制度型307</w:t>
            </w:r>
          </w:p>
        </w:tc>
      </w:tr>
      <w:tr>
        <w:trPr>
          <w:cantSplit/>
        </w:trPr>
        <w:tc>
          <w:tcPr>
            <w:tcW w:type="dxa" w:w="151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Stage 1B</w:t>
            </w:r>
          </w:p>
        </w:tc>
        <w:tc>
          <w:tcPr>
            <w:tcW w:type="dxa" w:w="1037"/>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764</w:t>
            </w:r>
          </w:p>
        </w:tc>
        <w:tc>
          <w:tcPr>
            <w:tcW w:type="dxa" w:w="122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655</w:t>
            </w:r>
          </w:p>
        </w:tc>
        <w:tc>
          <w:tcPr>
            <w:tcW w:type="dxa" w:w="129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109 / 109</w:t>
            </w:r>
          </w:p>
        </w:tc>
        <w:tc>
          <w:tcPr>
            <w:tcW w:type="dxa" w:w="108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14.27%</w:t>
            </w:r>
          </w:p>
        </w:tc>
        <w:tc>
          <w:tcPr>
            <w:tcW w:type="dxa" w:w="3211"/>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rules497；management189；regulation47；standards31</w:t>
            </w:r>
          </w:p>
        </w:tc>
      </w:tr>
      <w:tr>
        <w:trPr>
          <w:cantSplit/>
        </w:trPr>
        <w:tc>
          <w:tcPr>
            <w:tcW w:type="dxa" w:w="151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Stage 2</w:t>
            </w:r>
          </w:p>
        </w:tc>
        <w:tc>
          <w:tcPr>
            <w:tcW w:type="dxa" w:w="1037"/>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764</w:t>
            </w:r>
          </w:p>
        </w:tc>
        <w:tc>
          <w:tcPr>
            <w:tcW w:type="dxa" w:w="122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682</w:t>
            </w:r>
          </w:p>
        </w:tc>
        <w:tc>
          <w:tcPr>
            <w:tcW w:type="dxa" w:w="12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82 / 82</w:t>
            </w:r>
          </w:p>
        </w:tc>
        <w:tc>
          <w:tcPr>
            <w:tcW w:type="dxa" w:w="108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10.73%</w:t>
            </w:r>
          </w:p>
        </w:tc>
        <w:tc>
          <w:tcPr>
            <w:tcW w:type="dxa" w:w="3211"/>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mp500；tr132；both56；none76；N/A307</w:t>
            </w:r>
          </w:p>
        </w:tc>
      </w:tr>
    </w:tbl>
    <w:p>
      <w:pPr>
        <w:spacing w:after="0"/>
      </w:pPr>
    </w:p>
    <w:p>
      <w:pPr>
        <w:keepNext/>
        <w:spacing w:before="60" w:after="100"/>
        <w:jc w:val="center"/>
      </w:pPr>
      <w:r>
        <w:rPr>
          <w:rFonts w:ascii="Calibri" w:hAnsi="Calibri" w:eastAsia="Microsoft YaHei"/>
          <w:b/>
          <w:color w:val="5C6F7B"/>
          <w:sz w:val="17"/>
        </w:rPr>
        <w:t>图 1　当前最终数据对应的 Stage 2 双模型识别与冲突仲裁流程</w:t>
      </w:r>
    </w:p>
    <w:p>
      <w:pPr>
        <w:spacing w:after="80"/>
        <w:jc w:val="center"/>
      </w:pPr>
      <w:r>
        <w:drawing>
          <wp:inline xmlns:a="http://schemas.openxmlformats.org/drawingml/2006/main" xmlns:pic="http://schemas.openxmlformats.org/drawingml/2006/picture">
            <wp:extent cx="5897880" cy="3464239"/>
            <wp:docPr id="1" name="Picture 1" descr="Stage 2 双模型独立识别、冲突仲裁并生成条款权重与经济体对年度面板的流程图" title="Stage 2 双模型识别与仲裁流程"/>
            <wp:cNvGraphicFramePr>
              <a:graphicFrameLocks noChangeAspect="1"/>
            </wp:cNvGraphicFramePr>
            <a:graphic>
              <a:graphicData uri="http://schemas.openxmlformats.org/drawingml/2006/picture">
                <pic:pic>
                  <pic:nvPicPr>
                    <pic:cNvPr id="0" name="method_flow_stage2_dual_model_nature.png"/>
                    <pic:cNvPicPr/>
                  </pic:nvPicPr>
                  <pic:blipFill>
                    <a:blip r:embed="rId13"/>
                    <a:stretch>
                      <a:fillRect/>
                    </a:stretch>
                  </pic:blipFill>
                  <pic:spPr>
                    <a:xfrm>
                      <a:off x="0" y="0"/>
                      <a:ext cx="5897880" cy="3464239"/>
                    </a:xfrm>
                    <a:prstGeom prst="rect"/>
                  </pic:spPr>
                </pic:pic>
              </a:graphicData>
            </a:graphic>
          </wp:inline>
        </w:drawing>
      </w:r>
    </w:p>
    <w:p>
      <w:pPr>
        <w:keepLines w:val="0"/>
        <w:spacing w:before="0" w:after="160" w:line="264" w:lineRule="auto"/>
      </w:pPr>
      <w:r>
        <w:rPr>
          <w:rFonts w:ascii="Calibri" w:hAnsi="Calibri" w:eastAsia="Microsoft YaHei"/>
          <w:color w:val="243746"/>
          <w:sz w:val="21"/>
        </w:rPr>
        <w:t>注：该图与 current data/processed/final_provision_weights.csv 的决策来源和数量一致。项目中的单模型流程图及 stage2_single_model_methods_zh.md 对应旧版/备选快照，且模型 B 名称写成 Qwen3.5-9B，与实际 qwen3.7-plus 不一致，因此未作为现行方法主图。</w:t>
      </w:r>
    </w:p>
    <w:p>
      <w:pPr>
        <w:pStyle w:val="Heading2"/>
        <w:keepNext/>
        <w:keepLines/>
      </w:pPr>
      <w:r>
        <w:rPr>
          <w:rFonts w:ascii="Calibri" w:hAnsi="Calibri" w:eastAsia="Microsoft YaHei"/>
          <w:b/>
          <w:color w:val="2E74B5"/>
          <w:sz w:val="26"/>
        </w:rPr>
        <w:t>3.4 识别案例与边界判断</w:t>
      </w:r>
    </w:p>
    <w:p>
      <w:pPr>
        <w:keepLines w:val="0"/>
        <w:spacing w:before="0" w:after="120" w:line="264" w:lineRule="auto"/>
        <w:ind w:firstLine="420"/>
      </w:pPr>
      <w:r>
        <w:rPr>
          <w:rFonts w:ascii="Calibri" w:hAnsi="Calibri" w:eastAsia="Microsoft YaHei"/>
          <w:color w:val="243746"/>
          <w:sz w:val="21"/>
        </w:rPr>
        <w:t>案例文档中的 10 个代表性条款已逐条与 current final_provision_weights.csv 交叉核对，分类和权重均一致。它们覆盖标题型非条款、实体禁止义务、管理/监管/标准维度以及 mp、tr、both、none 四种作用类型，可用于向导师解释模型判定的制度含义。</w:t>
      </w:r>
    </w:p>
    <w:tbl>
      <w:tblPr>
        <w:tblStyle w:val="TableGrid"/>
        <w:tblW w:type="dxa" w:w="9360"/>
        <w:jc w:val="center"/>
        <w:tblLayout w:type="fixed"/>
        <w:tblLook w:firstColumn="1" w:firstRow="1" w:lastColumn="0" w:lastRow="0" w:noHBand="0" w:noVBand="1" w:val="04A0"/>
        <w:tblInd w:w="0" w:type="dxa"/>
      </w:tblPr>
      <w:tblGrid>
        <w:gridCol w:w="1008"/>
        <w:gridCol w:w="1656"/>
        <w:gridCol w:w="1944"/>
        <w:gridCol w:w="1800"/>
        <w:gridCol w:w="2952"/>
      </w:tblGrid>
      <w:tr>
        <w:trPr>
          <w:tblHeader w:val="true"/>
          <w:cantSplit/>
        </w:trPr>
        <w:tc>
          <w:tcPr>
            <w:tcW w:type="dxa" w:w="1008"/>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条款</w:t>
            </w:r>
          </w:p>
        </w:tc>
        <w:tc>
          <w:tcPr>
            <w:tcW w:type="dxa" w:w="1656"/>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案例</w:t>
            </w:r>
          </w:p>
        </w:tc>
        <w:tc>
          <w:tcPr>
            <w:tcW w:type="dxa" w:w="1944"/>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当前结果</w:t>
            </w:r>
          </w:p>
        </w:tc>
        <w:tc>
          <w:tcPr>
            <w:tcW w:type="dxa" w:w="1800"/>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制度角色</w:t>
            </w:r>
          </w:p>
        </w:tc>
        <w:tc>
          <w:tcPr>
            <w:tcW w:type="dxa" w:w="2952"/>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解释摘要</w:t>
            </w:r>
          </w:p>
        </w:tc>
      </w:tr>
      <w:tr>
        <w:trPr>
          <w:cantSplit/>
        </w:trPr>
        <w:tc>
          <w:tcPr>
            <w:tcW w:type="dxa" w:w="100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P0001</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标题型条款</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0 / none / not_applicable</w:t>
            </w:r>
          </w:p>
        </w:tc>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非制度型开放</w:t>
            </w:r>
          </w:p>
        </w:tc>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仅为 Export Quotas &amp; Quantitative Restrictions 标题，无独立制度内容。</w:t>
            </w:r>
          </w:p>
        </w:tc>
      </w:tr>
      <w:tr>
        <w:trPr>
          <w:cantSplit/>
        </w:trPr>
        <w:tc>
          <w:tcPr>
            <w:tcW w:type="dxa" w:w="1008"/>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P0003</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禁止出口配额</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1 / rules / mp(1,0)</w:t>
            </w:r>
          </w:p>
        </w:tc>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制度型贸易开放</w:t>
            </w:r>
          </w:p>
        </w:tc>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含明确 Prohibits，形成实体禁止义务。</w:t>
            </w:r>
          </w:p>
        </w:tc>
      </w:tr>
      <w:tr>
        <w:trPr>
          <w:cantSplit/>
        </w:trPr>
        <w:tc>
          <w:tcPr>
            <w:tcW w:type="dxa" w:w="100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P0003</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实体规则</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rules</w:t>
            </w:r>
          </w:p>
        </w:tc>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Stage 1B</w:t>
            </w:r>
          </w:p>
        </w:tc>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同一条款回答什么被禁止，而非办理流程/技术尺度。</w:t>
            </w:r>
          </w:p>
        </w:tc>
      </w:tr>
      <w:tr>
        <w:trPr>
          <w:cantSplit/>
        </w:trPr>
        <w:tc>
          <w:tcPr>
            <w:tcW w:type="dxa" w:w="1008"/>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P0539</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海关放行时限</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management / mp(1,0)</w:t>
            </w:r>
          </w:p>
        </w:tc>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行政管理</w:t>
            </w:r>
          </w:p>
        </w:tc>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规定 prescribed time limits，属于办理时限。</w:t>
            </w:r>
          </w:p>
        </w:tc>
      </w:tr>
      <w:tr>
        <w:trPr>
          <w:cantSplit/>
        </w:trPr>
        <w:tc>
          <w:tcPr>
            <w:tcW w:type="dxa" w:w="100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P0978</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国家援助规制</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regulation / mp(1,0)</w:t>
            </w:r>
          </w:p>
        </w:tc>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监管规制</w:t>
            </w:r>
          </w:p>
        </w:tc>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直接约束国家援助/竞争条件。</w:t>
            </w:r>
          </w:p>
        </w:tc>
      </w:tr>
      <w:tr>
        <w:trPr>
          <w:cantSplit/>
        </w:trPr>
        <w:tc>
          <w:tcPr>
            <w:tcW w:type="dxa" w:w="1008"/>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P0686</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引用国际标准</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standards / mp(1,0)</w:t>
            </w:r>
          </w:p>
        </w:tc>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技术标准</w:t>
            </w:r>
          </w:p>
        </w:tc>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国际标准作为技术尺度与合规依据。</w:t>
            </w:r>
          </w:p>
        </w:tc>
      </w:tr>
      <w:tr>
        <w:trPr>
          <w:cantSplit/>
        </w:trPr>
        <w:tc>
          <w:tcPr>
            <w:tcW w:type="dxa" w:w="100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P0533</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货物过境自由</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rules / mp(1,0)</w:t>
            </w:r>
          </w:p>
        </w:tc>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贸易渠道</w:t>
            </w:r>
          </w:p>
        </w:tc>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直接作用于货物跨境流动，无独立投资机制。</w:t>
            </w:r>
          </w:p>
        </w:tc>
      </w:tr>
      <w:tr>
        <w:trPr>
          <w:cantSplit/>
        </w:trPr>
        <w:tc>
          <w:tcPr>
            <w:tcW w:type="dxa" w:w="1008"/>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P0126</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投资者定义</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rules / tr(0,1)</w:t>
            </w:r>
          </w:p>
        </w:tc>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投资渠道</w:t>
            </w:r>
          </w:p>
        </w:tc>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决定投资协定适用对象边界。</w:t>
            </w:r>
          </w:p>
        </w:tc>
      </w:tr>
      <w:tr>
        <w:trPr>
          <w:cantSplit/>
        </w:trPr>
        <w:tc>
          <w:tcPr>
            <w:tcW w:type="dxa" w:w="100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P0059</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服务争端解决</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rules / both(0.5,0.5)</w:t>
            </w:r>
          </w:p>
        </w:tc>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贸易与投资</w:t>
            </w:r>
          </w:p>
        </w:tc>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同时列明国家间与投资者—国家争端机制。</w:t>
            </w:r>
          </w:p>
        </w:tc>
      </w:tr>
      <w:tr>
        <w:trPr>
          <w:cantSplit/>
        </w:trPr>
        <w:tc>
          <w:tcPr>
            <w:tcW w:type="dxa" w:w="1008"/>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P1046</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环境公民参与论坛</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management / none(0,0)</w:t>
            </w:r>
          </w:p>
        </w:tc>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一般治理</w:t>
            </w:r>
          </w:p>
        </w:tc>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出现 trade 但机制仅为参与/论坛，不直接规范贸易或投资对象。</w:t>
            </w:r>
          </w:p>
        </w:tc>
      </w:tr>
    </w:tbl>
    <w:p>
      <w:pPr>
        <w:spacing w:after="0"/>
      </w:pPr>
    </w:p>
    <w:p>
      <w:pPr>
        <w:pStyle w:val="Heading1"/>
        <w:keepNext/>
        <w:keepLines/>
      </w:pPr>
      <w:r>
        <w:rPr>
          <w:rFonts w:ascii="Calibri" w:hAnsi="Calibri" w:eastAsia="Microsoft YaHei"/>
          <w:b/>
          <w:color w:val="2E74B5"/>
          <w:sz w:val="32"/>
        </w:rPr>
        <w:t>四、从条款到经济体对—年份：评分、匹配与合并</w:t>
      </w:r>
    </w:p>
    <w:p>
      <w:pPr>
        <w:pStyle w:val="Heading2"/>
        <w:keepNext/>
        <w:keepLines/>
      </w:pPr>
      <w:r>
        <w:rPr>
          <w:rFonts w:ascii="Calibri" w:hAnsi="Calibri" w:eastAsia="Microsoft YaHei"/>
          <w:b/>
          <w:color w:val="2E74B5"/>
          <w:sz w:val="26"/>
        </w:rPr>
        <w:t>4.1 协定层评分</w:t>
      </w:r>
    </w:p>
    <w:p>
      <w:pPr>
        <w:keepLines w:val="0"/>
        <w:spacing w:before="0" w:after="120" w:line="264" w:lineRule="auto"/>
        <w:ind w:firstLine="420"/>
      </w:pPr>
      <w:r>
        <w:rPr>
          <w:rFonts w:ascii="Calibri" w:hAnsi="Calibri" w:eastAsia="Microsoft YaHei"/>
          <w:color w:val="243746"/>
          <w:sz w:val="21"/>
        </w:rPr>
        <w:t>条款覆盖矩阵 agreement_matrix.csv 为 400×1,072（1 个协定标识列＋1,071 个条款列），实际取值仅为 0/1。将每条条款的最终贸易权重和投资权重分别与覆盖矩阵相乘并求和，得到 400 份协定的 raw trade score 和 raw investment score。对现有 agreement_level_indices.csv 重新计算后，两项分数均无差异。</w:t>
      </w:r>
    </w:p>
    <w:tbl>
      <w:tblPr>
        <w:tblW w:type="dxa" w:w="9360"/>
        <w:jc w:val="center"/>
        <w:tblLayout w:type="fixed"/>
        <w:tblLook w:firstColumn="1" w:firstRow="1" w:lastColumn="0" w:lastRow="0" w:noHBand="0" w:noVBand="1" w:val="04A0"/>
        <w:tblInd w:w="0" w:type="dxa"/>
      </w:tblPr>
      <w:tblGrid>
        <w:gridCol w:w="9360"/>
      </w:tblGrid>
      <w:tr>
        <w:tc>
          <w:tcPr>
            <w:tcW w:type="dxa" w:w="9360"/>
            <w:shd w:fill="FFF1CC"/>
            <w:tcMar>
              <w:top w:w="120" w:type="dxa"/>
              <w:start w:w="160" w:type="dxa"/>
              <w:bottom w:w="120" w:type="dxa"/>
              <w:end w:w="160" w:type="dxa"/>
            </w:tcMar>
          </w:tcPr>
          <w:p>
            <w:pPr>
              <w:spacing w:after="40"/>
            </w:pPr>
            <w:r/>
            <w:r>
              <w:rPr>
                <w:rFonts w:ascii="Calibri" w:hAnsi="Calibri" w:eastAsia="Microsoft YaHei"/>
                <w:b/>
                <w:color w:val="17324D"/>
                <w:sz w:val="21"/>
              </w:rPr>
              <w:t>分数含义</w:t>
            </w:r>
          </w:p>
          <w:p>
            <w:pPr>
              <w:spacing w:before="0" w:after="0" w:line="259" w:lineRule="auto"/>
            </w:pPr>
            <w:r>
              <w:rPr>
                <w:rFonts w:ascii="Calibri" w:hAnsi="Calibri" w:eastAsia="Microsoft YaHei"/>
                <w:color w:val="243746"/>
                <w:sz w:val="19"/>
              </w:rPr>
              <w:t>raw_trade_score 与 raw_investment_score 是非标准化的条款加权总分，不是 0—1 概率；因此最大值分别达到 412.5 和 128.2。协定存在（dummy=1）也不保证两项分数为正：有些有效协定只覆盖被识别为 none 或未覆盖有效权重的条款。</w:t>
            </w:r>
          </w:p>
        </w:tc>
      </w:tr>
    </w:tbl>
    <w:p>
      <w:pPr>
        <w:spacing w:after="0"/>
      </w:pPr>
    </w:p>
    <w:p>
      <w:pPr>
        <w:pStyle w:val="Heading2"/>
        <w:keepNext/>
        <w:keepLines/>
      </w:pPr>
      <w:r>
        <w:rPr>
          <w:rFonts w:ascii="Calibri" w:hAnsi="Calibri" w:eastAsia="Microsoft YaHei"/>
          <w:b/>
          <w:color w:val="2E74B5"/>
          <w:sz w:val="26"/>
        </w:rPr>
        <w:t>4.2 多协定并存与 pair-year 聚合</w:t>
      </w:r>
    </w:p>
    <w:p>
      <w:pPr>
        <w:keepLines w:val="0"/>
        <w:spacing w:before="0" w:after="120" w:line="264" w:lineRule="auto"/>
        <w:ind w:firstLine="420"/>
      </w:pPr>
      <w:r>
        <w:rPr>
          <w:rFonts w:ascii="Calibri" w:hAnsi="Calibri" w:eastAsia="Microsoft YaHei"/>
          <w:color w:val="243746"/>
          <w:sz w:val="21"/>
        </w:rPr>
        <w:t>bilateral_panel.csv 记录协定参与经济体及其生效年份。代码先把国家对标准化为无向 pair_key，再按 pair_key+year 找出当年生效的全部协定。多协定并存时，不直接相加重复覆盖的条款，而是在条款层取活动协定集合的最大覆盖，再与条款权重相乘求和，从而避免重复计数；同时保留活动 agreement_id、WBID、rta_name 列表及数量。</w:t>
      </w:r>
    </w:p>
    <w:p>
      <w:pPr>
        <w:keepLines w:val="0"/>
        <w:spacing w:before="0" w:after="120" w:line="264" w:lineRule="auto"/>
        <w:ind w:firstLine="420"/>
      </w:pPr>
      <w:r>
        <w:rPr>
          <w:rFonts w:ascii="Calibri" w:hAnsi="Calibri" w:eastAsia="Microsoft YaHei"/>
          <w:color w:val="243746"/>
          <w:sz w:val="21"/>
        </w:rPr>
        <w:t>country_pair_year_indices.csv 含 246,917 条有向活动记录，对应 123,488 个无向 pair-year。与 dta_active_agreement_dummy_all_dta_pair_year.csv 对照后，协定数量、清单和分数均为 0 差异。最终主表中 71,188 条 dummy=1 记录也与该活动表逐字段一致。</w:t>
      </w:r>
    </w:p>
    <w:p>
      <w:pPr>
        <w:pStyle w:val="Heading2"/>
        <w:keepNext/>
        <w:keepLines/>
      </w:pPr>
      <w:r>
        <w:rPr>
          <w:rFonts w:ascii="Calibri" w:hAnsi="Calibri" w:eastAsia="Microsoft YaHei"/>
          <w:b/>
          <w:color w:val="2E74B5"/>
          <w:sz w:val="26"/>
        </w:rPr>
        <w:t>4.3 ICIO 面板与方向</w:t>
      </w:r>
    </w:p>
    <w:p>
      <w:pPr>
        <w:keepLines w:val="0"/>
        <w:spacing w:before="0" w:after="120" w:line="264" w:lineRule="auto"/>
        <w:ind w:firstLine="420"/>
      </w:pPr>
      <w:r>
        <w:rPr>
          <w:rFonts w:ascii="Calibri" w:hAnsi="Calibri" w:eastAsia="Microsoft YaHei"/>
          <w:color w:val="243746"/>
          <w:sz w:val="21"/>
        </w:rPr>
        <w:t>ICIO2019 原表覆盖 77 个经济体（含 ROW）与 77×77 对，每个经济体对有 20 个行业行。最终样本剔除 ROW 后保留 76 个经济体，并按 bilateral_panel 的最小—最大年份生成连续 1958—2023 面板。国际关系按两个方向各保留一行，国内经济体对也显式保留。</w:t>
      </w:r>
    </w:p>
    <w:p>
      <w:pPr>
        <w:pStyle w:val="Heading2"/>
        <w:keepNext/>
        <w:keepLines/>
      </w:pPr>
      <w:r>
        <w:rPr>
          <w:rFonts w:ascii="Calibri" w:hAnsi="Calibri" w:eastAsia="Microsoft YaHei"/>
          <w:b/>
          <w:color w:val="2E74B5"/>
          <w:sz w:val="26"/>
        </w:rPr>
        <w:t>4.4 UNGA 理想点距离</w:t>
      </w:r>
    </w:p>
    <w:p>
      <w:pPr>
        <w:keepLines w:val="0"/>
        <w:spacing w:before="0" w:after="120" w:line="264" w:lineRule="auto"/>
        <w:ind w:firstLine="420"/>
      </w:pPr>
      <w:r>
        <w:rPr>
          <w:rFonts w:ascii="Calibri" w:hAnsi="Calibri" w:eastAsia="Microsoft YaHei"/>
          <w:color w:val="243746"/>
          <w:sz w:val="21"/>
        </w:rPr>
        <w:t>代码先由 AgreementScoresAll_Jun2024.csv 建立 UNGA session—year 映射，再把 IdealpointestimatesAll_Jun2024.csv 整理为 ISO3—year 理想点表，最终计算同年两经济体理想点的绝对差。国内经济体对被强制赋值 0；国际对若任一经济体—年份没有来源值则保留为空。对全期 381,216 行重新计算，除浮点误差上限约 8.9×10⁻¹⁶ 外无不一致。</w:t>
      </w:r>
    </w:p>
    <w:p>
      <w:pPr>
        <w:pStyle w:val="Heading1"/>
        <w:keepNext/>
        <w:keepLines/>
      </w:pPr>
      <w:r>
        <w:rPr>
          <w:rFonts w:ascii="Calibri" w:hAnsi="Calibri" w:eastAsia="Microsoft YaHei"/>
          <w:b/>
          <w:color w:val="2E74B5"/>
          <w:sz w:val="32"/>
        </w:rPr>
        <w:t>五、两份最终 CSV：并存原因、差异与使用方式</w:t>
      </w:r>
    </w:p>
    <w:p>
      <w:pPr>
        <w:pStyle w:val="Heading2"/>
        <w:keepNext/>
        <w:keepLines/>
      </w:pPr>
      <w:r>
        <w:rPr>
          <w:rFonts w:ascii="Calibri" w:hAnsi="Calibri" w:eastAsia="Microsoft YaHei"/>
          <w:b/>
          <w:color w:val="2E74B5"/>
          <w:sz w:val="26"/>
        </w:rPr>
        <w:t>5.1 为什么同时存在</w:t>
      </w:r>
    </w:p>
    <w:p>
      <w:pPr>
        <w:keepLines w:val="0"/>
        <w:spacing w:before="0" w:after="120" w:line="264" w:lineRule="auto"/>
        <w:ind w:firstLine="420"/>
      </w:pPr>
      <w:r>
        <w:rPr>
          <w:rFonts w:ascii="Calibri" w:hAnsi="Calibri" w:eastAsia="Microsoft YaHei"/>
          <w:color w:val="243746"/>
          <w:sz w:val="21"/>
        </w:rPr>
        <w:t>从数据关系看，trade_dummy_icio_all_years.csv 是 1958—2023 的历史主表；trade_dummy_icio_2000_2023.csv 与主表中 year∈[2000,2023] 的记录在字段、顺序和全部取值上逐值完全一致，因此是便于近期实证使用的工作切片。当前代码、README 和运行日志未记录该切片的生成命令或正式设计意图，故“便捷切片”是基于数据关系的最稳妥解释，具体为何选择 2000 年作为起点仍标记为待确认。</w:t>
      </w:r>
    </w:p>
    <w:tbl>
      <w:tblPr>
        <w:tblStyle w:val="TableGrid"/>
        <w:tblW w:type="dxa" w:w="9360"/>
        <w:jc w:val="center"/>
        <w:tblLayout w:type="fixed"/>
        <w:tblLook w:firstColumn="1" w:firstRow="1" w:lastColumn="0" w:lastRow="0" w:noHBand="0" w:noVBand="1" w:val="04A0"/>
        <w:tblInd w:w="0" w:type="dxa"/>
      </w:tblPr>
      <w:tblGrid>
        <w:gridCol w:w="2232"/>
        <w:gridCol w:w="3571"/>
        <w:gridCol w:w="3557"/>
      </w:tblGrid>
      <w:tr>
        <w:trPr>
          <w:tblHeader w:val="true"/>
          <w:cantSplit/>
        </w:trPr>
        <w:tc>
          <w:tcPr>
            <w:tcW w:type="dxa" w:w="2232"/>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项目</w:t>
            </w:r>
          </w:p>
        </w:tc>
        <w:tc>
          <w:tcPr>
            <w:tcW w:type="dxa" w:w="3571"/>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全期主表</w:t>
            </w:r>
          </w:p>
        </w:tc>
        <w:tc>
          <w:tcPr>
            <w:tcW w:type="dxa" w:w="3557"/>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2000—2023 切片</w:t>
            </w:r>
          </w:p>
        </w:tc>
      </w:tr>
      <w:tr>
        <w:trPr>
          <w:cantSplit/>
        </w:trPr>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7"/>
              </w:rPr>
              <w:t>记录/字段</w:t>
            </w:r>
          </w:p>
        </w:tc>
        <w:tc>
          <w:tcPr>
            <w:tcW w:type="dxa" w:w="3571"/>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381,216×20</w:t>
            </w:r>
          </w:p>
        </w:tc>
        <w:tc>
          <w:tcPr>
            <w:tcW w:type="dxa" w:w="3557"/>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138,624×20</w:t>
            </w:r>
          </w:p>
        </w:tc>
      </w:tr>
      <w:tr>
        <w:trPr>
          <w:cantSplit/>
        </w:trPr>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7"/>
              </w:rPr>
              <w:t>时间范围</w:t>
            </w:r>
          </w:p>
        </w:tc>
        <w:tc>
          <w:tcPr>
            <w:tcW w:type="dxa" w:w="3571"/>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1958—2023（66 年）</w:t>
            </w:r>
          </w:p>
        </w:tc>
        <w:tc>
          <w:tcPr>
            <w:tcW w:type="dxa" w:w="3557"/>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2000—2023（24 年）</w:t>
            </w:r>
          </w:p>
        </w:tc>
      </w:tr>
      <w:tr>
        <w:trPr>
          <w:cantSplit/>
        </w:trPr>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7"/>
              </w:rPr>
              <w:t>经济体与每年行数</w:t>
            </w:r>
          </w:p>
        </w:tc>
        <w:tc>
          <w:tcPr>
            <w:tcW w:type="dxa" w:w="3571"/>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76 个；5,776 行/年</w:t>
            </w:r>
          </w:p>
        </w:tc>
        <w:tc>
          <w:tcPr>
            <w:tcW w:type="dxa" w:w="3557"/>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相同</w:t>
            </w:r>
          </w:p>
        </w:tc>
      </w:tr>
      <w:tr>
        <w:trPr>
          <w:cantSplit/>
        </w:trPr>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7"/>
              </w:rPr>
              <w:t>协定生效行</w:t>
            </w:r>
          </w:p>
        </w:tc>
        <w:tc>
          <w:tcPr>
            <w:tcW w:type="dxa" w:w="3571"/>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71,188</w:t>
            </w:r>
          </w:p>
        </w:tc>
        <w:tc>
          <w:tcPr>
            <w:tcW w:type="dxa" w:w="3557"/>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55,018</w:t>
            </w:r>
          </w:p>
        </w:tc>
      </w:tr>
      <w:tr>
        <w:trPr>
          <w:cantSplit/>
        </w:trPr>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7"/>
              </w:rPr>
              <w:t>国内行</w:t>
            </w:r>
          </w:p>
        </w:tc>
        <w:tc>
          <w:tcPr>
            <w:tcW w:type="dxa" w:w="3571"/>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5,016</w:t>
            </w:r>
          </w:p>
        </w:tc>
        <w:tc>
          <w:tcPr>
            <w:tcW w:type="dxa" w:w="3557"/>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1,824</w:t>
            </w:r>
          </w:p>
        </w:tc>
      </w:tr>
      <w:tr>
        <w:trPr>
          <w:cantSplit/>
        </w:trPr>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7"/>
              </w:rPr>
              <w:t>理想点缺失</w:t>
            </w:r>
          </w:p>
        </w:tc>
        <w:tc>
          <w:tcPr>
            <w:tcW w:type="dxa" w:w="3571"/>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85,842（22.52%）</w:t>
            </w:r>
          </w:p>
        </w:tc>
        <w:tc>
          <w:tcPr>
            <w:tcW w:type="dxa" w:w="3557"/>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7,444（5.37%）</w:t>
            </w:r>
          </w:p>
        </w:tc>
      </w:tr>
      <w:tr>
        <w:trPr>
          <w:cantSplit/>
        </w:trPr>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7"/>
              </w:rPr>
              <w:t>推荐场景</w:t>
            </w:r>
          </w:p>
        </w:tc>
        <w:tc>
          <w:tcPr>
            <w:tcW w:type="dxa" w:w="3571"/>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历史扩展、长时段描述、按需截取</w:t>
            </w:r>
          </w:p>
        </w:tc>
        <w:tc>
          <w:tcPr>
            <w:tcW w:type="dxa" w:w="3557"/>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2000年以来回归和合并</w:t>
            </w:r>
          </w:p>
        </w:tc>
      </w:tr>
      <w:tr>
        <w:trPr>
          <w:cantSplit/>
        </w:trPr>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7"/>
              </w:rPr>
              <w:t>关系</w:t>
            </w:r>
          </w:p>
        </w:tc>
        <w:tc>
          <w:tcPr>
            <w:tcW w:type="dxa" w:w="3571"/>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包含近期切片</w:t>
            </w:r>
          </w:p>
        </w:tc>
        <w:tc>
          <w:tcPr>
            <w:tcW w:type="dxa" w:w="3557"/>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全期表精确子集；不得与主表追加</w:t>
            </w:r>
          </w:p>
        </w:tc>
      </w:tr>
    </w:tbl>
    <w:p>
      <w:pPr>
        <w:spacing w:after="0"/>
      </w:pPr>
    </w:p>
    <w:p>
      <w:pPr>
        <w:pStyle w:val="Heading2"/>
        <w:keepNext/>
        <w:keepLines/>
      </w:pPr>
      <w:r>
        <w:rPr>
          <w:rFonts w:ascii="Calibri" w:hAnsi="Calibri" w:eastAsia="Microsoft YaHei"/>
          <w:b/>
          <w:color w:val="2E74B5"/>
          <w:sz w:val="26"/>
        </w:rPr>
        <w:t>5.2 导师后续研究中的推荐用法</w:t>
      </w:r>
    </w:p>
    <w:p>
      <w:pPr>
        <w:pStyle w:val="ListBullet"/>
        <w:spacing w:before="0" w:after="80" w:line="252" w:lineRule="auto"/>
        <w:ind w:left="317" w:hanging="202"/>
      </w:pPr>
      <w:r>
        <w:rPr>
          <w:rFonts w:ascii="Calibri" w:hAnsi="Calibri" w:eastAsia="Microsoft YaHei"/>
          <w:color w:val="243746"/>
          <w:sz w:val="20"/>
        </w:rPr>
        <w:t>以贸易流、投资流或其他有向双边数据为因变量时，使用 iso_o+iso_d+year 合并；不要用 pair_key+year 直接一对一合并有向表。</w:t>
      </w:r>
    </w:p>
    <w:p>
      <w:pPr>
        <w:pStyle w:val="ListBullet"/>
        <w:spacing w:before="0" w:after="80" w:line="252" w:lineRule="auto"/>
        <w:ind w:left="317" w:hanging="202"/>
      </w:pPr>
      <w:r>
        <w:rPr>
          <w:rFonts w:ascii="Calibri" w:hAnsi="Calibri" w:eastAsia="Microsoft YaHei"/>
          <w:color w:val="243746"/>
          <w:sz w:val="20"/>
        </w:rPr>
        <w:t>研究 2000 年以来的制度性开放效应，优先使用 2000—2023 切片；需要更早历史或自行设定窗口时，从全期主表截取。两表覆盖重叠，绝不能上下追加。</w:t>
      </w:r>
    </w:p>
    <w:p>
      <w:pPr>
        <w:pStyle w:val="ListBullet"/>
        <w:spacing w:before="0" w:after="80" w:line="252" w:lineRule="auto"/>
        <w:ind w:left="317" w:hanging="202"/>
      </w:pPr>
      <w:r>
        <w:rPr>
          <w:rFonts w:ascii="Calibri" w:hAnsi="Calibri" w:eastAsia="Microsoft YaHei"/>
          <w:color w:val="243746"/>
          <w:sz w:val="20"/>
        </w:rPr>
        <w:t>若研究设计只保留无向经济体对，应先明确方向折叠规则并去重，再使用 pair_key+year。国际对的制度变量已验证方向对称。</w:t>
      </w:r>
    </w:p>
    <w:p>
      <w:pPr>
        <w:pStyle w:val="ListBullet"/>
        <w:spacing w:before="0" w:after="80" w:line="252" w:lineRule="auto"/>
        <w:ind w:left="317" w:hanging="202"/>
      </w:pPr>
      <w:r>
        <w:rPr>
          <w:rFonts w:ascii="Calibri" w:hAnsi="Calibri" w:eastAsia="Microsoft YaHei"/>
          <w:color w:val="243746"/>
          <w:sz w:val="20"/>
        </w:rPr>
        <w:t>dummy 表示当年是否存在 DTA 活动协定，raw score 表示经条款权重聚合的制度内容强度；二者回答不同问题，应根据识别策略分别或联合进入模型。</w:t>
      </w:r>
    </w:p>
    <w:p>
      <w:pPr>
        <w:pStyle w:val="ListBullet"/>
        <w:spacing w:before="0" w:after="80" w:line="252" w:lineRule="auto"/>
        <w:ind w:left="317" w:hanging="202"/>
      </w:pPr>
      <w:r>
        <w:rPr>
          <w:rFonts w:ascii="Calibri" w:hAnsi="Calibri" w:eastAsia="Microsoft YaHei"/>
          <w:color w:val="243746"/>
          <w:sz w:val="20"/>
        </w:rPr>
        <w:t>理想点用于政治距离控制时，必须说明缺失处理；不应把国际对缺失默认为 0。</w:t>
      </w:r>
    </w:p>
    <w:p>
      <w:pPr>
        <w:pStyle w:val="Heading2"/>
        <w:keepNext/>
        <w:keepLines/>
      </w:pPr>
      <w:r>
        <w:rPr>
          <w:rFonts w:ascii="Calibri" w:hAnsi="Calibri" w:eastAsia="Microsoft YaHei"/>
          <w:b/>
          <w:color w:val="2E74B5"/>
          <w:sz w:val="26"/>
        </w:rPr>
        <w:t>5.3 字段类别与解释框架</w:t>
      </w:r>
    </w:p>
    <w:tbl>
      <w:tblPr>
        <w:tblStyle w:val="TableGrid"/>
        <w:tblW w:type="dxa" w:w="9360"/>
        <w:jc w:val="center"/>
        <w:tblLayout w:type="fixed"/>
        <w:tblLook w:firstColumn="1" w:firstRow="1" w:lastColumn="0" w:lastRow="0" w:noHBand="0" w:noVBand="1" w:val="04A0"/>
        <w:tblInd w:w="0" w:type="dxa"/>
      </w:tblPr>
      <w:tblGrid>
        <w:gridCol w:w="1800"/>
        <w:gridCol w:w="3816"/>
        <w:gridCol w:w="3744"/>
      </w:tblGrid>
      <w:tr>
        <w:trPr>
          <w:tblHeader w:val="true"/>
          <w:cantSplit/>
        </w:trPr>
        <w:tc>
          <w:tcPr>
            <w:tcW w:type="dxa" w:w="1800"/>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字段类别</w:t>
            </w:r>
          </w:p>
        </w:tc>
        <w:tc>
          <w:tcPr>
            <w:tcW w:type="dxa" w:w="3816"/>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字段</w:t>
            </w:r>
          </w:p>
        </w:tc>
        <w:tc>
          <w:tcPr>
            <w:tcW w:type="dxa" w:w="3744"/>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解释重点</w:t>
            </w:r>
          </w:p>
        </w:tc>
      </w:tr>
      <w:tr>
        <w:trPr>
          <w:cantSplit/>
        </w:trPr>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原始匹配字段</w:t>
            </w:r>
          </w:p>
        </w:tc>
        <w:tc>
          <w:tcPr>
            <w:tcW w:type="dxa" w:w="381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iso_o, iso_d, country_o, country_d</w:t>
            </w:r>
          </w:p>
        </w:tc>
        <w:tc>
          <w:tcPr>
            <w:tcW w:type="dxa" w:w="37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来自 ICIO 样本；保留方向与名称</w:t>
            </w:r>
          </w:p>
        </w:tc>
      </w:tr>
      <w:tr>
        <w:trPr>
          <w:cantSplit/>
        </w:trPr>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面板/键派生</w:t>
            </w:r>
          </w:p>
        </w:tc>
        <w:tc>
          <w:tcPr>
            <w:tcW w:type="dxa" w:w="381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year, pair_a, pair_b, pair_key, is_domestic_pair</w:t>
            </w:r>
          </w:p>
        </w:tc>
        <w:tc>
          <w:tcPr>
            <w:tcW w:type="dxa" w:w="37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构造连续年份及无向匹配键</w:t>
            </w:r>
          </w:p>
        </w:tc>
      </w:tr>
      <w:tr>
        <w:trPr>
          <w:cantSplit/>
        </w:trPr>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协定匹配结果</w:t>
            </w:r>
          </w:p>
        </w:tc>
        <w:tc>
          <w:tcPr>
            <w:tcW w:type="dxa" w:w="381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agreement_applicable, trade_agreement_dummy, num_active_agreements</w:t>
            </w:r>
          </w:p>
        </w:tc>
        <w:tc>
          <w:tcPr>
            <w:tcW w:type="dxa" w:w="37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反映适用性、当年是否有活动协定及数量</w:t>
            </w:r>
          </w:p>
        </w:tc>
      </w:tr>
      <w:tr>
        <w:trPr>
          <w:cantSplit/>
        </w:trPr>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模型结果派生</w:t>
            </w:r>
          </w:p>
        </w:tc>
        <w:tc>
          <w:tcPr>
            <w:tcW w:type="dxa" w:w="381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raw_trade_score, raw_investment_score</w:t>
            </w:r>
          </w:p>
        </w:tc>
        <w:tc>
          <w:tcPr>
            <w:tcW w:type="dxa" w:w="37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条款识别权重经协定和 pair-year 聚合</w:t>
            </w:r>
          </w:p>
        </w:tc>
      </w:tr>
      <w:tr>
        <w:trPr>
          <w:cantSplit/>
        </w:trPr>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回溯与状态</w:t>
            </w:r>
          </w:p>
        </w:tc>
        <w:tc>
          <w:tcPr>
            <w:tcW w:type="dxa" w:w="381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agreement_id_list, WBID_list, rta_name_list, match_status</w:t>
            </w:r>
          </w:p>
        </w:tc>
        <w:tc>
          <w:tcPr>
            <w:tcW w:type="dxa" w:w="37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定位活动协定并解释匹配状态</w:t>
            </w:r>
          </w:p>
        </w:tc>
      </w:tr>
      <w:tr>
        <w:trPr>
          <w:cantSplit/>
        </w:trPr>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外部匹配/元数据</w:t>
            </w:r>
          </w:p>
        </w:tc>
        <w:tc>
          <w:tcPr>
            <w:tcW w:type="dxa" w:w="381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idealpoint_abs_distance, sample_scope</w:t>
            </w:r>
          </w:p>
        </w:tc>
        <w:tc>
          <w:tcPr>
            <w:tcW w:type="dxa" w:w="37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UNGA 政治距离及样本口径</w:t>
            </w:r>
          </w:p>
        </w:tc>
      </w:tr>
    </w:tbl>
    <w:p>
      <w:pPr>
        <w:spacing w:after="0"/>
      </w:pPr>
    </w:p>
    <w:p>
      <w:pPr>
        <w:pStyle w:val="Heading1"/>
        <w:keepNext/>
        <w:keepLines/>
      </w:pPr>
      <w:r>
        <w:rPr>
          <w:rFonts w:ascii="Calibri" w:hAnsi="Calibri" w:eastAsia="Microsoft YaHei"/>
          <w:b/>
          <w:color w:val="2E74B5"/>
          <w:sz w:val="32"/>
        </w:rPr>
        <w:t>六、数据质量检查与结果解释</w:t>
      </w:r>
    </w:p>
    <w:p>
      <w:pPr>
        <w:pStyle w:val="Heading2"/>
        <w:keepNext/>
        <w:keepLines/>
      </w:pPr>
      <w:r>
        <w:rPr>
          <w:rFonts w:ascii="Calibri" w:hAnsi="Calibri" w:eastAsia="Microsoft YaHei"/>
          <w:b/>
          <w:color w:val="2E74B5"/>
          <w:sz w:val="26"/>
        </w:rPr>
        <w:t>6.1 唯一性、完整性与一致性</w:t>
      </w:r>
    </w:p>
    <w:p>
      <w:pPr>
        <w:keepLines w:val="0"/>
        <w:spacing w:before="0" w:after="120" w:line="264" w:lineRule="auto"/>
        <w:ind w:firstLine="420"/>
      </w:pPr>
      <w:r>
        <w:rPr>
          <w:rFonts w:ascii="Calibri" w:hAnsi="Calibri" w:eastAsia="Microsoft YaHei"/>
          <w:color w:val="243746"/>
          <w:sz w:val="21"/>
        </w:rPr>
        <w:t>两份最终表均不存在精确重复，也不存在 iso_o+iso_d+year 主键重复。每个年份都有 5,776 行，等于 76²；全期和近期表分别覆盖 66 年和 24 年，无缺年。国际经济体对的 dummy、分数、协定清单和理想点距离在两个方向完全对称；国内行的 agreement_applicable=0、dummy=0、分数=0、理想点距离=0，状态为 domestic_pair_not_applicable。</w:t>
      </w:r>
    </w:p>
    <w:p>
      <w:pPr>
        <w:keepLines w:val="0"/>
        <w:spacing w:before="0" w:after="120" w:line="264" w:lineRule="auto"/>
        <w:ind w:firstLine="420"/>
      </w:pPr>
      <w:r>
        <w:rPr>
          <w:rFonts w:ascii="Calibri" w:hAnsi="Calibri" w:eastAsia="Microsoft YaHei"/>
          <w:color w:val="243746"/>
          <w:sz w:val="21"/>
        </w:rPr>
        <w:t>全期主表的 trade_agreement_dummy 分布为 0：310,028、1：71,188；近期切片为 0：83,606、1：55,018。match_status 的 no_active_agreement_in_dta 不是匹配失败，而是该国际经济体对在该年没有 DTA 活动协定。</w:t>
      </w:r>
    </w:p>
    <w:p>
      <w:pPr>
        <w:pStyle w:val="Heading2"/>
        <w:keepNext/>
        <w:keepLines/>
      </w:pPr>
      <w:r>
        <w:rPr>
          <w:rFonts w:ascii="Calibri" w:hAnsi="Calibri" w:eastAsia="Microsoft YaHei"/>
          <w:b/>
          <w:color w:val="2E74B5"/>
          <w:sz w:val="26"/>
        </w:rPr>
        <w:t>6.2 缺失值与结构性空值</w:t>
      </w:r>
    </w:p>
    <w:p>
      <w:pPr>
        <w:keepLines w:val="0"/>
        <w:spacing w:before="0" w:after="120" w:line="264" w:lineRule="auto"/>
        <w:ind w:firstLine="420"/>
      </w:pPr>
      <w:r>
        <w:rPr>
          <w:rFonts w:ascii="Calibri" w:hAnsi="Calibri" w:eastAsia="Microsoft YaHei"/>
          <w:color w:val="243746"/>
          <w:sz w:val="21"/>
        </w:rPr>
        <w:t>agreement_id_list、WBID_list、rta_name_list 在无活动协定或国内行时为空：全期各 310,028 条、近期各 83,606 条。这些空值与 dummy=0 完全对应，属于结构性空值，不应当作数据丢失。除理想点外，其他最终字段无实质性缺失。</w:t>
      </w:r>
    </w:p>
    <w:p>
      <w:pPr>
        <w:keepLines w:val="0"/>
        <w:spacing w:before="0" w:after="120" w:line="264" w:lineRule="auto"/>
        <w:ind w:firstLine="420"/>
      </w:pPr>
      <w:r>
        <w:rPr>
          <w:rFonts w:ascii="Calibri" w:hAnsi="Calibri" w:eastAsia="Microsoft YaHei"/>
          <w:color w:val="243746"/>
          <w:sz w:val="21"/>
        </w:rPr>
        <w:t>理想点全期缺失 85,842 条，均为国际行。来源文件没有 UNGA session 19，导致 1964 年 5,700 条国际关系全部缺失；2000—2001 年 CHE、HKG、TWN 无值，每年缺 444 条；2002—2023 年 HKG、TWN 无值，每年缺 298 条。该缺口是来源覆盖问题，不是合并键错误。</w:t>
      </w:r>
    </w:p>
    <w:p>
      <w:pPr>
        <w:pStyle w:val="Heading2"/>
        <w:keepNext/>
        <w:keepLines/>
      </w:pPr>
      <w:r>
        <w:rPr>
          <w:rFonts w:ascii="Calibri" w:hAnsi="Calibri" w:eastAsia="Microsoft YaHei"/>
          <w:b/>
          <w:color w:val="2E74B5"/>
          <w:sz w:val="26"/>
        </w:rPr>
        <w:t>6.3 异常值与语义边界</w:t>
      </w:r>
    </w:p>
    <w:tbl>
      <w:tblPr>
        <w:tblStyle w:val="TableGrid"/>
        <w:tblW w:type="dxa" w:w="9360"/>
        <w:jc w:val="center"/>
        <w:tblLayout w:type="fixed"/>
        <w:tblLook w:firstColumn="1" w:firstRow="1" w:lastColumn="0" w:lastRow="0" w:noHBand="0" w:noVBand="1" w:val="04A0"/>
        <w:tblInd w:w="0" w:type="dxa"/>
      </w:tblPr>
      <w:tblGrid>
        <w:gridCol w:w="2088"/>
        <w:gridCol w:w="1944"/>
        <w:gridCol w:w="1944"/>
        <w:gridCol w:w="3384"/>
      </w:tblGrid>
      <w:tr>
        <w:trPr>
          <w:tblHeader w:val="true"/>
          <w:cantSplit/>
        </w:trPr>
        <w:tc>
          <w:tcPr>
            <w:tcW w:type="dxa" w:w="2088"/>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检查</w:t>
            </w:r>
          </w:p>
        </w:tc>
        <w:tc>
          <w:tcPr>
            <w:tcW w:type="dxa" w:w="1944"/>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全期结果</w:t>
            </w:r>
          </w:p>
        </w:tc>
        <w:tc>
          <w:tcPr>
            <w:tcW w:type="dxa" w:w="1944"/>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近期结果</w:t>
            </w:r>
          </w:p>
        </w:tc>
        <w:tc>
          <w:tcPr>
            <w:tcW w:type="dxa" w:w="3384"/>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判断</w:t>
            </w:r>
          </w:p>
        </w:tc>
      </w:tr>
      <w:tr>
        <w:trPr>
          <w:cantSplit/>
        </w:trPr>
        <w:tc>
          <w:tcPr>
            <w:tcW w:type="dxa" w:w="208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贸易分数范围</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0—412.5；无负值/缺失</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0—412.5；无负值/缺失</w:t>
            </w:r>
          </w:p>
        </w:tc>
        <w:tc>
          <w:tcPr>
            <w:tcW w:type="dxa" w:w="338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非标准化总分，超过1正常</w:t>
            </w:r>
          </w:p>
        </w:tc>
      </w:tr>
      <w:tr>
        <w:trPr>
          <w:cantSplit/>
        </w:trPr>
        <w:tc>
          <w:tcPr>
            <w:tcW w:type="dxa" w:w="208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投资分数范围</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0—128.2；无负值/缺失</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0—128.2；无负值/缺失</w:t>
            </w:r>
          </w:p>
        </w:tc>
        <w:tc>
          <w:tcPr>
            <w:tcW w:type="dxa" w:w="338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非标准化总分</w:t>
            </w:r>
          </w:p>
        </w:tc>
      </w:tr>
      <w:tr>
        <w:trPr>
          <w:cantSplit/>
        </w:trPr>
        <w:tc>
          <w:tcPr>
            <w:tcW w:type="dxa" w:w="208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dummy=1 且两分数均0</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3,714 行</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840 行</w:t>
            </w:r>
          </w:p>
        </w:tc>
        <w:tc>
          <w:tcPr>
            <w:tcW w:type="dxa" w:w="338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有活动协定但所含条款未形成正权重；不是匹配失败</w:t>
            </w:r>
          </w:p>
        </w:tc>
      </w:tr>
      <w:tr>
        <w:trPr>
          <w:cantSplit/>
        </w:trPr>
        <w:tc>
          <w:tcPr>
            <w:tcW w:type="dxa" w:w="208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dummy=0 但分数非0</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0 行</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0 行</w:t>
            </w:r>
          </w:p>
        </w:tc>
        <w:tc>
          <w:tcPr>
            <w:tcW w:type="dxa" w:w="338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逻辑一致</w:t>
            </w:r>
          </w:p>
        </w:tc>
      </w:tr>
      <w:tr>
        <w:trPr>
          <w:cantSplit/>
        </w:trPr>
        <w:tc>
          <w:tcPr>
            <w:tcW w:type="dxa" w:w="208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方向不对称</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0 pair-year</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0 pair-year</w:t>
            </w:r>
          </w:p>
        </w:tc>
        <w:tc>
          <w:tcPr>
            <w:tcW w:type="dxa" w:w="338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匹配变量方向一致</w:t>
            </w:r>
          </w:p>
        </w:tc>
      </w:tr>
      <w:tr>
        <w:trPr>
          <w:cantSplit/>
        </w:trPr>
        <w:tc>
          <w:tcPr>
            <w:tcW w:type="dxa" w:w="208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主键重复</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0</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0</w:t>
            </w:r>
          </w:p>
        </w:tc>
        <w:tc>
          <w:tcPr>
            <w:tcW w:type="dxa" w:w="338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7"/>
              </w:rPr>
              <w:t>唯一键成立</w:t>
            </w:r>
          </w:p>
        </w:tc>
      </w:tr>
    </w:tbl>
    <w:p>
      <w:pPr>
        <w:spacing w:after="0"/>
      </w:pPr>
    </w:p>
    <w:p>
      <w:pPr>
        <w:pStyle w:val="Heading1"/>
        <w:keepNext/>
        <w:keepLines/>
      </w:pPr>
      <w:r>
        <w:rPr>
          <w:rFonts w:ascii="Calibri" w:hAnsi="Calibri" w:eastAsia="Microsoft YaHei"/>
          <w:b/>
          <w:color w:val="2E74B5"/>
          <w:sz w:val="32"/>
        </w:rPr>
        <w:t>七、结果回溯：导师质疑单条记录时如何核查</w:t>
      </w:r>
    </w:p>
    <w:p>
      <w:pPr>
        <w:keepLines w:val="0"/>
        <w:spacing w:before="0" w:after="120" w:line="264" w:lineRule="auto"/>
        <w:ind w:firstLine="420"/>
      </w:pPr>
      <w:r>
        <w:rPr>
          <w:rFonts w:ascii="Calibri" w:hAnsi="Calibri" w:eastAsia="Microsoft YaHei"/>
          <w:color w:val="243746"/>
          <w:sz w:val="21"/>
        </w:rPr>
        <w:t>推荐以最终表中的 iso_o、iso_d、year 为起点，保留原始行快照和文件 SHA，再按以下链条回溯。该路径既可以解释 dummy，也可以解释两项分数、协定清单和理想点。</w:t>
      </w:r>
    </w:p>
    <w:p>
      <w:pPr>
        <w:spacing w:before="0" w:after="100" w:line="259" w:lineRule="auto"/>
        <w:ind w:left="346" w:hanging="216"/>
      </w:pPr>
      <w:r>
        <w:rPr>
          <w:rFonts w:ascii="Calibri" w:hAnsi="Calibri" w:eastAsia="Microsoft YaHei"/>
          <w:b/>
          <w:color w:val="5C6F7B"/>
          <w:sz w:val="20"/>
        </w:rPr>
        <w:t xml:space="preserve">1. </w:t>
      </w:r>
      <w:r>
        <w:rPr>
          <w:rFonts w:ascii="Calibri" w:hAnsi="Calibri" w:eastAsia="Microsoft YaHei"/>
          <w:color w:val="243746"/>
          <w:sz w:val="20"/>
        </w:rPr>
        <w:t>最终定位：在对应最终 CSV 中用 iso_o+iso_d+year 唯一定位记录，核对 country、pair_key、match_status、dummy、分数和活动协定清单。</w:t>
      </w:r>
    </w:p>
    <w:p>
      <w:pPr>
        <w:spacing w:before="0" w:after="100" w:line="259" w:lineRule="auto"/>
        <w:ind w:left="346" w:hanging="216"/>
      </w:pPr>
      <w:r>
        <w:rPr>
          <w:rFonts w:ascii="Calibri" w:hAnsi="Calibri" w:eastAsia="Microsoft YaHei"/>
          <w:b/>
          <w:color w:val="5C6F7B"/>
          <w:sz w:val="20"/>
        </w:rPr>
        <w:t xml:space="preserve">2. </w:t>
      </w:r>
      <w:r>
        <w:rPr>
          <w:rFonts w:ascii="Calibri" w:hAnsi="Calibri" w:eastAsia="Microsoft YaHei"/>
          <w:color w:val="243746"/>
          <w:sz w:val="20"/>
        </w:rPr>
        <w:t>协定有效性：用 pair_key+year 查询 data/interim/bilateral_panel.csv，并与 data/processed/dta_active_agreement_dummy_all_dta_pair_year.csv 核对当年活动 agreement_id、WBID、rta_name 和数量。</w:t>
      </w:r>
    </w:p>
    <w:p>
      <w:pPr>
        <w:spacing w:before="0" w:after="100" w:line="259" w:lineRule="auto"/>
        <w:ind w:left="346" w:hanging="216"/>
      </w:pPr>
      <w:r>
        <w:rPr>
          <w:rFonts w:ascii="Calibri" w:hAnsi="Calibri" w:eastAsia="Microsoft YaHei"/>
          <w:b/>
          <w:color w:val="5C6F7B"/>
          <w:sz w:val="20"/>
        </w:rPr>
        <w:t xml:space="preserve">3. </w:t>
      </w:r>
      <w:r>
        <w:rPr>
          <w:rFonts w:ascii="Calibri" w:hAnsi="Calibri" w:eastAsia="Microsoft YaHei"/>
          <w:color w:val="243746"/>
          <w:sz w:val="20"/>
        </w:rPr>
        <w:t>经济体对分数：在 data/processed/country_pair_year_indices.csv 定位同一 pair-year；确认其分数和清单与最终记录一致。</w:t>
      </w:r>
    </w:p>
    <w:p>
      <w:pPr>
        <w:spacing w:before="0" w:after="100" w:line="259" w:lineRule="auto"/>
        <w:ind w:left="346" w:hanging="216"/>
      </w:pPr>
      <w:r>
        <w:rPr>
          <w:rFonts w:ascii="Calibri" w:hAnsi="Calibri" w:eastAsia="Microsoft YaHei"/>
          <w:b/>
          <w:color w:val="5C6F7B"/>
          <w:sz w:val="20"/>
        </w:rPr>
        <w:t xml:space="preserve">4. </w:t>
      </w:r>
      <w:r>
        <w:rPr>
          <w:rFonts w:ascii="Calibri" w:hAnsi="Calibri" w:eastAsia="Microsoft YaHei"/>
          <w:color w:val="243746"/>
          <w:sz w:val="20"/>
        </w:rPr>
        <w:t>协定分数：按 agreement_id 查询 data/processed/agreement_level_indices.csv；若并存多个协定，按代码的条款覆盖 union/max 规则复算，而不是简单相加协定分数。</w:t>
      </w:r>
    </w:p>
    <w:p>
      <w:pPr>
        <w:spacing w:before="0" w:after="100" w:line="259" w:lineRule="auto"/>
        <w:ind w:left="346" w:hanging="216"/>
      </w:pPr>
      <w:r>
        <w:rPr>
          <w:rFonts w:ascii="Calibri" w:hAnsi="Calibri" w:eastAsia="Microsoft YaHei"/>
          <w:b/>
          <w:color w:val="5C6F7B"/>
          <w:sz w:val="20"/>
        </w:rPr>
        <w:t xml:space="preserve">5. </w:t>
      </w:r>
      <w:r>
        <w:rPr>
          <w:rFonts w:ascii="Calibri" w:hAnsi="Calibri" w:eastAsia="Microsoft YaHei"/>
          <w:color w:val="243746"/>
          <w:sz w:val="20"/>
        </w:rPr>
        <w:t>条款覆盖与权重：用 agreement_id 在 agreement_matrix.csv/long 中取得覆盖的 provision_id，再用 provision_id 查询 final_provision_weights.csv 的 Stage 1/2 最终类型和贸易/投资权重。</w:t>
      </w:r>
    </w:p>
    <w:p>
      <w:pPr>
        <w:spacing w:before="0" w:after="100" w:line="259" w:lineRule="auto"/>
        <w:ind w:left="346" w:hanging="216"/>
      </w:pPr>
      <w:r>
        <w:rPr>
          <w:rFonts w:ascii="Calibri" w:hAnsi="Calibri" w:eastAsia="Microsoft YaHei"/>
          <w:b/>
          <w:color w:val="5C6F7B"/>
          <w:sz w:val="20"/>
        </w:rPr>
        <w:t xml:space="preserve">6. </w:t>
      </w:r>
      <w:r>
        <w:rPr>
          <w:rFonts w:ascii="Calibri" w:hAnsi="Calibri" w:eastAsia="Microsoft YaHei"/>
          <w:color w:val="243746"/>
          <w:sz w:val="20"/>
        </w:rPr>
        <w:t>模型证据：如需解释某条款为何归类，继续查看 stage1a/stage1b/stage2 双模型结果、comparison、conflict_queue 和 arbitration_results；条款原文以 provisions_master.csv 或 final_provision_weights.csv 为准。</w:t>
      </w:r>
    </w:p>
    <w:p>
      <w:pPr>
        <w:spacing w:before="0" w:after="100" w:line="259" w:lineRule="auto"/>
        <w:ind w:left="346" w:hanging="216"/>
      </w:pPr>
      <w:r>
        <w:rPr>
          <w:rFonts w:ascii="Calibri" w:hAnsi="Calibri" w:eastAsia="Microsoft YaHei"/>
          <w:b/>
          <w:color w:val="5C6F7B"/>
          <w:sz w:val="20"/>
        </w:rPr>
        <w:t xml:space="preserve">7. </w:t>
      </w:r>
      <w:r>
        <w:rPr>
          <w:rFonts w:ascii="Calibri" w:hAnsi="Calibri" w:eastAsia="Microsoft YaHei"/>
          <w:color w:val="243746"/>
          <w:sz w:val="20"/>
        </w:rPr>
        <w:t>理想点：按 iso_o/iso_d+year 查询 session—year 映射和 IdealpointestimatesAll_Jun2024.csv，计算绝对差；国内行按规则为0。</w:t>
      </w:r>
    </w:p>
    <w:tbl>
      <w:tblPr>
        <w:tblW w:type="dxa" w:w="9360"/>
        <w:jc w:val="center"/>
        <w:tblLayout w:type="fixed"/>
        <w:tblLook w:firstColumn="1" w:firstRow="1" w:lastColumn="0" w:lastRow="0" w:noHBand="0" w:noVBand="1" w:val="04A0"/>
        <w:tblInd w:w="0" w:type="dxa"/>
      </w:tblPr>
      <w:tblGrid>
        <w:gridCol w:w="9360"/>
      </w:tblGrid>
      <w:tr>
        <w:tc>
          <w:tcPr>
            <w:tcW w:type="dxa" w:w="9360"/>
            <w:shd w:fill="E8F3F2"/>
            <w:tcMar>
              <w:top w:w="120" w:type="dxa"/>
              <w:start w:w="160" w:type="dxa"/>
              <w:bottom w:w="120" w:type="dxa"/>
              <w:end w:w="160" w:type="dxa"/>
            </w:tcMar>
          </w:tcPr>
          <w:p>
            <w:pPr>
              <w:spacing w:after="40"/>
            </w:pPr>
            <w:r/>
            <w:r>
              <w:rPr>
                <w:rFonts w:ascii="Calibri" w:hAnsi="Calibri" w:eastAsia="Microsoft YaHei"/>
                <w:b/>
                <w:color w:val="17324D"/>
                <w:sz w:val="21"/>
              </w:rPr>
              <w:t>回溯键的层级</w:t>
            </w:r>
          </w:p>
          <w:p>
            <w:pPr>
              <w:spacing w:before="0" w:after="0" w:line="259" w:lineRule="auto"/>
            </w:pPr>
            <w:r>
              <w:rPr>
                <w:rFonts w:ascii="Calibri" w:hAnsi="Calibri" w:eastAsia="Microsoft YaHei"/>
                <w:color w:val="243746"/>
                <w:sz w:val="19"/>
              </w:rPr>
              <w:t>最终有向记录：iso_o+iso_d+year；协定匹配：pair_key+year；单份协定：agreement_id；条款证据：agreement_id+provision_id；理想点：iso3+year。pair_key+year 在最终有向表中对国际关系通常对应两个方向，不能作为唯一键。</w:t>
            </w:r>
          </w:p>
        </w:tc>
      </w:tr>
    </w:tbl>
    <w:p>
      <w:pPr>
        <w:spacing w:after="0"/>
      </w:pPr>
    </w:p>
    <w:p>
      <w:pPr>
        <w:pStyle w:val="Heading1"/>
        <w:keepNext/>
        <w:keepLines/>
      </w:pPr>
      <w:r>
        <w:rPr>
          <w:rFonts w:ascii="Calibri" w:hAnsi="Calibri" w:eastAsia="Microsoft YaHei"/>
          <w:b/>
          <w:color w:val="2E74B5"/>
          <w:sz w:val="32"/>
        </w:rPr>
        <w:t>八、不一致、待确认事项与当前判断</w:t>
      </w:r>
    </w:p>
    <w:p>
      <w:pPr>
        <w:keepLines w:val="0"/>
        <w:spacing w:before="0" w:after="120" w:line="264" w:lineRule="auto"/>
        <w:ind w:firstLine="420"/>
      </w:pPr>
      <w:r>
        <w:rPr>
          <w:rFonts w:ascii="Calibri" w:hAnsi="Calibri" w:eastAsia="Microsoft YaHei"/>
          <w:color w:val="243746"/>
          <w:sz w:val="21"/>
        </w:rPr>
        <w:t>以下差异不会改变本次对 current 最终 CSV 的统计事实，但会影响方法叙述、正式复跑或版本治理。其中高严重度项目应在发给导师前确认或修正。</w:t>
      </w:r>
    </w:p>
    <w:tbl>
      <w:tblPr>
        <w:tblStyle w:val="TableGrid"/>
        <w:tblW w:type="dxa" w:w="9360"/>
        <w:jc w:val="center"/>
        <w:tblLayout w:type="fixed"/>
        <w:tblLook w:firstColumn="1" w:firstRow="1" w:lastColumn="0" w:lastRow="0" w:noHBand="0" w:noVBand="1" w:val="04A0"/>
        <w:tblInd w:w="0" w:type="dxa"/>
      </w:tblPr>
      <w:tblGrid>
        <w:gridCol w:w="648"/>
        <w:gridCol w:w="648"/>
        <w:gridCol w:w="1944"/>
        <w:gridCol w:w="3096"/>
        <w:gridCol w:w="3024"/>
      </w:tblGrid>
      <w:tr>
        <w:trPr>
          <w:tblHeader w:val="true"/>
          <w:cantSplit/>
        </w:trPr>
        <w:tc>
          <w:tcPr>
            <w:tcW w:type="dxa" w:w="648"/>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编号</w:t>
            </w:r>
          </w:p>
        </w:tc>
        <w:tc>
          <w:tcPr>
            <w:tcW w:type="dxa" w:w="648"/>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级别</w:t>
            </w:r>
          </w:p>
        </w:tc>
        <w:tc>
          <w:tcPr>
            <w:tcW w:type="dxa" w:w="1944"/>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主题</w:t>
            </w:r>
          </w:p>
        </w:tc>
        <w:tc>
          <w:tcPr>
            <w:tcW w:type="dxa" w:w="3096"/>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当前判断</w:t>
            </w:r>
          </w:p>
        </w:tc>
        <w:tc>
          <w:tcPr>
            <w:tcW w:type="dxa" w:w="3024"/>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建议</w:t>
            </w:r>
          </w:p>
        </w:tc>
      </w:tr>
      <w:tr>
        <w:trPr>
          <w:cantSplit/>
        </w:trPr>
        <w:tc>
          <w:tcPr>
            <w:tcW w:type="dxa" w:w="64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I01</w:t>
            </w:r>
          </w:p>
        </w:tc>
        <w:tc>
          <w:tcPr>
            <w:tcW w:type="dxa" w:w="648"/>
            <w:shd w:fill="FCE8E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高</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Stage 2 最终路线冲突</w:t>
            </w:r>
          </w:p>
        </w:tc>
        <w:tc>
          <w:tcPr>
            <w:tcW w:type="dxa" w:w="30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当前 data/processed 的真实实现更可能是双模型一致+冲突仲裁；单模型稿属于旧版/备选路径。</w:t>
            </w:r>
          </w:p>
        </w:tc>
        <w:tc>
          <w:tcPr>
            <w:tcW w:type="dxa" w:w="302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发导师前确认本轮正式口径是否确为当前双模型版本；若改用单模型，必须重生成全部下游数据。</w:t>
            </w:r>
          </w:p>
        </w:tc>
      </w:tr>
      <w:tr>
        <w:trPr>
          <w:cantSplit/>
        </w:trPr>
        <w:tc>
          <w:tcPr>
            <w:tcW w:type="dxa" w:w="64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I02</w:t>
            </w:r>
          </w:p>
        </w:tc>
        <w:tc>
          <w:tcPr>
            <w:tcW w:type="dxa" w:w="648"/>
            <w:vAlign w:val="top"/>
            <w:tcMar>
              <w:top w:w="70" w:type="dxa"/>
              <w:start w:w="90" w:type="dxa"/>
              <w:bottom w:w="70" w:type="dxa"/>
              <w:end w:w="90" w:type="dxa"/>
            </w:tcMar>
            <w:shd w:fill="FCE8E6"/>
          </w:tcPr>
          <w:p>
            <w:pPr>
              <w:spacing w:before="0" w:after="0" w:line="240" w:lineRule="auto"/>
              <w:jc w:val="left"/>
            </w:pPr>
            <w:r/>
            <w:r>
              <w:rPr>
                <w:rFonts w:ascii="Calibri" w:hAnsi="Calibri" w:eastAsia="Microsoft YaHei"/>
                <w:b w:val="0"/>
                <w:color w:val="243746"/>
                <w:sz w:val="15"/>
              </w:rPr>
              <w:t>高</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单模型流程图模型名称错误</w:t>
            </w:r>
          </w:p>
        </w:tc>
        <w:tc>
          <w:tcPr>
            <w:tcW w:type="dxa" w:w="309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流程图硬编码标签与实际运行不一致；双模型图仅写模型 A/B，不受影响。</w:t>
            </w:r>
          </w:p>
        </w:tc>
        <w:tc>
          <w:tcPr>
            <w:tcW w:type="dxa" w:w="302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若保留单模型图，应先改图；本报告主图采用与 current 结果一致的双模型图。</w:t>
            </w:r>
          </w:p>
        </w:tc>
      </w:tr>
      <w:tr>
        <w:trPr>
          <w:cantSplit/>
        </w:trPr>
        <w:tc>
          <w:tcPr>
            <w:tcW w:type="dxa" w:w="64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I03</w:t>
            </w:r>
          </w:p>
        </w:tc>
        <w:tc>
          <w:tcPr>
            <w:tcW w:type="dxa" w:w="648"/>
            <w:shd w:fill="FCE8E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高</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Stage 1 哈希门控失效</w:t>
            </w:r>
          </w:p>
        </w:tc>
        <w:tc>
          <w:tcPr>
            <w:tcW w:type="dxa" w:w="30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分类值与旧版语义一致，但文件后处理改变了字节内容；当前仓库无法按门控直接复跑 Stage 2。</w:t>
            </w:r>
          </w:p>
        </w:tc>
        <w:tc>
          <w:tcPr>
            <w:tcW w:type="dxa" w:w="302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修复文本后重新生成 Stage 1A/B/总表和 manifests，再核验 Stage 2 输入哈希；不要只手改 SUCCESS。</w:t>
            </w:r>
          </w:p>
        </w:tc>
      </w:tr>
      <w:tr>
        <w:trPr>
          <w:cantSplit/>
        </w:trPr>
        <w:tc>
          <w:tcPr>
            <w:tcW w:type="dxa" w:w="64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I04</w:t>
            </w:r>
          </w:p>
        </w:tc>
        <w:tc>
          <w:tcPr>
            <w:tcW w:type="dxa" w:w="648"/>
            <w:vAlign w:val="top"/>
            <w:tcMar>
              <w:top w:w="70" w:type="dxa"/>
              <w:start w:w="90" w:type="dxa"/>
              <w:bottom w:w="70" w:type="dxa"/>
              <w:end w:w="90" w:type="dxa"/>
            </w:tcMar>
            <w:shd w:fill="FCE8E6"/>
          </w:tcPr>
          <w:p>
            <w:pPr>
              <w:spacing w:before="0" w:after="0" w:line="240" w:lineRule="auto"/>
              <w:jc w:val="left"/>
            </w:pPr>
            <w:r/>
            <w:r>
              <w:rPr>
                <w:rFonts w:ascii="Calibri" w:hAnsi="Calibri" w:eastAsia="Microsoft YaHei"/>
                <w:b w:val="0"/>
                <w:color w:val="243746"/>
                <w:sz w:val="15"/>
              </w:rPr>
              <w:t>高</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Stage 1 文本副本出现 #NAME?</w:t>
            </w:r>
          </w:p>
        </w:tc>
        <w:tc>
          <w:tcPr>
            <w:tcW w:type="dxa" w:w="309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这是结果表副本的文本损坏；当前分类和下游权重未被改变。</w:t>
            </w:r>
          </w:p>
        </w:tc>
        <w:tc>
          <w:tcPr>
            <w:tcW w:type="dxa" w:w="302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回溯时以 provisions_master/final_provision_weights 为文本权威；后续从主表重建 Stage 1 文本列。</w:t>
            </w:r>
          </w:p>
        </w:tc>
      </w:tr>
      <w:tr>
        <w:trPr>
          <w:cantSplit/>
        </w:trPr>
        <w:tc>
          <w:tcPr>
            <w:tcW w:type="dxa" w:w="64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I05</w:t>
            </w:r>
          </w:p>
        </w:tc>
        <w:tc>
          <w:tcPr>
            <w:tcW w:type="dxa" w:w="648"/>
            <w:shd w:fill="FFF1C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中</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2000—2023 文件缺少生成入口</w:t>
            </w:r>
          </w:p>
        </w:tc>
        <w:tc>
          <w:tcPr>
            <w:tcW w:type="dxa" w:w="30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数据上可确认为便利切片；创建动机和正式时间窗选择仍待确认。</w:t>
            </w:r>
          </w:p>
        </w:tc>
        <w:tc>
          <w:tcPr>
            <w:tcW w:type="dxa" w:w="302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将筛选步骤纳入配置/代码与 README，并记录输出哈希。</w:t>
            </w:r>
          </w:p>
        </w:tc>
      </w:tr>
      <w:tr>
        <w:trPr>
          <w:cantSplit/>
        </w:trPr>
        <w:tc>
          <w:tcPr>
            <w:tcW w:type="dxa" w:w="64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I06</w:t>
            </w:r>
          </w:p>
        </w:tc>
        <w:tc>
          <w:tcPr>
            <w:tcW w:type="dxa" w:w="648"/>
            <w:vAlign w:val="top"/>
            <w:tcMar>
              <w:top w:w="70" w:type="dxa"/>
              <w:start w:w="90" w:type="dxa"/>
              <w:bottom w:w="70" w:type="dxa"/>
              <w:end w:w="90" w:type="dxa"/>
            </w:tcMar>
            <w:shd w:fill="FFF1CC"/>
          </w:tcPr>
          <w:p>
            <w:pPr>
              <w:spacing w:before="0" w:after="0" w:line="240" w:lineRule="auto"/>
              <w:jc w:val="left"/>
            </w:pPr>
            <w:r/>
            <w:r>
              <w:rPr>
                <w:rFonts w:ascii="Calibri" w:hAnsi="Calibri" w:eastAsia="Microsoft YaHei"/>
                <w:b w:val="0"/>
                <w:color w:val="243746"/>
                <w:sz w:val="15"/>
              </w:rPr>
              <w:t>中</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载入代码与已存中间表 schema 漂移</w:t>
            </w:r>
          </w:p>
        </w:tc>
        <w:tc>
          <w:tcPr>
            <w:tcW w:type="dxa" w:w="309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代码在数据生成后发生过演进；现有数据不是当前代码的逐字节重跑结果。</w:t>
            </w:r>
          </w:p>
        </w:tc>
        <w:tc>
          <w:tcPr>
            <w:tcW w:type="dxa" w:w="302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决定 canonical schema，并为迁移增加兼容说明/测试。</w:t>
            </w:r>
          </w:p>
        </w:tc>
      </w:tr>
      <w:tr>
        <w:trPr>
          <w:cantSplit/>
        </w:trPr>
        <w:tc>
          <w:tcPr>
            <w:tcW w:type="dxa" w:w="64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I07</w:t>
            </w:r>
          </w:p>
        </w:tc>
        <w:tc>
          <w:tcPr>
            <w:tcW w:type="dxa" w:w="648"/>
            <w:shd w:fill="FFF1C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中</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理想点字段生成链不完整</w:t>
            </w:r>
          </w:p>
        </w:tc>
        <w:tc>
          <w:tcPr>
            <w:tcW w:type="dxa" w:w="30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最终两表的理想点字段可由 current src/14 逐值复算，但其他过程文件很可能由未保存的一次性步骤补列。</w:t>
            </w:r>
          </w:p>
        </w:tc>
        <w:tc>
          <w:tcPr>
            <w:tcW w:type="dxa" w:w="302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将所有需要的理想点合并集中到一份受控脚本，明确哪些输出应包含该列。</w:t>
            </w:r>
          </w:p>
        </w:tc>
      </w:tr>
      <w:tr>
        <w:trPr>
          <w:cantSplit/>
        </w:trPr>
        <w:tc>
          <w:tcPr>
            <w:tcW w:type="dxa" w:w="64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I08</w:t>
            </w:r>
          </w:p>
        </w:tc>
        <w:tc>
          <w:tcPr>
            <w:tcW w:type="dxa" w:w="648"/>
            <w:vAlign w:val="top"/>
            <w:tcMar>
              <w:top w:w="70" w:type="dxa"/>
              <w:start w:w="90" w:type="dxa"/>
              <w:bottom w:w="70" w:type="dxa"/>
              <w:end w:w="90" w:type="dxa"/>
            </w:tcMar>
            <w:shd w:fill="FFF1CC"/>
          </w:tcPr>
          <w:p>
            <w:pPr>
              <w:spacing w:before="0" w:after="0" w:line="240" w:lineRule="auto"/>
              <w:jc w:val="left"/>
            </w:pPr>
            <w:r/>
            <w:r>
              <w:rPr>
                <w:rFonts w:ascii="Calibri" w:hAnsi="Calibri" w:eastAsia="Microsoft YaHei"/>
                <w:b w:val="0"/>
                <w:color w:val="243746"/>
                <w:sz w:val="15"/>
              </w:rPr>
              <w:t>中</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trade_dummy_diagnostics 与代码/最终表不同步</w:t>
            </w:r>
          </w:p>
        </w:tc>
        <w:tc>
          <w:tcPr>
            <w:tcW w:type="dxa" w:w="309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诊断文件未随理想点增强版最终表重跑。</w:t>
            </w:r>
          </w:p>
        </w:tc>
        <w:tc>
          <w:tcPr>
            <w:tcW w:type="dxa" w:w="302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完成端到端脚本后重跑诊断并存档。</w:t>
            </w:r>
          </w:p>
        </w:tc>
      </w:tr>
      <w:tr>
        <w:trPr>
          <w:cantSplit/>
        </w:trPr>
        <w:tc>
          <w:tcPr>
            <w:tcW w:type="dxa" w:w="64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I09</w:t>
            </w:r>
          </w:p>
        </w:tc>
        <w:tc>
          <w:tcPr>
            <w:tcW w:type="dxa" w:w="648"/>
            <w:shd w:fill="FFF1C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中</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理想点源覆盖缺口</w:t>
            </w:r>
          </w:p>
        </w:tc>
        <w:tc>
          <w:tcPr>
            <w:tcW w:type="dxa" w:w="30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属于源数据/实体覆盖问题，不是合并失败；国内对按代码置 0。</w:t>
            </w:r>
          </w:p>
        </w:tc>
        <w:tc>
          <w:tcPr>
            <w:tcW w:type="dxa" w:w="302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导师确认缺失处理规则，并在实证样本表中披露。</w:t>
            </w:r>
          </w:p>
        </w:tc>
      </w:tr>
      <w:tr>
        <w:trPr>
          <w:cantSplit/>
        </w:trPr>
        <w:tc>
          <w:tcPr>
            <w:tcW w:type="dxa" w:w="64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I10</w:t>
            </w:r>
          </w:p>
        </w:tc>
        <w:tc>
          <w:tcPr>
            <w:tcW w:type="dxa" w:w="648"/>
            <w:vAlign w:val="top"/>
            <w:tcMar>
              <w:top w:w="70" w:type="dxa"/>
              <w:start w:w="90" w:type="dxa"/>
              <w:bottom w:w="70" w:type="dxa"/>
              <w:end w:w="90" w:type="dxa"/>
            </w:tcMar>
            <w:shd w:fill="FFF1CC"/>
          </w:tcPr>
          <w:p>
            <w:pPr>
              <w:spacing w:before="0" w:after="0" w:line="240" w:lineRule="auto"/>
              <w:jc w:val="left"/>
            </w:pPr>
            <w:r/>
            <w:r>
              <w:rPr>
                <w:rFonts w:ascii="Calibri" w:hAnsi="Calibri" w:eastAsia="Microsoft YaHei"/>
                <w:b w:val="0"/>
                <w:color w:val="243746"/>
                <w:sz w:val="15"/>
              </w:rPr>
              <w:t>中</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单模型方法稿所称审核包缺失</w:t>
            </w:r>
          </w:p>
        </w:tc>
        <w:tc>
          <w:tcPr>
            <w:tcW w:type="dxa" w:w="309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无法在本项目范围内复核文档所述外部审核证据。</w:t>
            </w:r>
          </w:p>
        </w:tc>
        <w:tc>
          <w:tcPr>
            <w:tcW w:type="dxa" w:w="302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若正式采用单模型路线，补回审核材料及其哈希；否则明确其为旧版归档。</w:t>
            </w:r>
          </w:p>
        </w:tc>
      </w:tr>
      <w:tr>
        <w:trPr>
          <w:cantSplit/>
        </w:trPr>
        <w:tc>
          <w:tcPr>
            <w:tcW w:type="dxa" w:w="64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I11</w:t>
            </w:r>
          </w:p>
        </w:tc>
        <w:tc>
          <w:tcPr>
            <w:tcW w:type="dxa" w:w="648"/>
            <w:shd w:fill="FFF1C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中</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run_metadata 路径乱码且清单不全</w:t>
            </w:r>
          </w:p>
        </w:tc>
        <w:tc>
          <w:tcPr>
            <w:tcW w:type="dxa" w:w="30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哈希/键名仍有参考价值，但路径不能直接用于自动回溯。</w:t>
            </w:r>
          </w:p>
        </w:tc>
        <w:tc>
          <w:tcPr>
            <w:tcW w:type="dxa" w:w="302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以 UTF-8 重写路径元数据，加入相对路径与全部关键输入输出哈希。</w:t>
            </w:r>
          </w:p>
        </w:tc>
      </w:tr>
      <w:tr>
        <w:trPr>
          <w:cantSplit/>
        </w:trPr>
        <w:tc>
          <w:tcPr>
            <w:tcW w:type="dxa" w:w="648"/>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I12</w:t>
            </w:r>
          </w:p>
        </w:tc>
        <w:tc>
          <w:tcPr>
            <w:tcW w:type="dxa" w:w="648"/>
            <w:vAlign w:val="top"/>
            <w:tcMar>
              <w:top w:w="70" w:type="dxa"/>
              <w:start w:w="90" w:type="dxa"/>
              <w:bottom w:w="70" w:type="dxa"/>
              <w:end w:w="90" w:type="dxa"/>
            </w:tcMar>
            <w:shd w:fill="E8F3F2"/>
          </w:tcPr>
          <w:p>
            <w:pPr>
              <w:spacing w:before="0" w:after="0" w:line="240" w:lineRule="auto"/>
              <w:jc w:val="left"/>
            </w:pPr>
            <w:r/>
            <w:r>
              <w:rPr>
                <w:rFonts w:ascii="Calibri" w:hAnsi="Calibri" w:eastAsia="Microsoft YaHei"/>
                <w:b w:val="0"/>
                <w:color w:val="243746"/>
                <w:sz w:val="15"/>
              </w:rPr>
              <w:t>低</w:t>
            </w:r>
          </w:p>
        </w:tc>
        <w:tc>
          <w:tcPr>
            <w:tcW w:type="dxa" w:w="194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README 版本与源文件路径不一致</w:t>
            </w:r>
          </w:p>
        </w:tc>
        <w:tc>
          <w:tcPr>
            <w:tcW w:type="dxa" w:w="309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说明文档滞后。</w:t>
            </w:r>
          </w:p>
        </w:tc>
        <w:tc>
          <w:tcPr>
            <w:tcW w:type="dxa" w:w="302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更新 README 的版本号、实际源文件和新增最终表说明。</w:t>
            </w:r>
          </w:p>
        </w:tc>
      </w:tr>
      <w:tr>
        <w:trPr>
          <w:cantSplit/>
        </w:trPr>
        <w:tc>
          <w:tcPr>
            <w:tcW w:type="dxa" w:w="648"/>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I13</w:t>
            </w:r>
          </w:p>
        </w:tc>
        <w:tc>
          <w:tcPr>
            <w:tcW w:type="dxa" w:w="648"/>
            <w:shd w:fill="E8F3F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低</w:t>
            </w:r>
          </w:p>
        </w:tc>
        <w:tc>
          <w:tcPr>
            <w:tcW w:type="dxa" w:w="194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Stage 1B 冲突率分母不一致</w:t>
            </w:r>
          </w:p>
        </w:tc>
        <w:tc>
          <w:tcPr>
            <w:tcW w:type="dxa" w:w="30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对 Stage 1B 方法质量应使用 eligible 分母 764；10.18% 只能称占全部条款比例。</w:t>
            </w:r>
          </w:p>
        </w:tc>
        <w:tc>
          <w:tcPr>
            <w:tcW w:type="dxa" w:w="302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统一字段名/分母定义。</w:t>
            </w:r>
          </w:p>
        </w:tc>
      </w:tr>
    </w:tbl>
    <w:p>
      <w:pPr>
        <w:spacing w:after="0"/>
      </w:pPr>
    </w:p>
    <w:p>
      <w:pPr>
        <w:pStyle w:val="Heading1"/>
        <w:keepNext/>
        <w:keepLines/>
      </w:pPr>
      <w:r>
        <w:rPr>
          <w:rFonts w:ascii="Calibri" w:hAnsi="Calibri" w:eastAsia="Microsoft YaHei"/>
          <w:b/>
          <w:color w:val="2E74B5"/>
          <w:sz w:val="32"/>
        </w:rPr>
        <w:t>九、阶段性结论与下一步</w:t>
      </w:r>
    </w:p>
    <w:p>
      <w:pPr>
        <w:keepLines w:val="0"/>
        <w:spacing w:before="0" w:after="120" w:line="264" w:lineRule="auto"/>
        <w:ind w:firstLine="420"/>
      </w:pPr>
      <w:r>
        <w:rPr>
          <w:rFonts w:ascii="Calibri" w:hAnsi="Calibri" w:eastAsia="Microsoft YaHei"/>
          <w:color w:val="243746"/>
          <w:sz w:val="21"/>
        </w:rPr>
        <w:t>现阶段已经形成一套可用于导师审阅和后续实证的双边制度性开放数据：条款识别和权重能够追溯到模型与仲裁结果，协定分数能够由覆盖矩阵复算，经济体对—年份指标能够回溯到有效协定，最终两份 CSV 的结构、唯一性和关键逻辑已验证。</w:t>
      </w:r>
    </w:p>
    <w:p>
      <w:pPr>
        <w:keepLines w:val="0"/>
        <w:spacing w:before="0" w:after="120" w:line="264" w:lineRule="auto"/>
        <w:ind w:firstLine="420"/>
      </w:pPr>
      <w:r>
        <w:rPr>
          <w:rFonts w:ascii="Calibri" w:hAnsi="Calibri" w:eastAsia="Microsoft YaHei"/>
          <w:color w:val="243746"/>
          <w:sz w:val="21"/>
        </w:rPr>
        <w:t>在不切换方法版本的前提下，建议把 trade_dummy_icio_all_years.csv 作为唯一历史母表，把 trade_dummy_icio_2000_2023.csv 作为明确标注来源的近期便捷切片；实证前优先处理理想点缺失并冻结本轮数据 SHA。若需正式复跑，应先修复 Stage 1 哈希门控和文本副本，再补齐 2000—2023 切片与 idealpoint 输出的可执行入口。</w:t>
      </w:r>
    </w:p>
    <w:p>
      <w:r>
        <w:br w:type="page"/>
      </w:r>
    </w:p>
    <w:p>
      <w:pPr>
        <w:pStyle w:val="Heading1"/>
        <w:keepNext/>
        <w:keepLines/>
      </w:pPr>
      <w:r>
        <w:rPr>
          <w:rFonts w:ascii="Calibri" w:hAnsi="Calibri" w:eastAsia="Microsoft YaHei"/>
          <w:b/>
          <w:color w:val="2E74B5"/>
          <w:sz w:val="32"/>
        </w:rPr>
        <w:t>附录 A　最终字段字典</w:t>
      </w:r>
    </w:p>
    <w:p>
      <w:pPr>
        <w:keepLines w:val="0"/>
        <w:spacing w:before="0" w:after="120" w:line="264" w:lineRule="auto"/>
      </w:pPr>
      <w:r>
        <w:rPr>
          <w:rFonts w:ascii="Calibri" w:hAnsi="Calibri" w:eastAsia="Microsoft YaHei"/>
          <w:color w:val="243746"/>
          <w:sz w:val="21"/>
        </w:rPr>
        <w:t>两份最终 CSV 共享以下 20 个字段。更细的类型、取值规则、代码位置和核查文件见配套 Excel《数据字段与回溯索引》。</w:t>
      </w:r>
    </w:p>
    <w:tbl>
      <w:tblPr>
        <w:tblStyle w:val="TableGrid"/>
        <w:tblW w:type="dxa" w:w="9360"/>
        <w:jc w:val="center"/>
        <w:tblLayout w:type="fixed"/>
        <w:tblLook w:firstColumn="1" w:firstRow="1" w:lastColumn="0" w:lastRow="0" w:noHBand="0" w:noVBand="1" w:val="04A0"/>
        <w:tblInd w:w="0" w:type="dxa"/>
      </w:tblPr>
      <w:tblGrid>
        <w:gridCol w:w="1800"/>
        <w:gridCol w:w="2232"/>
        <w:gridCol w:w="2664"/>
        <w:gridCol w:w="2664"/>
      </w:tblGrid>
      <w:tr>
        <w:trPr>
          <w:tblHeader w:val="true"/>
          <w:cantSplit/>
        </w:trPr>
        <w:tc>
          <w:tcPr>
            <w:tcW w:type="dxa" w:w="1800"/>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字段</w:t>
            </w:r>
          </w:p>
        </w:tc>
        <w:tc>
          <w:tcPr>
            <w:tcW w:type="dxa" w:w="2232"/>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中文含义/类别</w:t>
            </w:r>
          </w:p>
        </w:tc>
        <w:tc>
          <w:tcPr>
            <w:tcW w:type="dxa" w:w="2664"/>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来源与生成</w:t>
            </w:r>
          </w:p>
        </w:tc>
        <w:tc>
          <w:tcPr>
            <w:tcW w:type="dxa" w:w="2664"/>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使用与注意事项</w:t>
            </w:r>
          </w:p>
        </w:tc>
      </w:tr>
      <w:tr>
        <w:trPr>
          <w:cantSplit/>
        </w:trPr>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iso_o</w:t>
            </w:r>
          </w:p>
        </w:tc>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起点/来源经济体 ISO3 代码（方向保留）</w:t>
              <w:br/>
              <w:t>[原始匹配字段]</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来源：data/need_dummy/icio2019.dta: iso_o</w:t>
              <w:br/>
              <w:t>生成：prepare_icio 规范化别名；面板笛卡尔积保留方向</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规则：76 个 ICIO2019 经济体之一；ROW 已排除</w:t>
              <w:br/>
              <w:t>注意：与 iso_d、year 共同构成推荐唯一键；不可用 pair_a 代替方向。</w:t>
            </w:r>
          </w:p>
        </w:tc>
      </w:tr>
      <w:tr>
        <w:trPr>
          <w:cantSplit/>
        </w:trPr>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iso_d</w:t>
            </w:r>
          </w:p>
        </w:tc>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终点/目的经济体 ISO3 代码（方向保留）</w:t>
              <w:br/>
              <w:t>[原始匹配字段]</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来源：data/need_dummy/icio2019.dta: iso_d</w:t>
              <w:br/>
              <w:t>生成：prepare_icio 规范化别名；面板笛卡尔积保留方向</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规则：76 个 ICIO2019 经济体之一；ROW 已排除</w:t>
              <w:br/>
              <w:t>注意：与 iso_o、year 共同构成推荐唯一键。</w:t>
            </w:r>
          </w:p>
        </w:tc>
      </w:tr>
      <w:tr>
        <w:trPr>
          <w:cantSplit/>
        </w:trPr>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country_o</w:t>
            </w:r>
          </w:p>
        </w:tc>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起点经济体中文名称</w:t>
              <w:br/>
              <w:t>[原始描述字段]</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来源：data/need_dummy/icio2019.dta: country_o/country_d</w:t>
              <w:br/>
              <w:t>生成：build_icio_economy_sample 汇总稳定名称后映射</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规则：每个 iso_o 在样本内唯一映射一个名称</w:t>
              <w:br/>
              <w:t>注意：展示用；合并和唯一识别优先使用 ISO3 代码。</w:t>
            </w:r>
          </w:p>
        </w:tc>
      </w:tr>
      <w:tr>
        <w:trPr>
          <w:cantSplit/>
        </w:trPr>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country_d</w:t>
            </w:r>
          </w:p>
        </w:tc>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终点经济体中文名称</w:t>
              <w:br/>
              <w:t>[原始描述字段]</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来源：data/need_dummy/icio2019.dta: country_o/country_d</w:t>
              <w:br/>
              <w:t>生成：build_icio_economy_sample 汇总稳定名称后映射</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规则：每个 iso_d 在样本内唯一映射一个名称</w:t>
              <w:br/>
              <w:t>注意：展示用；合并和唯一识别优先使用 ISO3 代码。</w:t>
            </w:r>
          </w:p>
        </w:tc>
      </w:tr>
      <w:tr>
        <w:trPr>
          <w:cantSplit/>
        </w:trPr>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year</w:t>
            </w:r>
          </w:p>
        </w:tc>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观测年份</w:t>
              <w:br/>
              <w:t>[面板派生字段]</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来源：data/interim/bilateral_panel.csv: year 的最小—最大范围</w:t>
              <w:br/>
              <w:t>生成：build_icio_economies_all_years_panel 生成连续年份序列</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规则：全期 1958—2023；子集 2000—2023</w:t>
              <w:br/>
              <w:t>注意：理想点年份按 UNGA session 映射，概念上并非每次投票的精确日历年份。</w:t>
            </w:r>
          </w:p>
        </w:tc>
      </w:tr>
      <w:tr>
        <w:trPr>
          <w:cantSplit/>
        </w:trPr>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pair_a</w:t>
            </w:r>
          </w:p>
        </w:tc>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无向经济体对中按字典序较小的 ISO3</w:t>
              <w:br/>
              <w:t>[派生键字段]</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来源：iso_o、iso_d</w:t>
              <w:br/>
              <w:t>生成：make_pair_key</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规则：min(iso_o, iso_d)</w:t>
              <w:br/>
              <w:t>注意：用于无向匹配；国际记录在两个方向共享同一 pair_a。</w:t>
            </w:r>
          </w:p>
        </w:tc>
      </w:tr>
      <w:tr>
        <w:trPr>
          <w:cantSplit/>
        </w:trPr>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pair_b</w:t>
            </w:r>
          </w:p>
        </w:tc>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无向经济体对中按字典序较大的 ISO3</w:t>
              <w:br/>
              <w:t>[派生键字段]</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来源：iso_o、iso_d</w:t>
              <w:br/>
              <w:t>生成：make_pair_key</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规则：max(iso_o, iso_d)</w:t>
              <w:br/>
              <w:t>注意：用于无向匹配。</w:t>
            </w:r>
          </w:p>
        </w:tc>
      </w:tr>
      <w:tr>
        <w:trPr>
          <w:cantSplit/>
        </w:trPr>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pair_key</w:t>
            </w:r>
          </w:p>
        </w:tc>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无向经济体对键</w:t>
              <w:br/>
              <w:t>[派生键字段]</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来源：pair_a、pair_b</w:t>
              <w:br/>
              <w:t>生成：make_pair_key</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规则：pair_a + '__' + pair_b</w:t>
              <w:br/>
              <w:t>注意：pair_key+year 对国际有向表不是唯一键（通常两个方向）；无向分析需先去重/聚合。</w:t>
            </w:r>
          </w:p>
        </w:tc>
      </w:tr>
      <w:tr>
        <w:trPr>
          <w:cantSplit/>
        </w:trPr>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is_domestic_pair</w:t>
            </w:r>
          </w:p>
        </w:tc>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是否为同一经济体的国内对</w:t>
              <w:br/>
              <w:t>[派生标志]</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来源：iso_o、iso_d</w:t>
              <w:br/>
              <w:t>生成：make_pair_key</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规则：iso_o == iso_d 时为 1</w:t>
              <w:br/>
              <w:t>注意：国内行的协定不适用、dummy 与两项分数均置 0，理想点距离置 0。</w:t>
            </w:r>
          </w:p>
        </w:tc>
      </w:tr>
      <w:tr>
        <w:trPr>
          <w:cantSplit/>
        </w:trPr>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agreement_applicable</w:t>
            </w:r>
          </w:p>
        </w:tc>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该经济体对是否适用国际协定匹配逻辑</w:t>
              <w:br/>
              <w:t>[派生适用性标志]</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来源：ISO3 有效性、is_domestic_pair</w:t>
              <w:br/>
              <w:t>生成：attach_agreement_data</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规则：两个 ISO3 有效且非国内对时为 1</w:t>
              <w:br/>
              <w:t>注意：本样本所有代码有效，因此等于 1-is_domestic_pair。</w:t>
            </w:r>
          </w:p>
        </w:tc>
      </w:tr>
      <w:tr>
        <w:trPr>
          <w:cantSplit/>
        </w:trPr>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trade_agreement_dummy</w:t>
            </w:r>
          </w:p>
        </w:tc>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该无向经济体对在该年是否存在至少一个 DTA 活跃协定</w:t>
              <w:br/>
              <w:t>[协定匹配结果]</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来源：data/interim/bilateral_panel.csv 经 pair_key+year 聚合</w:t>
              <w:br/>
              <w:t>生成：prepare_active_agreements → attach_agreement_data</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规则：匹配到 active pair-year 时为 1；否则或国内对为 0</w:t>
              <w:br/>
              <w:t>注意：dummy=1 不保证分数为正；协定可能未覆盖正权重条款。</w:t>
            </w:r>
          </w:p>
        </w:tc>
      </w:tr>
      <w:tr>
        <w:trPr>
          <w:cantSplit/>
        </w:trPr>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raw_trade_score</w:t>
            </w:r>
          </w:p>
        </w:tc>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活跃协定集合的未标准化制度型贸易开放原始分数</w:t>
              <w:br/>
              <w:t>[模型结果聚合派生变量]</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来源：country_pair_year_indices.csv；上游 final_provision_weights.csv + agreement_matrix.csv</w:t>
              <w:br/>
              <w:t>生成：10_finalize_weights → 11_compute_agreement_indices → 12_compute_country_pair_indices(union) → 14 attach</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规则：各条款最大覆盖度 × effective_trade_weight 后求和；无协定/国内对为 0</w:t>
              <w:br/>
              <w:t>注意：不是 0—1 指数，数值可大于 1；多个活跃协定按条款最大覆盖度取并集，避免重复计数。</w:t>
            </w:r>
          </w:p>
        </w:tc>
      </w:tr>
      <w:tr>
        <w:trPr>
          <w:cantSplit/>
        </w:trPr>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raw_investment_score</w:t>
            </w:r>
          </w:p>
        </w:tc>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活跃协定集合的未标准化制度型投资开放原始分数</w:t>
              <w:br/>
              <w:t>[模型结果聚合派生变量]</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来源：country_pair_year_indices.csv；上游 final_provision_weights.csv + agreement_matrix.csv</w:t>
              <w:br/>
              <w:t>生成：10_finalize_weights → 11_compute_agreement_indices → 12_compute_country_pair_indices(union) → 14 attach</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规则：各条款最大覆盖度 × effective_investment_weight 后求和；无协定/国内对为 0</w:t>
              <w:br/>
              <w:t>注意：不是 0—1 指数；解释为原始覆盖加权总量。</w:t>
            </w:r>
          </w:p>
        </w:tc>
      </w:tr>
      <w:tr>
        <w:trPr>
          <w:cantSplit/>
        </w:trPr>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num_active_agreements</w:t>
            </w:r>
          </w:p>
        </w:tc>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该无向经济体对在该年的不同活跃协定数</w:t>
              <w:br/>
              <w:t>[协定匹配结果]</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来源：data/interim/bilateral_panel.csv: agreement_id</w:t>
              <w:br/>
              <w:t>生成：prepare_active_agreements groupby(pair_key,year)</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规则：agreement_id 的去重计数；无协定/国内对为 0</w:t>
              <w:br/>
              <w:t>注意：当前最大值 9；与 agreement_id_list 的条目数一致。</w:t>
            </w:r>
          </w:p>
        </w:tc>
      </w:tr>
      <w:tr>
        <w:trPr>
          <w:cantSplit/>
        </w:trPr>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agreement_id_list</w:t>
            </w:r>
          </w:p>
        </w:tc>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活跃协定内部 ID 清单</w:t>
              <w:br/>
              <w:t>[回溯标识字段]</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来源：data/interim/bilateral_panel.csv: agreement_id</w:t>
              <w:br/>
              <w:t>生成：prepare_active_agreements: stable_unique_join</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规则：稳定去重并以 '; ' 连接</w:t>
              <w:br/>
              <w:t>注意：空值只出现在无活跃协定或国内对；是回溯 agreement_matrix 的首选入口。</w:t>
            </w:r>
          </w:p>
        </w:tc>
      </w:tr>
      <w:tr>
        <w:trPr>
          <w:cantSplit/>
        </w:trPr>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WBID_list</w:t>
            </w:r>
          </w:p>
        </w:tc>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活跃协定的 World Bank ID 清单</w:t>
              <w:br/>
              <w:t>[回溯标识字段]</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来源：data/interim/bilateral_panel.csv: WBID</w:t>
              <w:br/>
              <w:t>生成：prepare_active_agreements: stable_unique_join</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规则：稳定去重并以 '; ' 连接</w:t>
              <w:br/>
              <w:t>注意：可回到 agreements_master / 原始 Agreements 工作表。</w:t>
            </w:r>
          </w:p>
        </w:tc>
      </w:tr>
      <w:tr>
        <w:trPr>
          <w:cantSplit/>
        </w:trPr>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rta_name_list</w:t>
            </w:r>
          </w:p>
        </w:tc>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活跃协定名称清单</w:t>
              <w:br/>
              <w:t>[展示与回溯字段]</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来源：data/interim/bilateral_panel.csv: rta_name</w:t>
              <w:br/>
              <w:t>生成：prepare_active_agreements: stable_unique_join</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规则：稳定去重并以 '; ' 连接</w:t>
              <w:br/>
              <w:t>注意：用于阅读；精确回溯仍以 agreement_id_list 为准。</w:t>
            </w:r>
          </w:p>
        </w:tc>
      </w:tr>
      <w:tr>
        <w:trPr>
          <w:cantSplit/>
        </w:trPr>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match_status</w:t>
            </w:r>
          </w:p>
        </w:tc>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该行的协定匹配状态</w:t>
              <w:br/>
              <w:t>[派生质量标志]</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来源：代码有效性、国内标志、dummy</w:t>
              <w:br/>
              <w:t>生成：attach_agreement_data: np.select</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规则：invalid_country_code / domestic_pair_not_applicable / matched_active_agreement / no_active_agreement_in_dta</w:t>
              <w:br/>
              <w:t>注意：当前最终表实际出现后三类中的 domestic、matched、no_active；无 invalid。</w:t>
            </w:r>
          </w:p>
        </w:tc>
      </w:tr>
      <w:tr>
        <w:trPr>
          <w:cantSplit/>
        </w:trPr>
        <w:tc>
          <w:tcPr>
            <w:tcW w:type="dxa" w:w="1800"/>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idealpoint_abs_distance</w:t>
            </w:r>
          </w:p>
        </w:tc>
        <w:tc>
          <w:tcPr>
            <w:tcW w:type="dxa" w:w="223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同年两经济体 UNGA 动态理想点的绝对距离</w:t>
              <w:br/>
              <w:t>[外部匹配派生变量]</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来源：ideapoint/IdealpointestimatesAll_Jun2024.csv + AgreementScoresAll_Jun2024.csv 的 session—year 映射</w:t>
              <w:br/>
              <w:t>生成：load_idealpoint_country_year → attach_idealpoint_distance</w:t>
            </w:r>
          </w:p>
        </w:tc>
        <w:tc>
          <w:tcPr>
            <w:tcW w:type="dxa" w:w="26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规则：abs(idealpoint_o - idealpoint_d)；国内对强制为 0</w:t>
              <w:br/>
              <w:t>注意：HKG、TWN 全期缺失；CHE 在 2000—2001 缺失；1964 年源文件缺 session 19，国际对全部缺失。</w:t>
            </w:r>
          </w:p>
        </w:tc>
      </w:tr>
      <w:tr>
        <w:trPr>
          <w:cantSplit/>
        </w:trPr>
        <w:tc>
          <w:tcPr>
            <w:tcW w:type="dxa" w:w="1800"/>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5"/>
              </w:rPr>
              <w:t>sample_scope</w:t>
            </w:r>
          </w:p>
        </w:tc>
        <w:tc>
          <w:tcPr>
            <w:tcW w:type="dxa" w:w="223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样本口径标签</w:t>
              <w:br/>
              <w:t>[派生元数据]</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来源：代码常量 ICIO_SAMPLE_SCOPE</w:t>
              <w:br/>
              <w:t>生成：build_icio_economies_all_years_panel</w:t>
            </w:r>
          </w:p>
        </w:tc>
        <w:tc>
          <w:tcPr>
            <w:tcW w:type="dxa" w:w="26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5"/>
              </w:rPr>
              <w:t>规则：ICIO2019_economies_excluding_ROW</w:t>
              <w:br/>
              <w:t>注意：明确表中只含 76 个 ICIO2019 经济体而非全部 211 个 DTA 经济体。</w:t>
            </w:r>
          </w:p>
        </w:tc>
      </w:tr>
    </w:tbl>
    <w:p>
      <w:pPr>
        <w:spacing w:after="0"/>
      </w:pPr>
    </w:p>
    <w:p>
      <w:pPr>
        <w:pStyle w:val="Heading1"/>
        <w:keepNext/>
        <w:keepLines/>
      </w:pPr>
      <w:r>
        <w:rPr>
          <w:rFonts w:ascii="Calibri" w:hAnsi="Calibri" w:eastAsia="Microsoft YaHei"/>
          <w:b/>
          <w:color w:val="2E74B5"/>
          <w:sz w:val="32"/>
        </w:rPr>
        <w:t>附录 B　过程文件索引</w:t>
      </w:r>
    </w:p>
    <w:p>
      <w:pPr>
        <w:keepLines w:val="0"/>
        <w:spacing w:before="0" w:after="120" w:line="264" w:lineRule="auto"/>
      </w:pPr>
      <w:r>
        <w:rPr>
          <w:rFonts w:ascii="Calibri" w:hAnsi="Calibri" w:eastAsia="Microsoft YaHei"/>
          <w:color w:val="243746"/>
          <w:sz w:val="21"/>
        </w:rPr>
        <w:t>本表列出本次实际核查的重要文件及其适用场景；完整已检查文件清单保存在《材料核查记录》。</w:t>
      </w:r>
    </w:p>
    <w:tbl>
      <w:tblPr>
        <w:tblStyle w:val="TableGrid"/>
        <w:tblW w:type="dxa" w:w="9360"/>
        <w:jc w:val="center"/>
        <w:tblLayout w:type="fixed"/>
        <w:tblLook w:firstColumn="1" w:firstRow="1" w:lastColumn="0" w:lastRow="0" w:noHBand="0" w:noVBand="1" w:val="04A0"/>
        <w:tblInd w:w="0" w:type="dxa"/>
      </w:tblPr>
      <w:tblGrid>
        <w:gridCol w:w="2952"/>
        <w:gridCol w:w="1656"/>
        <w:gridCol w:w="2376"/>
        <w:gridCol w:w="2376"/>
      </w:tblGrid>
      <w:tr>
        <w:trPr>
          <w:tblHeader w:val="true"/>
          <w:cantSplit/>
        </w:trPr>
        <w:tc>
          <w:tcPr>
            <w:tcW w:type="dxa" w:w="2952"/>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文件</w:t>
            </w:r>
          </w:p>
        </w:tc>
        <w:tc>
          <w:tcPr>
            <w:tcW w:type="dxa" w:w="1656"/>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层级/规模</w:t>
            </w:r>
          </w:p>
        </w:tc>
        <w:tc>
          <w:tcPr>
            <w:tcW w:type="dxa" w:w="2376"/>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用途</w:t>
            </w:r>
          </w:p>
        </w:tc>
        <w:tc>
          <w:tcPr>
            <w:tcW w:type="dxa" w:w="2376"/>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核查场景</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data/raw/DTA 2.0 - Vertical Content (v2)_code.xlsx</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原始输入</w:t>
              <w:br/>
              <w:t>5 sheets；STATA 1,071×404；Agreements 400×24；Bilateral 294,165×9</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当前配置实际读取的 DTA 原始工作簿，包含 Provision译文列。</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重建全部中间表、核对原始条款/协定/双边覆盖</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data/raw/DTA 2.0 - Vertical Content (v2).xlsx</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原始参考</w:t>
              <w:br/>
              <w:t>5 sheets；STATA 1,071×403</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不含 Provision译文；README 指向它但 config 未使用。</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确认 README 与配置的源文件差异</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data/need_dummy/icio2019.dta</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原始输入</w:t>
              <w:br/>
              <w:t>118,580×8；77×77 对、每对 20 行行业</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ICIO2019 经济体代码、名称及流量结构来源；最终仅借用经济体样本与名称。</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检查 76 经济体样本、ROW 排除、2019 交叉核查</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ideapoint/IdealpointestimatesAll_Jun2024.csv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外部输入</w:t>
              <w:br/>
              <w:t>11,238×20</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国家—UNGA session 动态理想点；代码使用 ccode/session/IdealPointAll/iso3c。</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复算 idealpoint_abs_distance、检查国家—年份覆盖</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ideapoint/AgreementScoresAll_Jun2024.csv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外部输入</w:t>
              <w:br/>
              <w:t>1,800,294×11</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代码使用 session.x—year 唯一映射；不直接采用其 dyadic 距离列。</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检查 session-year 映射和 1964/session 19 缺口</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ideapoint/Codebook.docx</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外部说明</w:t>
              <w:br/>
              <w:t>108 paragraphs</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说明理想点均值 0/标准差 1、年份按 session、可计算绝对距离。</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解释变量含义和年份口径</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ideapoint/与中国理想点距离.dta</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旁支参考</w:t>
              <w:br/>
              <w:t>9,132×4</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对华理想点距离现成表；当前代码未调用。</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避免误认为最终变量来自此文件</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data/interim/provisions_master.csv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基础中间表</w:t>
              <w:br/>
              <w:t>1,071×5</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P0001—P1071 条款主表。</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按 provision_id 查原始文本、领域、编码</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data/interim/agreement_matrix.csv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基础中间表</w:t>
              <w:br/>
              <w:t>400×1,072</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协议×条款覆盖矩阵；当前值仅 0/1。</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复算协议和 pair-year 分数</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data/interim/agreement_provision_long.csv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基础中间表</w:t>
              <w:br/>
              <w:t>428,400×3</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覆盖矩阵长表；实际值列名 included。</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按 agreement_id+provision_id 查覆盖</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data/interim/agreements_master.csv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基础中间表</w:t>
              <w:br/>
              <w:t>400×28</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协议名称、WBID、签署/生效、类型等元数据。</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从 agreement_id/WBID 回到协议信息</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data/interim/bilateral_panel.csv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基础中间表</w:t>
              <w:br/>
              <w:t>293,949×10；1958—2023</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协议—经济体方向—年份活跃覆盖表；397 个协议、211 个 ISO。</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确认活跃年份、经济体双方和多协议重叠</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data/interim/stage1/stage1a/stage1a_model_a_results.csv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模型输出</w:t>
              <w:br/>
              <w:t>1,071×23</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1A 模型 A 的二元判断、理由、置信度、原始响应与哈希。</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查看单条模型 A 判断</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data/interim/stage1/stage1a/stage1a_model_b_results.csv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模型输出</w:t>
              <w:br/>
              <w:t>1,071×23</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1A 模型 B 的二元判断。</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查看单条模型 B 判断</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data/interim/stage1/stage1a/stage1a_dual_model_comparison.csv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比较输出</w:t>
              <w:br/>
              <w:t>1,071×多列</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1A 双模型并排与冲突标志。</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确认一致/冲突及双方理由</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data/interim/stage1/stage1a/stage1a_conflict_queue.csv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冲突队列</w:t>
              <w:br/>
              <w:t>103×多列</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1A 需仲裁条款。</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定位 Stage 1A 冲突</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data/interim/stage1/stage1a/stage1a_arbitration_results.csv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仲裁输出</w:t>
              <w:br/>
              <w:t>103×18</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GLM-5 Stage 1A 仲裁结果。</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确认冲突最终依据</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data/processed/stage1a_final_classification.csv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阶段结果</w:t>
              <w:br/>
              <w:t>1,071×41</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1A 最终分类；当前有 35 个 provision_text=#NAME?。</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分类可查，但文本应回到 provisions_master/final weights</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data/interim/stage1/stage1b/stage1b_model_a_results.csv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模型输出</w:t>
              <w:br/>
              <w:t>764×24</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1B 模型 A 四维度判断。</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查看维度候选</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data/interim/stage1/stage1b/stage1b_model_b_results.csv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模型输出</w:t>
              <w:br/>
              <w:t>764×24</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1B 模型 B 四维度判断。</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查看维度候选</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data/interim/stage1/stage1b/stage1b_dual_model_comparison.csv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比较输出</w:t>
              <w:br/>
              <w:t>764×多列</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1B 双模型比较。</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确认 655 一致/109 冲突</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data/interim/stage1/stage1b/stage1b_conflict_queue.csv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冲突队列</w:t>
              <w:br/>
              <w:t>109×多列</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1B 需仲裁条款。</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定位维度冲突</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data/interim/stage1/stage1b/stage1b_arbitration_results.csv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仲裁输出</w:t>
              <w:br/>
              <w:t>109×19</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GLM-5 Stage 1B 仲裁结果。</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确认最终维度依据</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data/processed/stage1b_final_classification.csv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阶段结果</w:t>
              <w:br/>
              <w:t>764×44</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1B 最终维度；当前有 22 个 provision_text=#NAME?。</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分类可查，文本回到条款主表</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data/processed/stage1_final_classification.csv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阶段结果</w:t>
              <w:br/>
              <w:t>1,071×95</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1A/1B 合并结果；当前哈希与 manifest 不一致。</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查看制度性和维度的总决策链</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data/interim/stage2/stage2_model_a_results.csv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模型输出</w:t>
              <w:br/>
              <w:t>764×28</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DeepSeek-v4-pro 的 mp/tr/both/none 和权重。</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查看 Stage 2 模型 A</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data/interim/stage2/stage2_model_b_results.csv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模型输出</w:t>
              <w:br/>
              <w:t>764×28</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qwen3.7-plus 的 mp/tr/both/none 和权重。</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查看 Stage 2 模型 B</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data/interim/stage2/stage2_dual_model_comparison.csv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比较输出</w:t>
              <w:br/>
              <w:t>764×125</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682 一致、82 类型冲突；both 权重差单列。</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确认当前双模型实际路径</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data/interim/stage2/stage2_type_conflict_queue.csv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冲突队列</w:t>
              <w:br/>
              <w:t>82×多列</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2 类型冲突。</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定位需要仲裁的条款</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data/interim/stage2/stage2_arbitration_results.csv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仲裁输出</w:t>
              <w:br/>
              <w:t>82×20</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GLM-5 的最终渠道和权重。</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确认冲突最终结果</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data/interim/stage2/stage2_manual_review_queue.csv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人工队列</w:t>
              <w:br/>
              <w:t>0×134</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当前正式流水线没有待人工完成的 Stage 2 条款。</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检查是否有人审覆盖</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data/processed/final_provision_weights.csv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核心阶段结果</w:t>
              <w:br/>
              <w:t>1,071×115</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当前正式条款权重；实际是双模型一致+仲裁。</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从最终分数追溯到条款分类和权重</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data/processed/agreement_level_indices.csv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聚合结果</w:t>
              <w:br/>
              <w:t>400×56</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协议层贸易/投资原始分数及维度覆盖统计。</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检查单个协议分数</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data/processed/country_pair_year_indices.csv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聚合结果</w:t>
              <w:br/>
              <w:t>246,917×19</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有活跃协定的经济体对—年份 union 分数；有向行。</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检查 pair-year 原始分数和协议清单</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data/processed/dta_active_agreement_dummy_all_dta_pair_year.csv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匹配结果</w:t>
              <w:br/>
              <w:t>123,488×12</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无向活跃 DTA pair-year 主表。</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从最终行回溯最直接的中间文件</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data/processed/trade_dummy_icio2019.csv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匹配结果</w:t>
              <w:br/>
              <w:t>5,929×19</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77×77（含 ROW）的 2019 交叉核查表。</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核对最终 2019 切片；76 经济体部分逐值一致</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data/processed/trade_dummy_icio_all_years.csv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最终结果</w:t>
              <w:br/>
              <w:t>381,216×20</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76×76×66 全期最终面板。</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历史主表</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data/processed/trade_dummy_icio_2000_2023.csv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最终结果</w:t>
              <w:br/>
              <w:t>138,624×20</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全期表的 2000—2023 精确切片。</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近期实证工作表</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data/processed/trade_dummy_union_panel.csv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扩展结果</w:t>
              <w:br/>
              <w:t>1,476,156×15</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212 个 DTA/ICIO 并集经济体的无向 pair-year 扩展表。</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需要超出 ICIO76 样本时参考；非导师主线最终表</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data/processed/trade_dummy_diagnostics.csv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质量诊断</w:t>
              <w:br/>
              <w:t>36×2</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ICIO、DTA、最终面板行数/范围/交叉核查；当前未包含新理想点指标。</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核查范围与 ROW 排除</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data/processed/trade_dummy_code_mismatch.csv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质量诊断</w:t>
              <w:br/>
              <w:t>136×4</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ICIO 的 ROW 不在 DTA；135 个 DTA 代码不在 ICIO。</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解释 76 样本不是全部 DTA 经济体</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data/processed/diagnostics_summary.csv</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质量诊断</w:t>
              <w:br/>
              <w:t>1×72</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1/2 成功、冲突、仲裁、权重有效性汇总。</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确认当前正式路径是双模型</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manifests/stage1a_manifest.json；stage1b_manifest.json；stage1_manifest.json</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审计元数据</w:t>
              <w:br/>
              <w:t>3 files</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Stage 1 哈希、模型、提示词版本与统计。</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检查门控与文件版本；当前哈希已失效</w:t>
            </w:r>
          </w:p>
        </w:tc>
      </w:tr>
      <w:tr>
        <w:trPr>
          <w:cantSplit/>
        </w:trPr>
        <w:tc>
          <w:tcPr>
            <w:tcW w:type="dxa" w:w="2952"/>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logs/run_metadata.json</w:t>
            </w:r>
          </w:p>
        </w:tc>
        <w:tc>
          <w:tcPr>
            <w:tcW w:type="dxa" w:w="165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审计元数据</w:t>
              <w:br/>
              <w:t>1 file</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原始数据哈希和输出路径清单。</w:t>
            </w:r>
          </w:p>
        </w:tc>
        <w:tc>
          <w:tcPr>
            <w:tcW w:type="dxa" w:w="2376"/>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路径文本有乱码，且未登记 2000—2023 表</w:t>
            </w:r>
          </w:p>
        </w:tc>
      </w:tr>
      <w:tr>
        <w:trPr>
          <w:cantSplit/>
        </w:trPr>
        <w:tc>
          <w:tcPr>
            <w:tcW w:type="dxa" w:w="2952"/>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old data/data_6_29_10.73%_单模型/processed/final_provision_weights.csv</w:t>
            </w:r>
          </w:p>
        </w:tc>
        <w:tc>
          <w:tcPr>
            <w:tcW w:type="dxa" w:w="165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旧版归档</w:t>
              <w:br/>
              <w:t>1,071×多列</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单模型 B 旧版最终权重，SHA 与中文单模型方法稿一致。</w:t>
            </w:r>
          </w:p>
        </w:tc>
        <w:tc>
          <w:tcPr>
            <w:tcW w:type="dxa" w:w="237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4"/>
              </w:rPr>
              <w:t>区分当前双模型结果与旧版单模型方案</w:t>
            </w:r>
          </w:p>
        </w:tc>
      </w:tr>
    </w:tbl>
    <w:p>
      <w:pPr>
        <w:spacing w:after="0"/>
      </w:pPr>
    </w:p>
    <w:p>
      <w:r>
        <w:br w:type="page"/>
      </w:r>
    </w:p>
    <w:p>
      <w:pPr>
        <w:pStyle w:val="Heading1"/>
        <w:keepNext/>
        <w:keepLines/>
      </w:pPr>
      <w:r>
        <w:rPr>
          <w:rFonts w:ascii="Calibri" w:hAnsi="Calibri" w:eastAsia="Microsoft YaHei"/>
          <w:b/>
          <w:color w:val="2E74B5"/>
          <w:sz w:val="32"/>
        </w:rPr>
        <w:t>附录 C　字段追溯关系</w:t>
      </w:r>
    </w:p>
    <w:tbl>
      <w:tblPr>
        <w:tblStyle w:val="TableGrid"/>
        <w:tblW w:type="dxa" w:w="9360"/>
        <w:jc w:val="center"/>
        <w:tblLayout w:type="fixed"/>
        <w:tblLook w:firstColumn="1" w:firstRow="1" w:lastColumn="0" w:lastRow="0" w:noHBand="0" w:noVBand="1" w:val="04A0"/>
        <w:tblInd w:w="0" w:type="dxa"/>
      </w:tblPr>
      <w:tblGrid>
        <w:gridCol w:w="1656"/>
        <w:gridCol w:w="2376"/>
        <w:gridCol w:w="2880"/>
        <w:gridCol w:w="2448"/>
      </w:tblGrid>
      <w:tr>
        <w:trPr>
          <w:tblHeader w:val="true"/>
          <w:cantSplit/>
        </w:trPr>
        <w:tc>
          <w:tcPr>
            <w:tcW w:type="dxa" w:w="1656"/>
            <w:shd w:fill="2E74B5"/>
            <w:vAlign w:val="center"/>
            <w:tcMar>
              <w:top w:w="40" w:type="dxa"/>
              <w:start w:w="65" w:type="dxa"/>
              <w:bottom w:w="40" w:type="dxa"/>
              <w:end w:w="65" w:type="dxa"/>
            </w:tcMar>
          </w:tcPr>
          <w:p>
            <w:pPr>
              <w:spacing w:before="0" w:after="0" w:line="240" w:lineRule="auto"/>
              <w:jc w:val="center"/>
            </w:pPr>
            <w:r/>
            <w:r>
              <w:rPr>
                <w:rFonts w:ascii="Calibri" w:hAnsi="Calibri" w:eastAsia="Microsoft YaHei"/>
                <w:b/>
                <w:color w:val="FFFFFF"/>
                <w:sz w:val="16"/>
              </w:rPr>
              <w:t>最终字段</w:t>
            </w:r>
          </w:p>
        </w:tc>
        <w:tc>
          <w:tcPr>
            <w:tcW w:type="dxa" w:w="2376"/>
            <w:shd w:fill="2E74B5"/>
            <w:vAlign w:val="center"/>
            <w:tcMar>
              <w:top w:w="40" w:type="dxa"/>
              <w:start w:w="65" w:type="dxa"/>
              <w:bottom w:w="40" w:type="dxa"/>
              <w:end w:w="65" w:type="dxa"/>
            </w:tcMar>
          </w:tcPr>
          <w:p>
            <w:pPr>
              <w:spacing w:before="0" w:after="0" w:line="240" w:lineRule="auto"/>
              <w:jc w:val="center"/>
            </w:pPr>
            <w:r/>
            <w:r>
              <w:rPr>
                <w:rFonts w:ascii="Calibri" w:hAnsi="Calibri" w:eastAsia="Microsoft YaHei"/>
                <w:b/>
                <w:color w:val="FFFFFF"/>
                <w:sz w:val="16"/>
              </w:rPr>
              <w:t>来源</w:t>
            </w:r>
          </w:p>
        </w:tc>
        <w:tc>
          <w:tcPr>
            <w:tcW w:type="dxa" w:w="2880"/>
            <w:shd w:fill="2E74B5"/>
            <w:vAlign w:val="center"/>
            <w:tcMar>
              <w:top w:w="40" w:type="dxa"/>
              <w:start w:w="65" w:type="dxa"/>
              <w:bottom w:w="40" w:type="dxa"/>
              <w:end w:w="65" w:type="dxa"/>
            </w:tcMar>
          </w:tcPr>
          <w:p>
            <w:pPr>
              <w:spacing w:before="0" w:after="0" w:line="240" w:lineRule="auto"/>
              <w:jc w:val="center"/>
            </w:pPr>
            <w:r/>
            <w:r>
              <w:rPr>
                <w:rFonts w:ascii="Calibri" w:hAnsi="Calibri" w:eastAsia="Microsoft YaHei"/>
                <w:b/>
                <w:color w:val="FFFFFF"/>
                <w:sz w:val="16"/>
              </w:rPr>
              <w:t>代码/规则</w:t>
            </w:r>
          </w:p>
        </w:tc>
        <w:tc>
          <w:tcPr>
            <w:tcW w:type="dxa" w:w="2448"/>
            <w:shd w:fill="2E74B5"/>
            <w:vAlign w:val="center"/>
            <w:tcMar>
              <w:top w:w="40" w:type="dxa"/>
              <w:start w:w="65" w:type="dxa"/>
              <w:bottom w:w="40" w:type="dxa"/>
              <w:end w:w="65" w:type="dxa"/>
            </w:tcMar>
          </w:tcPr>
          <w:p>
            <w:pPr>
              <w:spacing w:before="0" w:after="0" w:line="240" w:lineRule="auto"/>
              <w:jc w:val="center"/>
            </w:pPr>
            <w:r/>
            <w:r>
              <w:rPr>
                <w:rFonts w:ascii="Calibri" w:hAnsi="Calibri" w:eastAsia="Microsoft YaHei"/>
                <w:b/>
                <w:color w:val="FFFFFF"/>
                <w:sz w:val="16"/>
              </w:rPr>
              <w:t>核查文件与键</w:t>
            </w:r>
          </w:p>
        </w:tc>
      </w:tr>
      <w:tr>
        <w:trPr>
          <w:cantSplit/>
        </w:trPr>
        <w:tc>
          <w:tcPr>
            <w:tcW w:type="dxa" w:w="165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iso_o</w:t>
            </w:r>
          </w:p>
        </w:tc>
        <w:tc>
          <w:tcPr>
            <w:tcW w:type="dxa" w:w="237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data/need_dummy/icio2019.dta: iso_o</w:t>
            </w:r>
          </w:p>
        </w:tc>
        <w:tc>
          <w:tcPr>
            <w:tcW w:type="dxa" w:w="2880"/>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prepare_icio (355—369), build_icio_economy_sample (372—416)</w:t>
              <w:br/>
              <w:t>prepare_icio 规范化别名；面板笛卡尔积保留方向</w:t>
            </w:r>
          </w:p>
        </w:tc>
        <w:tc>
          <w:tcPr>
            <w:tcW w:type="dxa" w:w="2448"/>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data/need_dummy/icio2019.dta; trade_dummy_icio2019.csv</w:t>
              <w:br/>
              <w:t>iso_o+iso_d+year；协定侧用 pair_key+year；条款侧用 agreement_id+provision_id</w:t>
            </w:r>
          </w:p>
        </w:tc>
      </w:tr>
      <w:tr>
        <w:trPr>
          <w:cantSplit/>
        </w:trPr>
        <w:tc>
          <w:tcPr>
            <w:tcW w:type="dxa" w:w="1656"/>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iso_d</w:t>
            </w:r>
          </w:p>
        </w:tc>
        <w:tc>
          <w:tcPr>
            <w:tcW w:type="dxa" w:w="2376"/>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data/need_dummy/icio2019.dta: iso_d</w:t>
            </w:r>
          </w:p>
        </w:tc>
        <w:tc>
          <w:tcPr>
            <w:tcW w:type="dxa" w:w="2880"/>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prepare_icio (355—369), build_icio_economy_sample (372—416)</w:t>
              <w:br/>
              <w:t>prepare_icio 规范化别名；面板笛卡尔积保留方向</w:t>
            </w:r>
          </w:p>
        </w:tc>
        <w:tc>
          <w:tcPr>
            <w:tcW w:type="dxa" w:w="2448"/>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data/need_dummy/icio2019.dta; trade_dummy_icio2019.csv</w:t>
              <w:br/>
              <w:t>iso_o+iso_d+year；协定侧用 pair_key+year；条款侧用 agreement_id+provision_id</w:t>
            </w:r>
          </w:p>
        </w:tc>
      </w:tr>
      <w:tr>
        <w:trPr>
          <w:cantSplit/>
        </w:trPr>
        <w:tc>
          <w:tcPr>
            <w:tcW w:type="dxa" w:w="165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country_o</w:t>
            </w:r>
          </w:p>
        </w:tc>
        <w:tc>
          <w:tcPr>
            <w:tcW w:type="dxa" w:w="237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data/need_dummy/icio2019.dta: country_o/country_d</w:t>
            </w:r>
          </w:p>
        </w:tc>
        <w:tc>
          <w:tcPr>
            <w:tcW w:type="dxa" w:w="2880"/>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build_icio_economy_sample (389—415)</w:t>
              <w:br/>
              <w:t>build_icio_economy_sample 汇总稳定名称后映射</w:t>
            </w:r>
          </w:p>
        </w:tc>
        <w:tc>
          <w:tcPr>
            <w:tcW w:type="dxa" w:w="2448"/>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data/need_dummy/icio2019.dta</w:t>
              <w:br/>
              <w:t>iso_o+iso_d+year；协定侧用 pair_key+year；条款侧用 agreement_id+provision_id</w:t>
            </w:r>
          </w:p>
        </w:tc>
      </w:tr>
      <w:tr>
        <w:trPr>
          <w:cantSplit/>
        </w:trPr>
        <w:tc>
          <w:tcPr>
            <w:tcW w:type="dxa" w:w="1656"/>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country_d</w:t>
            </w:r>
          </w:p>
        </w:tc>
        <w:tc>
          <w:tcPr>
            <w:tcW w:type="dxa" w:w="2376"/>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data/need_dummy/icio2019.dta: country_o/country_d</w:t>
            </w:r>
          </w:p>
        </w:tc>
        <w:tc>
          <w:tcPr>
            <w:tcW w:type="dxa" w:w="2880"/>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build_icio_economy_sample (389—415)</w:t>
              <w:br/>
              <w:t>build_icio_economy_sample 汇总稳定名称后映射</w:t>
            </w:r>
          </w:p>
        </w:tc>
        <w:tc>
          <w:tcPr>
            <w:tcW w:type="dxa" w:w="2448"/>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data/need_dummy/icio2019.dta</w:t>
              <w:br/>
              <w:t>iso_o+iso_d+year；协定侧用 pair_key+year；条款侧用 agreement_id+provision_id</w:t>
            </w:r>
          </w:p>
        </w:tc>
      </w:tr>
      <w:tr>
        <w:trPr>
          <w:cantSplit/>
        </w:trPr>
        <w:tc>
          <w:tcPr>
            <w:tcW w:type="dxa" w:w="165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year</w:t>
            </w:r>
          </w:p>
        </w:tc>
        <w:tc>
          <w:tcPr>
            <w:tcW w:type="dxa" w:w="237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data/interim/bilateral_panel.csv: year 的最小—最大范围</w:t>
            </w:r>
          </w:p>
        </w:tc>
        <w:tc>
          <w:tcPr>
            <w:tcW w:type="dxa" w:w="2880"/>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build_icio_economies_all_years_panel (419—432)</w:t>
              <w:br/>
              <w:t>build_icio_economies_all_years_panel 生成连续年份序列</w:t>
            </w:r>
          </w:p>
        </w:tc>
        <w:tc>
          <w:tcPr>
            <w:tcW w:type="dxa" w:w="2448"/>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data/interim/bilateral_panel.csv</w:t>
              <w:br/>
              <w:t>iso_o+iso_d+year；协定侧用 pair_key+year；条款侧用 agreement_id+provision_id</w:t>
            </w:r>
          </w:p>
        </w:tc>
      </w:tr>
      <w:tr>
        <w:trPr>
          <w:cantSplit/>
        </w:trPr>
        <w:tc>
          <w:tcPr>
            <w:tcW w:type="dxa" w:w="1656"/>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pair_a</w:t>
            </w:r>
          </w:p>
        </w:tc>
        <w:tc>
          <w:tcPr>
            <w:tcW w:type="dxa" w:w="2376"/>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iso_o、iso_d</w:t>
            </w:r>
          </w:p>
        </w:tc>
        <w:tc>
          <w:tcPr>
            <w:tcW w:type="dxa" w:w="2880"/>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make_pair_key (116—135)</w:t>
              <w:br/>
              <w:t>make_pair_key</w:t>
            </w:r>
          </w:p>
        </w:tc>
        <w:tc>
          <w:tcPr>
            <w:tcW w:type="dxa" w:w="2448"/>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data/processed/dta_active_agreement_dummy_all_dta_pair_year.csv</w:t>
              <w:br/>
              <w:t>iso_o+iso_d+year；协定侧用 pair_key+year；条款侧用 agreement_id+provision_id</w:t>
            </w:r>
          </w:p>
        </w:tc>
      </w:tr>
      <w:tr>
        <w:trPr>
          <w:cantSplit/>
        </w:trPr>
        <w:tc>
          <w:tcPr>
            <w:tcW w:type="dxa" w:w="165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pair_b</w:t>
            </w:r>
          </w:p>
        </w:tc>
        <w:tc>
          <w:tcPr>
            <w:tcW w:type="dxa" w:w="237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iso_o、iso_d</w:t>
            </w:r>
          </w:p>
        </w:tc>
        <w:tc>
          <w:tcPr>
            <w:tcW w:type="dxa" w:w="2880"/>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make_pair_key (116—135)</w:t>
              <w:br/>
              <w:t>make_pair_key</w:t>
            </w:r>
          </w:p>
        </w:tc>
        <w:tc>
          <w:tcPr>
            <w:tcW w:type="dxa" w:w="2448"/>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data/processed/dta_active_agreement_dummy_all_dta_pair_year.csv</w:t>
              <w:br/>
              <w:t>iso_o+iso_d+year；协定侧用 pair_key+year；条款侧用 agreement_id+provision_id</w:t>
            </w:r>
          </w:p>
        </w:tc>
      </w:tr>
      <w:tr>
        <w:trPr>
          <w:cantSplit/>
        </w:trPr>
        <w:tc>
          <w:tcPr>
            <w:tcW w:type="dxa" w:w="1656"/>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pair_key</w:t>
            </w:r>
          </w:p>
        </w:tc>
        <w:tc>
          <w:tcPr>
            <w:tcW w:type="dxa" w:w="2376"/>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pair_a、pair_b</w:t>
            </w:r>
          </w:p>
        </w:tc>
        <w:tc>
          <w:tcPr>
            <w:tcW w:type="dxa" w:w="2880"/>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make_pair_key (116—135)</w:t>
              <w:br/>
              <w:t>make_pair_key</w:t>
            </w:r>
          </w:p>
        </w:tc>
        <w:tc>
          <w:tcPr>
            <w:tcW w:type="dxa" w:w="2448"/>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data/processed/dta_active_agreement_dummy_all_dta_pair_year.csv</w:t>
              <w:br/>
              <w:t>iso_o+iso_d+year；协定侧用 pair_key+year；条款侧用 agreement_id+provision_id</w:t>
            </w:r>
          </w:p>
        </w:tc>
      </w:tr>
      <w:tr>
        <w:trPr>
          <w:cantSplit/>
        </w:trPr>
        <w:tc>
          <w:tcPr>
            <w:tcW w:type="dxa" w:w="165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is_domestic_pair</w:t>
            </w:r>
          </w:p>
        </w:tc>
        <w:tc>
          <w:tcPr>
            <w:tcW w:type="dxa" w:w="237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iso_o、iso_d</w:t>
            </w:r>
          </w:p>
        </w:tc>
        <w:tc>
          <w:tcPr>
            <w:tcW w:type="dxa" w:w="2880"/>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make_pair_key (116—135)</w:t>
              <w:br/>
              <w:t>make_pair_key</w:t>
            </w:r>
          </w:p>
        </w:tc>
        <w:tc>
          <w:tcPr>
            <w:tcW w:type="dxa" w:w="2448"/>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trade_dummy_icio2019.csv</w:t>
              <w:br/>
              <w:t>iso_o+iso_d+year；协定侧用 pair_key+year；条款侧用 agreement_id+provision_id</w:t>
            </w:r>
          </w:p>
        </w:tc>
      </w:tr>
      <w:tr>
        <w:trPr>
          <w:cantSplit/>
        </w:trPr>
        <w:tc>
          <w:tcPr>
            <w:tcW w:type="dxa" w:w="1656"/>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agreement_applicable</w:t>
            </w:r>
          </w:p>
        </w:tc>
        <w:tc>
          <w:tcPr>
            <w:tcW w:type="dxa" w:w="2376"/>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ISO3 有效性、is_domestic_pair</w:t>
            </w:r>
          </w:p>
        </w:tc>
        <w:tc>
          <w:tcPr>
            <w:tcW w:type="dxa" w:w="2880"/>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attach_agreement_data (510—558)</w:t>
              <w:br/>
              <w:t>attach_agreement_data</w:t>
            </w:r>
          </w:p>
        </w:tc>
        <w:tc>
          <w:tcPr>
            <w:tcW w:type="dxa" w:w="2448"/>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trade_dummy_icio2019.csv</w:t>
              <w:br/>
              <w:t>iso_o+iso_d+year；协定侧用 pair_key+year；条款侧用 agreement_id+provision_id</w:t>
            </w:r>
          </w:p>
        </w:tc>
      </w:tr>
      <w:tr>
        <w:trPr>
          <w:cantSplit/>
        </w:trPr>
        <w:tc>
          <w:tcPr>
            <w:tcW w:type="dxa" w:w="165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trade_agreement_dummy</w:t>
            </w:r>
          </w:p>
        </w:tc>
        <w:tc>
          <w:tcPr>
            <w:tcW w:type="dxa" w:w="237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data/interim/bilateral_panel.csv 经 pair_key+year 聚合</w:t>
            </w:r>
          </w:p>
        </w:tc>
        <w:tc>
          <w:tcPr>
            <w:tcW w:type="dxa" w:w="2880"/>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prepare_active_agreements (154—198), attach_agreement_data (510—558)</w:t>
              <w:br/>
              <w:t>prepare_active_agreements → attach_agreement_data</w:t>
            </w:r>
          </w:p>
        </w:tc>
        <w:tc>
          <w:tcPr>
            <w:tcW w:type="dxa" w:w="2448"/>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data/processed/dta_active_agreement_dummy_all_dta_pair_year.csv</w:t>
              <w:br/>
              <w:t>iso_o+iso_d+year；协定侧用 pair_key+year；条款侧用 agreement_id+provision_id</w:t>
            </w:r>
          </w:p>
        </w:tc>
      </w:tr>
      <w:tr>
        <w:trPr>
          <w:cantSplit/>
        </w:trPr>
        <w:tc>
          <w:tcPr>
            <w:tcW w:type="dxa" w:w="1656"/>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raw_trade_score</w:t>
            </w:r>
          </w:p>
        </w:tc>
        <w:tc>
          <w:tcPr>
            <w:tcW w:type="dxa" w:w="2376"/>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country_pair_year_indices.csv；上游 final_provision_weights.csv + agreement_matrix.csv</w:t>
            </w:r>
          </w:p>
        </w:tc>
        <w:tc>
          <w:tcPr>
            <w:tcW w:type="dxa" w:w="2880"/>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src/10_finalize_weights.py + src/11_compute_agreement_indices.py + src/12_compute_country_pair_indices.py + src/14_build_trade_agreement_dummy.py</w:t>
              <w:br/>
              <w:t>10_finalize_weights → 11_compute_agreement_indices → 12_compute_country_pair_indices(union) → 14 attach</w:t>
            </w:r>
          </w:p>
        </w:tc>
        <w:tc>
          <w:tcPr>
            <w:tcW w:type="dxa" w:w="2448"/>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country_pair_year_indices.csv → agreement_level_indices.csv → final_provision_weights.csv</w:t>
              <w:br/>
              <w:t>iso_o+iso_d+year；协定侧用 pair_key+year；条款侧用 agreement_id+provision_id</w:t>
            </w:r>
          </w:p>
        </w:tc>
      </w:tr>
      <w:tr>
        <w:trPr>
          <w:cantSplit/>
        </w:trPr>
        <w:tc>
          <w:tcPr>
            <w:tcW w:type="dxa" w:w="165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raw_investment_score</w:t>
            </w:r>
          </w:p>
        </w:tc>
        <w:tc>
          <w:tcPr>
            <w:tcW w:type="dxa" w:w="237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country_pair_year_indices.csv；上游 final_provision_weights.csv + agreement_matrix.csv</w:t>
            </w:r>
          </w:p>
        </w:tc>
        <w:tc>
          <w:tcPr>
            <w:tcW w:type="dxa" w:w="2880"/>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src/10_finalize_weights.py + src/11_compute_agreement_indices.py + src/12_compute_country_pair_indices.py + src/14_build_trade_agreement_dummy.py</w:t>
              <w:br/>
              <w:t>10_finalize_weights → 11_compute_agreement_indices → 12_compute_country_pair_indices(union) → 14 attach</w:t>
            </w:r>
          </w:p>
        </w:tc>
        <w:tc>
          <w:tcPr>
            <w:tcW w:type="dxa" w:w="2448"/>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country_pair_year_indices.csv → agreement_level_indices.csv → final_provision_weights.csv</w:t>
              <w:br/>
              <w:t>iso_o+iso_d+year；协定侧用 pair_key+year；条款侧用 agreement_id+provision_id</w:t>
            </w:r>
          </w:p>
        </w:tc>
      </w:tr>
      <w:tr>
        <w:trPr>
          <w:cantSplit/>
        </w:trPr>
        <w:tc>
          <w:tcPr>
            <w:tcW w:type="dxa" w:w="1656"/>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num_active_agreements</w:t>
            </w:r>
          </w:p>
        </w:tc>
        <w:tc>
          <w:tcPr>
            <w:tcW w:type="dxa" w:w="2376"/>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data/interim/bilateral_panel.csv: agreement_id</w:t>
            </w:r>
          </w:p>
        </w:tc>
        <w:tc>
          <w:tcPr>
            <w:tcW w:type="dxa" w:w="2880"/>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prepare_active_agreements (154—198)</w:t>
              <w:br/>
              <w:t>prepare_active_agreements groupby(pair_key,year)</w:t>
            </w:r>
          </w:p>
        </w:tc>
        <w:tc>
          <w:tcPr>
            <w:tcW w:type="dxa" w:w="2448"/>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dta_active_agreement_dummy_all_dta_pair_year.csv; bilateral_panel.csv</w:t>
              <w:br/>
              <w:t>iso_o+iso_d+year；协定侧用 pair_key+year；条款侧用 agreement_id+provision_id</w:t>
            </w:r>
          </w:p>
        </w:tc>
      </w:tr>
      <w:tr>
        <w:trPr>
          <w:cantSplit/>
        </w:trPr>
        <w:tc>
          <w:tcPr>
            <w:tcW w:type="dxa" w:w="165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agreement_id_list</w:t>
            </w:r>
          </w:p>
        </w:tc>
        <w:tc>
          <w:tcPr>
            <w:tcW w:type="dxa" w:w="237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data/interim/bilateral_panel.csv: agreement_id</w:t>
            </w:r>
          </w:p>
        </w:tc>
        <w:tc>
          <w:tcPr>
            <w:tcW w:type="dxa" w:w="2880"/>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prepare_active_agreements (154—198)</w:t>
              <w:br/>
              <w:t>prepare_active_agreements: stable_unique_join</w:t>
            </w:r>
          </w:p>
        </w:tc>
        <w:tc>
          <w:tcPr>
            <w:tcW w:type="dxa" w:w="2448"/>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dta_active_agreement_dummy_all_dta_pair_year.csv; agreement_matrix.csv</w:t>
              <w:br/>
              <w:t>iso_o+iso_d+year；协定侧用 pair_key+year；条款侧用 agreement_id+provision_id</w:t>
            </w:r>
          </w:p>
        </w:tc>
      </w:tr>
      <w:tr>
        <w:trPr>
          <w:cantSplit/>
        </w:trPr>
        <w:tc>
          <w:tcPr>
            <w:tcW w:type="dxa" w:w="1656"/>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WBID_list</w:t>
            </w:r>
          </w:p>
        </w:tc>
        <w:tc>
          <w:tcPr>
            <w:tcW w:type="dxa" w:w="2376"/>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data/interim/bilateral_panel.csv: WBID</w:t>
            </w:r>
          </w:p>
        </w:tc>
        <w:tc>
          <w:tcPr>
            <w:tcW w:type="dxa" w:w="2880"/>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prepare_active_agreements (154—198)</w:t>
              <w:br/>
              <w:t>prepare_active_agreements: stable_unique_join</w:t>
            </w:r>
          </w:p>
        </w:tc>
        <w:tc>
          <w:tcPr>
            <w:tcW w:type="dxa" w:w="2448"/>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dta_active_agreement_dummy_all_dta_pair_year.csv; agreements_master.csv</w:t>
              <w:br/>
              <w:t>iso_o+iso_d+year；协定侧用 pair_key+year；条款侧用 agreement_id+provision_id</w:t>
            </w:r>
          </w:p>
        </w:tc>
      </w:tr>
      <w:tr>
        <w:trPr>
          <w:cantSplit/>
        </w:trPr>
        <w:tc>
          <w:tcPr>
            <w:tcW w:type="dxa" w:w="165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rta_name_list</w:t>
            </w:r>
          </w:p>
        </w:tc>
        <w:tc>
          <w:tcPr>
            <w:tcW w:type="dxa" w:w="237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data/interim/bilateral_panel.csv: rta_name</w:t>
            </w:r>
          </w:p>
        </w:tc>
        <w:tc>
          <w:tcPr>
            <w:tcW w:type="dxa" w:w="2880"/>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prepare_active_agreements (154—198)</w:t>
              <w:br/>
              <w:t>prepare_active_agreements: stable_unique_join</w:t>
            </w:r>
          </w:p>
        </w:tc>
        <w:tc>
          <w:tcPr>
            <w:tcW w:type="dxa" w:w="2448"/>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dta_active_agreement_dummy_all_dta_pair_year.csv; agreements_master.csv</w:t>
              <w:br/>
              <w:t>iso_o+iso_d+year；协定侧用 pair_key+year；条款侧用 agreement_id+provision_id</w:t>
            </w:r>
          </w:p>
        </w:tc>
      </w:tr>
      <w:tr>
        <w:trPr>
          <w:cantSplit/>
        </w:trPr>
        <w:tc>
          <w:tcPr>
            <w:tcW w:type="dxa" w:w="1656"/>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match_status</w:t>
            </w:r>
          </w:p>
        </w:tc>
        <w:tc>
          <w:tcPr>
            <w:tcW w:type="dxa" w:w="2376"/>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代码有效性、国内标志、dummy</w:t>
            </w:r>
          </w:p>
        </w:tc>
        <w:tc>
          <w:tcPr>
            <w:tcW w:type="dxa" w:w="2880"/>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attach_agreement_data (549—557)</w:t>
              <w:br/>
              <w:t>attach_agreement_data: np.select</w:t>
            </w:r>
          </w:p>
        </w:tc>
        <w:tc>
          <w:tcPr>
            <w:tcW w:type="dxa" w:w="2448"/>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trade_dummy_diagnostics.csv</w:t>
              <w:br/>
              <w:t>iso_o+iso_d+year；协定侧用 pair_key+year；条款侧用 agreement_id+provision_id</w:t>
            </w:r>
          </w:p>
        </w:tc>
      </w:tr>
      <w:tr>
        <w:trPr>
          <w:cantSplit/>
        </w:trPr>
        <w:tc>
          <w:tcPr>
            <w:tcW w:type="dxa" w:w="165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idealpoint_abs_distance</w:t>
            </w:r>
          </w:p>
        </w:tc>
        <w:tc>
          <w:tcPr>
            <w:tcW w:type="dxa" w:w="2376"/>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ideapoint/IdealpointestimatesAll_Jun2024.csv + AgreementScoresAll_Jun2024.csv 的 session—year 映射</w:t>
            </w:r>
          </w:p>
        </w:tc>
        <w:tc>
          <w:tcPr>
            <w:tcW w:type="dxa" w:w="2880"/>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load_idealpoint_country_year (260—316), attach_idealpoint_distance (319—352)</w:t>
              <w:br/>
              <w:t>load_idealpoint_country_year → attach_idealpoint_distance</w:t>
            </w:r>
          </w:p>
        </w:tc>
        <w:tc>
          <w:tcPr>
            <w:tcW w:type="dxa" w:w="2448"/>
            <w:shd w:fill="F7FAFC"/>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ideapoint 两份 CSV；Codebook.docx；逐值复算</w:t>
              <w:br/>
              <w:t>iso_o+iso_d+year；协定侧用 pair_key+year；条款侧用 agreement_id+provision_id</w:t>
            </w:r>
          </w:p>
        </w:tc>
      </w:tr>
      <w:tr>
        <w:trPr>
          <w:cantSplit/>
        </w:trPr>
        <w:tc>
          <w:tcPr>
            <w:tcW w:type="dxa" w:w="1656"/>
            <w:vAlign w:val="top"/>
            <w:tcMar>
              <w:top w:w="40" w:type="dxa"/>
              <w:start w:w="65" w:type="dxa"/>
              <w:bottom w:w="40" w:type="dxa"/>
              <w:end w:w="65" w:type="dxa"/>
            </w:tcMar>
          </w:tcPr>
          <w:p>
            <w:pPr>
              <w:spacing w:before="0" w:after="0" w:line="240" w:lineRule="auto"/>
              <w:jc w:val="left"/>
            </w:pPr>
            <w:r/>
            <w:r>
              <w:rPr>
                <w:rFonts w:ascii="Calibri" w:hAnsi="Calibri" w:eastAsia="Microsoft YaHei"/>
                <w:b/>
                <w:color w:val="243746"/>
                <w:sz w:val="14"/>
              </w:rPr>
              <w:t>sample_scope</w:t>
            </w:r>
          </w:p>
        </w:tc>
        <w:tc>
          <w:tcPr>
            <w:tcW w:type="dxa" w:w="2376"/>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代码常量 ICIO_SAMPLE_SCOPE</w:t>
            </w:r>
          </w:p>
        </w:tc>
        <w:tc>
          <w:tcPr>
            <w:tcW w:type="dxa" w:w="2880"/>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src/14_build_trade_agreement_dummy.py: ICIO_SAMPLE_SCOPE (28), panel assignment (439)</w:t>
              <w:br/>
              <w:t>build_icio_economies_all_years_panel</w:t>
            </w:r>
          </w:p>
        </w:tc>
        <w:tc>
          <w:tcPr>
            <w:tcW w:type="dxa" w:w="2448"/>
            <w:vAlign w:val="top"/>
            <w:tcMar>
              <w:top w:w="40" w:type="dxa"/>
              <w:start w:w="65" w:type="dxa"/>
              <w:bottom w:w="40" w:type="dxa"/>
              <w:end w:w="65" w:type="dxa"/>
            </w:tcMar>
          </w:tcPr>
          <w:p>
            <w:pPr>
              <w:spacing w:before="0" w:after="0" w:line="240" w:lineRule="auto"/>
              <w:jc w:val="left"/>
            </w:pPr>
            <w:r/>
            <w:r>
              <w:rPr>
                <w:rFonts w:ascii="Calibri" w:hAnsi="Calibri" w:eastAsia="Microsoft YaHei"/>
                <w:b w:val="0"/>
                <w:color w:val="243746"/>
                <w:sz w:val="14"/>
              </w:rPr>
              <w:t>trade_dummy_diagnostics.csv; trade_dummy_code_mismatch.csv</w:t>
              <w:br/>
              <w:t>iso_o+iso_d+year；协定侧用 pair_key+year；条款侧用 agreement_id+provision_id</w:t>
            </w:r>
          </w:p>
        </w:tc>
      </w:tr>
    </w:tbl>
    <w:p>
      <w:pPr>
        <w:spacing w:after="0"/>
      </w:pPr>
    </w:p>
    <w:p>
      <w:pPr>
        <w:pStyle w:val="Heading1"/>
        <w:keepNext/>
        <w:keepLines/>
      </w:pPr>
      <w:r>
        <w:rPr>
          <w:rFonts w:ascii="Calibri" w:hAnsi="Calibri" w:eastAsia="Microsoft YaHei"/>
          <w:b/>
          <w:color w:val="2E74B5"/>
          <w:sz w:val="32"/>
        </w:rPr>
        <w:t>附录 D　版本指纹与复核入口</w:t>
      </w:r>
    </w:p>
    <w:p>
      <w:pPr>
        <w:pStyle w:val="Heading2"/>
        <w:keepNext/>
        <w:keepLines/>
      </w:pPr>
      <w:r>
        <w:rPr>
          <w:rFonts w:ascii="Calibri" w:hAnsi="Calibri" w:eastAsia="Microsoft YaHei"/>
          <w:b/>
          <w:color w:val="2E74B5"/>
          <w:sz w:val="26"/>
        </w:rPr>
        <w:t>D.1 关键文件 SHA-256</w:t>
      </w:r>
    </w:p>
    <w:tbl>
      <w:tblPr>
        <w:tblStyle w:val="TableGrid"/>
        <w:tblW w:type="dxa" w:w="9360"/>
        <w:jc w:val="center"/>
        <w:tblLayout w:type="fixed"/>
        <w:tblLook w:firstColumn="1" w:firstRow="1" w:lastColumn="0" w:lastRow="0" w:noHBand="0" w:noVBand="1" w:val="04A0"/>
        <w:tblInd w:w="0" w:type="dxa"/>
      </w:tblPr>
      <w:tblGrid>
        <w:gridCol w:w="3096"/>
        <w:gridCol w:w="6264"/>
      </w:tblGrid>
      <w:tr>
        <w:trPr>
          <w:tblHeader w:val="true"/>
          <w:cantSplit/>
        </w:trPr>
        <w:tc>
          <w:tcPr>
            <w:tcW w:type="dxa" w:w="3096"/>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对象</w:t>
            </w:r>
          </w:p>
        </w:tc>
        <w:tc>
          <w:tcPr>
            <w:tcW w:type="dxa" w:w="6264"/>
            <w:shd w:fill="2E74B5"/>
            <w:vAlign w:val="center"/>
            <w:tcMar>
              <w:top w:w="70" w:type="dxa"/>
              <w:start w:w="90" w:type="dxa"/>
              <w:bottom w:w="70" w:type="dxa"/>
              <w:end w:w="90" w:type="dxa"/>
            </w:tcMar>
          </w:tcPr>
          <w:p>
            <w:pPr>
              <w:spacing w:before="0" w:after="0" w:line="240" w:lineRule="auto"/>
              <w:jc w:val="center"/>
            </w:pPr>
            <w:r/>
            <w:r>
              <w:rPr>
                <w:rFonts w:ascii="Calibri" w:hAnsi="Calibri" w:eastAsia="Microsoft YaHei"/>
                <w:b/>
                <w:color w:val="FFFFFF"/>
                <w:sz w:val="16"/>
              </w:rPr>
              <w:t>SHA-256</w:t>
            </w:r>
          </w:p>
        </w:tc>
      </w:tr>
      <w:tr>
        <w:trPr>
          <w:cantSplit/>
        </w:trPr>
        <w:tc>
          <w:tcPr>
            <w:tcW w:type="dxa" w:w="30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final_all_years</w:t>
            </w:r>
          </w:p>
        </w:tc>
        <w:tc>
          <w:tcPr>
            <w:tcW w:type="dxa" w:w="62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008a087db78a9be08123419d4e2c52886283831da163d16ce4f157b8a97037d4</w:t>
            </w:r>
          </w:p>
        </w:tc>
      </w:tr>
      <w:tr>
        <w:trPr>
          <w:cantSplit/>
        </w:trPr>
        <w:tc>
          <w:tcPr>
            <w:tcW w:type="dxa" w:w="3096"/>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final_2000_2023</w:t>
            </w:r>
          </w:p>
        </w:tc>
        <w:tc>
          <w:tcPr>
            <w:tcW w:type="dxa" w:w="62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6bac2f2fde92684ae9c998c593b08826806f042c2ff847aa15f4037be6473e2f</w:t>
            </w:r>
          </w:p>
        </w:tc>
      </w:tr>
      <w:tr>
        <w:trPr>
          <w:cantSplit/>
        </w:trPr>
        <w:tc>
          <w:tcPr>
            <w:tcW w:type="dxa" w:w="30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final_provision_weights</w:t>
            </w:r>
          </w:p>
        </w:tc>
        <w:tc>
          <w:tcPr>
            <w:tcW w:type="dxa" w:w="62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8d3b4dbe7a2e93f3b6be36e47cb7562dce4b1ce49bff567b1652ab1f99afea1a</w:t>
            </w:r>
          </w:p>
        </w:tc>
      </w:tr>
      <w:tr>
        <w:trPr>
          <w:cantSplit/>
        </w:trPr>
        <w:tc>
          <w:tcPr>
            <w:tcW w:type="dxa" w:w="3096"/>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stage2_model_b</w:t>
            </w:r>
          </w:p>
        </w:tc>
        <w:tc>
          <w:tcPr>
            <w:tcW w:type="dxa" w:w="62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456724b0a234e95875f984aefa7b6e23b9762387a7c1e5424ff24e70f6271b07</w:t>
            </w:r>
          </w:p>
        </w:tc>
      </w:tr>
      <w:tr>
        <w:trPr>
          <w:cantSplit/>
        </w:trPr>
        <w:tc>
          <w:tcPr>
            <w:tcW w:type="dxa" w:w="30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stage2_prompt</w:t>
            </w:r>
          </w:p>
        </w:tc>
        <w:tc>
          <w:tcPr>
            <w:tcW w:type="dxa" w:w="62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5e265804765c16c5abdde3a145f774daea42a5b93253086ce24c093551b8659a</w:t>
            </w:r>
          </w:p>
        </w:tc>
      </w:tr>
      <w:tr>
        <w:trPr>
          <w:cantSplit/>
        </w:trPr>
        <w:tc>
          <w:tcPr>
            <w:tcW w:type="dxa" w:w="3096"/>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raw_code_workbook</w:t>
            </w:r>
          </w:p>
        </w:tc>
        <w:tc>
          <w:tcPr>
            <w:tcW w:type="dxa" w:w="62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21931129f3907f9cb58dc1fb6da15acdaefcc0e18259f81ec9e81faf4c85f0ab</w:t>
            </w:r>
          </w:p>
        </w:tc>
      </w:tr>
      <w:tr>
        <w:trPr>
          <w:cantSplit/>
        </w:trPr>
        <w:tc>
          <w:tcPr>
            <w:tcW w:type="dxa" w:w="30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provisions_master</w:t>
            </w:r>
          </w:p>
        </w:tc>
        <w:tc>
          <w:tcPr>
            <w:tcW w:type="dxa" w:w="62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a75fb8fb2b03f3259dabb3f697b7191386dffde57169a9a9614513e7f717b6f7</w:t>
            </w:r>
          </w:p>
        </w:tc>
      </w:tr>
      <w:tr>
        <w:trPr>
          <w:cantSplit/>
        </w:trPr>
        <w:tc>
          <w:tcPr>
            <w:tcW w:type="dxa" w:w="3096"/>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stage1a_current</w:t>
            </w:r>
          </w:p>
        </w:tc>
        <w:tc>
          <w:tcPr>
            <w:tcW w:type="dxa" w:w="62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b3a5faf89fb33bd7707af349c597811201e199efac12935687f0598d59d580d2</w:t>
            </w:r>
          </w:p>
        </w:tc>
      </w:tr>
      <w:tr>
        <w:trPr>
          <w:cantSplit/>
        </w:trPr>
        <w:tc>
          <w:tcPr>
            <w:tcW w:type="dxa" w:w="3096"/>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stage1b_current</w:t>
            </w:r>
          </w:p>
        </w:tc>
        <w:tc>
          <w:tcPr>
            <w:tcW w:type="dxa" w:w="6264"/>
            <w:shd w:fill="F7FAFC"/>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1259b2487757957ef252902b99c880200ccd4301ea28bad7f2c19b33ce1742ac</w:t>
            </w:r>
          </w:p>
        </w:tc>
      </w:tr>
      <w:tr>
        <w:trPr>
          <w:cantSplit/>
        </w:trPr>
        <w:tc>
          <w:tcPr>
            <w:tcW w:type="dxa" w:w="3096"/>
            <w:vAlign w:val="top"/>
            <w:tcMar>
              <w:top w:w="70" w:type="dxa"/>
              <w:start w:w="90" w:type="dxa"/>
              <w:bottom w:w="70" w:type="dxa"/>
              <w:end w:w="90" w:type="dxa"/>
            </w:tcMar>
          </w:tcPr>
          <w:p>
            <w:pPr>
              <w:spacing w:before="0" w:after="0" w:line="240" w:lineRule="auto"/>
              <w:jc w:val="left"/>
            </w:pPr>
            <w:r/>
            <w:r>
              <w:rPr>
                <w:rFonts w:ascii="Calibri" w:hAnsi="Calibri" w:eastAsia="Microsoft YaHei"/>
                <w:b/>
                <w:color w:val="243746"/>
                <w:sz w:val="16"/>
              </w:rPr>
              <w:t>stage1_current</w:t>
            </w:r>
          </w:p>
        </w:tc>
        <w:tc>
          <w:tcPr>
            <w:tcW w:type="dxa" w:w="6264"/>
            <w:vAlign w:val="top"/>
            <w:tcMar>
              <w:top w:w="70" w:type="dxa"/>
              <w:start w:w="90" w:type="dxa"/>
              <w:bottom w:w="70" w:type="dxa"/>
              <w:end w:w="90" w:type="dxa"/>
            </w:tcMar>
          </w:tcPr>
          <w:p>
            <w:pPr>
              <w:spacing w:before="0" w:after="0" w:line="240" w:lineRule="auto"/>
              <w:jc w:val="left"/>
            </w:pPr>
            <w:r/>
            <w:r>
              <w:rPr>
                <w:rFonts w:ascii="Calibri" w:hAnsi="Calibri" w:eastAsia="Microsoft YaHei"/>
                <w:b w:val="0"/>
                <w:color w:val="243746"/>
                <w:sz w:val="16"/>
              </w:rPr>
              <w:t>d23cbfbdb970eb69eafcfada7fed8cea8965437f6b98e3752bee5247e6713c71</w:t>
            </w:r>
          </w:p>
        </w:tc>
      </w:tr>
    </w:tbl>
    <w:p>
      <w:pPr>
        <w:spacing w:after="0"/>
      </w:pPr>
    </w:p>
    <w:p>
      <w:pPr>
        <w:pStyle w:val="Heading2"/>
        <w:keepNext/>
        <w:keepLines/>
      </w:pPr>
      <w:r>
        <w:rPr>
          <w:rFonts w:ascii="Calibri" w:hAnsi="Calibri" w:eastAsia="Microsoft YaHei"/>
          <w:b/>
          <w:color w:val="2E74B5"/>
          <w:sz w:val="26"/>
        </w:rPr>
        <w:t>D.2 更新报告前必须重新核查</w:t>
      </w:r>
    </w:p>
    <w:p>
      <w:pPr>
        <w:pStyle w:val="ListBullet"/>
        <w:spacing w:before="0" w:after="40" w:line="252" w:lineRule="auto"/>
        <w:ind w:left="317" w:hanging="202"/>
      </w:pPr>
      <w:r>
        <w:rPr>
          <w:rFonts w:ascii="Calibri" w:hAnsi="Calibri" w:eastAsia="Microsoft YaHei"/>
          <w:color w:val="243746"/>
          <w:sz w:val="19"/>
        </w:rPr>
        <w:t>重新统计两份最终 CSV 的行列、年份、经济体、主键重复、取值分布、缺失和 SHA；再次验证近期表是否仍为全期表精确切片。</w:t>
      </w:r>
    </w:p>
    <w:p>
      <w:pPr>
        <w:pStyle w:val="ListBullet"/>
        <w:spacing w:before="0" w:after="40" w:line="252" w:lineRule="auto"/>
        <w:ind w:left="317" w:hanging="202"/>
      </w:pPr>
      <w:r>
        <w:rPr>
          <w:rFonts w:ascii="Calibri" w:hAnsi="Calibri" w:eastAsia="Microsoft YaHei"/>
          <w:color w:val="243746"/>
          <w:sz w:val="19"/>
        </w:rPr>
        <w:t>重新执行条款权重→协定分数、活动协定表→最终活动行、理想点绝对差、2019 切片和方向对称性复算。</w:t>
      </w:r>
    </w:p>
    <w:p>
      <w:pPr>
        <w:pStyle w:val="ListBullet"/>
        <w:spacing w:before="0" w:after="40" w:line="252" w:lineRule="auto"/>
        <w:ind w:left="317" w:hanging="202"/>
      </w:pPr>
      <w:r>
        <w:rPr>
          <w:rFonts w:ascii="Calibri" w:hAnsi="Calibri" w:eastAsia="Microsoft YaHei"/>
          <w:color w:val="243746"/>
          <w:sz w:val="19"/>
        </w:rPr>
        <w:t>重新运行 Stage 1/2 manifest 与 SUCCESS 哈希门控，确认文本副本中不再出现 #NAME?，并冻结模型名称、模型版本、提示词和仲裁路由。</w:t>
      </w:r>
    </w:p>
    <w:p>
      <w:pPr>
        <w:pStyle w:val="ListBullet"/>
        <w:spacing w:before="0" w:after="40" w:line="252" w:lineRule="auto"/>
        <w:ind w:left="317" w:hanging="202"/>
      </w:pPr>
      <w:r>
        <w:rPr>
          <w:rFonts w:ascii="Calibri" w:hAnsi="Calibri" w:eastAsia="Microsoft YaHei"/>
          <w:color w:val="243746"/>
          <w:sz w:val="19"/>
        </w:rPr>
        <w:t>如修改单模型/双模型选择，必须从 final_provision_weights 开始重建全部下游协议分数、pair-year 指数和最终 CSV，不能只改方法文档。</w:t>
      </w:r>
    </w:p>
    <w:p>
      <w:pPr>
        <w:pStyle w:val="ListBullet"/>
        <w:spacing w:before="0" w:after="40" w:line="252" w:lineRule="auto"/>
        <w:ind w:left="317" w:hanging="202"/>
      </w:pPr>
      <w:r>
        <w:rPr>
          <w:rFonts w:ascii="Calibri" w:hAnsi="Calibri" w:eastAsia="Microsoft YaHei"/>
          <w:color w:val="243746"/>
          <w:sz w:val="19"/>
        </w:rPr>
        <w:t>把 2000—2023 切片生成步骤、理想点合并步骤和全部输入/输出清单写入可执行流水线及 run_metadata。</w:t>
      </w:r>
    </w:p>
    <w:p>
      <w:pPr>
        <w:pStyle w:val="Heading2"/>
        <w:keepNext/>
        <w:keepLines/>
      </w:pPr>
      <w:r>
        <w:rPr>
          <w:rFonts w:ascii="Calibri" w:hAnsi="Calibri" w:eastAsia="Microsoft YaHei"/>
          <w:b/>
          <w:color w:val="2E74B5"/>
          <w:sz w:val="26"/>
        </w:rPr>
        <w:t>D.3 报告中的简化</w:t>
      </w:r>
    </w:p>
    <w:p>
      <w:pPr>
        <w:keepLines w:val="0"/>
        <w:spacing w:before="0" w:after="120" w:line="264" w:lineRule="auto"/>
      </w:pPr>
      <w:r>
        <w:rPr>
          <w:rFonts w:ascii="Calibri" w:hAnsi="Calibri" w:eastAsia="Microsoft YaHei"/>
          <w:color w:val="243746"/>
          <w:sz w:val="21"/>
        </w:rPr>
        <w:t>正文以 current 双模型结果为主，不展开 API 调用、重试与 JSON 解析日志；单模型路线只作为版本差异记录。流程图只采用与 current 数据一致的双模型图，案例以 10 条已验证条款概括识别边界。所有更细的文件级证据、统计口径和待确认依据保存在配套 Excel 与 Markdown 核查记录中。</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Microsoft YaHei"/>
        <w:color w:val="5C6F7B"/>
        <w:sz w:val="17"/>
      </w:rPr>
      <w:t xml:space="preserve">导师阶段性进展汇报 · 2026-07-11 · </w:t>
    </w:r>
    <w:r>
      <w:rPr>
        <w:rFonts w:ascii="Calibri" w:hAnsi="Calibri" w:eastAsia="Microsoft YaHei"/>
        <w:color w:val="5C6F7B"/>
        <w:sz w:val="17"/>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color w:val="5C6F7B"/>
        <w:sz w:val="17"/>
      </w:rPr>
      <w:t>内部阶段材料｜2026-07-11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b/>
        <w:color w:val="5C6F7B"/>
        <w:sz w:val="17"/>
      </w:rPr>
      <w:t>制度性开放量化项目｜阶段性进展</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Microsoft YaHei"/>
      <w:sz w:val="20"/>
    </w:rPr>
  </w:style>
  <w:style w:type="paragraph" w:styleId="ListBullet2">
    <w:name w:val="List Bullet 2"/>
    <w:basedOn w:val="Normal"/>
    <w:uiPriority w:val="99"/>
    <w:unhideWhenUsed/>
    <w:rsid w:val="00326F90"/>
    <w:pPr>
      <w:numPr>
        <w:numId w:val="2"/>
      </w:numPr>
      <w:contextualSpacing/>
    </w:pPr>
    <w:rPr>
      <w:rFonts w:ascii="Calibri" w:hAnsi="Calibri" w:eastAsia="Microsoft YaHe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Microsoft YaHe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导师阶段性进展汇报_20260711</dc:title>
  <dc:subject>数字贸易协定制度性开放量化项目阶段性进展</dc:subject>
  <dc:creator>项目组（由 Codex 基于项目材料整理）</dc:creator>
  <cp:keywords>DTA; 制度性开放; ICIO; 双模型; 数据质量; 回溯</cp:keywords>
  <dc:description>本报告基于 2026-07-11 项目目录实际文件核查生成。</dc:description>
  <cp:lastModifiedBy/>
  <cp:revision>1</cp:revision>
  <dcterms:created xsi:type="dcterms:W3CDTF">2013-12-23T23:15:00Z</dcterms:created>
  <dcterms:modified xsi:type="dcterms:W3CDTF">2013-12-23T23:15:00Z</dcterms:modified>
  <cp:category/>
</cp:coreProperties>
</file>