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5BC03">
      <w:pPr>
        <w:rPr>
          <w:rFonts w:hint="eastAsia"/>
          <w:lang w:val="en-US" w:eastAsia="zh-CN"/>
        </w:rPr>
      </w:pPr>
    </w:p>
    <w:p w14:paraId="3885EB78">
      <w:pPr>
        <w:rPr>
          <w:rFonts w:hint="default" w:ascii="Times New Roman" w:hAnsi="Times New Roman" w:cs="Times New Roman"/>
          <w:b/>
          <w:bCs/>
          <w:sz w:val="22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8"/>
          <w:lang w:val="en-US" w:eastAsia="zh-CN"/>
        </w:rPr>
        <w:t>排除标准：</w:t>
      </w:r>
    </w:p>
    <w:p w14:paraId="11D4C5AD">
      <w:pPr>
        <w:rPr>
          <w:rFonts w:hint="default" w:ascii="Times New Roman" w:hAnsi="Times New Roman" w:cs="Times New Roman"/>
          <w:b/>
          <w:bCs/>
          <w:sz w:val="22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8"/>
          <w:lang w:val="en-US" w:eastAsia="zh-CN"/>
        </w:rPr>
        <w:t>1.肾功能指标缺失或异常：基线时血清肌酐、胱抑素C检测数据缺失，或检测值超出临床合理范围（如肌酐＞133μmol/L（男性）/＞106μmol/L（女性）且无明确病因解释），无法计算eGFRcr、eGFRcys及eGFRdiff指标。</w:t>
      </w:r>
    </w:p>
    <w:p w14:paraId="1540BA75">
      <w:pPr>
        <w:rPr>
          <w:rFonts w:hint="default" w:ascii="Times New Roman" w:hAnsi="Times New Roman" w:cs="Times New Roman"/>
          <w:b/>
          <w:bCs/>
          <w:sz w:val="22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8"/>
          <w:lang w:val="en-US" w:eastAsia="zh-CN"/>
        </w:rPr>
        <w:t>2.基线已确诊中风：自我报告既往有中风病史、医生诊断记录明确中风。</w:t>
      </w:r>
    </w:p>
    <w:p w14:paraId="3A158D06">
      <w:pPr>
        <w:rPr>
          <w:rFonts w:hint="default" w:ascii="Times New Roman" w:hAnsi="Times New Roman" w:cs="Times New Roman"/>
          <w:b/>
          <w:bCs/>
          <w:sz w:val="22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8"/>
          <w:lang w:val="en-US" w:eastAsia="zh-CN"/>
        </w:rPr>
        <w:t>3.随访期间失访或数据缺失</w:t>
      </w:r>
    </w:p>
    <w:p w14:paraId="61A5FCA9">
      <w:pPr>
        <w:rPr>
          <w:rFonts w:hint="default" w:ascii="Times New Roman" w:hAnsi="Times New Roman" w:cs="Times New Roman"/>
          <w:b/>
          <w:bCs/>
          <w:sz w:val="22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8"/>
          <w:lang w:val="en-US" w:eastAsia="zh-CN"/>
        </w:rPr>
        <w:t>4.严重基础疾病或特殊人群：基线时确诊终末期肾病（eGFRcr-cys＜15mL）</w:t>
      </w:r>
    </w:p>
    <w:p w14:paraId="582A2B49">
      <w:pPr>
        <w:rPr>
          <w:rFonts w:hint="default" w:ascii="Times New Roman" w:hAnsi="Times New Roman" w:cs="Times New Roman"/>
          <w:b/>
          <w:bCs/>
          <w:sz w:val="22"/>
          <w:szCs w:val="28"/>
          <w:lang w:val="en-US" w:eastAsia="zh-CN"/>
        </w:rPr>
      </w:pPr>
    </w:p>
    <w:p w14:paraId="3E559F52">
      <w:pPr>
        <w:rPr>
          <w:rFonts w:hint="default" w:ascii="Times New Roman" w:hAnsi="Times New Roman" w:cs="Times New Roman"/>
          <w:b/>
          <w:bCs/>
          <w:sz w:val="22"/>
          <w:szCs w:val="28"/>
          <w:lang w:val="en-US" w:eastAsia="zh-CN"/>
        </w:rPr>
      </w:pPr>
    </w:p>
    <w:p w14:paraId="006C6ED0">
      <w:pPr>
        <w:rPr>
          <w:rFonts w:hint="default" w:ascii="Times New Roman" w:hAnsi="Times New Roman" w:cs="Times New Roman"/>
          <w:b/>
          <w:bCs/>
          <w:sz w:val="22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8"/>
          <w:lang w:val="en-US" w:eastAsia="zh-CN"/>
        </w:rPr>
        <w:t>复合变量由来</w:t>
      </w:r>
    </w:p>
    <w:p w14:paraId="72FA88F8">
      <w:pPr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血清胱抑素C（CystatinC）</w:t>
      </w:r>
      <w:r>
        <w:rPr>
          <w:rFonts w:hint="default" w:ascii="Times New Roman" w:hAnsi="Times New Roman" w:eastAsia="宋体" w:cs="Times New Roman"/>
          <w:sz w:val="24"/>
          <w:szCs w:val="24"/>
        </w:rPr>
        <w:t>水平，结合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年龄、性别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血清肌酐（SerumCreatinine，Scr）</w:t>
      </w:r>
      <w:r>
        <w:rPr>
          <w:rFonts w:hint="default" w:ascii="Times New Roman" w:hAnsi="Times New Roman" w:eastAsia="宋体" w:cs="Times New Roman"/>
          <w:sz w:val="24"/>
          <w:szCs w:val="24"/>
        </w:rPr>
        <w:t>水平，结合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年龄、性别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</w:p>
    <w:p w14:paraId="4B0A71C2">
      <w:pPr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 w14:paraId="60F526F1">
      <w:pPr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单位为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mL/min/1.73m²</w:t>
      </w:r>
    </w:p>
    <w:p w14:paraId="160DC500">
      <w:pPr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</w:p>
    <w:p w14:paraId="4F445728">
      <w:pPr>
        <w:rPr>
          <w:rFonts w:hint="default" w:ascii="Times New Roman" w:hAnsi="Times New Roman" w:cs="Times New Roman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FF0000"/>
          <w:sz w:val="22"/>
          <w:szCs w:val="28"/>
          <w:lang w:val="en-US" w:eastAsia="zh-CN"/>
        </w:rPr>
        <w:t>·绝对差值（eGFRabdiff）：eGFRabdiff=eGFRcys－eGFRcr（直接用胱抑素C估算的eGFR减去肌酐估算的eGFR，单位</w:t>
      </w:r>
      <w:r>
        <w:rPr>
          <w:rFonts w:hint="eastAsia" w:ascii="Times New Roman" w:hAnsi="Times New Roman" w:cs="Times New Roman"/>
          <w:b/>
          <w:bCs/>
          <w:color w:val="FF0000"/>
          <w:sz w:val="22"/>
          <w:szCs w:val="28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mL/min/1.73m²</w:t>
      </w:r>
      <w:r>
        <w:rPr>
          <w:rFonts w:hint="default" w:ascii="Times New Roman" w:hAnsi="Times New Roman" w:cs="Times New Roman"/>
          <w:b/>
          <w:bCs/>
          <w:color w:val="FF0000"/>
          <w:sz w:val="22"/>
          <w:szCs w:val="28"/>
          <w:lang w:val="en-US" w:eastAsia="zh-CN"/>
        </w:rPr>
        <w:t>）。</w:t>
      </w:r>
    </w:p>
    <w:p w14:paraId="368FDF44">
      <w:pPr>
        <w:rPr>
          <w:rFonts w:hint="default" w:ascii="Times New Roman" w:hAnsi="Times New Roman" w:cs="Times New Roman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FF0000"/>
          <w:sz w:val="22"/>
          <w:szCs w:val="28"/>
          <w:lang w:val="en-US" w:eastAsia="zh-CN"/>
        </w:rPr>
        <w:t>·相对差值（eGFRrediff）：eGFRrediff=eGFRcys/eGFRcr（用胱抑素C估算的eGFR除以肌酐估算的eGFR，结果为</w:t>
      </w:r>
      <w:r>
        <w:rPr>
          <w:rFonts w:hint="default" w:ascii="Times New Roman" w:hAnsi="Times New Roman" w:cs="Times New Roman"/>
          <w:b/>
          <w:bCs/>
          <w:color w:val="000000" w:themeColor="text1"/>
          <w:sz w:val="22"/>
          <w:szCs w:val="28"/>
          <w:lang w:val="en-US" w:eastAsia="zh-CN"/>
          <w14:textFill>
            <w14:solidFill>
              <w14:schemeClr w14:val="tx1"/>
            </w14:solidFill>
          </w14:textFill>
        </w:rPr>
        <w:t>无量纲的比率</w:t>
      </w:r>
      <w:r>
        <w:rPr>
          <w:rFonts w:hint="default" w:ascii="Times New Roman" w:hAnsi="Times New Roman" w:cs="Times New Roman"/>
          <w:b/>
          <w:bCs/>
          <w:color w:val="FF0000"/>
          <w:sz w:val="22"/>
          <w:szCs w:val="28"/>
          <w:lang w:val="en-US" w:eastAsia="zh-CN"/>
        </w:rPr>
        <w:t>）。</w:t>
      </w:r>
    </w:p>
    <w:p w14:paraId="6541CF69"/>
    <w:p w14:paraId="27A503FC">
      <w:pPr>
        <w:rPr>
          <w:rFonts w:hint="default" w:ascii="Times New Roman" w:hAnsi="Times New Roman" w:cs="Times New Roman"/>
          <w:b/>
          <w:b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  <w:t>自变量考虑：</w:t>
      </w:r>
    </w:p>
    <w:p w14:paraId="441E074D">
      <w:pP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  <w:t>1.人口学特征</w:t>
      </w:r>
    </w:p>
    <w:p w14:paraId="3A44B63B">
      <w:pP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  <w:t>年龄、性别、居住地</w:t>
      </w:r>
    </w:p>
    <w:p w14:paraId="40693CE5">
      <w:pP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  <w:t>教育水平（分类：文盲/小学/初中及以上，CHARLS数据库标准分类）</w:t>
      </w:r>
    </w:p>
    <w:p w14:paraId="2484B422">
      <w:pP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  <w:t>2.生活方式因素</w:t>
      </w:r>
    </w:p>
    <w:p w14:paraId="24281E0C">
      <w:pP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  <w:t>吸烟史</w:t>
      </w:r>
    </w:p>
    <w:p w14:paraId="388B8447">
      <w:pP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  <w:t>饮酒史</w:t>
      </w:r>
    </w:p>
    <w:p w14:paraId="12D553AC">
      <w:pP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  <w:t>3.临床疾病史</w:t>
      </w:r>
    </w:p>
    <w:p w14:paraId="0BA85F38">
      <w:pP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  <w:t>高血压、糖尿病、心血管疾病史、糖尿病</w:t>
      </w:r>
    </w:p>
    <w:p w14:paraId="362E1E42">
      <w:pP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  <w:t>4.生化指标</w:t>
      </w:r>
    </w:p>
    <w:p w14:paraId="2E501C26">
      <w:pPr>
        <w:rPr>
          <w:rFonts w:hint="default" w:ascii="Times New Roman" w:hAnsi="Times New Roman" w:cs="Times New Roman"/>
          <w:b/>
          <w:b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  <w:t>血脂相关：血糖、总胆固醇（TC）、甘油三酯（TG）、高密度脂蛋白胆固醇（HDL-C）、低密度脂蛋白胆固醇（LDL-C）、Tyg、Tyg-bmi；</w:t>
      </w:r>
    </w:p>
    <w:p w14:paraId="5DF07DA6">
      <w:pP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  <w:t>炎症/代谢指标：C反应蛋白（CRP）、尿酸（Urate）、糖化血红蛋白（HbA1c）</w:t>
      </w:r>
    </w:p>
    <w:p w14:paraId="419EAA3E">
      <w:pP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  <w:t>5.体格检查指标</w:t>
      </w:r>
    </w:p>
    <w:p w14:paraId="7CA70543">
      <w:pP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2"/>
          <w:szCs w:val="28"/>
          <w:lang w:val="en-US" w:eastAsia="zh-CN"/>
        </w:rPr>
        <w:t>体重指数（BMI）：连续变量（体重/身高²，kg/m²）</w:t>
      </w:r>
    </w:p>
    <w:p w14:paraId="15F9B18E"/>
    <w:p w14:paraId="4CD6A15A"/>
    <w:p w14:paraId="6D5E4D6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中风：</w:t>
      </w:r>
    </w:p>
    <w:p w14:paraId="2CB893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缺血性中风（IschemicStroke）</w:t>
      </w:r>
    </w:p>
    <w:p w14:paraId="0E827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定义：脑部供血动脉狭窄或闭塞导致脑组织缺血缺氧坏死，占所有中风的</w:t>
      </w:r>
      <w:bookmarkStart w:id="0" w:name="_GoBack"/>
      <w:bookmarkEnd w:id="0"/>
      <w:r>
        <w:rPr>
          <w:rFonts w:hint="eastAsia"/>
          <w:lang w:val="en-US" w:eastAsia="zh-CN"/>
        </w:rPr>
        <w:t>60%-80%，常见病因包括动脉粥样硬化、血栓形成、栓塞等。</w:t>
      </w:r>
    </w:p>
    <w:p w14:paraId="1B4F6B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ICD-10编码：I63（脑梗死）、I64（未特指的中风）、I65（大脑动脉闭塞或狭窄，未导致梗死）、I66（其他脑血管闭塞或狭窄，未导致梗死）。</w:t>
      </w:r>
    </w:p>
    <w:p w14:paraId="2ADB4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出血性中风（HemorrhagicStroke）</w:t>
      </w:r>
    </w:p>
    <w:p w14:paraId="5B8C08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定义：脑血管破裂导致血液流入脑组织或脑室，压迫脑组织引发损伤，常见病因包括高血压性脑出血、蛛网膜下腔出血等。</w:t>
      </w:r>
    </w:p>
    <w:p w14:paraId="27FDBB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ICD-10编码：I60（蛛网膜下腔出血）、I61（脑内出血）、I62（其他非创伤性颅内出血）。</w:t>
      </w:r>
    </w:p>
    <w:p w14:paraId="44172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研究纳入标准（贴合CHARLS数据库随访特点）</w:t>
      </w:r>
    </w:p>
    <w:p w14:paraId="70DCD3B0">
      <w:pPr>
        <w:rPr>
          <w:rFonts w:hint="eastAsia"/>
          <w:lang w:val="en-US" w:eastAsia="zh-CN"/>
        </w:rPr>
      </w:pPr>
    </w:p>
    <w:p w14:paraId="707C7113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新发中风：基线（CHARLS第一波）无中风病史，随访至第五波期间，通过自我报告“医生明确诊断中风”。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63FD4"/>
    <w:rsid w:val="47A951D4"/>
    <w:rsid w:val="6966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495</Words>
  <Characters>713</Characters>
  <Lines>0</Lines>
  <Paragraphs>0</Paragraphs>
  <TotalTime>12</TotalTime>
  <ScaleCrop>false</ScaleCrop>
  <LinksUpToDate>false</LinksUpToDate>
  <CharactersWithSpaces>713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2026-02-01T04:31:00Z</dcterms:created>
  <dc:creator>欢逗</dc:creator>
  <cp:lastModifiedBy>欢逗</cp:lastModifiedBy>
  <dcterms:modified xsi:type="dcterms:W3CDTF">2026-02-01T05:54:01Z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C330D04621874AE09C811EC46C9E2B5F_11</vt:lpwstr>
  </property>
  <property fmtid="{D5CDD505-2E9C-101B-9397-08002B2CF9AE}" pid="4" name="KSOTemplateDocerSaveRecord">
    <vt:lpwstr>eyJoZGlkIjoiMWRiZThmMmM0OTJlMTEzNjg1YzAxZTI0MzBkMjE4NTAiLCJ1c2VySWQiOiI0MjY3OTE3NDIifQ==</vt:lpwstr>
  </property>
</Properties>
</file>