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解释矩阵乘法不同方法的性能差异原因。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说明金融数据分析中向量化的重要性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@</w:t>
      </w:r>
      <w:r>
        <w:rPr>
          <w:rStyle w:val="6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运算符 和 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np.matmul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底层调用完全相同的 BLAS 矩阵乘内核，</w:t>
      </w:r>
      <w:r>
        <w:rPr>
          <w:rStyle w:val="6"/>
          <w:color w:val="000000"/>
          <w:sz w:val="19"/>
          <w:szCs w:val="19"/>
          <w:bdr w:val="none" w:color="auto" w:sz="0" w:space="0"/>
        </w:rPr>
        <w:t>二维矩阵场景速度几乎无区别</w:t>
      </w:r>
      <w:r>
        <w:rPr>
          <w:color w:val="000000"/>
          <w:sz w:val="19"/>
          <w:szCs w:val="19"/>
          <w:bdr w:val="none" w:color="auto" w:sz="0" w:space="0"/>
        </w:rPr>
        <w:t>；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设计目标是严格数学矩阵乘法：仅对最后两个维度做矩阵相乘，前面所有维度视为批量并行维度，天然适配金融批量收益矩阵、多资产权重运算；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支持高维数组广播批量计算，不会出现维度错乱。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np.dot()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历史兼容接口，逻辑混杂：一维是向量内积、二维是矩阵乘、三维及以上会做张量缩并；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代码内部存在大量分支判断区分输入维度，带来微小性能损耗，同尺寸矩阵乘法通常比</w:t>
      </w:r>
      <w:r>
        <w:rPr>
          <w:rStyle w:val="7"/>
          <w:color w:val="000000"/>
          <w:sz w:val="19"/>
          <w:szCs w:val="19"/>
          <w:bdr w:val="none" w:color="auto" w:sz="0" w:space="0"/>
        </w:rPr>
        <w:t>@</w:t>
      </w:r>
      <w:r>
        <w:rPr>
          <w:color w:val="000000"/>
          <w:sz w:val="19"/>
          <w:szCs w:val="19"/>
          <w:bdr w:val="none" w:color="auto" w:sz="0" w:space="0"/>
        </w:rPr>
        <w:t>慢 2%~8%；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高维金融数据（如</w:t>
      </w:r>
      <w:r>
        <w:rPr>
          <w:rStyle w:val="7"/>
          <w:color w:val="000000"/>
          <w:sz w:val="19"/>
          <w:szCs w:val="19"/>
          <w:bdr w:val="none" w:color="auto" w:sz="0" w:space="0"/>
        </w:rPr>
        <w:t>(N_股票, T_交易日)</w:t>
      </w:r>
      <w:r>
        <w:rPr>
          <w:color w:val="000000"/>
          <w:sz w:val="19"/>
          <w:szCs w:val="19"/>
          <w:bdr w:val="none" w:color="auto" w:sz="0" w:space="0"/>
        </w:rPr>
        <w:t>批量协方差）极易出现维度错位，可读性差。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性能差异核心原因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6"/>
          <w:color w:val="000000"/>
          <w:sz w:val="19"/>
          <w:szCs w:val="19"/>
          <w:bdr w:val="none" w:color="auto" w:sz="0" w:space="0"/>
        </w:rPr>
        <w:t>接口定位不同</w:t>
      </w:r>
      <w:r>
        <w:rPr>
          <w:color w:val="000000"/>
          <w:sz w:val="19"/>
          <w:szCs w:val="19"/>
          <w:bdr w:val="none" w:color="auto" w:sz="0" w:space="0"/>
        </w:rPr>
        <w:t xml:space="preserve"> </w:t>
      </w:r>
      <w:r>
        <w:rPr>
          <w:rStyle w:val="7"/>
          <w:color w:val="000000"/>
          <w:sz w:val="19"/>
          <w:szCs w:val="19"/>
          <w:bdr w:val="none" w:color="auto" w:sz="0" w:space="0"/>
        </w:rPr>
        <w:t>matmul/@</w:t>
      </w:r>
      <w:r>
        <w:rPr>
          <w:color w:val="000000"/>
          <w:sz w:val="19"/>
          <w:szCs w:val="19"/>
          <w:bdr w:val="none" w:color="auto" w:sz="0" w:space="0"/>
        </w:rPr>
        <w:t xml:space="preserve"> 专一处理矩阵乘法，分支判断极少；</w:t>
      </w:r>
      <w:r>
        <w:rPr>
          <w:rStyle w:val="7"/>
          <w:color w:val="000000"/>
          <w:sz w:val="19"/>
          <w:szCs w:val="19"/>
          <w:bdr w:val="none" w:color="auto" w:sz="0" w:space="0"/>
        </w:rPr>
        <w:t>dot</w:t>
      </w:r>
      <w:r>
        <w:rPr>
          <w:color w:val="000000"/>
          <w:sz w:val="19"/>
          <w:szCs w:val="19"/>
          <w:bdr w:val="none" w:color="auto" w:sz="0" w:space="0"/>
        </w:rPr>
        <w:t>兼顾向量、矩阵、张量三种运算，额外逻辑开销。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6"/>
          <w:color w:val="000000"/>
          <w:sz w:val="19"/>
          <w:szCs w:val="19"/>
          <w:bdr w:val="none" w:color="auto" w:sz="0" w:space="0"/>
        </w:rPr>
        <w:t>底层优化逻辑</w:t>
      </w:r>
      <w:r>
        <w:rPr>
          <w:color w:val="000000"/>
          <w:sz w:val="19"/>
          <w:szCs w:val="19"/>
          <w:bdr w:val="none" w:color="auto" w:sz="0" w:space="0"/>
        </w:rPr>
        <w:t xml:space="preserve"> 现代 NumPy 会给</w:t>
      </w:r>
      <w:r>
        <w:rPr>
          <w:rStyle w:val="7"/>
          <w:color w:val="000000"/>
          <w:sz w:val="19"/>
          <w:szCs w:val="19"/>
          <w:bdr w:val="none" w:color="auto" w:sz="0" w:space="0"/>
        </w:rPr>
        <w:t>matmul/@</w:t>
      </w:r>
      <w:r>
        <w:rPr>
          <w:color w:val="000000"/>
          <w:sz w:val="19"/>
          <w:szCs w:val="19"/>
          <w:bdr w:val="none" w:color="auto" w:sz="0" w:space="0"/>
        </w:rPr>
        <w:t>绑定更优的 OpenBLAS/MKL 分块矩阵加速，缓存利用率更高；</w:t>
      </w:r>
      <w:r>
        <w:rPr>
          <w:rStyle w:val="7"/>
          <w:color w:val="000000"/>
          <w:sz w:val="19"/>
          <w:szCs w:val="19"/>
          <w:bdr w:val="none" w:color="auto" w:sz="0" w:space="0"/>
        </w:rPr>
        <w:t>dot</w:t>
      </w:r>
      <w:r>
        <w:rPr>
          <w:color w:val="000000"/>
          <w:sz w:val="19"/>
          <w:szCs w:val="19"/>
          <w:bdr w:val="none" w:color="auto" w:sz="0" w:space="0"/>
        </w:rPr>
        <w:t>为兼容老代码，优化策略保守。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6"/>
          <w:color w:val="000000"/>
          <w:sz w:val="19"/>
          <w:szCs w:val="19"/>
          <w:bdr w:val="none" w:color="auto" w:sz="0" w:space="0"/>
        </w:rPr>
        <w:t>高维场景差距放大</w:t>
      </w:r>
      <w:r>
        <w:rPr>
          <w:color w:val="000000"/>
          <w:sz w:val="19"/>
          <w:szCs w:val="19"/>
          <w:bdr w:val="none" w:color="auto" w:sz="0" w:space="0"/>
        </w:rPr>
        <w:t xml:space="preserve"> 当输入是三维 / 四维批量矩阵（金融高频批量回测），</w:t>
      </w:r>
      <w:r>
        <w:rPr>
          <w:rStyle w:val="7"/>
          <w:color w:val="000000"/>
          <w:sz w:val="19"/>
          <w:szCs w:val="19"/>
          <w:bdr w:val="none" w:color="auto" w:sz="0" w:space="0"/>
        </w:rPr>
        <w:t>dot</w:t>
      </w:r>
      <w:r>
        <w:rPr>
          <w:color w:val="000000"/>
          <w:sz w:val="19"/>
          <w:szCs w:val="19"/>
          <w:bdr w:val="none" w:color="auto" w:sz="0" w:space="0"/>
        </w:rPr>
        <w:t>会产生不必要的维度扩张，内存拷贝变多，速度差距会拉开到数倍。</w:t>
      </w:r>
    </w:p>
    <w:p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二、金融数据分析中向量化的重要性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 极致运算速度，解决海量数据回测痛点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Python 原生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for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循环是解释执行，单条循环开销极高；NumPy 向量化运算底层由 C 语言 + CPU SIMD 并行执行，计算 10 万条股票收益率、波动率时，速度比循环快</w:t>
      </w:r>
      <w:r>
        <w:rPr>
          <w:rStyle w:val="6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几百至上万倍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 金融场景：上万只股票、数年交易日的回测、蒙特卡洛风险模拟，不用向量化会出现几分钟甚至几小时的卡顿。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大幅降低内存占用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Python 列表存储的是对象指针，每个浮点数附带大量对象元数据；NumPy 数组是连续内存块存储原生数值，同等数据量内存占用仅列表的 1/10 左右。 大规模资产组合、全市场行情数据下，可避免内存溢出。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 金融数学公式天然适配向量化广播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对数收益率、年化波动率、协方差矩阵、移动均线、回撤计算，全部可以通过数组广播 / 矩阵运算一行实现，无需嵌套循环，减少循环边界、索引越界等业务 bug。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4. 便于二次加速扩展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向量化 NumPy 代码可无缝对接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numba.njit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、CuPy GPU 加速，轻松支撑百万次蒙特卡洛模拟、多因子批量计算，是量化交易底层高性能框架基础。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5. 代码简洁易维护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向量化代码高度贴合金融公式，可读性强；多层循环代码逻辑嵌套复杂，后期修改策略、调参极易出错。</w:t>
      </w:r>
    </w:p>
    <w:p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三、扩展思考 1：NumPy 实现股票蒙特卡洛模拟（几何布朗运动 GBM）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核心公式（股票几何布朗运动）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23"/>
          <w:szCs w:val="23"/>
          <w:bdr w:val="none" w:color="auto" w:sz="0" w:space="0"/>
          <w:lang w:val="en-US" w:eastAsia="zh-CN" w:bidi="ar"/>
        </w:rPr>
        <w:t>St​=S0​exp[(μ−2σ2​)Δt+σΔt​⋅Z]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23"/>
          <w:szCs w:val="23"/>
          <w:bdr w:val="none" w:color="auto" w:sz="0" w:space="0"/>
        </w:rPr>
        <w:t>S0​</w:t>
      </w:r>
      <w:r>
        <w:rPr>
          <w:color w:val="000000"/>
          <w:sz w:val="19"/>
          <w:szCs w:val="19"/>
          <w:bdr w:val="none" w:color="auto" w:sz="0" w:space="0"/>
        </w:rPr>
        <w:t>：初始股价；</w:t>
      </w:r>
      <w:r>
        <w:rPr>
          <w:color w:val="000000"/>
          <w:sz w:val="23"/>
          <w:szCs w:val="23"/>
          <w:bdr w:val="none" w:color="auto" w:sz="0" w:space="0"/>
        </w:rPr>
        <w:t>μ</w:t>
      </w:r>
      <w:r>
        <w:rPr>
          <w:color w:val="000000"/>
          <w:sz w:val="19"/>
          <w:szCs w:val="19"/>
          <w:bdr w:val="none" w:color="auto" w:sz="0" w:space="0"/>
        </w:rPr>
        <w:t>：年化预期收益率；</w:t>
      </w:r>
      <w:r>
        <w:rPr>
          <w:color w:val="000000"/>
          <w:sz w:val="23"/>
          <w:szCs w:val="23"/>
          <w:bdr w:val="none" w:color="auto" w:sz="0" w:space="0"/>
        </w:rPr>
        <w:t>σ</w:t>
      </w:r>
      <w:r>
        <w:rPr>
          <w:color w:val="000000"/>
          <w:sz w:val="19"/>
          <w:szCs w:val="19"/>
          <w:bdr w:val="none" w:color="auto" w:sz="0" w:space="0"/>
        </w:rPr>
        <w:t>：年化波动率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23"/>
          <w:szCs w:val="23"/>
          <w:bdr w:val="none" w:color="auto" w:sz="0" w:space="0"/>
        </w:rPr>
        <w:t>Δt</w:t>
      </w:r>
      <w:r>
        <w:rPr>
          <w:color w:val="000000"/>
          <w:sz w:val="19"/>
          <w:szCs w:val="19"/>
          <w:bdr w:val="none" w:color="auto" w:sz="0" w:space="0"/>
        </w:rPr>
        <w:t>：单日时间步长（</w:t>
      </w:r>
      <w:r>
        <w:rPr>
          <w:color w:val="000000"/>
          <w:sz w:val="23"/>
          <w:szCs w:val="23"/>
          <w:bdr w:val="none" w:color="auto" w:sz="0" w:space="0"/>
        </w:rPr>
        <w:t>1/252</w:t>
      </w:r>
      <w:r>
        <w:rPr>
          <w:color w:val="000000"/>
          <w:sz w:val="19"/>
          <w:szCs w:val="19"/>
          <w:bdr w:val="none" w:color="auto" w:sz="0" w:space="0"/>
        </w:rPr>
        <w:t>，一年 252 个交易日）；</w:t>
      </w:r>
      <w:r>
        <w:rPr>
          <w:color w:val="000000"/>
          <w:sz w:val="23"/>
          <w:szCs w:val="23"/>
          <w:bdr w:val="none" w:color="auto" w:sz="0" w:space="0"/>
        </w:rPr>
        <w:t>Z</w:t>
      </w:r>
      <w:r>
        <w:rPr>
          <w:color w:val="000000"/>
          <w:sz w:val="19"/>
          <w:szCs w:val="19"/>
          <w:bdr w:val="none" w:color="auto" w:sz="0" w:space="0"/>
        </w:rPr>
        <w:t>：标准正态随机噪声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完整向量化实现代码（无 Python 循环）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四、扩展思考 2：何时使用 </w:t>
      </w:r>
      <w:r>
        <w:rPr>
          <w:rStyle w:val="7"/>
          <w:color w:val="000000"/>
          <w:sz w:val="19"/>
          <w:szCs w:val="19"/>
          <w:bdr w:val="none" w:color="auto" w:sz="0" w:space="0"/>
        </w:rPr>
        <w:t>order='F'</w:t>
      </w:r>
      <w:r>
        <w:rPr>
          <w:color w:val="000000"/>
          <w:sz w:val="19"/>
          <w:szCs w:val="19"/>
          <w:bdr w:val="none" w:color="auto" w:sz="0" w:space="0"/>
        </w:rPr>
        <w:t>（列优先 Fortran 内存布局）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数组默认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order='C'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行优先，以下场景强制推荐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order='F'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 数据维度：频繁按列做时序计算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金融标准数据格式 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(股票数量N, 交易日T)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，每一列是单只股票全周期时序； 若频繁计算个股波动率、移动平均、最大回撤（沿列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axis=1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运算），F 布局列内存连续，CPU 缓存命中率大幅提升，速度提升数倍。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线性代数矩阵运算（协方差、求逆、特征分解）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BLAS/LAPACK 线性代数底层原生使用 Fortran 列优先布局； 协方差矩阵、相关系数矩阵、资产权重矩阵求逆时，F 连续数组无需内部自动转置拷贝，节省内存与时间。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 对接 MATLAB / Fortran / CUDA 科学计算库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MATLAB、Fortran、CUDA 线性代数模块默认列优先；传入 F 布局数组可避免内存格式转换拷贝，减少 IO 开销。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4. 高频矩阵转置场景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F 连续数组的转置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.T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只是视图，不会生成新数组；C 数组转置后变为非连续数组，后续运算会强制拷贝内存。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反例（不适合 F 布局）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数据格式为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(交易日, 多指标)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（每行代表单日多资产数据），频繁按行求和、遍历，使用默认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order='C'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行优先效率更高。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0E5CA6C"/>
    <w:multiLevelType w:val="multilevel"/>
    <w:tmpl w:val="B0E5CA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FCB7048"/>
    <w:multiLevelType w:val="multilevel"/>
    <w:tmpl w:val="CFCB7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0790D5"/>
    <w:multiLevelType w:val="multilevel"/>
    <w:tmpl w:val="E80790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3D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2026-07-09T01:58:26Z</dcterms:created>
  <dc:creator>21488</dc:creator>
  <cp:lastModifiedBy>doctor</cp:lastModifiedBy>
  <dcterms:modified xsi:type="dcterms:W3CDTF">2026-07-09T02:00:23Z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