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Calibri" w:hAnsi="Calibri" w:eastAsia="SimSun"/>
        </w:rPr>
        <w:t xml:space="preserve">A highly analytical and results-oriented professional seeking the </w:t>
      </w:r>
      <w:r>
        <w:rPr>
          <w:rFonts w:ascii="Calibri" w:hAnsi="Calibri" w:eastAsia="SimSun"/>
          <w:b/>
        </w:rPr>
        <w:t>Manager - Forensic Data Analytics</w:t>
      </w:r>
      <w:r>
        <w:rPr>
          <w:rFonts w:ascii="Calibri" w:hAnsi="Calibri" w:eastAsia="SimSun"/>
        </w:rPr>
        <w:t xml:space="preserve"> position at </w:t>
      </w:r>
      <w:r>
        <w:rPr>
          <w:rFonts w:ascii="Calibri" w:hAnsi="Calibri" w:eastAsia="SimSun"/>
          <w:b/>
        </w:rPr>
        <w:t>KPMG Australia</w:t>
      </w:r>
      <w:r>
        <w:rPr>
          <w:rFonts w:ascii="Calibri" w:hAnsi="Calibri" w:eastAsia="SimSun"/>
        </w:rPr>
        <w:t xml:space="preserve">. Proven ability to design and implement data models using </w:t>
      </w:r>
      <w:r>
        <w:rPr>
          <w:rFonts w:ascii="Calibri" w:hAnsi="Calibri" w:eastAsia="SimSun"/>
          <w:b/>
        </w:rPr>
        <w:t>SQL, Excel, and Power BI</w:t>
      </w:r>
      <w:r>
        <w:rPr>
          <w:rFonts w:ascii="Calibri" w:hAnsi="Calibri" w:eastAsia="SimSun"/>
        </w:rPr>
        <w:t xml:space="preserve"> to identify and quantify risks. Strong financial acumen, demonstrated by </w:t>
      </w:r>
      <w:r>
        <w:rPr>
          <w:rFonts w:ascii="Calibri" w:hAnsi="Calibri" w:eastAsia="SimSun"/>
          <w:b/>
        </w:rPr>
        <w:t>CFA Level III</w:t>
      </w:r>
      <w:r>
        <w:rPr>
          <w:rFonts w:ascii="Calibri" w:hAnsi="Calibri" w:eastAsia="SimSun"/>
        </w:rPr>
        <w:t xml:space="preserve"> candidacy and a Postgraduate Diploma in Financial Management. Expertise in stakeholder engagement and communication, with a track record of successfully aligning priorities across diverse teams at IBM and PwC. Adept at leading and mentoring data analyst teams, ensuring high-quality solution delivery. Successfully improved reporting efficiency by </w:t>
      </w:r>
      <w:r>
        <w:rPr>
          <w:rFonts w:ascii="Calibri" w:hAnsi="Calibri" w:eastAsia="SimSun"/>
          <w:b/>
        </w:rPr>
        <w:t>50%</w:t>
      </w:r>
      <w:r>
        <w:rPr>
          <w:rFonts w:ascii="Calibri" w:hAnsi="Calibri" w:eastAsia="SimSun"/>
        </w:rPr>
        <w:t xml:space="preserve"> through strategic project management and tailored training initiatives, and recovered </w:t>
      </w:r>
      <w:r>
        <w:rPr>
          <w:rFonts w:ascii="Calibri" w:hAnsi="Calibri" w:eastAsia="SimSun"/>
          <w:b/>
        </w:rPr>
        <w:t>$50,000</w:t>
      </w:r>
      <w:r>
        <w:rPr>
          <w:rFonts w:ascii="Calibri" w:hAnsi="Calibri" w:eastAsia="SimSun"/>
        </w:rPr>
        <w:t xml:space="preserve"> in underpayments through payroll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