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0" w:line="240" w:lineRule="auto"/>
        <w:ind w:left="1440" w:firstLine="0"/>
        <w:jc w:val="center"/>
        <w:rPr>
          <w:rFonts w:ascii="Times New Roman" w:cs="Times New Roman" w:eastAsia="Times New Roman" w:hAnsi="Times New Roman"/>
          <w:b w:val="1"/>
          <w:color w:val="4353a1"/>
          <w:sz w:val="36.73066711425781"/>
          <w:szCs w:val="36.7306671142578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53a1"/>
          <w:sz w:val="36.73066711425781"/>
          <w:szCs w:val="36.73066711425781"/>
          <w:rtl w:val="0"/>
        </w:rPr>
        <w:t xml:space="preserve">AIR QUALITY MONITORING ( I O T ) </w:t>
      </w:r>
    </w:p>
    <w:p w:rsidR="00000000" w:rsidDel="00000000" w:rsidP="00000000" w:rsidRDefault="00000000" w:rsidRPr="00000000" w14:paraId="00000003">
      <w:pPr>
        <w:widowControl w:val="0"/>
        <w:spacing w:after="0" w:line="276" w:lineRule="auto"/>
        <w:ind w:left="1440" w:firstLine="0"/>
        <w:jc w:val="center"/>
        <w:rPr>
          <w:rFonts w:ascii="Times New Roman" w:cs="Times New Roman" w:eastAsia="Times New Roman" w:hAnsi="Times New Roman"/>
          <w:b w:val="1"/>
          <w:color w:val="4353a1"/>
          <w:sz w:val="36.73066711425781"/>
          <w:szCs w:val="36.7306671142578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PREETHI S</w:t>
      </w:r>
    </w:p>
    <w:p w:rsidR="00000000" w:rsidDel="00000000" w:rsidP="00000000" w:rsidRDefault="00000000" w:rsidRPr="00000000" w14:paraId="00000005">
      <w:pPr>
        <w:widowControl w:val="0"/>
        <w:spacing w:after="0" w:before="351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NM: AU721221106072</w:t>
      </w:r>
    </w:p>
    <w:p w:rsidR="00000000" w:rsidDel="00000000" w:rsidP="00000000" w:rsidRDefault="00000000" w:rsidRPr="00000000" w14:paraId="00000006">
      <w:pPr>
        <w:widowControl w:val="0"/>
        <w:spacing w:after="0" w:before="351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EMAIL: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21ecb11@karpagamtech.ac.in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before="351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PHASE:4</w:t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4288359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88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INTRODUCTION: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As the name suggests, embedded describes something that is connected to another item. An embedded system is a piece of computer hardware that also contains software. A stand-alone unit or a component of a bigger system can both be an embedded system. An embedded system with a microcontroller or microprocessor is designed to carry out a certain purpose. For instance, a fire alarm is an integrated device that only detects smoke. An embedded system is similar to a computer system in that it is primarily designed to accomplish specific functions such as controlling data in various electronics-based systems, accessing data, processing, and storing data. Embedded systems are hardware and software combinations that are designed to perform a certain set of functions. The embedded system's most essential feature is that it regenerates the output in a very short amount of time. Ma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ny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embedded systems will be encountered in our daily lives.OCK  DIAGRAM: </w:t>
      </w:r>
    </w:p>
    <w:p w:rsidR="00000000" w:rsidDel="00000000" w:rsidP="00000000" w:rsidRDefault="00000000" w:rsidRPr="00000000" w14:paraId="0000000F">
      <w:pPr>
        <w:pStyle w:val="Title"/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Node-RED Vulnerabilities: </w:t>
      </w:r>
    </w:p>
    <w:p w:rsidR="00000000" w:rsidDel="00000000" w:rsidP="00000000" w:rsidRDefault="00000000" w:rsidRPr="00000000" w14:paraId="00000011">
      <w:pPr>
        <w:ind w:firstLine="72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Node-RED is “a programming tool for wiring together hardware devices, APIs and online services”, which provides a way of “low- code programming for event- driven applications” [36]. As an open-source platform, Node-RED is mainly tar- geted for deployment as a single-user platform, although it is also available on the IBM Cloud platform [23].</w:t>
      </w:r>
    </w:p>
    <w:p w:rsidR="00000000" w:rsidDel="00000000" w:rsidP="00000000" w:rsidRDefault="00000000" w:rsidRPr="00000000" w14:paraId="00000012">
      <w:pPr>
        <w:pStyle w:val="Title"/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Node-RED platform: </w:t>
      </w:r>
    </w:p>
    <w:p w:rsidR="00000000" w:rsidDel="00000000" w:rsidP="00000000" w:rsidRDefault="00000000" w:rsidRPr="00000000" w14:paraId="00000014">
      <w:pPr>
        <w:ind w:firstLine="72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node is a reactive Node.js application triggered by receiving messages on at most one input port (dubbed source ) and sending the results of (side-effectful) computations on output ports (dubbedsinks ), which can be potentially multiple, unlike the input port. Figure 3 illustrates the code structure of a Node-REDnode. A special type of node without sources and sinks, called configuration node, is used for sharing configuration data, such as login credentials, between multiple nodes. A flow is a representation of nodes connected together. End users can either create their own flows on the platform’s environment or deploy existing flows pro- vided by the official Node-RED catalog [33] and by third parties. In Node-RED, contexts provide a shared communication channel between different nodes without using the explicit messages that pass through a flow [40]. Therefore the node wiring visible in the user interface reflects only a part of the information flows that are possible in the flow. It introduces an implicit channel that is not visible to the user via the graphical interface of a flow. Node-RED defines three scope levels for the contexts</w:t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shd w:fill="fffdea" w:val="clear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381625" cy="3438525"/>
            <wp:effectExtent b="0" l="0" r="0" t="0"/>
            <wp:docPr descr="No alt text provided for this image" id="10" name="image3.png"/>
            <a:graphic>
              <a:graphicData uri="http://schemas.openxmlformats.org/drawingml/2006/picture">
                <pic:pic>
                  <pic:nvPicPr>
                    <pic:cNvPr descr="No alt text provided for this image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provided policies can later be vetted by the platformand the user, before deploying the node. SandTrap [3] offers a pol- icy generation mechanism to aid developers in designing the policies, enabling both baseline and advanced policies customized by developers or users to express fine-grained app- specific security goals. In the following, we discuss Node-RED attacks and vulnerabilities that mo- tivate enriching the policy mechanism with different granularity levels. These policies will further be formalized in Section 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7">
      <w:pPr>
        <w:pStyle w:val="Title"/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Platform-level isolation vulnerabilities:</w:t>
      </w:r>
    </w:p>
    <w:p w:rsidR="00000000" w:rsidDel="00000000" w:rsidP="00000000" w:rsidRDefault="00000000" w:rsidRPr="00000000" w14:paraId="0000001A">
      <w:pPr>
        <w:ind w:firstLine="720"/>
        <w:jc w:val="both"/>
        <w:rPr>
          <w:rFonts w:ascii="Times New Roman" w:cs="Times New Roman" w:eastAsia="Times New Roman" w:hAnsi="Times New Roman"/>
          <w:sz w:val="26"/>
          <w:szCs w:val="26"/>
        </w:rPr>
      </w:pP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26"/>
              <w:szCs w:val="26"/>
              <w:rtl w:val="0"/>
            </w:rPr>
            <w:t xml:space="preserve">All APIs provided by the underlying runtimes, Node-RED and ⟨ ⟩ Node.js, are accessible for node developers, as well as the incom- ing messages within a flow. As shown in Figure 6a, there are various attack sce- narios for malicious nodes [3]. At the Node.js level, an attacker can create a ma- licious Node-RED node including.</w:t>
          </w:r>
        </w:sdtContent>
      </w:sdt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Program: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067402" cy="4101490"/>
            <wp:effectExtent b="0" l="0" r="0" t="0"/>
            <wp:docPr descr="s1.png" id="12" name="image5.png"/>
            <a:graphic>
              <a:graphicData uri="http://schemas.openxmlformats.org/drawingml/2006/picture">
                <pic:pic>
                  <pic:nvPicPr>
                    <pic:cNvPr descr="s1.png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02" cy="410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Title"/>
        <w:pBdr>
          <w:bottom w:color="000000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3163570"/>
            <wp:effectExtent b="0" l="0" r="0" t="0"/>
            <wp:docPr descr="s2.png" id="11" name="image2.png"/>
            <a:graphic>
              <a:graphicData uri="http://schemas.openxmlformats.org/drawingml/2006/picture">
                <pic:pic>
                  <pic:nvPicPr>
                    <pic:cNvPr descr="s2.png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3729990"/>
            <wp:effectExtent b="0" l="0" r="0" t="0"/>
            <wp:docPr descr="s3.png" id="14" name="image4.png"/>
            <a:graphic>
              <a:graphicData uri="http://schemas.openxmlformats.org/drawingml/2006/picture">
                <pic:pic>
                  <pic:nvPicPr>
                    <pic:cNvPr descr="s3.png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pBdr>
          <w:bottom w:color="000000" w:space="0" w:sz="0" w:val="none"/>
        </w:pBd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pBdr>
          <w:bottom w:color="000000" w:space="0" w:sz="0" w:val="none"/>
        </w:pBd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pBdr>
          <w:bottom w:color="000000" w:space="0" w:sz="0" w:val="none"/>
        </w:pBd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OUTPUT: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4705350" cy="2286000"/>
            <wp:effectExtent b="0" l="0" r="0" t="0"/>
            <wp:docPr descr="8c4fc541-7f47-4d1d-9290-dc6874f9d997.jpg" id="13" name="image1.jpg"/>
            <a:graphic>
              <a:graphicData uri="http://schemas.openxmlformats.org/drawingml/2006/picture">
                <pic:pic>
                  <pic:nvPicPr>
                    <pic:cNvPr descr="8c4fc541-7f47-4d1d-9290-dc6874f9d997.jpg"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1275"/>
        </w:tabs>
        <w:rPr/>
      </w:pPr>
      <w:r w:rsidDel="00000000" w:rsidR="00000000" w:rsidRPr="00000000">
        <w:rPr>
          <w:rtl w:val="0"/>
        </w:rPr>
        <w:tab/>
      </w:r>
    </w:p>
    <w:sectPr>
      <w:pgSz w:h="15840" w:w="12240" w:orient="portrait"/>
      <w:pgMar w:bottom="1440" w:top="1440" w:left="1440" w:right="144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Normal" w:default="1">
    <w:name w:val="Normal"/>
    <w:qFormat w:val="1"/>
    <w:rsid w:val="00A97A63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link w:val="NoSpacingChar"/>
    <w:uiPriority w:val="1"/>
    <w:qFormat w:val="1"/>
    <w:rsid w:val="005F15E5"/>
    <w:pPr>
      <w:spacing w:after="0" w:line="240" w:lineRule="auto"/>
    </w:pPr>
    <w:rPr>
      <w:rFonts w:eastAsiaTheme="minorEastAsia"/>
    </w:rPr>
  </w:style>
  <w:style w:type="character" w:styleId="NoSpacingChar" w:customStyle="1">
    <w:name w:val="No Spacing Char"/>
    <w:basedOn w:val="DefaultParagraphFont"/>
    <w:link w:val="NoSpacing"/>
    <w:uiPriority w:val="1"/>
    <w:rsid w:val="005F15E5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F15E5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F15E5"/>
    <w:rPr>
      <w:rFonts w:ascii="Tahoma" w:cs="Tahoma" w:hAnsi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 w:val="1"/>
    <w:rsid w:val="00961DB7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961DB7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 w:val="1"/>
    <w:rsid w:val="00CE5444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1.jp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21ecb11@karpagamtech.ac.in" TargetMode="External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qNJRhOvjHdW02f94wgzsHG0Tsg==">CgMxLjAaIwoBMBIeChwIB0IYCg9UaW1lcyBOZXcgUm9tYW4SBUNhcmRvOAByITFLVFdMWFVyQ3ROeGFiV2t4X1Zmb2VMSWhoNUtXZHkzSQ==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2023-10-25T12:38:00Z</dcterms:created>
  <dc:creator>KOLANCHIYAPPA.G</dc:creator>
</cp:coreProperties>
</file>