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60"/>
      </w:pPr>
    </w:p>
    <w:p>
      <w:pPr>
        <w:spacing w:after="320"/>
        <w:jc w:val="center"/>
      </w:pPr>
      <w:r>
        <w:rPr>
          <w:rFonts w:ascii="Calibri" w:hAnsi="Calibri" w:eastAsia="Calibri"/>
          <w:b/>
          <w:color w:val="9A6A15"/>
          <w:sz w:val="21"/>
        </w:rPr>
        <w:t>ИССЛЕДОВАТЕЛЬСКИЙ ПРОЕКТ</w:t>
      </w:r>
    </w:p>
    <w:p>
      <w:pPr>
        <w:spacing w:after="200"/>
        <w:jc w:val="center"/>
      </w:pPr>
      <w:r>
        <w:rPr>
          <w:rFonts w:ascii="Calibri" w:hAnsi="Calibri" w:eastAsia="Calibri"/>
          <w:b/>
          <w:color w:val="203748"/>
          <w:sz w:val="58"/>
        </w:rPr>
        <w:t>Временные ряды</w:t>
        <w:br/>
        <w:t>энергетических рынков</w:t>
      </w:r>
    </w:p>
    <w:p>
      <w:pPr>
        <w:spacing w:after="520"/>
        <w:jc w:val="center"/>
      </w:pPr>
      <w:r>
        <w:rPr>
          <w:rFonts w:ascii="Calibri" w:hAnsi="Calibri" w:eastAsia="Calibri"/>
          <w:color w:val="1F4D78"/>
          <w:sz w:val="28"/>
        </w:rPr>
        <w:t>ARIMA-моделирование Brent и VAR-анализ Brent, Henry Hub и индекса доллара</w:t>
      </w:r>
    </w:p>
    <w:p>
      <w:pPr>
        <w:pBdr>
          <w:bottom w:val="single" w:sz="8" w:space="4" w:color="C9D1D8"/>
        </w:pBdr>
        <w:spacing w:after="1160"/>
      </w:pPr>
    </w:p>
    <w:p>
      <w:pPr>
        <w:spacing w:after="120"/>
        <w:jc w:val="center"/>
      </w:pPr>
      <w:r>
        <w:rPr>
          <w:rFonts w:ascii="Calibri" w:hAnsi="Calibri" w:eastAsia="Calibri"/>
          <w:b/>
          <w:color w:val="203748"/>
          <w:sz w:val="24"/>
        </w:rPr>
        <w:t>Полина Симоненко</w:t>
      </w:r>
    </w:p>
    <w:p>
      <w:pPr>
        <w:spacing w:after="60"/>
        <w:jc w:val="center"/>
      </w:pPr>
      <w:r>
        <w:rPr>
          <w:rFonts w:ascii="Calibri" w:hAnsi="Calibri" w:eastAsia="Calibri"/>
          <w:color w:val="666B70"/>
          <w:sz w:val="21"/>
        </w:rPr>
        <w:t>Ежедневные данные FRED | 2010-2025</w:t>
      </w:r>
    </w:p>
    <w:p>
      <w:pPr>
        <w:jc w:val="center"/>
      </w:pPr>
      <w:r>
        <w:rPr>
          <w:rFonts w:ascii="Calibri" w:hAnsi="Calibri" w:eastAsia="Calibri"/>
          <w:color w:val="666B70"/>
          <w:sz w:val="21"/>
        </w:rPr>
        <w:t>Москва, 2026</w:t>
      </w:r>
    </w:p>
    <w:p>
      <w:r>
        <w:br w:type="page"/>
      </w:r>
    </w:p>
    <w:p>
      <w:pPr>
        <w:pStyle w:val="Heading1"/>
      </w:pPr>
      <w:r>
        <w:t>Краткое резюме</w:t>
      </w:r>
    </w:p>
    <w:p>
      <w:pPr>
        <w:pStyle w:val="ResearchLead"/>
      </w:pPr>
      <w:r>
        <w:t>Проект исследует, насколько прошлые значения энергетических и валютных доходностей помогают прогнозировать динамику Brent.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Одномерный этап показывает, что логарифм цены Brent нестационарен, а логарифмические доходности стационарны. Экономная ARIMA(0,0,0) с нулевым средним формирует практически нулевой точечный прогноз. Остатки при этом содержат признаки кластеризации волатильности и тяжёлых хвостов.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На многомерном этапе оценивается VAR(2) для доходностей Brent, Henry Hub и широкого индекса доллара США. Перекрёстные лаги малы и преимущественно незначимы; импульсные отклики быстро затухают, а прогнозная неопределённость в основном определяется собственными шоками каждого ряда.</w:t>
      </w:r>
    </w:p>
    <w:p>
      <w:pPr>
        <w:pStyle w:val="Heading1"/>
      </w:pPr>
      <w:r>
        <w:t>Данные и воспроизводимость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0"/>
        <w:gridCol w:w="3790"/>
        <w:gridCol w:w="1940"/>
        <w:gridCol w:w="1780"/>
      </w:tblGrid>
      <w:tr>
        <w:trPr>
          <w:tblHeader/>
        </w:trPr>
        <w:tc>
          <w:tcPr>
            <w:tcW w:type="dxa" w:w="1850"/>
            <w:vAlign w:val="center"/>
            <w:shd w:fill="F2F4F7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Код FRED</w:t>
            </w:r>
          </w:p>
        </w:tc>
        <w:tc>
          <w:tcPr>
            <w:tcW w:type="dxa" w:w="3790"/>
            <w:vAlign w:val="center"/>
            <w:shd w:fill="F2F4F7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Ряд</w:t>
            </w:r>
          </w:p>
        </w:tc>
        <w:tc>
          <w:tcPr>
            <w:tcW w:type="dxa" w:w="1940"/>
            <w:vAlign w:val="center"/>
            <w:shd w:fill="F2F4F7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Единицы</w:t>
            </w:r>
          </w:p>
        </w:tc>
        <w:tc>
          <w:tcPr>
            <w:tcW w:type="dxa" w:w="1780"/>
            <w:vAlign w:val="center"/>
            <w:shd w:fill="F2F4F7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Частота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DCOILBRENTEU</w:t>
            </w:r>
          </w:p>
        </w:tc>
        <w:tc>
          <w:tcPr>
            <w:tcW w:type="dxa" w:w="379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Europe Brent Spot Price FOB</w:t>
            </w:r>
          </w:p>
        </w:tc>
        <w:tc>
          <w:tcPr>
            <w:tcW w:type="dxa" w:w="194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USD/баррель</w:t>
            </w:r>
          </w:p>
        </w:tc>
        <w:tc>
          <w:tcPr>
            <w:tcW w:type="dxa" w:w="17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Дневная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DHHNGSP</w:t>
            </w:r>
          </w:p>
        </w:tc>
        <w:tc>
          <w:tcPr>
            <w:tcW w:type="dxa" w:w="379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Henry Hub Natural Gas Spot Price</w:t>
            </w:r>
          </w:p>
        </w:tc>
        <w:tc>
          <w:tcPr>
            <w:tcW w:type="dxa" w:w="194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USD/MMBtu</w:t>
            </w:r>
          </w:p>
        </w:tc>
        <w:tc>
          <w:tcPr>
            <w:tcW w:type="dxa" w:w="17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Дневная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DTWEXBGS</w:t>
            </w:r>
          </w:p>
        </w:tc>
        <w:tc>
          <w:tcPr>
            <w:tcW w:type="dxa" w:w="379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Nominal Broad U.S. Dollar Index</w:t>
            </w:r>
          </w:p>
        </w:tc>
        <w:tc>
          <w:tcPr>
            <w:tcW w:type="dxa" w:w="194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Янв. 2006 = 100</w:t>
            </w:r>
          </w:p>
        </w:tc>
        <w:tc>
          <w:tcPr>
            <w:tcW w:type="dxa" w:w="17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Дневная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Период наблюдений: 4 января 2010 года - 24 ноября 2025 года. Все ряды загружаются из FRED по прямым CSV-ссылкам. В проект также включены локальные снимки данных, поэтому анализ можно повторить без доступа к интернету.</w:t>
      </w:r>
    </w:p>
    <w:p>
      <w:r>
        <w:br w:type="page"/>
      </w:r>
    </w:p>
    <w:p>
      <w:pPr>
        <w:pStyle w:val="Heading1"/>
      </w:pPr>
      <w:r>
        <w:t>1. Одномерный анализ Brent</w:t>
      </w:r>
    </w:p>
    <w:p>
      <w:pPr>
        <w:pStyle w:val="Heading2"/>
      </w:pPr>
      <w:r>
        <w:t>1.1. Динамика ряда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Исходный ряд содержит 4146 календарных наблюдений, из которых 123 не имеют значения цены. После удаления пропусков остаётся 4023 наблюдения. Периоды роста и падения чередуются, отдельные кризисные эпизоды сопровождаются резкими изменениями уровня и дисперсии.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2999796"/>
            <wp:docPr id="1" name="Picture 1" title="Рисунок 1. Динамика дневной спотовой цены Brent" descr="Рисунок 1. Динамика дневной спотовой цены Br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nt_pr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Динамика дневной спотовой цены Brent</w:t>
      </w:r>
    </w:p>
    <w:p>
      <w:pPr>
        <w:pStyle w:val="Caption"/>
        <w:spacing w:before="0"/>
      </w:pPr>
      <w:r>
        <w:t>Источник: FRED, ряд DCOILBRENTEU.</w:t>
      </w:r>
    </w:p>
    <w:p>
      <w:pPr>
        <w:pStyle w:val="Heading2"/>
      </w:pPr>
      <w:r>
        <w:t>1.2. Стационарность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ACF уровня цены и её логарифма убывает медленно, а PACF содержит крупный первый лаг - это типичная картина процесса с единичным корнем. ADF-тест не отвергает нестационарность логарифма цены, тогда как KPSS-тест отвергает стационарность.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После перехода к первым разностям логарифмов ряд колеблется вокруг нуля. ADF-тест отвергает единичный корень, а KPSS-тест не отвергает стационарность. Поэтому дальнейшее моделирование проводится для логарифмических доходностей.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14933"/>
            <wp:docPr id="2" name="Picture 2" title="Рисунок 2. Логарифмические доходности Brent, ACF и PACF" descr="Рисунок 2. Логарифмические доходности Brent, ACF и PAC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nt_returns_ac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14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Логарифмические доходности Brent, ACF и PACF</w:t>
      </w:r>
    </w:p>
    <w:p>
      <w:pPr>
        <w:pStyle w:val="Caption"/>
        <w:spacing w:before="0"/>
      </w:pPr>
      <w:r>
        <w:t>Источник: расчёты автора на основе данных FRED.</w:t>
      </w:r>
    </w:p>
    <w:p>
      <w:r>
        <w:br w:type="page"/>
      </w:r>
    </w:p>
    <w:p>
      <w:pPr>
        <w:pStyle w:val="Heading2"/>
      </w:pPr>
      <w:r>
        <w:t>1.3. Выбор ARIMA-модели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По ACF и PACF рассматривались модели с небольшим числом AR- и MA-лагов. AIC слабо предпочитает AR(2), но BIC сильнее штрафует сложность и выбирает ARIMA(0,0,0) с нулевым средним. Автоматический подбор по BIC приводит к тому же выводу.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vAlign w:val="center"/>
            <w:shd w:fill="F2F4F7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Спецификация</w:t>
            </w:r>
          </w:p>
        </w:tc>
        <w:tc>
          <w:tcPr>
            <w:tcW w:type="dxa" w:w="2080"/>
            <w:vAlign w:val="center"/>
            <w:shd w:fill="F2F4F7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AIC</w:t>
            </w:r>
          </w:p>
        </w:tc>
        <w:tc>
          <w:tcPr>
            <w:tcW w:type="dxa" w:w="2080"/>
            <w:vAlign w:val="center"/>
            <w:shd w:fill="F2F4F7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BIC</w:t>
            </w:r>
          </w:p>
        </w:tc>
      </w:tr>
      <w:tr>
        <w:trPr/>
        <w:tc>
          <w:tcPr>
            <w:tcW w:type="dxa" w:w="52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ARIMA(0,0,0)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-17744.3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-17731.7</w:t>
            </w:r>
          </w:p>
        </w:tc>
      </w:tr>
      <w:tr>
        <w:trPr/>
        <w:tc>
          <w:tcPr>
            <w:tcW w:type="dxa" w:w="52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ARIMA(1,0,0)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-17743.0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-17724.1</w:t>
            </w:r>
          </w:p>
        </w:tc>
      </w:tr>
      <w:tr>
        <w:trPr/>
        <w:tc>
          <w:tcPr>
            <w:tcW w:type="dxa" w:w="52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ARIMA(2,0,0)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-17753.0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-17727.9</w:t>
            </w:r>
          </w:p>
        </w:tc>
      </w:tr>
      <w:tr>
        <w:trPr/>
        <w:tc>
          <w:tcPr>
            <w:tcW w:type="dxa" w:w="52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ARIMA(0,0,1)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-17743.1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-17724.2</w:t>
            </w:r>
          </w:p>
        </w:tc>
      </w:tr>
      <w:tr>
        <w:trPr/>
        <w:tc>
          <w:tcPr>
            <w:tcW w:type="dxa" w:w="52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ARIMA(0,0,2)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-17752.4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-17727.2</w:t>
            </w:r>
          </w:p>
        </w:tc>
      </w:tr>
      <w:tr>
        <w:trPr/>
        <w:tc>
          <w:tcPr>
            <w:tcW w:type="dxa" w:w="52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ARIMA(1,0,1)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-17744.1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-17718.9</w:t>
            </w:r>
          </w:p>
        </w:tc>
      </w:tr>
      <w:tr>
        <w:trPr/>
        <w:tc>
          <w:tcPr>
            <w:tcW w:type="dxa" w:w="52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ARIMA(1,0,2)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-17750.6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-17719.1</w:t>
            </w:r>
          </w:p>
        </w:tc>
      </w:tr>
      <w:tr>
        <w:trPr/>
        <w:tc>
          <w:tcPr>
            <w:tcW w:type="dxa" w:w="52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ARIMA(2,0,1)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-17751.3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-17719.8</w:t>
            </w:r>
          </w:p>
        </w:tc>
      </w:tr>
      <w:tr>
        <w:trPr/>
        <w:tc>
          <w:tcPr>
            <w:tcW w:type="dxa" w:w="52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ARIMA(0,0,0), нулевое среднее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-17746.3</w:t>
            </w:r>
          </w:p>
        </w:tc>
        <w:tc>
          <w:tcPr>
            <w:tcW w:type="dxa" w:w="20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-17740.0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Итоговая спецификация описывает доходность как белый шум: r_t = epsilon_t, где E(epsilon_t) = 0, а оценка дисперсии инновации равна приблизительно 0.00071.</w:t>
      </w:r>
    </w:p>
    <w:p>
      <w:pPr>
        <w:pStyle w:val="Heading2"/>
      </w:pPr>
      <w:r>
        <w:t>1.4. Диагностика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Тест Льюнга-Бокса на большом числе лагов отвергает отсутствие автокорреляции. Гистограмма остатков показывает высокую концентрацию около нуля и тяжёлые хвосты. Модель удовлетворительно описывает условное среднее, но не динамику условной дисперсии.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4289186"/>
            <wp:docPr id="3" name="Picture 3" title="Рисунок 3. Диагностика остатков итоговой ARIMA-модели" descr="Рисунок 3. Диагностика остатков итоговой ARIMA-модел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ma_residua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289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Диагностика остатков итоговой ARIMA-модели</w:t>
      </w:r>
    </w:p>
    <w:p>
      <w:pPr>
        <w:pStyle w:val="Caption"/>
        <w:spacing w:before="0"/>
      </w:pPr>
      <w:r>
        <w:t>Источник: расчёты автора.</w:t>
      </w:r>
    </w:p>
    <w:p>
      <w:r>
        <w:br w:type="page"/>
      </w:r>
    </w:p>
    <w:p>
      <w:pPr>
        <w:pStyle w:val="Heading2"/>
      </w:pPr>
      <w:r>
        <w:t>1.5. Прогноз вне выборки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Последние 250 наблюдений используются как тестовая выборка. Модель переоценивается только на обучающей части, после чего строится прогноз на всю длину тестового периода. Точечный прогноз близок к нулю, а основная информация сосредоточена в ширине интервалов.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2300"/>
        <w:gridCol w:w="1880"/>
        <w:gridCol w:w="1880"/>
      </w:tblGrid>
      <w:tr>
        <w:trPr>
          <w:tblHeader/>
        </w:trPr>
        <w:tc>
          <w:tcPr>
            <w:tcW w:type="dxa" w:w="3300"/>
            <w:vAlign w:val="center"/>
            <w:shd w:fill="F2F4F7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Ряд</w:t>
            </w:r>
          </w:p>
        </w:tc>
        <w:tc>
          <w:tcPr>
            <w:tcW w:type="dxa" w:w="2300"/>
            <w:vAlign w:val="center"/>
            <w:shd w:fill="F2F4F7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Выборка</w:t>
            </w:r>
          </w:p>
        </w:tc>
        <w:tc>
          <w:tcPr>
            <w:tcW w:type="dxa" w:w="1880"/>
            <w:vAlign w:val="center"/>
            <w:shd w:fill="F2F4F7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RMSE</w:t>
            </w:r>
          </w:p>
        </w:tc>
        <w:tc>
          <w:tcPr>
            <w:tcW w:type="dxa" w:w="1880"/>
            <w:vAlign w:val="center"/>
            <w:shd w:fill="F2F4F7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203748"/>
                <w:sz w:val="19"/>
              </w:rPr>
              <w:t>MAE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Реальные доходности</w:t>
            </w:r>
          </w:p>
        </w:tc>
        <w:tc>
          <w:tcPr>
            <w:tcW w:type="dxa" w:w="23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Обучающая</w:t>
            </w:r>
          </w:p>
        </w:tc>
        <w:tc>
          <w:tcPr>
            <w:tcW w:type="dxa" w:w="18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0.0271</w:t>
            </w:r>
          </w:p>
        </w:tc>
        <w:tc>
          <w:tcPr>
            <w:tcW w:type="dxa" w:w="18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0.0160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Реальные доходности</w:t>
            </w:r>
          </w:p>
        </w:tc>
        <w:tc>
          <w:tcPr>
            <w:tcW w:type="dxa" w:w="23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Тестовая</w:t>
            </w:r>
          </w:p>
        </w:tc>
        <w:tc>
          <w:tcPr>
            <w:tcW w:type="dxa" w:w="18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0.0193</w:t>
            </w:r>
          </w:p>
        </w:tc>
        <w:tc>
          <w:tcPr>
            <w:tcW w:type="dxa" w:w="18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0.0148</w:t>
            </w:r>
          </w:p>
        </w:tc>
      </w:tr>
      <w:tr>
        <w:trPr/>
        <w:tc>
          <w:tcPr>
            <w:tcW w:type="dxa" w:w="33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Синтетические доходности</w:t>
            </w:r>
          </w:p>
        </w:tc>
        <w:tc>
          <w:tcPr>
            <w:tcW w:type="dxa" w:w="230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color w:val="202020"/>
                <w:sz w:val="18"/>
              </w:rPr>
              <w:t>Тестовая</w:t>
            </w:r>
          </w:p>
        </w:tc>
        <w:tc>
          <w:tcPr>
            <w:tcW w:type="dxa" w:w="18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0.0273</w:t>
            </w:r>
          </w:p>
        </w:tc>
        <w:tc>
          <w:tcPr>
            <w:tcW w:type="dxa" w:w="1880"/>
            <w:vAlign w:val="center"/>
            <w:tcBorders>
              <w:top w:val="single" w:sz="4" w:color="C8CDD2"/>
              <w:left w:val="single" w:sz="4" w:color="C8CDD2"/>
              <w:bottom w:val="single" w:sz="4" w:color="C8CDD2"/>
              <w:right w:val="single" w:sz="4" w:color="C8CDD2"/>
              <w:insideH w:val="single" w:sz="4" w:color="C8CDD2"/>
              <w:insideV w:val="single" w:sz="4" w:color="C8CDD2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color w:val="202020"/>
                <w:sz w:val="18"/>
              </w:rPr>
              <w:t>0.0219</w:t>
            </w:r>
          </w:p>
        </w:tc>
      </w:tr>
    </w:tbl>
    <w:p>
      <w:pPr>
        <w:spacing w:after="40"/>
      </w:pP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3988191"/>
            <wp:docPr id="4" name="Picture 4" title="Рисунок 4. Прогноз доходностей Brent на тестовой выборке" descr="Рисунок 4. Прогноз доходностей Brent на тестовой выборк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ima_foreca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98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4. Прогноз доходностей Brent на тестовой выборке</w:t>
      </w:r>
    </w:p>
    <w:p>
      <w:pPr>
        <w:pStyle w:val="Caption"/>
        <w:spacing w:before="0"/>
      </w:pPr>
      <w:r>
        <w:t>Источник: расчёты автора.</w:t>
      </w:r>
    </w:p>
    <w:p>
      <w:pPr>
        <w:pStyle w:val="Heading2"/>
      </w:pPr>
      <w:r>
        <w:t>1.6. Синтетическая проверка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Из нормального белого шума с дисперсией, оценённой для реального ряда, сгенерирована серия той же длины. Повторный подбор возвращает ARIMA(0,0,0) с нулевым средним. Это подтверждает, что процедура способна восстановить известную структуру генератора, хотя реальный ряд отличается более сильной кластеризацией волатильности.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4101064"/>
            <wp:docPr id="5" name="Picture 5" title="Рисунок 5. Синтетический ряд доходностей, ACF и PACF" descr="Рисунок 5. Синтетический ряд доходностей, ACF и PAC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_ser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101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5. Синтетический ряд доходностей, ACF и PACF</w:t>
      </w:r>
    </w:p>
    <w:p>
      <w:pPr>
        <w:pStyle w:val="Caption"/>
        <w:spacing w:before="0"/>
      </w:pPr>
      <w:r>
        <w:t>Источник: расчёты автора, seed = 123.</w:t>
      </w:r>
    </w:p>
    <w:p>
      <w:r>
        <w:br w:type="page"/>
      </w:r>
    </w:p>
    <w:p>
      <w:pPr>
        <w:pStyle w:val="Heading1"/>
      </w:pPr>
      <w:r>
        <w:t>2. Многомерный VAR-анализ</w:t>
      </w:r>
    </w:p>
    <w:p>
      <w:pPr>
        <w:pStyle w:val="Heading2"/>
      </w:pPr>
      <w:r>
        <w:t>2.1. Совместная выборка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К Brent добавлены спотовая цена природного газа Henry Hub и широкий индекс доллара США. После объединения по датам и удаления пропусков совместная выборка содержит 3896 наблюдений уровней и 3895 наблюдений доходностей.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Brent и Henry Hub реагируют на общие шоки спроса на энергию, погодные и геополитические события. Индекс доллара связан с долларовыми ценами сырья: укрепление доллара способно снижать внешний спрос на нефть и газ, тогда как ослабление действует в противоположном направлении.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2980006"/>
            <wp:docPr id="6" name="Picture 6" title="Рисунок 6. Дневные уровни трёх рыночных рядов" descr="Рисунок 6. Дневные уровни трёх рыночных ряд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_leve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80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6. Дневные уровни трёх рыночных рядов</w:t>
      </w:r>
    </w:p>
    <w:p>
      <w:pPr>
        <w:pStyle w:val="Caption"/>
        <w:spacing w:before="0"/>
      </w:pPr>
      <w:r>
        <w:t>Источник: FRED, ряды DCOILBRENTEU, DHHNGSP и DTWEXBGS.</w:t>
      </w:r>
    </w:p>
    <w:p>
      <w:pPr>
        <w:pStyle w:val="Heading2"/>
      </w:pPr>
      <w:r>
        <w:t>2.2. Преобразование и выбор лагов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Для всех трёх рядов используются первые разности логарифмов. ADF-тесты отвергают единичный корень, а KPSS-тесты не отвергают стационарность. AIC предпочитает более длинную модель, BIC - один лаг, HQ - два лага. В качестве компромисса между динамикой и параметрической экономностью выбрана VAR(2).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2980006"/>
            <wp:docPr id="7" name="Picture 7" title="Рисунок 7. Логарифмические доходности Brent, Henry Hub и индекса доллара" descr="Рисунок 7. Логарифмические доходности Brent, Henry Hub и индекса доллар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_retur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80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7. Логарифмические доходности Brent, Henry Hub и индекса доллара</w:t>
      </w:r>
    </w:p>
    <w:p>
      <w:pPr>
        <w:pStyle w:val="Caption"/>
        <w:spacing w:before="0"/>
      </w:pPr>
      <w:r>
        <w:t>Источник: расчёты автора.</w:t>
      </w:r>
    </w:p>
    <w:p>
      <w:r>
        <w:br w:type="page"/>
      </w:r>
    </w:p>
    <w:p>
      <w:pPr>
        <w:pStyle w:val="Heading2"/>
      </w:pPr>
      <w:r>
        <w:t>2.3. Спецификация VAR(2)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Пусть y_t = (r_Brent,t, r_Gas,t, r_Dollar,t)'. Модель записывается как y_t = c + A_1 y_(t-1) + A_2 y_(t-2) + u_t. Оценённые уравнения имеют вид:</w:t>
      </w:r>
    </w:p>
    <w:p>
      <w:pPr>
        <w:spacing w:before="60" w:after="60" w:line="252" w:lineRule="auto"/>
        <w:ind w:left="360" w:right="216"/>
      </w:pPr>
      <w:r>
        <w:rPr>
          <w:rFonts w:ascii="Consolas" w:hAnsi="Consolas" w:eastAsia="Consolas"/>
          <w:color w:val="203748"/>
          <w:sz w:val="18"/>
        </w:rPr>
        <w:t>r_Brent,t = -0.000059 - 0.006301 r_Brent,t-1 + 0.009467 r_Gas,t-1 - 0.043579 r_Dollar,t-1 - 0.054137 r_Brent,t-2 - 0.005141 r_Gas,t-2 + 0.070902 r_Dollar,t-2 + u_Brent,t</w:t>
      </w:r>
    </w:p>
    <w:p>
      <w:pPr>
        <w:spacing w:before="60" w:after="60" w:line="252" w:lineRule="auto"/>
        <w:ind w:left="360" w:right="216"/>
      </w:pPr>
      <w:r>
        <w:rPr>
          <w:rFonts w:ascii="Consolas" w:hAnsi="Consolas" w:eastAsia="Consolas"/>
          <w:color w:val="203748"/>
          <w:sz w:val="18"/>
        </w:rPr>
        <w:t>r_Gas,t = -0.000126 + 0.032793 r_Brent,t-1 - 0.116375 r_Gas,t-1 + 0.069627 r_Dollar,t-1 + 0.044523 r_Brent,t-2 - 0.118362 r_Gas,t-2 - 0.193324 r_Dollar,t-2 + u_Gas,t</w:t>
      </w:r>
    </w:p>
    <w:p>
      <w:pPr>
        <w:spacing w:before="60" w:after="60" w:line="252" w:lineRule="auto"/>
        <w:ind w:left="360" w:right="216"/>
      </w:pPr>
      <w:r>
        <w:rPr>
          <w:rFonts w:ascii="Consolas" w:hAnsi="Consolas" w:eastAsia="Consolas"/>
          <w:color w:val="203748"/>
          <w:sz w:val="18"/>
        </w:rPr>
        <w:t>r_Dollar,t = 0.000070 - 0.002705 r_Brent,t-1 - 0.000715 r_Gas,t-1 + 0.032763 r_Dollar,t-1 - 0.000378 r_Brent,t-2 - 0.000203 r_Gas,t-2 - 0.005724 r_Dollar,t-2 + u_Dollar,t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Коэффициенты детерминации невелики: 0.004 для Brent, 0.025 для газа и 0.002 для индекса доллара. Для Brent значим собственный второй лаг; в уравнении газа содержательны оба собственных лага. Перекрёстные эффекты остаются малыми и в основном статистически незначимыми.</w:t>
      </w:r>
    </w:p>
    <w:p>
      <w:pPr>
        <w:pStyle w:val="Heading2"/>
      </w:pPr>
      <w:r>
        <w:t>2.4. Устойчивость и диагностика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Максимальный модуль корня companion-матрицы равен 0.342, поэтому VAR(2) устойчива. Rec-CUSUM не показывает выхода за доверительные границы. Вместе с тем Portmanteau-тест обнаруживает остаточную автокорреляцию, ARCH-тест - условную гетероскедастичность, а тест нормальности - тяжёлые хвосты и асимметрию.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3861197"/>
            <wp:docPr id="8" name="Picture 8" title="Рисунок 8. Rec-CUSUM для уравнений VAR(2)" descr="Рисунок 8. Rec-CUSUM для уравнений VAR(2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_stabi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6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8. Rec-CUSUM для уравнений VAR(2)</w:t>
      </w:r>
    </w:p>
    <w:p>
      <w:pPr>
        <w:pStyle w:val="Caption"/>
        <w:spacing w:before="0"/>
      </w:pPr>
      <w:r>
        <w:t>Источник: расчёты автора.</w:t>
      </w:r>
    </w:p>
    <w:p>
      <w:pPr>
        <w:pStyle w:val="Heading2"/>
      </w:pPr>
      <w:r>
        <w:t>2.5. Причинность и импульсные отклики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Тесты причинности по Грейнджеру не отвергают нулевые гипотезы для индекса доллара, газа и Brent на уровне 5%. Прошлые значения одного ряда не дают устойчивого прироста точности прогноза двух других рядов.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Ортогонализованные импульсные отклики показывают кратковременную реакцию Brent на шоки индекса доллара и газа. Эффекты малы, доверительные интервалы преимущественно содержат ноль, а отклик затухает в течение нескольких дней.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1629452"/>
            <wp:docPr id="9" name="Picture 9" title="Рисунок 9. Реакция доходности Brent на шоки индекса доллара и Henry Hub" descr="Рисунок 9. Реакция доходности Brent на шоки индекса доллара и Henry Hu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_ir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629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9. Реакция доходности Brent на шоки индекса доллара и Henry Hub</w:t>
      </w:r>
    </w:p>
    <w:p>
      <w:pPr>
        <w:pStyle w:val="Caption"/>
        <w:spacing w:before="0"/>
      </w:pPr>
      <w:r>
        <w:t>Источник: расчёты автора, ортогонализация Холецкого.</w:t>
      </w:r>
    </w:p>
    <w:p>
      <w:pPr>
        <w:pStyle w:val="Heading2"/>
      </w:pPr>
      <w:r>
        <w:t>2.6. FEVD и прогноз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На горизонте 12 дней более 95% дисперсии ошибки прогноза Brent объясняется собственными инновациями. Для газа и индекса доллара также доминируют их собственные шоки. Добавление переменных почти не меняет прогноз исходного ряда по сравнению с одномерной моделью.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2948354"/>
            <wp:docPr id="10" name="Picture 10" title="Рисунок 10. Разложение дисперсии ошибки прогноза VAR(2)" descr="Рисунок 10. Разложение дисперсии ошибки прогноза VAR(2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r_fev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8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10. Разложение дисперсии ошибки прогноза VAR(2)</w:t>
      </w:r>
    </w:p>
    <w:p>
      <w:pPr>
        <w:pStyle w:val="Caption"/>
        <w:spacing w:before="0"/>
      </w:pPr>
      <w:r>
        <w:t>Источник: расчёты автора.</w:t>
      </w:r>
    </w:p>
    <w:p>
      <w:pPr>
        <w:pStyle w:val="Heading1"/>
      </w:pPr>
      <w:r>
        <w:t>3. Выводы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Оба этапа анализа приводят к согласованному выводу: дневные доходности Brent слабо предсказуемы по линейной динамике условного среднего. Одномерная модель практически сводится к белому шуму, а включение доходностей газа и индекса доллара в VAR не создаёт заметного улучшения прогноза.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Основная структура данных проявляется не в устойчивом среднем, а в волатильности и экстремальных наблюдениях. Поэтому естественным продолжением исследования является моделирование условной дисперсии с помощью GARCH, проверка альтернативных порядков идентификации и оценка устойчивости на подвыборках.</w:t>
      </w:r>
    </w:p>
    <w:p>
      <w:pPr>
        <w:pStyle w:val="Heading2"/>
      </w:pPr>
      <w:r>
        <w:t>Ограничения интерпретации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Результаты описывают прогнозные связи и не являются структурными причинными эффектами. Ортогонализованные импульсные отклики зависят от порядка переменных в разложении Холецкого. Линейные ARIMA и VAR не моделируют выявленную гетероскедастичность, поэтому интервальные прогнозы следует интерпретировать с осторожностью.</w:t>
      </w:r>
    </w:p>
    <w:p>
      <w:pPr>
        <w:pStyle w:val="Heading2"/>
      </w:pPr>
      <w:r>
        <w:t>Источники данных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Federal Reserve Bank of St. Louis, FRED: Europe Brent Spot Price FOB (DCOILBRENTEU), https://fred.stlouisfed.org/series/DCOILBRENTEU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U.S. Energy Information Administration via FRED: Henry Hub Natural Gas Spot Price (DHHNGSP), https://fred.stlouisfed.org/series/DHHNGSP</w:t>
      </w:r>
    </w:p>
    <w:p>
      <w:pPr>
        <w:spacing w:after="120" w:line="264" w:lineRule="auto"/>
      </w:pPr>
      <w:r>
        <w:rPr>
          <w:rFonts w:ascii="Calibri" w:hAnsi="Calibri" w:eastAsia="Calibri"/>
          <w:i w:val="0"/>
          <w:color w:val="202020"/>
          <w:sz w:val="22"/>
        </w:rPr>
        <w:t>Board of Governors of the Federal Reserve System via FRED: Nominal Broad U.S. Dollar Index (DTWEXBGS), https://fred.stlouisfed.org/series/DTWEXBGS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6B7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4" w:color="D6DBE0"/>
      </w:pBdr>
    </w:pPr>
    <w:r>
      <w:rPr>
        <w:rFonts w:ascii="Calibri" w:hAnsi="Calibri" w:eastAsia="Calibri"/>
        <w:b/>
        <w:color w:val="666B70"/>
        <w:sz w:val="17"/>
      </w:rPr>
      <w:t>Временные ряды энергетических рынков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jc w:val="center"/>
    </w:pPr>
    <w:rPr>
      <w:rFonts w:ascii="Calibri" w:hAnsi="Calibri"/>
      <w:b/>
      <w:bCs/>
      <w:i/>
      <w:color w:val="666B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earchLead">
    <w:name w:val="Research Lead"/>
    <w:pPr>
      <w:spacing w:before="80" w:after="200" w:line="276" w:lineRule="auto"/>
    </w:pPr>
    <w:rPr>
      <w:rFonts w:ascii="Calibri" w:hAnsi="Calibri"/>
      <w:color w:val="20374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Временные ряды энергетических рынков</dc:title>
  <dc:subject>ARIMA и VAR анализ Brent, Henry Hub и индекса доллара</dc:subject>
  <dc:creator>Полина Симоненко</dc:creator>
  <cp:keywords>time series, ARIMA, VAR, Brent, Henry Hub, FRED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