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5D15D" w14:textId="77777777" w:rsidR="00C462A1" w:rsidRDefault="00BE5C99" w:rsidP="00C462A1">
      <w:pPr>
        <w:spacing w:after="0" w:line="480" w:lineRule="auto"/>
        <w:jc w:val="center"/>
      </w:pPr>
      <w:r>
        <w:t>Option #1: Business Analytics Program</w:t>
      </w:r>
    </w:p>
    <w:p w14:paraId="7DBDBEA3" w14:textId="77777777" w:rsidR="00C462A1" w:rsidRPr="00173365" w:rsidRDefault="00C462A1" w:rsidP="00C462A1">
      <w:pPr>
        <w:spacing w:after="0" w:line="480" w:lineRule="auto"/>
        <w:jc w:val="center"/>
        <w:rPr>
          <w:rStyle w:val="fnt0"/>
          <w:rFonts w:cs="Times New Roman"/>
          <w:szCs w:val="24"/>
        </w:rPr>
      </w:pPr>
      <w:r w:rsidRPr="00173365">
        <w:rPr>
          <w:rStyle w:val="fnt0"/>
          <w:rFonts w:cs="Times New Roman"/>
          <w:szCs w:val="24"/>
        </w:rPr>
        <w:t>Scott Miner</w:t>
      </w:r>
    </w:p>
    <w:p w14:paraId="73477BF5" w14:textId="77777777" w:rsidR="005F3F88" w:rsidRDefault="00C462A1" w:rsidP="00C462A1">
      <w:pPr>
        <w:spacing w:after="0" w:line="480" w:lineRule="auto"/>
        <w:jc w:val="center"/>
        <w:rPr>
          <w:rStyle w:val="fnt0"/>
          <w:rFonts w:cs="Times New Roman"/>
          <w:szCs w:val="24"/>
        </w:rPr>
        <w:sectPr w:rsidR="005F3F88" w:rsidSect="005F3F88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code="1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  <w:r w:rsidRPr="00173365">
        <w:rPr>
          <w:rStyle w:val="fnt0"/>
          <w:rFonts w:cs="Times New Roman"/>
          <w:szCs w:val="24"/>
        </w:rPr>
        <w:t>Colorado State University – Global Campus</w:t>
      </w:r>
    </w:p>
    <w:p w14:paraId="186B52E1" w14:textId="77777777" w:rsidR="00C462A1" w:rsidRDefault="00BE5C99" w:rsidP="00C462A1">
      <w:pPr>
        <w:spacing w:after="0" w:line="480" w:lineRule="auto"/>
        <w:jc w:val="center"/>
        <w:rPr>
          <w:rStyle w:val="fnt0"/>
          <w:rFonts w:cs="Times New Roman"/>
          <w:szCs w:val="24"/>
        </w:rPr>
      </w:pPr>
      <w:r w:rsidRPr="00BE5C99">
        <w:rPr>
          <w:rStyle w:val="fnt0"/>
          <w:rFonts w:cs="Times New Roman"/>
          <w:b/>
          <w:szCs w:val="24"/>
        </w:rPr>
        <w:lastRenderedPageBreak/>
        <w:t>Option #1: Business Analytics Program</w:t>
      </w:r>
    </w:p>
    <w:p w14:paraId="24682441" w14:textId="586288C9" w:rsidR="0074503A" w:rsidRDefault="00BE5C99" w:rsidP="008C6227">
      <w:pPr>
        <w:spacing w:after="0" w:line="480" w:lineRule="auto"/>
        <w:rPr>
          <w:rStyle w:val="fnt0"/>
          <w:rFonts w:cs="Times New Roman"/>
          <w:szCs w:val="24"/>
        </w:rPr>
      </w:pPr>
      <w:r>
        <w:rPr>
          <w:rStyle w:val="fnt0"/>
          <w:rFonts w:cs="Times New Roman"/>
          <w:szCs w:val="24"/>
        </w:rPr>
        <w:tab/>
        <w:t xml:space="preserve">For his </w:t>
      </w:r>
      <w:r>
        <w:rPr>
          <w:rStyle w:val="fnt0"/>
          <w:rFonts w:cs="Times New Roman"/>
          <w:i/>
          <w:iCs/>
          <w:szCs w:val="24"/>
        </w:rPr>
        <w:t>Portfolio Project</w:t>
      </w:r>
      <w:r>
        <w:rPr>
          <w:rStyle w:val="fnt0"/>
          <w:rFonts w:cs="Times New Roman"/>
          <w:szCs w:val="24"/>
        </w:rPr>
        <w:t xml:space="preserve"> for </w:t>
      </w:r>
      <w:r>
        <w:rPr>
          <w:rStyle w:val="fnt0"/>
          <w:rFonts w:cs="Times New Roman"/>
          <w:i/>
          <w:iCs/>
          <w:szCs w:val="24"/>
        </w:rPr>
        <w:t>MIS542 – Business Analytics</w:t>
      </w:r>
      <w:r w:rsidR="00B84320">
        <w:rPr>
          <w:rStyle w:val="fnt0"/>
          <w:rFonts w:cs="Times New Roman"/>
          <w:i/>
          <w:iCs/>
          <w:szCs w:val="24"/>
        </w:rPr>
        <w:t>,</w:t>
      </w:r>
      <w:r>
        <w:rPr>
          <w:rStyle w:val="fnt0"/>
          <w:rFonts w:cs="Times New Roman"/>
          <w:szCs w:val="24"/>
        </w:rPr>
        <w:t xml:space="preserve"> the student </w:t>
      </w:r>
      <w:r w:rsidR="009D58A6">
        <w:rPr>
          <w:rStyle w:val="fnt0"/>
          <w:rFonts w:cs="Times New Roman"/>
          <w:szCs w:val="24"/>
        </w:rPr>
        <w:t xml:space="preserve">will evaluate </w:t>
      </w:r>
      <w:r w:rsidR="005805A9">
        <w:rPr>
          <w:rStyle w:val="fnt0"/>
          <w:rFonts w:cs="Times New Roman"/>
          <w:szCs w:val="24"/>
        </w:rPr>
        <w:t xml:space="preserve">the </w:t>
      </w:r>
      <w:r w:rsidR="00BC6228">
        <w:rPr>
          <w:rStyle w:val="fnt0"/>
          <w:rFonts w:cs="Times New Roman"/>
          <w:szCs w:val="24"/>
        </w:rPr>
        <w:t xml:space="preserve">business analytics program </w:t>
      </w:r>
      <w:r w:rsidR="005805A9">
        <w:rPr>
          <w:rStyle w:val="fnt0"/>
          <w:rFonts w:cs="Times New Roman"/>
          <w:szCs w:val="24"/>
        </w:rPr>
        <w:t xml:space="preserve">at </w:t>
      </w:r>
      <w:r w:rsidR="003A753B">
        <w:rPr>
          <w:rStyle w:val="fnt0"/>
          <w:rFonts w:cs="Times New Roman"/>
          <w:szCs w:val="24"/>
        </w:rPr>
        <w:t>an institution in the education industry, Institution A</w:t>
      </w:r>
      <w:r w:rsidR="00147D51">
        <w:rPr>
          <w:rStyle w:val="fnt0"/>
          <w:rFonts w:cs="Times New Roman"/>
          <w:szCs w:val="24"/>
        </w:rPr>
        <w:t xml:space="preserve">.  Following the trend </w:t>
      </w:r>
      <w:r w:rsidR="00B932EB">
        <w:rPr>
          <w:rStyle w:val="fnt0"/>
          <w:rFonts w:cs="Times New Roman"/>
          <w:szCs w:val="24"/>
        </w:rPr>
        <w:t xml:space="preserve">in education to move more courses online, </w:t>
      </w:r>
      <w:r w:rsidR="00147D51">
        <w:rPr>
          <w:rStyle w:val="fnt0"/>
          <w:rFonts w:cs="Times New Roman"/>
          <w:szCs w:val="24"/>
        </w:rPr>
        <w:t xml:space="preserve">Institution A </w:t>
      </w:r>
      <w:r w:rsidR="00B932EB">
        <w:rPr>
          <w:rStyle w:val="fnt0"/>
          <w:rFonts w:cs="Times New Roman"/>
          <w:szCs w:val="24"/>
        </w:rPr>
        <w:t>is</w:t>
      </w:r>
      <w:r w:rsidR="00147D51">
        <w:rPr>
          <w:rStyle w:val="fnt0"/>
          <w:rFonts w:cs="Times New Roman"/>
          <w:szCs w:val="24"/>
        </w:rPr>
        <w:t xml:space="preserve"> </w:t>
      </w:r>
      <w:r w:rsidR="00B932EB">
        <w:rPr>
          <w:rStyle w:val="fnt0"/>
          <w:rFonts w:cs="Times New Roman"/>
          <w:szCs w:val="24"/>
        </w:rPr>
        <w:t>amassing ever-increasing amounts of</w:t>
      </w:r>
      <w:r w:rsidR="00147D51">
        <w:rPr>
          <w:rStyle w:val="fnt0"/>
          <w:rFonts w:cs="Times New Roman"/>
          <w:szCs w:val="24"/>
        </w:rPr>
        <w:t xml:space="preserve"> learning-related data</w:t>
      </w:r>
      <w:r w:rsidR="00A10BB2">
        <w:rPr>
          <w:rStyle w:val="fnt0"/>
          <w:rFonts w:cs="Times New Roman"/>
          <w:szCs w:val="24"/>
        </w:rPr>
        <w:t xml:space="preserve">.  </w:t>
      </w:r>
      <w:r w:rsidR="004D4DE5">
        <w:rPr>
          <w:rStyle w:val="fnt0"/>
          <w:rFonts w:cs="Times New Roman"/>
          <w:szCs w:val="24"/>
        </w:rPr>
        <w:t>Institu</w:t>
      </w:r>
      <w:r w:rsidR="0011602D">
        <w:rPr>
          <w:rStyle w:val="fnt0"/>
          <w:rFonts w:cs="Times New Roman"/>
          <w:szCs w:val="24"/>
        </w:rPr>
        <w:t>t</w:t>
      </w:r>
      <w:r w:rsidR="004D4DE5">
        <w:rPr>
          <w:rStyle w:val="fnt0"/>
          <w:rFonts w:cs="Times New Roman"/>
          <w:szCs w:val="24"/>
        </w:rPr>
        <w:t>ion A wants to extract value from the</w:t>
      </w:r>
      <w:r w:rsidR="0003451A">
        <w:rPr>
          <w:rStyle w:val="fnt0"/>
          <w:rFonts w:cs="Times New Roman"/>
          <w:szCs w:val="24"/>
        </w:rPr>
        <w:t>se</w:t>
      </w:r>
      <w:r w:rsidR="004D4DE5">
        <w:rPr>
          <w:rStyle w:val="fnt0"/>
          <w:rFonts w:cs="Times New Roman"/>
          <w:szCs w:val="24"/>
        </w:rPr>
        <w:t xml:space="preserve"> big </w:t>
      </w:r>
      <w:r w:rsidR="007F3DF6">
        <w:rPr>
          <w:rStyle w:val="fnt0"/>
          <w:rFonts w:cs="Times New Roman"/>
          <w:szCs w:val="24"/>
        </w:rPr>
        <w:t xml:space="preserve">data sets </w:t>
      </w:r>
      <w:r w:rsidR="008A3752">
        <w:rPr>
          <w:rStyle w:val="fnt0"/>
          <w:rFonts w:cs="Times New Roman"/>
          <w:szCs w:val="24"/>
        </w:rPr>
        <w:t>and optimize online learning opportunities</w:t>
      </w:r>
      <w:r w:rsidR="00940085">
        <w:rPr>
          <w:rStyle w:val="fnt0"/>
          <w:rFonts w:cs="Times New Roman"/>
          <w:szCs w:val="24"/>
        </w:rPr>
        <w:t xml:space="preserve"> </w:t>
      </w:r>
      <w:r w:rsidR="00940085">
        <w:t>(Ferguson, 2012).</w:t>
      </w:r>
      <w:r w:rsidR="0011602D">
        <w:rPr>
          <w:rStyle w:val="fnt0"/>
          <w:rFonts w:cs="Times New Roman"/>
          <w:szCs w:val="24"/>
        </w:rPr>
        <w:t xml:space="preserve">  </w:t>
      </w:r>
      <w:r w:rsidR="00C65201">
        <w:rPr>
          <w:rStyle w:val="fnt0"/>
          <w:rFonts w:cs="Times New Roman"/>
          <w:szCs w:val="24"/>
        </w:rPr>
        <w:t>As the cornerstone of his analysis, the student uses</w:t>
      </w:r>
      <w:r w:rsidR="00752282">
        <w:rPr>
          <w:rStyle w:val="fnt0"/>
          <w:rFonts w:cs="Times New Roman"/>
          <w:szCs w:val="24"/>
        </w:rPr>
        <w:t xml:space="preserve"> Figure 11.1 and Table 11.1</w:t>
      </w:r>
      <w:r w:rsidR="00DB558D">
        <w:rPr>
          <w:rStyle w:val="fnt0"/>
          <w:rFonts w:cs="Times New Roman"/>
          <w:szCs w:val="24"/>
        </w:rPr>
        <w:t>,</w:t>
      </w:r>
      <w:r w:rsidR="00C52AE9">
        <w:rPr>
          <w:rStyle w:val="fnt0"/>
          <w:rFonts w:cs="Times New Roman"/>
          <w:szCs w:val="24"/>
        </w:rPr>
        <w:t xml:space="preserve"> </w:t>
      </w:r>
      <w:r w:rsidR="007B2FA6">
        <w:rPr>
          <w:rStyle w:val="fnt0"/>
          <w:rFonts w:cs="Times New Roman"/>
          <w:szCs w:val="24"/>
        </w:rPr>
        <w:t>as presented by Nelson (2018)</w:t>
      </w:r>
      <w:r w:rsidR="00D66EAA">
        <w:rPr>
          <w:rStyle w:val="fnt0"/>
          <w:rFonts w:cs="Times New Roman"/>
          <w:szCs w:val="24"/>
        </w:rPr>
        <w:t>, which emphasize</w:t>
      </w:r>
      <w:r w:rsidR="00DB558D">
        <w:rPr>
          <w:rStyle w:val="fnt0"/>
          <w:rFonts w:cs="Times New Roman"/>
          <w:szCs w:val="24"/>
        </w:rPr>
        <w:t xml:space="preserve"> the </w:t>
      </w:r>
      <w:r w:rsidR="00937192">
        <w:rPr>
          <w:rStyle w:val="fnt0"/>
          <w:rFonts w:cs="Times New Roman"/>
          <w:szCs w:val="24"/>
        </w:rPr>
        <w:t>importance of balancing effectiveness and efficiency in a business analytics program.</w:t>
      </w:r>
      <w:r w:rsidR="00D66EAA">
        <w:rPr>
          <w:rStyle w:val="fnt0"/>
          <w:rFonts w:cs="Times New Roman"/>
          <w:szCs w:val="24"/>
        </w:rPr>
        <w:t xml:space="preserve">  </w:t>
      </w:r>
      <w:r w:rsidR="00D66EAA">
        <w:rPr>
          <w:rStyle w:val="fnt0"/>
          <w:rFonts w:cs="Times New Roman"/>
          <w:i/>
          <w:iCs/>
          <w:szCs w:val="24"/>
        </w:rPr>
        <w:t>E</w:t>
      </w:r>
      <w:r w:rsidR="00B17E68">
        <w:rPr>
          <w:rStyle w:val="fnt0"/>
          <w:rFonts w:cs="Times New Roman"/>
          <w:i/>
          <w:iCs/>
          <w:szCs w:val="24"/>
        </w:rPr>
        <w:t>ffectiveness</w:t>
      </w:r>
      <w:r w:rsidR="00B17E68">
        <w:rPr>
          <w:rStyle w:val="fnt0"/>
          <w:rFonts w:cs="Times New Roman"/>
          <w:szCs w:val="24"/>
        </w:rPr>
        <w:t xml:space="preserve"> refers to</w:t>
      </w:r>
      <w:r w:rsidR="00C014E2">
        <w:rPr>
          <w:rStyle w:val="fnt0"/>
          <w:rFonts w:cs="Times New Roman"/>
          <w:szCs w:val="24"/>
        </w:rPr>
        <w:t xml:space="preserve"> </w:t>
      </w:r>
      <w:r w:rsidR="00B17E68">
        <w:rPr>
          <w:rStyle w:val="fnt0"/>
          <w:rFonts w:cs="Times New Roman"/>
          <w:szCs w:val="24"/>
        </w:rPr>
        <w:t xml:space="preserve">doing the right thing to create value, whereas </w:t>
      </w:r>
      <w:r w:rsidR="00B17E68">
        <w:rPr>
          <w:rStyle w:val="fnt0"/>
          <w:rFonts w:cs="Times New Roman"/>
          <w:i/>
          <w:iCs/>
          <w:szCs w:val="24"/>
        </w:rPr>
        <w:t xml:space="preserve">efficiency </w:t>
      </w:r>
      <w:r w:rsidR="00B17E68">
        <w:rPr>
          <w:rStyle w:val="fnt0"/>
          <w:rFonts w:cs="Times New Roman"/>
          <w:szCs w:val="24"/>
        </w:rPr>
        <w:t>refers to</w:t>
      </w:r>
      <w:r w:rsidR="00C014E2">
        <w:rPr>
          <w:rStyle w:val="fnt0"/>
          <w:rFonts w:cs="Times New Roman"/>
          <w:szCs w:val="24"/>
        </w:rPr>
        <w:t xml:space="preserve"> </w:t>
      </w:r>
      <w:r w:rsidR="00B17E68">
        <w:rPr>
          <w:rStyle w:val="fnt0"/>
          <w:rFonts w:cs="Times New Roman"/>
          <w:szCs w:val="24"/>
        </w:rPr>
        <w:t xml:space="preserve">generating maximal productivity with the least possible </w:t>
      </w:r>
      <w:r w:rsidR="00C11E44">
        <w:rPr>
          <w:rStyle w:val="fnt0"/>
          <w:rFonts w:cs="Times New Roman"/>
          <w:szCs w:val="24"/>
        </w:rPr>
        <w:t>expense</w:t>
      </w:r>
      <w:r w:rsidR="00B17E68">
        <w:rPr>
          <w:rStyle w:val="fnt0"/>
          <w:rFonts w:cs="Times New Roman"/>
          <w:szCs w:val="24"/>
        </w:rPr>
        <w:t xml:space="preserve">.  </w:t>
      </w:r>
      <w:r w:rsidR="00C014E2">
        <w:rPr>
          <w:rStyle w:val="fnt0"/>
          <w:rFonts w:cs="Times New Roman"/>
          <w:szCs w:val="24"/>
        </w:rPr>
        <w:t xml:space="preserve">The student </w:t>
      </w:r>
      <w:r w:rsidR="009148E0">
        <w:rPr>
          <w:rStyle w:val="fnt0"/>
          <w:rFonts w:cs="Times New Roman"/>
          <w:szCs w:val="24"/>
        </w:rPr>
        <w:t xml:space="preserve">divides </w:t>
      </w:r>
      <w:r w:rsidR="001B0860">
        <w:rPr>
          <w:rStyle w:val="fnt0"/>
          <w:rFonts w:cs="Times New Roman"/>
          <w:szCs w:val="24"/>
        </w:rPr>
        <w:t>his analysis</w:t>
      </w:r>
      <w:r w:rsidR="00DC375C">
        <w:rPr>
          <w:rStyle w:val="fnt0"/>
          <w:rFonts w:cs="Times New Roman"/>
          <w:szCs w:val="24"/>
        </w:rPr>
        <w:t xml:space="preserve"> of the business analytics program </w:t>
      </w:r>
      <w:r w:rsidR="001B0860">
        <w:rPr>
          <w:rStyle w:val="fnt0"/>
          <w:rFonts w:cs="Times New Roman"/>
          <w:szCs w:val="24"/>
        </w:rPr>
        <w:t xml:space="preserve">into </w:t>
      </w:r>
      <w:r w:rsidR="009148E0">
        <w:rPr>
          <w:rStyle w:val="fnt0"/>
          <w:rFonts w:cs="Times New Roman"/>
          <w:szCs w:val="24"/>
        </w:rPr>
        <w:t xml:space="preserve">the </w:t>
      </w:r>
      <w:r w:rsidR="00EE007E">
        <w:rPr>
          <w:rStyle w:val="fnt0"/>
          <w:rFonts w:cs="Times New Roman"/>
          <w:szCs w:val="24"/>
        </w:rPr>
        <w:t>five</w:t>
      </w:r>
      <w:r w:rsidR="00E948D2">
        <w:rPr>
          <w:rStyle w:val="fnt0"/>
          <w:rFonts w:cs="Times New Roman"/>
          <w:szCs w:val="24"/>
        </w:rPr>
        <w:t xml:space="preserve"> following</w:t>
      </w:r>
      <w:r w:rsidR="00EE007E">
        <w:rPr>
          <w:rStyle w:val="fnt0"/>
          <w:rFonts w:cs="Times New Roman"/>
          <w:szCs w:val="24"/>
        </w:rPr>
        <w:t xml:space="preserve"> stages: (a) </w:t>
      </w:r>
      <w:r w:rsidR="00EE007E" w:rsidRPr="00C611B1">
        <w:rPr>
          <w:rStyle w:val="fnt0"/>
          <w:rFonts w:cs="Times New Roman"/>
          <w:i/>
          <w:iCs/>
          <w:szCs w:val="24"/>
        </w:rPr>
        <w:t>problem framing</w:t>
      </w:r>
      <w:r w:rsidR="00EE007E">
        <w:rPr>
          <w:rStyle w:val="fnt0"/>
          <w:rFonts w:cs="Times New Roman"/>
          <w:szCs w:val="24"/>
        </w:rPr>
        <w:t xml:space="preserve">, (b) </w:t>
      </w:r>
      <w:r w:rsidR="00EE007E" w:rsidRPr="00C611B1">
        <w:rPr>
          <w:rStyle w:val="fnt0"/>
          <w:rFonts w:cs="Times New Roman"/>
          <w:i/>
          <w:iCs/>
          <w:szCs w:val="24"/>
        </w:rPr>
        <w:t>data sensemaking</w:t>
      </w:r>
      <w:r w:rsidR="00EE007E">
        <w:rPr>
          <w:rStyle w:val="fnt0"/>
          <w:rFonts w:cs="Times New Roman"/>
          <w:szCs w:val="24"/>
        </w:rPr>
        <w:t xml:space="preserve">, (c) </w:t>
      </w:r>
      <w:r w:rsidR="00EE007E" w:rsidRPr="00C611B1">
        <w:rPr>
          <w:rStyle w:val="fnt0"/>
          <w:rFonts w:cs="Times New Roman"/>
          <w:i/>
          <w:iCs/>
          <w:szCs w:val="24"/>
        </w:rPr>
        <w:t>analytics model development</w:t>
      </w:r>
      <w:r w:rsidR="00EE007E">
        <w:rPr>
          <w:rStyle w:val="fnt0"/>
          <w:rFonts w:cs="Times New Roman"/>
          <w:szCs w:val="24"/>
        </w:rPr>
        <w:t xml:space="preserve">, (d) </w:t>
      </w:r>
      <w:r w:rsidR="00EE007E" w:rsidRPr="00C611B1">
        <w:rPr>
          <w:rStyle w:val="fnt0"/>
          <w:rFonts w:cs="Times New Roman"/>
          <w:i/>
          <w:iCs/>
          <w:szCs w:val="24"/>
        </w:rPr>
        <w:t>results activation</w:t>
      </w:r>
      <w:r w:rsidR="00EE007E">
        <w:rPr>
          <w:rStyle w:val="fnt0"/>
          <w:rFonts w:cs="Times New Roman"/>
          <w:szCs w:val="24"/>
        </w:rPr>
        <w:t xml:space="preserve">, and (e) </w:t>
      </w:r>
      <w:r w:rsidR="00EE007E" w:rsidRPr="00C611B1">
        <w:rPr>
          <w:rStyle w:val="fnt0"/>
          <w:rFonts w:cs="Times New Roman"/>
          <w:i/>
          <w:iCs/>
          <w:szCs w:val="24"/>
        </w:rPr>
        <w:t>analytics product management</w:t>
      </w:r>
      <w:r w:rsidR="00DC375C">
        <w:rPr>
          <w:rStyle w:val="fnt0"/>
          <w:rFonts w:cs="Times New Roman"/>
          <w:szCs w:val="24"/>
        </w:rPr>
        <w:t xml:space="preserve"> (Nelson, 2018).</w:t>
      </w:r>
      <w:r w:rsidR="00D3459C">
        <w:rPr>
          <w:rStyle w:val="fnt0"/>
          <w:rFonts w:cs="Times New Roman"/>
          <w:szCs w:val="24"/>
        </w:rPr>
        <w:t xml:space="preserve"> </w:t>
      </w:r>
      <w:r w:rsidR="00DC375C">
        <w:rPr>
          <w:rStyle w:val="fnt0"/>
          <w:rFonts w:cs="Times New Roman"/>
          <w:szCs w:val="24"/>
        </w:rPr>
        <w:t xml:space="preserve"> Lastly</w:t>
      </w:r>
      <w:r w:rsidR="00D3459C">
        <w:rPr>
          <w:rStyle w:val="fnt0"/>
          <w:rFonts w:cs="Times New Roman"/>
          <w:szCs w:val="24"/>
        </w:rPr>
        <w:t>, within each</w:t>
      </w:r>
      <w:r w:rsidR="00DC375C">
        <w:rPr>
          <w:rStyle w:val="fnt0"/>
          <w:rFonts w:cs="Times New Roman"/>
          <w:szCs w:val="24"/>
        </w:rPr>
        <w:t xml:space="preserve"> of these</w:t>
      </w:r>
      <w:r w:rsidR="00E948D2">
        <w:rPr>
          <w:rStyle w:val="fnt0"/>
          <w:rFonts w:cs="Times New Roman"/>
          <w:szCs w:val="24"/>
        </w:rPr>
        <w:t xml:space="preserve"> five</w:t>
      </w:r>
      <w:r w:rsidR="00D3459C">
        <w:rPr>
          <w:rStyle w:val="fnt0"/>
          <w:rFonts w:cs="Times New Roman"/>
          <w:szCs w:val="24"/>
        </w:rPr>
        <w:t xml:space="preserve"> section</w:t>
      </w:r>
      <w:r w:rsidR="00DC375C">
        <w:rPr>
          <w:rStyle w:val="fnt0"/>
          <w:rFonts w:cs="Times New Roman"/>
          <w:szCs w:val="24"/>
        </w:rPr>
        <w:t>s</w:t>
      </w:r>
      <w:r w:rsidR="00D3459C">
        <w:rPr>
          <w:rStyle w:val="fnt0"/>
          <w:rFonts w:cs="Times New Roman"/>
          <w:szCs w:val="24"/>
        </w:rPr>
        <w:t xml:space="preserve">, the student includes a plan of action </w:t>
      </w:r>
      <w:r w:rsidR="00F24073">
        <w:rPr>
          <w:rStyle w:val="fnt0"/>
          <w:rFonts w:cs="Times New Roman"/>
          <w:szCs w:val="24"/>
        </w:rPr>
        <w:t>to help Institution A improve its business analytics program.</w:t>
      </w:r>
    </w:p>
    <w:p w14:paraId="2BC487BA" w14:textId="0A75CC94" w:rsidR="0074503A" w:rsidRPr="0074503A" w:rsidRDefault="0074503A" w:rsidP="003E5A39">
      <w:pPr>
        <w:spacing w:after="0" w:line="480" w:lineRule="auto"/>
        <w:rPr>
          <w:rStyle w:val="fnt0"/>
          <w:rFonts w:cs="Times New Roman"/>
          <w:b/>
          <w:bCs/>
          <w:szCs w:val="24"/>
        </w:rPr>
      </w:pPr>
      <w:r>
        <w:rPr>
          <w:rStyle w:val="fnt0"/>
          <w:rFonts w:cs="Times New Roman"/>
          <w:b/>
          <w:bCs/>
          <w:szCs w:val="24"/>
        </w:rPr>
        <w:t xml:space="preserve">Problem </w:t>
      </w:r>
      <w:r w:rsidR="00A06944">
        <w:rPr>
          <w:rStyle w:val="fnt0"/>
          <w:rFonts w:cs="Times New Roman"/>
          <w:b/>
          <w:bCs/>
          <w:szCs w:val="24"/>
        </w:rPr>
        <w:t>Framing</w:t>
      </w:r>
    </w:p>
    <w:p w14:paraId="29AF5B6E" w14:textId="11B2109C" w:rsidR="00514574" w:rsidRDefault="00C009A6" w:rsidP="00A8654B">
      <w:pPr>
        <w:spacing w:after="0" w:line="480" w:lineRule="auto"/>
        <w:ind w:firstLine="720"/>
      </w:pPr>
      <w:r>
        <w:rPr>
          <w:rStyle w:val="fnt0"/>
          <w:rFonts w:cs="Times New Roman"/>
          <w:szCs w:val="24"/>
        </w:rPr>
        <w:t xml:space="preserve">Often, analysts </w:t>
      </w:r>
      <w:r w:rsidR="00F330F4">
        <w:rPr>
          <w:rStyle w:val="fnt0"/>
          <w:rFonts w:cs="Times New Roman"/>
          <w:szCs w:val="24"/>
        </w:rPr>
        <w:t>within the I</w:t>
      </w:r>
      <w:r w:rsidR="00DE6782">
        <w:rPr>
          <w:rStyle w:val="fnt0"/>
          <w:rFonts w:cs="Times New Roman"/>
          <w:szCs w:val="24"/>
        </w:rPr>
        <w:t>nstitutional Research (IR)</w:t>
      </w:r>
      <w:r w:rsidR="00F330F4">
        <w:rPr>
          <w:rStyle w:val="fnt0"/>
          <w:rFonts w:cs="Times New Roman"/>
          <w:szCs w:val="24"/>
        </w:rPr>
        <w:t xml:space="preserve"> department</w:t>
      </w:r>
      <w:r w:rsidR="0030691D">
        <w:rPr>
          <w:rStyle w:val="fnt0"/>
          <w:rFonts w:cs="Times New Roman"/>
          <w:szCs w:val="24"/>
        </w:rPr>
        <w:t xml:space="preserve"> at Institution A</w:t>
      </w:r>
      <w:r w:rsidR="00A8654B">
        <w:rPr>
          <w:rStyle w:val="fnt0"/>
          <w:rFonts w:cs="Times New Roman"/>
          <w:szCs w:val="24"/>
        </w:rPr>
        <w:t xml:space="preserve"> skip the problem framing step and</w:t>
      </w:r>
      <w:r w:rsidR="00F330F4">
        <w:rPr>
          <w:rStyle w:val="fnt0"/>
          <w:rFonts w:cs="Times New Roman"/>
          <w:szCs w:val="24"/>
        </w:rPr>
        <w:t xml:space="preserve"> jump </w:t>
      </w:r>
      <w:r w:rsidR="0030691D">
        <w:rPr>
          <w:rStyle w:val="fnt0"/>
          <w:rFonts w:cs="Times New Roman"/>
          <w:szCs w:val="24"/>
        </w:rPr>
        <w:t xml:space="preserve">right into </w:t>
      </w:r>
      <w:r w:rsidR="00821CDA">
        <w:rPr>
          <w:rStyle w:val="fnt0"/>
          <w:rFonts w:cs="Times New Roman"/>
          <w:szCs w:val="24"/>
        </w:rPr>
        <w:t>t</w:t>
      </w:r>
      <w:r w:rsidR="0030691D">
        <w:rPr>
          <w:rStyle w:val="fnt0"/>
          <w:rFonts w:cs="Times New Roman"/>
          <w:szCs w:val="24"/>
        </w:rPr>
        <w:t>he data collection phase, overly eager to solve a problem before</w:t>
      </w:r>
      <w:r w:rsidR="00E948D2">
        <w:rPr>
          <w:rStyle w:val="fnt0"/>
          <w:rFonts w:cs="Times New Roman"/>
          <w:szCs w:val="24"/>
        </w:rPr>
        <w:t xml:space="preserve"> adequately</w:t>
      </w:r>
      <w:r w:rsidR="0030691D">
        <w:rPr>
          <w:rStyle w:val="fnt0"/>
          <w:rFonts w:cs="Times New Roman"/>
          <w:szCs w:val="24"/>
        </w:rPr>
        <w:t xml:space="preserve"> defining it</w:t>
      </w:r>
      <w:r w:rsidR="00E12679">
        <w:rPr>
          <w:rStyle w:val="fnt0"/>
          <w:rFonts w:cs="Times New Roman"/>
          <w:szCs w:val="24"/>
        </w:rPr>
        <w:t xml:space="preserve">.  </w:t>
      </w:r>
      <w:r w:rsidR="009545E4">
        <w:rPr>
          <w:rStyle w:val="fnt0"/>
          <w:rFonts w:cs="Times New Roman"/>
          <w:szCs w:val="24"/>
        </w:rPr>
        <w:t xml:space="preserve">In the </w:t>
      </w:r>
      <w:r w:rsidR="009545E4">
        <w:rPr>
          <w:rStyle w:val="fnt0"/>
          <w:rFonts w:cs="Times New Roman"/>
          <w:i/>
          <w:iCs/>
          <w:szCs w:val="24"/>
        </w:rPr>
        <w:t xml:space="preserve">problem framing </w:t>
      </w:r>
      <w:r w:rsidR="009545E4">
        <w:rPr>
          <w:rStyle w:val="fnt0"/>
          <w:rFonts w:cs="Times New Roman"/>
          <w:szCs w:val="24"/>
        </w:rPr>
        <w:t xml:space="preserve">stage of Table 11.1, </w:t>
      </w:r>
      <w:r w:rsidR="00747899">
        <w:rPr>
          <w:rStyle w:val="fnt0"/>
          <w:rFonts w:cs="Times New Roman"/>
          <w:szCs w:val="24"/>
        </w:rPr>
        <w:t xml:space="preserve">Nelson (2018) </w:t>
      </w:r>
      <w:r w:rsidR="001A35A6">
        <w:rPr>
          <w:rStyle w:val="fnt0"/>
          <w:rFonts w:cs="Times New Roman"/>
          <w:szCs w:val="24"/>
        </w:rPr>
        <w:t>outlines</w:t>
      </w:r>
      <w:r w:rsidR="00373A6F">
        <w:rPr>
          <w:rStyle w:val="fnt0"/>
          <w:rFonts w:cs="Times New Roman"/>
          <w:szCs w:val="24"/>
        </w:rPr>
        <w:t xml:space="preserve"> several</w:t>
      </w:r>
      <w:r w:rsidR="00747899">
        <w:rPr>
          <w:rStyle w:val="fnt0"/>
          <w:rFonts w:cs="Times New Roman"/>
          <w:szCs w:val="24"/>
        </w:rPr>
        <w:t xml:space="preserve"> </w:t>
      </w:r>
      <w:r w:rsidR="008A5F95">
        <w:rPr>
          <w:rStyle w:val="fnt0"/>
          <w:rFonts w:cs="Times New Roman"/>
          <w:szCs w:val="24"/>
        </w:rPr>
        <w:t>ways</w:t>
      </w:r>
      <w:r w:rsidR="00373A6F">
        <w:rPr>
          <w:rStyle w:val="fnt0"/>
          <w:rFonts w:cs="Times New Roman"/>
          <w:szCs w:val="24"/>
        </w:rPr>
        <w:t xml:space="preserve"> for </w:t>
      </w:r>
      <w:r w:rsidR="00A06944">
        <w:rPr>
          <w:rStyle w:val="fnt0"/>
          <w:rFonts w:cs="Times New Roman"/>
          <w:szCs w:val="24"/>
        </w:rPr>
        <w:t>organizations</w:t>
      </w:r>
      <w:r w:rsidR="008A5F95">
        <w:rPr>
          <w:rStyle w:val="fnt0"/>
          <w:rFonts w:cs="Times New Roman"/>
          <w:szCs w:val="24"/>
        </w:rPr>
        <w:t xml:space="preserve"> to </w:t>
      </w:r>
      <w:r w:rsidR="001A35A6">
        <w:rPr>
          <w:rStyle w:val="fnt0"/>
          <w:rFonts w:cs="Times New Roman"/>
          <w:szCs w:val="24"/>
        </w:rPr>
        <w:t>increase t</w:t>
      </w:r>
      <w:r w:rsidR="00E948D2">
        <w:rPr>
          <w:rStyle w:val="fnt0"/>
          <w:rFonts w:cs="Times New Roman"/>
          <w:szCs w:val="24"/>
        </w:rPr>
        <w:t xml:space="preserve">he </w:t>
      </w:r>
      <w:r w:rsidR="00410BEA">
        <w:rPr>
          <w:rStyle w:val="fnt0"/>
          <w:rFonts w:cs="Times New Roman"/>
          <w:szCs w:val="24"/>
        </w:rPr>
        <w:t>effectiveness</w:t>
      </w:r>
      <w:r w:rsidR="00E948D2">
        <w:rPr>
          <w:rStyle w:val="fnt0"/>
          <w:rFonts w:cs="Times New Roman"/>
          <w:szCs w:val="24"/>
        </w:rPr>
        <w:t xml:space="preserve"> of their analytics programs</w:t>
      </w:r>
      <w:r w:rsidR="000938A9">
        <w:rPr>
          <w:rStyle w:val="fnt0"/>
          <w:rFonts w:cs="Times New Roman"/>
          <w:szCs w:val="24"/>
        </w:rPr>
        <w:t xml:space="preserve">, one of which </w:t>
      </w:r>
      <w:r w:rsidR="0064093B">
        <w:rPr>
          <w:rStyle w:val="fnt0"/>
          <w:rFonts w:cs="Times New Roman"/>
          <w:szCs w:val="24"/>
        </w:rPr>
        <w:t>includes</w:t>
      </w:r>
      <w:r w:rsidR="000938A9">
        <w:rPr>
          <w:rStyle w:val="fnt0"/>
          <w:rFonts w:cs="Times New Roman"/>
          <w:szCs w:val="24"/>
        </w:rPr>
        <w:t xml:space="preserve"> prioritizing the right problem to solve.</w:t>
      </w:r>
      <w:r w:rsidR="0050252D">
        <w:rPr>
          <w:rStyle w:val="fnt0"/>
          <w:rFonts w:cs="Times New Roman"/>
          <w:szCs w:val="24"/>
        </w:rPr>
        <w:t xml:space="preserve">  </w:t>
      </w:r>
      <w:r w:rsidR="00E948D2">
        <w:rPr>
          <w:rStyle w:val="fnt0"/>
          <w:rFonts w:cs="Times New Roman"/>
          <w:szCs w:val="24"/>
        </w:rPr>
        <w:t>T</w:t>
      </w:r>
      <w:r w:rsidR="008225BE">
        <w:rPr>
          <w:rStyle w:val="fnt0"/>
          <w:rFonts w:cs="Times New Roman"/>
          <w:szCs w:val="24"/>
        </w:rPr>
        <w:t xml:space="preserve">o </w:t>
      </w:r>
      <w:r w:rsidR="00CB202A">
        <w:rPr>
          <w:rStyle w:val="fnt0"/>
          <w:rFonts w:cs="Times New Roman"/>
          <w:szCs w:val="24"/>
        </w:rPr>
        <w:t xml:space="preserve">prioritize the </w:t>
      </w:r>
      <w:r w:rsidR="0030691D">
        <w:rPr>
          <w:rStyle w:val="fnt0"/>
          <w:rFonts w:cs="Times New Roman"/>
          <w:szCs w:val="24"/>
        </w:rPr>
        <w:t>problem</w:t>
      </w:r>
      <w:r w:rsidR="00CB202A">
        <w:rPr>
          <w:rStyle w:val="fnt0"/>
          <w:rFonts w:cs="Times New Roman"/>
          <w:szCs w:val="24"/>
        </w:rPr>
        <w:t>, Institu</w:t>
      </w:r>
      <w:r w:rsidR="00F64ECE">
        <w:rPr>
          <w:rStyle w:val="fnt0"/>
          <w:rFonts w:cs="Times New Roman"/>
          <w:szCs w:val="24"/>
        </w:rPr>
        <w:t>t</w:t>
      </w:r>
      <w:r w:rsidR="00CB202A">
        <w:rPr>
          <w:rStyle w:val="fnt0"/>
          <w:rFonts w:cs="Times New Roman"/>
          <w:szCs w:val="24"/>
        </w:rPr>
        <w:t xml:space="preserve">ion A should follow the </w:t>
      </w:r>
      <w:r w:rsidR="00B05392">
        <w:rPr>
          <w:rStyle w:val="fnt0"/>
          <w:rFonts w:cs="Times New Roman"/>
          <w:szCs w:val="24"/>
        </w:rPr>
        <w:t>five process</w:t>
      </w:r>
      <w:r w:rsidR="0064093B">
        <w:rPr>
          <w:rStyle w:val="fnt0"/>
          <w:rFonts w:cs="Times New Roman"/>
          <w:szCs w:val="24"/>
        </w:rPr>
        <w:t xml:space="preserve">es </w:t>
      </w:r>
      <w:r w:rsidR="00B05392">
        <w:rPr>
          <w:rStyle w:val="fnt0"/>
          <w:rFonts w:cs="Times New Roman"/>
          <w:szCs w:val="24"/>
        </w:rPr>
        <w:t>of problem framing as outlined by Nelson</w:t>
      </w:r>
      <w:r w:rsidR="00B51B60">
        <w:rPr>
          <w:rStyle w:val="fnt0"/>
          <w:rFonts w:cs="Times New Roman"/>
          <w:szCs w:val="24"/>
        </w:rPr>
        <w:t xml:space="preserve">: </w:t>
      </w:r>
      <w:r w:rsidR="00400448">
        <w:rPr>
          <w:rStyle w:val="fnt0"/>
          <w:rFonts w:cs="Times New Roman"/>
          <w:szCs w:val="24"/>
        </w:rPr>
        <w:t xml:space="preserve">(a) </w:t>
      </w:r>
      <w:r w:rsidR="00400448">
        <w:rPr>
          <w:rStyle w:val="fnt0"/>
          <w:rFonts w:cs="Times New Roman"/>
          <w:i/>
          <w:iCs/>
          <w:szCs w:val="24"/>
        </w:rPr>
        <w:t xml:space="preserve">problem definition, </w:t>
      </w:r>
      <w:r w:rsidR="00400448">
        <w:rPr>
          <w:rStyle w:val="fnt0"/>
          <w:rFonts w:cs="Times New Roman"/>
          <w:szCs w:val="24"/>
        </w:rPr>
        <w:t xml:space="preserve">(b) </w:t>
      </w:r>
      <w:r w:rsidR="00400448">
        <w:rPr>
          <w:rStyle w:val="fnt0"/>
          <w:rFonts w:cs="Times New Roman"/>
          <w:i/>
          <w:iCs/>
          <w:szCs w:val="24"/>
        </w:rPr>
        <w:t xml:space="preserve">root cause investigation, </w:t>
      </w:r>
      <w:r w:rsidR="00400448">
        <w:rPr>
          <w:rStyle w:val="fnt0"/>
          <w:rFonts w:cs="Times New Roman"/>
          <w:szCs w:val="24"/>
        </w:rPr>
        <w:t xml:space="preserve">(c) </w:t>
      </w:r>
      <w:r w:rsidR="00400448">
        <w:rPr>
          <w:rStyle w:val="fnt0"/>
          <w:rFonts w:cs="Times New Roman"/>
          <w:i/>
          <w:iCs/>
          <w:szCs w:val="24"/>
        </w:rPr>
        <w:t xml:space="preserve">hypothesis generation, </w:t>
      </w:r>
      <w:r w:rsidR="00400448">
        <w:rPr>
          <w:rStyle w:val="fnt0"/>
          <w:rFonts w:cs="Times New Roman"/>
          <w:szCs w:val="24"/>
        </w:rPr>
        <w:t xml:space="preserve">(d) </w:t>
      </w:r>
      <w:r w:rsidR="00400448">
        <w:rPr>
          <w:rStyle w:val="fnt0"/>
          <w:rFonts w:cs="Times New Roman"/>
          <w:i/>
          <w:iCs/>
          <w:szCs w:val="24"/>
        </w:rPr>
        <w:t xml:space="preserve">question design, </w:t>
      </w:r>
      <w:r w:rsidR="00400448">
        <w:rPr>
          <w:rStyle w:val="fnt0"/>
          <w:rFonts w:cs="Times New Roman"/>
          <w:szCs w:val="24"/>
        </w:rPr>
        <w:t xml:space="preserve">and (e) </w:t>
      </w:r>
      <w:r w:rsidR="00400448">
        <w:rPr>
          <w:rStyle w:val="fnt0"/>
          <w:rFonts w:cs="Times New Roman"/>
          <w:i/>
          <w:iCs/>
          <w:szCs w:val="24"/>
        </w:rPr>
        <w:t>business case prioritization.</w:t>
      </w:r>
      <w:r w:rsidR="00F64ECE">
        <w:rPr>
          <w:rStyle w:val="fnt0"/>
          <w:rFonts w:cs="Times New Roman"/>
          <w:szCs w:val="24"/>
        </w:rPr>
        <w:t xml:space="preserve">  </w:t>
      </w:r>
      <w:r w:rsidR="0073591C">
        <w:rPr>
          <w:rStyle w:val="fnt0"/>
          <w:rFonts w:cs="Times New Roman"/>
          <w:szCs w:val="24"/>
        </w:rPr>
        <w:t xml:space="preserve">In essence, </w:t>
      </w:r>
      <w:r w:rsidR="00F00111">
        <w:rPr>
          <w:rStyle w:val="fnt0"/>
          <w:rFonts w:cs="Times New Roman"/>
          <w:szCs w:val="24"/>
        </w:rPr>
        <w:t>I</w:t>
      </w:r>
      <w:r w:rsidR="00ED3590">
        <w:rPr>
          <w:rStyle w:val="fnt0"/>
          <w:rFonts w:cs="Times New Roman"/>
          <w:szCs w:val="24"/>
        </w:rPr>
        <w:t>n</w:t>
      </w:r>
      <w:r w:rsidR="00880434">
        <w:rPr>
          <w:rStyle w:val="fnt0"/>
          <w:rFonts w:cs="Times New Roman"/>
          <w:szCs w:val="24"/>
        </w:rPr>
        <w:t>stitution A</w:t>
      </w:r>
      <w:r w:rsidR="0030691D">
        <w:rPr>
          <w:rStyle w:val="fnt0"/>
          <w:rFonts w:cs="Times New Roman"/>
          <w:szCs w:val="24"/>
        </w:rPr>
        <w:t xml:space="preserve"> needs to define </w:t>
      </w:r>
      <w:r w:rsidR="0030691D">
        <w:rPr>
          <w:rStyle w:val="fnt0"/>
          <w:rFonts w:cs="Times New Roman"/>
          <w:szCs w:val="24"/>
        </w:rPr>
        <w:lastRenderedPageBreak/>
        <w:t>the problem</w:t>
      </w:r>
      <w:r w:rsidR="00194088">
        <w:rPr>
          <w:rStyle w:val="fnt0"/>
          <w:rFonts w:cs="Times New Roman"/>
          <w:szCs w:val="24"/>
        </w:rPr>
        <w:t xml:space="preserve">, whom it affects, its impact, and what a successful solution looks like, all </w:t>
      </w:r>
      <w:r w:rsidR="00AD63B2">
        <w:rPr>
          <w:rStyle w:val="fnt0"/>
          <w:rFonts w:cs="Times New Roman"/>
          <w:szCs w:val="24"/>
        </w:rPr>
        <w:t>of which</w:t>
      </w:r>
      <w:r w:rsidR="00ED3590">
        <w:rPr>
          <w:rStyle w:val="fnt0"/>
          <w:rFonts w:cs="Times New Roman"/>
          <w:szCs w:val="24"/>
        </w:rPr>
        <w:t xml:space="preserve"> comprise </w:t>
      </w:r>
      <w:r w:rsidR="00AD63B2">
        <w:rPr>
          <w:rStyle w:val="fnt0"/>
          <w:rFonts w:cs="Times New Roman"/>
          <w:szCs w:val="24"/>
        </w:rPr>
        <w:t>the</w:t>
      </w:r>
      <w:r w:rsidR="00ED3590">
        <w:rPr>
          <w:rStyle w:val="fnt0"/>
          <w:rFonts w:cs="Times New Roman"/>
          <w:szCs w:val="24"/>
        </w:rPr>
        <w:t xml:space="preserve"> </w:t>
      </w:r>
      <w:r w:rsidR="00ED3590">
        <w:rPr>
          <w:rStyle w:val="fnt0"/>
          <w:rFonts w:cs="Times New Roman"/>
          <w:b/>
          <w:bCs/>
          <w:szCs w:val="24"/>
        </w:rPr>
        <w:t xml:space="preserve">problem statement.  </w:t>
      </w:r>
      <w:r w:rsidR="0008436F">
        <w:rPr>
          <w:rStyle w:val="fnt0"/>
          <w:rFonts w:cs="Times New Roman"/>
          <w:szCs w:val="24"/>
        </w:rPr>
        <w:t>In defining the problem, analysts at Institution A might state</w:t>
      </w:r>
      <w:r w:rsidR="00E22FA8">
        <w:rPr>
          <w:rStyle w:val="fnt0"/>
          <w:rFonts w:cs="Times New Roman"/>
          <w:szCs w:val="24"/>
        </w:rPr>
        <w:t xml:space="preserve"> </w:t>
      </w:r>
      <w:r w:rsidR="0008436F">
        <w:rPr>
          <w:rStyle w:val="fnt0"/>
          <w:rFonts w:cs="Times New Roman"/>
          <w:szCs w:val="24"/>
        </w:rPr>
        <w:t>that the institution</w:t>
      </w:r>
      <w:r w:rsidR="003410B5">
        <w:rPr>
          <w:rStyle w:val="fnt0"/>
          <w:rFonts w:cs="Times New Roman"/>
          <w:i/>
          <w:iCs/>
          <w:szCs w:val="24"/>
        </w:rPr>
        <w:t xml:space="preserve"> </w:t>
      </w:r>
      <w:r w:rsidR="003410B5" w:rsidRPr="0008436F">
        <w:rPr>
          <w:rStyle w:val="fnt0"/>
          <w:rFonts w:cs="Times New Roman"/>
          <w:szCs w:val="24"/>
        </w:rPr>
        <w:t>is experiencing a shortfall in projected student retention rates</w:t>
      </w:r>
      <w:r w:rsidR="00E403C9" w:rsidRPr="00E403C9">
        <w:rPr>
          <w:rStyle w:val="fnt0"/>
          <w:rFonts w:cs="Times New Roman"/>
          <w:i/>
          <w:iCs/>
          <w:szCs w:val="24"/>
        </w:rPr>
        <w:t xml:space="preserve">.  </w:t>
      </w:r>
      <w:r w:rsidR="001761E2">
        <w:rPr>
          <w:rStyle w:val="fnt0"/>
          <w:rFonts w:cs="Times New Roman"/>
          <w:szCs w:val="24"/>
        </w:rPr>
        <w:t xml:space="preserve">After all, </w:t>
      </w:r>
      <w:r w:rsidR="001761E2">
        <w:t xml:space="preserve">Shapiro </w:t>
      </w:r>
      <w:r w:rsidR="001761E2" w:rsidRPr="00DC2923">
        <w:rPr>
          <w:i/>
          <w:iCs/>
        </w:rPr>
        <w:t>et al.</w:t>
      </w:r>
      <w:r w:rsidR="001761E2">
        <w:t xml:space="preserve"> (2016, as cited in Larrabee Sønderlund </w:t>
      </w:r>
      <w:r w:rsidR="001761E2" w:rsidRPr="00DC2923">
        <w:rPr>
          <w:i/>
          <w:iCs/>
        </w:rPr>
        <w:t>et al</w:t>
      </w:r>
      <w:r w:rsidR="001761E2">
        <w:t xml:space="preserve">., 2019) describe that nearly 8 million (39%) of the 20.5 million US students </w:t>
      </w:r>
      <w:r w:rsidR="005D7CE0">
        <w:t>enrolled in university courses</w:t>
      </w:r>
      <w:r w:rsidR="001761E2">
        <w:t xml:space="preserve"> will drop out before graduating.  </w:t>
      </w:r>
      <w:r w:rsidR="0050127F">
        <w:t>Likewise</w:t>
      </w:r>
      <w:r w:rsidR="001761E2">
        <w:t xml:space="preserve">, the </w:t>
      </w:r>
      <w:r w:rsidR="0066525C">
        <w:t xml:space="preserve">College Board Advocacy &amp; Policy Center (2010, as cited in Jayaprakash </w:t>
      </w:r>
      <w:r w:rsidR="0066525C">
        <w:rPr>
          <w:i/>
          <w:iCs/>
        </w:rPr>
        <w:t xml:space="preserve">et al., </w:t>
      </w:r>
      <w:r w:rsidR="0066525C">
        <w:t xml:space="preserve">2014) asserts </w:t>
      </w:r>
      <w:r w:rsidR="004554C9">
        <w:t xml:space="preserve">that </w:t>
      </w:r>
      <w:r w:rsidR="0066525C">
        <w:t xml:space="preserve">the </w:t>
      </w:r>
      <w:r w:rsidR="001761E2">
        <w:t>US ranks 12</w:t>
      </w:r>
      <w:r w:rsidR="001761E2" w:rsidRPr="000F5261">
        <w:rPr>
          <w:vertAlign w:val="superscript"/>
        </w:rPr>
        <w:t>th</w:t>
      </w:r>
      <w:r w:rsidR="001761E2">
        <w:t xml:space="preserve"> globally in the percentage of 25- to 34-year-olds with an </w:t>
      </w:r>
      <w:proofErr w:type="gramStart"/>
      <w:r w:rsidR="001761E2">
        <w:t>associate</w:t>
      </w:r>
      <w:r w:rsidR="00D6139E">
        <w:t>’s</w:t>
      </w:r>
      <w:proofErr w:type="gramEnd"/>
      <w:r w:rsidR="001761E2">
        <w:t xml:space="preserve"> degree or higher</w:t>
      </w:r>
      <w:r w:rsidR="0066525C">
        <w:t xml:space="preserve">.  </w:t>
      </w:r>
      <w:r w:rsidR="003C65E7">
        <w:t xml:space="preserve">In effect, </w:t>
      </w:r>
      <w:r w:rsidR="00AC3DE1">
        <w:t>there is tremendous potential for Institution A to increase student retention rates.</w:t>
      </w:r>
      <w:r w:rsidR="003C65E7">
        <w:t xml:space="preserve"> </w:t>
      </w:r>
    </w:p>
    <w:p w14:paraId="4E5BE784" w14:textId="1BEAA974" w:rsidR="00613BD3" w:rsidRDefault="004D75A7" w:rsidP="00A8654B">
      <w:pPr>
        <w:spacing w:after="0" w:line="480" w:lineRule="auto"/>
        <w:ind w:firstLine="720"/>
      </w:pPr>
      <w:r>
        <w:rPr>
          <w:rStyle w:val="fnt0"/>
          <w:rFonts w:cs="Times New Roman"/>
          <w:szCs w:val="24"/>
        </w:rPr>
        <w:t xml:space="preserve">To solve this problem, </w:t>
      </w:r>
      <w:r w:rsidR="0050247A">
        <w:rPr>
          <w:rStyle w:val="fnt0"/>
          <w:rFonts w:cs="Times New Roman"/>
          <w:szCs w:val="24"/>
        </w:rPr>
        <w:t xml:space="preserve">analysts at Institution A should subject </w:t>
      </w:r>
      <w:r>
        <w:rPr>
          <w:rStyle w:val="fnt0"/>
          <w:rFonts w:cs="Times New Roman"/>
          <w:szCs w:val="24"/>
        </w:rPr>
        <w:t>it</w:t>
      </w:r>
      <w:r w:rsidR="0050247A">
        <w:rPr>
          <w:rStyle w:val="fnt0"/>
          <w:rFonts w:cs="Times New Roman"/>
          <w:szCs w:val="24"/>
        </w:rPr>
        <w:t xml:space="preserve"> to</w:t>
      </w:r>
      <w:r w:rsidR="00926AF8">
        <w:rPr>
          <w:rStyle w:val="fnt0"/>
          <w:rFonts w:cs="Times New Roman"/>
          <w:szCs w:val="24"/>
        </w:rPr>
        <w:t xml:space="preserve"> </w:t>
      </w:r>
      <w:r w:rsidR="00926AF8">
        <w:rPr>
          <w:rStyle w:val="fnt0"/>
          <w:rFonts w:cs="Times New Roman"/>
          <w:i/>
          <w:iCs/>
          <w:szCs w:val="24"/>
        </w:rPr>
        <w:t>a root cause investi</w:t>
      </w:r>
      <w:r w:rsidR="00326971">
        <w:rPr>
          <w:rStyle w:val="fnt0"/>
          <w:rFonts w:cs="Times New Roman"/>
          <w:i/>
          <w:iCs/>
          <w:szCs w:val="24"/>
        </w:rPr>
        <w:t xml:space="preserve">gation </w:t>
      </w:r>
      <w:r w:rsidR="006B34EF">
        <w:rPr>
          <w:rStyle w:val="fnt0"/>
          <w:rFonts w:cs="Times New Roman"/>
          <w:szCs w:val="24"/>
        </w:rPr>
        <w:t xml:space="preserve">to determine why </w:t>
      </w:r>
      <w:r w:rsidR="0050247A">
        <w:rPr>
          <w:rStyle w:val="fnt0"/>
          <w:rFonts w:cs="Times New Roman"/>
          <w:szCs w:val="24"/>
        </w:rPr>
        <w:t>it exists</w:t>
      </w:r>
      <w:r w:rsidR="006B34EF">
        <w:rPr>
          <w:rStyle w:val="fnt0"/>
          <w:rFonts w:cs="Times New Roman"/>
          <w:szCs w:val="24"/>
        </w:rPr>
        <w:t xml:space="preserve">.  </w:t>
      </w:r>
      <w:r w:rsidR="00160DCC">
        <w:rPr>
          <w:rStyle w:val="fnt0"/>
          <w:rFonts w:cs="Times New Roman"/>
          <w:szCs w:val="24"/>
        </w:rPr>
        <w:t xml:space="preserve">Strategies in this area </w:t>
      </w:r>
      <w:r w:rsidR="00A41B78">
        <w:rPr>
          <w:rStyle w:val="fnt0"/>
          <w:rFonts w:cs="Times New Roman"/>
          <w:szCs w:val="24"/>
        </w:rPr>
        <w:t>outlined</w:t>
      </w:r>
      <w:r w:rsidR="00160DCC">
        <w:rPr>
          <w:rStyle w:val="fnt0"/>
          <w:rFonts w:cs="Times New Roman"/>
          <w:szCs w:val="24"/>
        </w:rPr>
        <w:t xml:space="preserve"> by Nelson (2018) include </w:t>
      </w:r>
      <w:r>
        <w:rPr>
          <w:rStyle w:val="fnt0"/>
          <w:rFonts w:cs="Times New Roman"/>
          <w:szCs w:val="24"/>
        </w:rPr>
        <w:t>using</w:t>
      </w:r>
      <w:r w:rsidR="001D109F">
        <w:rPr>
          <w:rStyle w:val="fnt0"/>
          <w:rFonts w:cs="Times New Roman"/>
          <w:szCs w:val="24"/>
        </w:rPr>
        <w:t xml:space="preserve"> </w:t>
      </w:r>
      <w:r>
        <w:rPr>
          <w:rStyle w:val="fnt0"/>
          <w:rFonts w:cs="Times New Roman"/>
          <w:szCs w:val="24"/>
        </w:rPr>
        <w:t xml:space="preserve">affinity and </w:t>
      </w:r>
      <w:r w:rsidR="001D109F">
        <w:rPr>
          <w:rStyle w:val="fnt0"/>
          <w:rFonts w:cs="Times New Roman"/>
          <w:szCs w:val="24"/>
        </w:rPr>
        <w:t xml:space="preserve">fishbone diagrams to </w:t>
      </w:r>
      <w:r w:rsidR="006D41FC">
        <w:rPr>
          <w:rStyle w:val="fnt0"/>
          <w:rFonts w:cs="Times New Roman"/>
          <w:szCs w:val="24"/>
        </w:rPr>
        <w:t xml:space="preserve">conceptualize </w:t>
      </w:r>
      <w:r>
        <w:rPr>
          <w:rStyle w:val="fnt0"/>
          <w:rFonts w:cs="Times New Roman"/>
          <w:szCs w:val="24"/>
        </w:rPr>
        <w:t xml:space="preserve">problem </w:t>
      </w:r>
      <w:r w:rsidR="0080613B">
        <w:rPr>
          <w:rStyle w:val="fnt0"/>
          <w:rFonts w:cs="Times New Roman"/>
          <w:szCs w:val="24"/>
        </w:rPr>
        <w:t xml:space="preserve">causes </w:t>
      </w:r>
      <w:r w:rsidR="00F04FFC">
        <w:rPr>
          <w:rStyle w:val="fnt0"/>
          <w:rFonts w:cs="Times New Roman"/>
          <w:szCs w:val="24"/>
        </w:rPr>
        <w:t>by</w:t>
      </w:r>
      <w:r w:rsidR="0080613B">
        <w:rPr>
          <w:rStyle w:val="fnt0"/>
          <w:rFonts w:cs="Times New Roman"/>
          <w:szCs w:val="24"/>
        </w:rPr>
        <w:t xml:space="preserve"> type, also known as </w:t>
      </w:r>
      <w:r w:rsidR="003B275E">
        <w:rPr>
          <w:rStyle w:val="fnt0"/>
          <w:rFonts w:cs="Times New Roman"/>
          <w:b/>
          <w:bCs/>
          <w:szCs w:val="24"/>
        </w:rPr>
        <w:t>category brainstormin</w:t>
      </w:r>
      <w:r w:rsidR="00213927">
        <w:rPr>
          <w:rStyle w:val="fnt0"/>
          <w:rFonts w:cs="Times New Roman"/>
          <w:b/>
          <w:bCs/>
          <w:szCs w:val="24"/>
        </w:rPr>
        <w:t>g</w:t>
      </w:r>
      <w:r w:rsidR="0080613B">
        <w:rPr>
          <w:rStyle w:val="fnt0"/>
          <w:rFonts w:cs="Times New Roman"/>
          <w:b/>
          <w:bCs/>
          <w:szCs w:val="24"/>
        </w:rPr>
        <w:t xml:space="preserve">.  </w:t>
      </w:r>
      <w:r w:rsidR="006A256A">
        <w:rPr>
          <w:rStyle w:val="fnt0"/>
          <w:rFonts w:cs="Times New Roman"/>
          <w:szCs w:val="24"/>
        </w:rPr>
        <w:t xml:space="preserve">For instance, </w:t>
      </w:r>
      <w:proofErr w:type="spellStart"/>
      <w:r w:rsidR="00834902">
        <w:rPr>
          <w:rStyle w:val="fnt0"/>
          <w:rFonts w:cs="Times New Roman"/>
          <w:szCs w:val="24"/>
        </w:rPr>
        <w:t>Frankola</w:t>
      </w:r>
      <w:proofErr w:type="spellEnd"/>
      <w:r w:rsidR="00834902">
        <w:rPr>
          <w:rStyle w:val="fnt0"/>
          <w:rFonts w:cs="Times New Roman"/>
          <w:szCs w:val="24"/>
        </w:rPr>
        <w:t xml:space="preserve"> (2002, as cited </w:t>
      </w:r>
      <w:r w:rsidR="00A8364F">
        <w:rPr>
          <w:rStyle w:val="fnt0"/>
          <w:rFonts w:cs="Times New Roman"/>
          <w:szCs w:val="24"/>
        </w:rPr>
        <w:t>in</w:t>
      </w:r>
      <w:r w:rsidR="00834902">
        <w:rPr>
          <w:rStyle w:val="fnt0"/>
          <w:rFonts w:cs="Times New Roman"/>
          <w:szCs w:val="24"/>
        </w:rPr>
        <w:t xml:space="preserve"> </w:t>
      </w:r>
      <w:r w:rsidR="009E00D2">
        <w:rPr>
          <w:rStyle w:val="fnt0"/>
          <w:rFonts w:cs="Times New Roman"/>
          <w:szCs w:val="24"/>
        </w:rPr>
        <w:t xml:space="preserve">West </w:t>
      </w:r>
      <w:r w:rsidR="009E00D2" w:rsidRPr="002E3FF6">
        <w:rPr>
          <w:rStyle w:val="fnt0"/>
          <w:rFonts w:cs="Times New Roman"/>
          <w:i/>
          <w:iCs/>
          <w:szCs w:val="24"/>
        </w:rPr>
        <w:t>et al</w:t>
      </w:r>
      <w:r w:rsidR="009E00D2">
        <w:rPr>
          <w:rStyle w:val="fnt0"/>
          <w:rFonts w:cs="Times New Roman"/>
          <w:szCs w:val="24"/>
        </w:rPr>
        <w:t>.</w:t>
      </w:r>
      <w:r w:rsidR="000962CB">
        <w:rPr>
          <w:rStyle w:val="fnt0"/>
          <w:rFonts w:cs="Times New Roman"/>
          <w:szCs w:val="24"/>
        </w:rPr>
        <w:t>, 2015</w:t>
      </w:r>
      <w:r w:rsidR="00834902">
        <w:rPr>
          <w:rStyle w:val="fnt0"/>
          <w:rFonts w:cs="Times New Roman"/>
          <w:szCs w:val="24"/>
        </w:rPr>
        <w:t>)</w:t>
      </w:r>
      <w:r w:rsidR="009E00D2">
        <w:rPr>
          <w:rStyle w:val="fnt0"/>
          <w:rFonts w:cs="Times New Roman"/>
          <w:szCs w:val="24"/>
        </w:rPr>
        <w:t xml:space="preserve"> </w:t>
      </w:r>
      <w:r w:rsidR="002E3FF6">
        <w:rPr>
          <w:rStyle w:val="fnt0"/>
          <w:rFonts w:cs="Times New Roman"/>
          <w:szCs w:val="24"/>
        </w:rPr>
        <w:t xml:space="preserve">describes potential causes of </w:t>
      </w:r>
      <w:r w:rsidR="00521240">
        <w:rPr>
          <w:rStyle w:val="fnt0"/>
          <w:rFonts w:cs="Times New Roman"/>
          <w:szCs w:val="24"/>
        </w:rPr>
        <w:t xml:space="preserve">student attrition, </w:t>
      </w:r>
      <w:r w:rsidR="00947478">
        <w:rPr>
          <w:rStyle w:val="fnt0"/>
          <w:rFonts w:cs="Times New Roman"/>
          <w:szCs w:val="24"/>
        </w:rPr>
        <w:t>including</w:t>
      </w:r>
      <w:r w:rsidR="00E630B0">
        <w:rPr>
          <w:rStyle w:val="fnt0"/>
          <w:rFonts w:cs="Times New Roman"/>
          <w:szCs w:val="24"/>
        </w:rPr>
        <w:t xml:space="preserve"> difficulties with technology and</w:t>
      </w:r>
      <w:r w:rsidR="00947478">
        <w:rPr>
          <w:rStyle w:val="fnt0"/>
          <w:rFonts w:cs="Times New Roman"/>
          <w:szCs w:val="24"/>
        </w:rPr>
        <w:t xml:space="preserve"> social isolation</w:t>
      </w:r>
      <w:r w:rsidR="0003230C">
        <w:rPr>
          <w:rStyle w:val="fnt0"/>
          <w:rFonts w:cs="Times New Roman"/>
          <w:szCs w:val="24"/>
        </w:rPr>
        <w:t xml:space="preserve">.  </w:t>
      </w:r>
      <w:r w:rsidR="00A648F4">
        <w:rPr>
          <w:rStyle w:val="fnt0"/>
          <w:rFonts w:cs="Times New Roman"/>
          <w:szCs w:val="24"/>
        </w:rPr>
        <w:t xml:space="preserve">Likewise, Mazza and Dimitrova (2004) </w:t>
      </w:r>
      <w:r w:rsidR="00D26E0C">
        <w:rPr>
          <w:rStyle w:val="fnt0"/>
          <w:rFonts w:cs="Times New Roman"/>
          <w:szCs w:val="24"/>
        </w:rPr>
        <w:t>describe how students may become disoriented in course hyperspace</w:t>
      </w:r>
      <w:r w:rsidR="0065409A">
        <w:rPr>
          <w:rStyle w:val="fnt0"/>
          <w:rFonts w:cs="Times New Roman"/>
          <w:szCs w:val="24"/>
        </w:rPr>
        <w:t>s</w:t>
      </w:r>
      <w:r w:rsidR="00D26E0C">
        <w:rPr>
          <w:rStyle w:val="fnt0"/>
          <w:rFonts w:cs="Times New Roman"/>
          <w:szCs w:val="24"/>
        </w:rPr>
        <w:t xml:space="preserve"> and lose motivation.  </w:t>
      </w:r>
      <w:r w:rsidR="00AB5830">
        <w:rPr>
          <w:rStyle w:val="fnt0"/>
          <w:rFonts w:cs="Times New Roman"/>
          <w:szCs w:val="24"/>
        </w:rPr>
        <w:t xml:space="preserve">Lastly, </w:t>
      </w:r>
      <w:proofErr w:type="spellStart"/>
      <w:r w:rsidR="00AB5830">
        <w:t>Cambruzzi</w:t>
      </w:r>
      <w:proofErr w:type="spellEnd"/>
      <w:r w:rsidR="00AB5830">
        <w:t xml:space="preserve"> </w:t>
      </w:r>
      <w:r w:rsidR="00AB5830" w:rsidRPr="00D42348">
        <w:rPr>
          <w:i/>
          <w:iCs/>
        </w:rPr>
        <w:t>et al.</w:t>
      </w:r>
      <w:r w:rsidR="00AB5830">
        <w:t xml:space="preserve"> (2015) </w:t>
      </w:r>
      <w:r w:rsidR="00AB1133">
        <w:t xml:space="preserve">describe how </w:t>
      </w:r>
      <w:r w:rsidR="00895A81">
        <w:t xml:space="preserve">students may </w:t>
      </w:r>
      <w:r w:rsidR="00920CA8">
        <w:t xml:space="preserve">fail </w:t>
      </w:r>
      <w:r w:rsidR="00097ADA">
        <w:t xml:space="preserve">to see </w:t>
      </w:r>
      <w:r w:rsidR="002F5360">
        <w:t xml:space="preserve">the </w:t>
      </w:r>
      <w:r w:rsidR="00D42348">
        <w:t>importance of course material.</w:t>
      </w:r>
      <w:r w:rsidR="007318F3">
        <w:t xml:space="preserve">  All these examples </w:t>
      </w:r>
      <w:r w:rsidR="00D42348">
        <w:t>represent potential causes of why students may drop out of their studies.</w:t>
      </w:r>
    </w:p>
    <w:p w14:paraId="64286644" w14:textId="67E4FCDC" w:rsidR="000E2E5B" w:rsidRDefault="00EA3DBA" w:rsidP="00A8654B">
      <w:pPr>
        <w:spacing w:after="0" w:line="480" w:lineRule="auto"/>
        <w:ind w:firstLine="720"/>
      </w:pPr>
      <w:r>
        <w:t xml:space="preserve">Nelson (2018) </w:t>
      </w:r>
      <w:r w:rsidR="00BC2436">
        <w:t xml:space="preserve">presents the next step within problem framing as </w:t>
      </w:r>
      <w:r w:rsidR="00BC2436" w:rsidRPr="00A8364F">
        <w:rPr>
          <w:i/>
          <w:iCs/>
        </w:rPr>
        <w:t>hypothesis</w:t>
      </w:r>
      <w:r w:rsidR="00BC2436">
        <w:t xml:space="preserve"> </w:t>
      </w:r>
      <w:r w:rsidR="00BC2436" w:rsidRPr="00A8364F">
        <w:rPr>
          <w:i/>
          <w:iCs/>
        </w:rPr>
        <w:t>generation</w:t>
      </w:r>
      <w:r w:rsidR="009160C0">
        <w:t xml:space="preserve">, where we utilize </w:t>
      </w:r>
      <w:r w:rsidR="009160C0">
        <w:rPr>
          <w:b/>
          <w:bCs/>
        </w:rPr>
        <w:t xml:space="preserve">divergent thinking </w:t>
      </w:r>
      <w:r w:rsidR="009160C0">
        <w:t xml:space="preserve">to </w:t>
      </w:r>
      <w:r w:rsidR="00D32469">
        <w:t>develop ideas about how we believe the world works.</w:t>
      </w:r>
      <w:r w:rsidR="0001071A">
        <w:t xml:space="preserve"> </w:t>
      </w:r>
      <w:r w:rsidR="005C0996">
        <w:t xml:space="preserve"> </w:t>
      </w:r>
      <w:r w:rsidR="00C62CBF">
        <w:t xml:space="preserve">We work in teams in this step, </w:t>
      </w:r>
      <w:r w:rsidR="00957589">
        <w:t>employing</w:t>
      </w:r>
      <w:r w:rsidR="00162A47">
        <w:t xml:space="preserve"> sticky notes to generate hypotheses that </w:t>
      </w:r>
      <w:r w:rsidR="00957589">
        <w:t xml:space="preserve">allow us </w:t>
      </w:r>
      <w:r w:rsidR="009A1BE9">
        <w:t>to translate our belief statements into SMART goals.</w:t>
      </w:r>
      <w:r w:rsidR="00CF4790">
        <w:t xml:space="preserve">  </w:t>
      </w:r>
      <w:r w:rsidR="00C62CBF">
        <w:t>For instance, i</w:t>
      </w:r>
      <w:r w:rsidR="00CF4790">
        <w:t>n the case of Institu</w:t>
      </w:r>
      <w:r w:rsidR="00E7077F">
        <w:t>t</w:t>
      </w:r>
      <w:r w:rsidR="00CF4790">
        <w:t>ion A, we might say that by implementing learning analytics</w:t>
      </w:r>
      <w:r w:rsidR="00E7077F">
        <w:t xml:space="preserve"> </w:t>
      </w:r>
      <w:r w:rsidR="003B262B">
        <w:t xml:space="preserve">(LA) </w:t>
      </w:r>
      <w:r w:rsidR="00E7077F">
        <w:t xml:space="preserve">for a student, </w:t>
      </w:r>
      <w:r w:rsidR="00241844">
        <w:t>Andrew, we will increase</w:t>
      </w:r>
      <w:r w:rsidR="00973B40">
        <w:t xml:space="preserve"> </w:t>
      </w:r>
      <w:r w:rsidR="00973B40">
        <w:lastRenderedPageBreak/>
        <w:t>student</w:t>
      </w:r>
      <w:r w:rsidR="00241844">
        <w:t xml:space="preserve"> retention rates</w:t>
      </w:r>
      <w:r w:rsidR="00CA7FB5">
        <w:t>, which w</w:t>
      </w:r>
      <w:r w:rsidR="00C5737B">
        <w:t xml:space="preserve">e </w:t>
      </w:r>
      <w:r w:rsidR="00D42348">
        <w:t xml:space="preserve">will </w:t>
      </w:r>
      <w:r w:rsidR="00C5737B">
        <w:t xml:space="preserve">know to </w:t>
      </w:r>
      <w:r w:rsidR="00BE2D19">
        <w:t xml:space="preserve">be true when </w:t>
      </w:r>
      <w:r w:rsidR="00D42348">
        <w:t>they</w:t>
      </w:r>
      <w:r w:rsidR="00BE2D19">
        <w:t xml:space="preserve"> have increased by 20%.</w:t>
      </w:r>
      <w:r w:rsidR="00E37C7E">
        <w:t xml:space="preserve">  </w:t>
      </w:r>
      <w:r w:rsidR="00E81A24">
        <w:t xml:space="preserve">Likewise, </w:t>
      </w:r>
      <w:r w:rsidR="00E7688B">
        <w:t xml:space="preserve"> </w:t>
      </w:r>
      <w:r w:rsidR="00055EAD">
        <w:t>Krumm et al. (2014)</w:t>
      </w:r>
      <w:r w:rsidR="001A1B73">
        <w:t xml:space="preserve"> </w:t>
      </w:r>
      <w:r w:rsidR="00DF27F0">
        <w:t>found that</w:t>
      </w:r>
      <w:r w:rsidR="005D2F62">
        <w:t xml:space="preserve"> courses implementing</w:t>
      </w:r>
      <w:r w:rsidR="00702DBB">
        <w:t xml:space="preserve"> a LA software</w:t>
      </w:r>
      <w:r w:rsidR="00930556">
        <w:t xml:space="preserve"> called</w:t>
      </w:r>
      <w:r w:rsidR="00E7688B">
        <w:t xml:space="preserve"> </w:t>
      </w:r>
      <w:r w:rsidR="00702DBB">
        <w:rPr>
          <w:i/>
          <w:iCs/>
        </w:rPr>
        <w:t xml:space="preserve">Course Signals </w:t>
      </w:r>
      <w:r w:rsidR="00702DBB">
        <w:t>(CS)</w:t>
      </w:r>
      <w:r w:rsidR="005D2F62">
        <w:t>,</w:t>
      </w:r>
      <w:r w:rsidR="005670D0">
        <w:t xml:space="preserve"> </w:t>
      </w:r>
      <w:r w:rsidR="005D2F62">
        <w:t xml:space="preserve">which </w:t>
      </w:r>
      <w:r w:rsidR="005670D0">
        <w:t xml:space="preserve">uses </w:t>
      </w:r>
      <w:r w:rsidR="00AC782E">
        <w:t xml:space="preserve">multiple dynamic indicators to </w:t>
      </w:r>
      <w:r w:rsidR="005D2F62">
        <w:t xml:space="preserve">convey </w:t>
      </w:r>
      <w:r w:rsidR="007E1126">
        <w:t xml:space="preserve">academic </w:t>
      </w:r>
      <w:r w:rsidR="005D2F62">
        <w:t xml:space="preserve">performance </w:t>
      </w:r>
      <w:r w:rsidR="00D9087B">
        <w:t>information</w:t>
      </w:r>
      <w:r w:rsidR="005D2F62">
        <w:t xml:space="preserve"> </w:t>
      </w:r>
      <w:r w:rsidR="00AC782E">
        <w:t>to students, increased</w:t>
      </w:r>
      <w:r w:rsidR="005670D0">
        <w:t xml:space="preserve"> </w:t>
      </w:r>
      <w:r w:rsidR="00AC782E">
        <w:t>retention rates by approximately 10</w:t>
      </w:r>
      <w:r w:rsidR="007E1126">
        <w:t xml:space="preserve"> percent to 25 percent</w:t>
      </w:r>
      <w:r w:rsidR="00B7593F">
        <w:t xml:space="preserve"> compared to courses not using </w:t>
      </w:r>
      <w:r w:rsidR="009B6A6C">
        <w:t>the program</w:t>
      </w:r>
      <w:r w:rsidR="00AC782E">
        <w:t>.</w:t>
      </w:r>
      <w:r w:rsidR="00E37C7E">
        <w:t xml:space="preserve">  W</w:t>
      </w:r>
      <w:r w:rsidR="00092902">
        <w:t xml:space="preserve">e </w:t>
      </w:r>
      <w:r w:rsidR="00911B05">
        <w:t xml:space="preserve">utilize a 2 x 2 matrix to evaluate </w:t>
      </w:r>
      <w:r w:rsidR="00E37C7E">
        <w:t>the risk and impact of our hypothesis (Nelson, 2018).</w:t>
      </w:r>
    </w:p>
    <w:p w14:paraId="687FED68" w14:textId="0AEFA48E" w:rsidR="00951566" w:rsidRDefault="00AB5BD4" w:rsidP="00A8654B">
      <w:pPr>
        <w:spacing w:after="0" w:line="480" w:lineRule="auto"/>
        <w:ind w:firstLine="720"/>
      </w:pPr>
      <w:r>
        <w:t xml:space="preserve">We formulate the problem into a question </w:t>
      </w:r>
      <w:r w:rsidR="00C81A0B">
        <w:t>and generate potential study designs to answer our question</w:t>
      </w:r>
      <w:r w:rsidR="00C81A0B">
        <w:t xml:space="preserve"> </w:t>
      </w:r>
      <w:r>
        <w:t xml:space="preserve">during the </w:t>
      </w:r>
      <w:r w:rsidRPr="00AB5BD4">
        <w:rPr>
          <w:i/>
          <w:iCs/>
        </w:rPr>
        <w:t>Question Design</w:t>
      </w:r>
      <w:r>
        <w:t xml:space="preserve"> phase</w:t>
      </w:r>
      <w:r w:rsidR="00301D90">
        <w:t xml:space="preserve">.  </w:t>
      </w:r>
      <w:r w:rsidR="000F4FD9">
        <w:t>For instance, we c</w:t>
      </w:r>
      <w:r w:rsidR="001143D2">
        <w:t xml:space="preserve">ould </w:t>
      </w:r>
      <w:r w:rsidR="000F4FD9">
        <w:t xml:space="preserve">use </w:t>
      </w:r>
      <w:r w:rsidR="006514DC">
        <w:t>simple regression models to</w:t>
      </w:r>
      <w:r w:rsidR="00BA2903">
        <w:t xml:space="preserve"> examine</w:t>
      </w:r>
      <w:r w:rsidR="006514DC">
        <w:t xml:space="preserve"> association</w:t>
      </w:r>
      <w:r w:rsidR="00BA2903">
        <w:t>s</w:t>
      </w:r>
      <w:r w:rsidR="006514DC">
        <w:t xml:space="preserve"> between student demographics and </w:t>
      </w:r>
      <w:r w:rsidR="001143D2">
        <w:t xml:space="preserve">retention rates.  </w:t>
      </w:r>
      <w:proofErr w:type="spellStart"/>
      <w:r w:rsidR="00BA2903">
        <w:t>Milliron</w:t>
      </w:r>
      <w:proofErr w:type="spellEnd"/>
      <w:r w:rsidR="00BA2903">
        <w:t xml:space="preserve"> et al. (2014) </w:t>
      </w:r>
      <w:r w:rsidR="00561468">
        <w:t xml:space="preserve">implemented </w:t>
      </w:r>
      <w:r w:rsidR="00064DF5">
        <w:t xml:space="preserve">an example of </w:t>
      </w:r>
      <w:r w:rsidR="00561468">
        <w:t>A/B testing</w:t>
      </w:r>
      <w:r w:rsidR="00064DF5">
        <w:t xml:space="preserve">, finding </w:t>
      </w:r>
      <w:r w:rsidR="007C72F2">
        <w:t xml:space="preserve">that </w:t>
      </w:r>
      <w:r w:rsidR="00064DF5">
        <w:t>students at-risk of failure</w:t>
      </w:r>
      <w:r w:rsidR="0032691A">
        <w:t xml:space="preserve"> who received </w:t>
      </w:r>
      <w:r w:rsidR="008607AF">
        <w:t xml:space="preserve">a </w:t>
      </w:r>
      <w:r w:rsidR="00772F4B">
        <w:t>phone or email intervention were 3.21</w:t>
      </w:r>
      <w:r w:rsidR="00D75B5F">
        <w:t xml:space="preserve">%—7.62% more likely </w:t>
      </w:r>
      <w:r w:rsidR="00F459BD">
        <w:t xml:space="preserve">to remain enrolled </w:t>
      </w:r>
      <w:r w:rsidR="00985AAC">
        <w:t>than</w:t>
      </w:r>
      <w:r w:rsidR="00F459BD">
        <w:t xml:space="preserve"> </w:t>
      </w:r>
      <w:r w:rsidR="00064DF5">
        <w:t xml:space="preserve">students in </w:t>
      </w:r>
      <w:r w:rsidR="00985AAC">
        <w:t>the</w:t>
      </w:r>
      <w:r w:rsidR="00F459BD">
        <w:t xml:space="preserve"> control grou</w:t>
      </w:r>
      <w:r w:rsidR="00561468">
        <w:t>p</w:t>
      </w:r>
      <w:r w:rsidR="00F459BD">
        <w:t xml:space="preserve">.  Nelson </w:t>
      </w:r>
      <w:r w:rsidR="00C922EE">
        <w:t xml:space="preserve">(2018) recommends </w:t>
      </w:r>
      <w:r w:rsidR="00F51487">
        <w:t xml:space="preserve">having a control group </w:t>
      </w:r>
      <w:r w:rsidR="006C2D8C">
        <w:t>when</w:t>
      </w:r>
      <w:r w:rsidR="00F51487">
        <w:t xml:space="preserve"> possible. </w:t>
      </w:r>
      <w:r w:rsidR="00715D4D">
        <w:t xml:space="preserve">Notably, </w:t>
      </w:r>
      <w:proofErr w:type="spellStart"/>
      <w:r w:rsidR="006C2D8C">
        <w:t>Milliron</w:t>
      </w:r>
      <w:proofErr w:type="spellEnd"/>
      <w:r w:rsidR="006C2D8C">
        <w:t xml:space="preserve"> et al.</w:t>
      </w:r>
      <w:r w:rsidR="00715D4D">
        <w:t xml:space="preserve"> also found that phone calls were more effective for early-term students, while email was more effective for students with 10+ terms at the institution.  </w:t>
      </w:r>
      <w:r w:rsidR="0034047D">
        <w:t>In the last phase of probl</w:t>
      </w:r>
      <w:r w:rsidR="00AB5D30">
        <w:t xml:space="preserve">em framing, </w:t>
      </w:r>
      <w:r w:rsidR="00AB5D30">
        <w:rPr>
          <w:i/>
          <w:iCs/>
        </w:rPr>
        <w:t xml:space="preserve">Business Case </w:t>
      </w:r>
      <w:proofErr w:type="spellStart"/>
      <w:r w:rsidR="00AB5D30">
        <w:rPr>
          <w:i/>
          <w:iCs/>
        </w:rPr>
        <w:t>Prioritisation</w:t>
      </w:r>
      <w:proofErr w:type="spellEnd"/>
      <w:r w:rsidR="00AB5D30">
        <w:rPr>
          <w:i/>
          <w:iCs/>
        </w:rPr>
        <w:t xml:space="preserve">, </w:t>
      </w:r>
      <w:r w:rsidR="00715D4D">
        <w:t>Nelson suggests a</w:t>
      </w:r>
      <w:r w:rsidR="00AB5D30">
        <w:t xml:space="preserve"> project prioritization matrix to assess the importance</w:t>
      </w:r>
      <w:r w:rsidR="006C2D8C">
        <w:t xml:space="preserve"> </w:t>
      </w:r>
      <w:r w:rsidR="001223E5">
        <w:t xml:space="preserve">of solving </w:t>
      </w:r>
      <w:r w:rsidR="00715D4D">
        <w:t>a</w:t>
      </w:r>
      <w:r w:rsidR="001223E5">
        <w:t xml:space="preserve"> problem.  </w:t>
      </w:r>
      <w:r w:rsidR="005B07FD">
        <w:t>In this step, we create t</w:t>
      </w:r>
      <w:r w:rsidR="001223E5">
        <w:t xml:space="preserve">he </w:t>
      </w:r>
      <w:r w:rsidR="001223E5">
        <w:rPr>
          <w:b/>
          <w:bCs/>
        </w:rPr>
        <w:t>business case</w:t>
      </w:r>
      <w:r w:rsidR="005B07FD" w:rsidRPr="005B07FD">
        <w:t>,</w:t>
      </w:r>
      <w:r w:rsidR="005B07FD">
        <w:rPr>
          <w:b/>
          <w:bCs/>
        </w:rPr>
        <w:t xml:space="preserve"> </w:t>
      </w:r>
      <w:r w:rsidR="005B07FD" w:rsidRPr="005B07FD">
        <w:t>which</w:t>
      </w:r>
      <w:r w:rsidR="001223E5">
        <w:rPr>
          <w:b/>
          <w:bCs/>
        </w:rPr>
        <w:t xml:space="preserve"> </w:t>
      </w:r>
      <w:r w:rsidR="001223E5">
        <w:t xml:space="preserve">is </w:t>
      </w:r>
      <w:r w:rsidR="00B40A98">
        <w:t>a justification for the proposed project according to its expected benefit</w:t>
      </w:r>
      <w:r w:rsidR="00FF7421">
        <w:t>s</w:t>
      </w:r>
      <w:r w:rsidR="00B40A98">
        <w:t xml:space="preserve"> and describes what the project does and how it impacts </w:t>
      </w:r>
      <w:r w:rsidR="00386CC6">
        <w:t>the organization’s</w:t>
      </w:r>
      <w:r w:rsidR="00F538F9">
        <w:t xml:space="preserve"> strategic business objectives</w:t>
      </w:r>
      <w:r w:rsidR="00B40A98">
        <w:t>.</w:t>
      </w:r>
    </w:p>
    <w:p w14:paraId="137B9A15" w14:textId="77777777" w:rsidR="008208D9" w:rsidRDefault="008208D9" w:rsidP="008208D9">
      <w:pPr>
        <w:spacing w:after="0" w:line="480" w:lineRule="auto"/>
        <w:rPr>
          <w:rStyle w:val="fnt0"/>
          <w:rFonts w:cs="Times New Roman"/>
          <w:b/>
          <w:bCs/>
          <w:szCs w:val="24"/>
        </w:rPr>
      </w:pPr>
      <w:r>
        <w:rPr>
          <w:rStyle w:val="fnt0"/>
          <w:rFonts w:cs="Times New Roman"/>
          <w:b/>
          <w:bCs/>
          <w:szCs w:val="24"/>
        </w:rPr>
        <w:t>Data Sensemaking</w:t>
      </w:r>
    </w:p>
    <w:p w14:paraId="343DA21C" w14:textId="77777777" w:rsidR="00CA3EC1" w:rsidRDefault="008208D9" w:rsidP="008208D9">
      <w:pPr>
        <w:spacing w:after="0" w:line="480" w:lineRule="auto"/>
        <w:ind w:firstLine="720"/>
      </w:pPr>
      <w:proofErr w:type="gramStart"/>
      <w:r>
        <w:rPr>
          <w:rStyle w:val="fnt0"/>
          <w:rFonts w:cs="Times New Roman"/>
          <w:szCs w:val="24"/>
        </w:rPr>
        <w:t>Referring back</w:t>
      </w:r>
      <w:proofErr w:type="gramEnd"/>
      <w:r>
        <w:rPr>
          <w:rStyle w:val="fnt0"/>
          <w:rFonts w:cs="Times New Roman"/>
          <w:szCs w:val="24"/>
        </w:rPr>
        <w:t xml:space="preserve"> to Table 11.1 of the text, Institution A’s biggest challenge in the data sensemaking </w:t>
      </w:r>
      <w:r w:rsidR="00FF7421">
        <w:rPr>
          <w:rStyle w:val="fnt0"/>
          <w:rFonts w:cs="Times New Roman"/>
          <w:szCs w:val="24"/>
        </w:rPr>
        <w:t xml:space="preserve">stage </w:t>
      </w:r>
      <w:r>
        <w:rPr>
          <w:rStyle w:val="fnt0"/>
          <w:rFonts w:cs="Times New Roman"/>
          <w:szCs w:val="24"/>
        </w:rPr>
        <w:t xml:space="preserve">relates to efficiency and utilizing the most appropriate technology to eliminate waste and avoid redundancy (Nelson, 2018).  Nelson (2018) divides this best practice area into four </w:t>
      </w:r>
      <w:r w:rsidR="00E929BA">
        <w:rPr>
          <w:rStyle w:val="fnt0"/>
          <w:rFonts w:cs="Times New Roman"/>
          <w:szCs w:val="24"/>
        </w:rPr>
        <w:t>processes</w:t>
      </w:r>
      <w:r>
        <w:rPr>
          <w:rStyle w:val="fnt0"/>
          <w:rFonts w:cs="Times New Roman"/>
          <w:szCs w:val="24"/>
        </w:rPr>
        <w:t xml:space="preserve"> (a) </w:t>
      </w:r>
      <w:r w:rsidRPr="00E929BA">
        <w:rPr>
          <w:rStyle w:val="fnt0"/>
          <w:rFonts w:cs="Times New Roman"/>
          <w:i/>
          <w:iCs/>
          <w:szCs w:val="24"/>
        </w:rPr>
        <w:t>data identification and prioritization</w:t>
      </w:r>
      <w:r>
        <w:rPr>
          <w:rStyle w:val="fnt0"/>
          <w:rFonts w:cs="Times New Roman"/>
          <w:szCs w:val="24"/>
        </w:rPr>
        <w:t xml:space="preserve">, (b) </w:t>
      </w:r>
      <w:r w:rsidRPr="00E929BA">
        <w:rPr>
          <w:rStyle w:val="fnt0"/>
          <w:rFonts w:cs="Times New Roman"/>
          <w:i/>
          <w:iCs/>
          <w:szCs w:val="24"/>
        </w:rPr>
        <w:t xml:space="preserve">data collection and </w:t>
      </w:r>
      <w:r w:rsidRPr="00E929BA">
        <w:rPr>
          <w:rStyle w:val="fnt0"/>
          <w:rFonts w:cs="Times New Roman"/>
          <w:i/>
          <w:iCs/>
          <w:szCs w:val="24"/>
        </w:rPr>
        <w:lastRenderedPageBreak/>
        <w:t>preparation</w:t>
      </w:r>
      <w:r>
        <w:rPr>
          <w:rStyle w:val="fnt0"/>
          <w:rFonts w:cs="Times New Roman"/>
          <w:szCs w:val="24"/>
        </w:rPr>
        <w:t xml:space="preserve">, (c) </w:t>
      </w:r>
      <w:r w:rsidRPr="00E929BA">
        <w:rPr>
          <w:rStyle w:val="fnt0"/>
          <w:rFonts w:cs="Times New Roman"/>
          <w:i/>
          <w:iCs/>
          <w:szCs w:val="24"/>
        </w:rPr>
        <w:t>data profiling and characterization</w:t>
      </w:r>
      <w:r>
        <w:rPr>
          <w:rStyle w:val="fnt0"/>
          <w:rFonts w:cs="Times New Roman"/>
          <w:szCs w:val="24"/>
        </w:rPr>
        <w:t xml:space="preserve">, and (d) </w:t>
      </w:r>
      <w:r w:rsidRPr="00E929BA">
        <w:rPr>
          <w:rStyle w:val="fnt0"/>
          <w:rFonts w:cs="Times New Roman"/>
          <w:i/>
          <w:iCs/>
          <w:szCs w:val="24"/>
        </w:rPr>
        <w:t>visual exploration</w:t>
      </w:r>
      <w:r>
        <w:rPr>
          <w:rStyle w:val="fnt0"/>
          <w:rFonts w:cs="Times New Roman"/>
          <w:szCs w:val="24"/>
        </w:rPr>
        <w:t xml:space="preserve">.  </w:t>
      </w:r>
      <w:r w:rsidR="00E929BA">
        <w:rPr>
          <w:rStyle w:val="fnt0"/>
          <w:rFonts w:cs="Times New Roman"/>
          <w:szCs w:val="24"/>
        </w:rPr>
        <w:t xml:space="preserve">In </w:t>
      </w:r>
      <w:r w:rsidR="00DD2BE7">
        <w:rPr>
          <w:rStyle w:val="fnt0"/>
          <w:rFonts w:cs="Times New Roman"/>
          <w:i/>
          <w:iCs/>
          <w:szCs w:val="24"/>
        </w:rPr>
        <w:t>data identification and prioritization,</w:t>
      </w:r>
      <w:r w:rsidR="00DD2BE7">
        <w:t xml:space="preserve"> Nelson suggests mocking up the data if it is not readily avail</w:t>
      </w:r>
      <w:r w:rsidR="00F24C40">
        <w:t>able</w:t>
      </w:r>
      <w:r w:rsidR="008A0A96">
        <w:t xml:space="preserve"> to aid in testing its utility</w:t>
      </w:r>
      <w:r w:rsidR="00F24C40">
        <w:t>.</w:t>
      </w:r>
      <w:r w:rsidR="0066056A">
        <w:t xml:space="preserve">  Institution A </w:t>
      </w:r>
      <w:r w:rsidR="00AF3180">
        <w:t>can</w:t>
      </w:r>
      <w:r w:rsidR="00AA23CE">
        <w:t xml:space="preserve"> </w:t>
      </w:r>
      <w:r w:rsidR="00AF3180">
        <w:t>access its</w:t>
      </w:r>
      <w:r w:rsidR="00AA23CE">
        <w:t xml:space="preserve"> data warehouse </w:t>
      </w:r>
      <w:r w:rsidR="00627F1C">
        <w:t xml:space="preserve">via web-based tools </w:t>
      </w:r>
      <w:r w:rsidR="00AA23CE">
        <w:t>but could benefit from updated technology</w:t>
      </w:r>
      <w:r w:rsidR="005F1B7E">
        <w:t xml:space="preserve">, as it relies primarily on Excel.  </w:t>
      </w:r>
      <w:r w:rsidR="00A734DF">
        <w:t xml:space="preserve">For instance, </w:t>
      </w:r>
      <w:r w:rsidR="00573512">
        <w:t xml:space="preserve">three case studies conducted by </w:t>
      </w:r>
      <w:proofErr w:type="spellStart"/>
      <w:r w:rsidR="00573512">
        <w:t>Milliron</w:t>
      </w:r>
      <w:proofErr w:type="spellEnd"/>
      <w:r w:rsidR="00573512">
        <w:t xml:space="preserve"> et al. (2014) </w:t>
      </w:r>
      <w:r w:rsidR="00B50C7D">
        <w:t xml:space="preserve">utilized both </w:t>
      </w:r>
      <w:r w:rsidR="008E0DCC">
        <w:t>Civitas Learning</w:t>
      </w:r>
      <w:r w:rsidR="00814B28">
        <w:t>’s</w:t>
      </w:r>
      <w:r w:rsidR="008E0DCC">
        <w:t xml:space="preserve"> </w:t>
      </w:r>
      <w:r w:rsidR="00B50C7D">
        <w:t>Illu</w:t>
      </w:r>
      <w:r w:rsidR="00B33A31">
        <w:t xml:space="preserve">me software, which </w:t>
      </w:r>
      <w:r w:rsidR="00652524">
        <w:t>is a predictive analytics platform</w:t>
      </w:r>
      <w:r w:rsidR="006C569A">
        <w:t xml:space="preserve">, </w:t>
      </w:r>
      <w:r w:rsidR="00652524">
        <w:t xml:space="preserve">and </w:t>
      </w:r>
      <w:r w:rsidR="003E1E81">
        <w:t xml:space="preserve">its Inspire application, </w:t>
      </w:r>
      <w:r w:rsidR="005D7BAE">
        <w:t>which</w:t>
      </w:r>
      <w:r w:rsidR="00591CDB">
        <w:t xml:space="preserve"> is an action analytics application that </w:t>
      </w:r>
      <w:r w:rsidR="001109F1">
        <w:t xml:space="preserve">uses design thinking to leverage insight analytics </w:t>
      </w:r>
      <w:r w:rsidR="000F4FC6">
        <w:t xml:space="preserve">in easy to consume formats for administrators.  </w:t>
      </w:r>
      <w:r w:rsidR="00A05720">
        <w:t xml:space="preserve">The utilization of both these </w:t>
      </w:r>
      <w:r w:rsidR="0095784E">
        <w:t xml:space="preserve">applications allowed </w:t>
      </w:r>
      <w:proofErr w:type="spellStart"/>
      <w:r w:rsidR="0095784E">
        <w:t>Milliron</w:t>
      </w:r>
      <w:proofErr w:type="spellEnd"/>
      <w:r w:rsidR="0095784E">
        <w:t xml:space="preserve"> et al. to conduct their case studies in three </w:t>
      </w:r>
      <w:r w:rsidR="00B239C9">
        <w:t>different</w:t>
      </w:r>
      <w:r w:rsidR="0095784E">
        <w:t xml:space="preserve"> universities </w:t>
      </w:r>
      <w:r w:rsidR="00B239C9">
        <w:t>more efficiently.</w:t>
      </w:r>
      <w:r w:rsidR="0072452D">
        <w:t xml:space="preserve">  Updated software would also help in the </w:t>
      </w:r>
      <w:r w:rsidR="0072452D">
        <w:rPr>
          <w:i/>
          <w:iCs/>
        </w:rPr>
        <w:t xml:space="preserve">data collection and preparation </w:t>
      </w:r>
      <w:r w:rsidR="0072452D">
        <w:t xml:space="preserve">phase, </w:t>
      </w:r>
      <w:r w:rsidR="001940FC">
        <w:t xml:space="preserve">where we use </w:t>
      </w:r>
      <w:r w:rsidR="00DE79C7">
        <w:rPr>
          <w:b/>
          <w:bCs/>
        </w:rPr>
        <w:t xml:space="preserve">data integration </w:t>
      </w:r>
      <w:r w:rsidR="00DE79C7">
        <w:t xml:space="preserve">tools to extract, transform, and process data for analytics.  Nelson also suggests implementing </w:t>
      </w:r>
      <w:r w:rsidR="003167EC">
        <w:t xml:space="preserve">a </w:t>
      </w:r>
      <w:r w:rsidR="003167EC">
        <w:rPr>
          <w:b/>
          <w:bCs/>
        </w:rPr>
        <w:t xml:space="preserve">sandbox </w:t>
      </w:r>
      <w:r w:rsidR="003167EC">
        <w:t xml:space="preserve">environment </w:t>
      </w:r>
      <w:r w:rsidR="00BF6B94">
        <w:t xml:space="preserve">to </w:t>
      </w:r>
      <w:r w:rsidR="00994F0A">
        <w:t xml:space="preserve">help with computationally expensive </w:t>
      </w:r>
      <w:r w:rsidR="00131ACB">
        <w:t>transformations.</w:t>
      </w:r>
      <w:r w:rsidR="00476295">
        <w:t xml:space="preserve">  </w:t>
      </w:r>
      <w:r w:rsidR="00476295">
        <w:rPr>
          <w:b/>
          <w:bCs/>
        </w:rPr>
        <w:t xml:space="preserve">Source-to-target mapping </w:t>
      </w:r>
      <w:r w:rsidR="00476295">
        <w:t xml:space="preserve">will aid in documenting </w:t>
      </w:r>
      <w:r w:rsidR="00E522F6">
        <w:t xml:space="preserve">the necessary data transformations.  </w:t>
      </w:r>
    </w:p>
    <w:p w14:paraId="660894A7" w14:textId="3C9FA194" w:rsidR="00E929BA" w:rsidRPr="00CC71BE" w:rsidRDefault="00A642F8" w:rsidP="008208D9">
      <w:pPr>
        <w:spacing w:after="0" w:line="480" w:lineRule="auto"/>
        <w:ind w:firstLine="720"/>
      </w:pPr>
      <w:r>
        <w:t>New technologies could also aid Institu</w:t>
      </w:r>
      <w:r w:rsidR="00DE10FF">
        <w:t>t</w:t>
      </w:r>
      <w:r>
        <w:t xml:space="preserve">ion A in the </w:t>
      </w:r>
      <w:r w:rsidR="00DE10FF">
        <w:rPr>
          <w:i/>
          <w:iCs/>
        </w:rPr>
        <w:t>data profiling and characteriz</w:t>
      </w:r>
      <w:r w:rsidR="004341F1">
        <w:rPr>
          <w:i/>
          <w:iCs/>
        </w:rPr>
        <w:t>at</w:t>
      </w:r>
      <w:r w:rsidR="00DE10FF">
        <w:rPr>
          <w:i/>
          <w:iCs/>
        </w:rPr>
        <w:t xml:space="preserve">ion </w:t>
      </w:r>
      <w:r w:rsidR="00DE10FF">
        <w:t>phase, where we explore the data</w:t>
      </w:r>
      <w:r w:rsidR="004341F1">
        <w:t xml:space="preserve"> and its patterns</w:t>
      </w:r>
      <w:r w:rsidR="00B62D85">
        <w:t xml:space="preserve">, </w:t>
      </w:r>
      <w:r w:rsidR="00CA0F9D">
        <w:t>examining the technical a</w:t>
      </w:r>
      <w:r w:rsidR="00A436EF">
        <w:t>nd</w:t>
      </w:r>
      <w:r w:rsidR="00CA0F9D">
        <w:t xml:space="preserve"> business quality.  </w:t>
      </w:r>
      <w:r w:rsidR="00A436EF">
        <w:rPr>
          <w:i/>
          <w:iCs/>
        </w:rPr>
        <w:t xml:space="preserve">Technical quality </w:t>
      </w:r>
      <w:r w:rsidR="00A436EF">
        <w:t xml:space="preserve">refers to concepts like invalid or missing data, whereas </w:t>
      </w:r>
      <w:r w:rsidR="00A436EF" w:rsidRPr="00467608">
        <w:rPr>
          <w:i/>
          <w:iCs/>
        </w:rPr>
        <w:t xml:space="preserve">business quality </w:t>
      </w:r>
      <w:r w:rsidR="001A509C">
        <w:t xml:space="preserve">encompasses </w:t>
      </w:r>
      <w:r w:rsidR="00867462">
        <w:t xml:space="preserve">concepts like </w:t>
      </w:r>
      <w:r w:rsidR="00D372C1">
        <w:t>relevance and completeness.</w:t>
      </w:r>
      <w:r w:rsidR="00CA3EC1">
        <w:t xml:space="preserve">  When we </w:t>
      </w:r>
      <w:r w:rsidR="00E412F3">
        <w:t xml:space="preserve">characterize the data, </w:t>
      </w:r>
      <w:r w:rsidR="003D6AE9">
        <w:t xml:space="preserve">if seeking to </w:t>
      </w:r>
      <w:r w:rsidR="00374898">
        <w:t xml:space="preserve">understand a relationship between two or more variables, we classify them into </w:t>
      </w:r>
      <w:r w:rsidR="00C26149">
        <w:t xml:space="preserve">the </w:t>
      </w:r>
      <w:r w:rsidR="00374898">
        <w:rPr>
          <w:b/>
          <w:bCs/>
        </w:rPr>
        <w:t xml:space="preserve">response </w:t>
      </w:r>
      <w:r w:rsidR="00374898" w:rsidRPr="00541070">
        <w:t>(</w:t>
      </w:r>
      <w:r w:rsidR="00B028E1" w:rsidRPr="00B028E1">
        <w:rPr>
          <w:bCs/>
        </w:rPr>
        <w:t>e.g., outcom</w:t>
      </w:r>
      <w:r w:rsidR="00B028E1">
        <w:rPr>
          <w:bCs/>
        </w:rPr>
        <w:t xml:space="preserve">e) </w:t>
      </w:r>
      <w:r w:rsidR="00374898">
        <w:t xml:space="preserve">and </w:t>
      </w:r>
      <w:r w:rsidR="00374898">
        <w:rPr>
          <w:b/>
          <w:bCs/>
        </w:rPr>
        <w:t>explanatory</w:t>
      </w:r>
      <w:r w:rsidR="00B028E1">
        <w:rPr>
          <w:b/>
          <w:bCs/>
        </w:rPr>
        <w:t xml:space="preserve"> </w:t>
      </w:r>
      <w:r w:rsidR="00B028E1">
        <w:t>(e.g., predictor)</w:t>
      </w:r>
      <w:r w:rsidR="00374898">
        <w:rPr>
          <w:b/>
          <w:bCs/>
        </w:rPr>
        <w:t xml:space="preserve"> </w:t>
      </w:r>
      <w:r w:rsidR="00374898">
        <w:t>variables</w:t>
      </w:r>
      <w:r w:rsidR="00C26149">
        <w:t>.</w:t>
      </w:r>
      <w:r w:rsidR="00E76816">
        <w:t xml:space="preserve">  For instance, the </w:t>
      </w:r>
      <w:r w:rsidR="000173EE">
        <w:t xml:space="preserve">Student Probability Model (SPM) implemented by the Open University UK (OU) predicts </w:t>
      </w:r>
      <w:r w:rsidR="007864AD">
        <w:t>whether students will reach specific milestones based on explanatory factors</w:t>
      </w:r>
      <w:r w:rsidR="00354816">
        <w:t>,</w:t>
      </w:r>
      <w:r w:rsidR="007864AD">
        <w:t xml:space="preserve"> including </w:t>
      </w:r>
      <w:r w:rsidR="002044A4">
        <w:t xml:space="preserve">the number of fails and total credits </w:t>
      </w:r>
      <w:r w:rsidR="001C59C3">
        <w:t>(</w:t>
      </w:r>
      <w:proofErr w:type="spellStart"/>
      <w:r w:rsidR="001C59C3">
        <w:t>Herodotou</w:t>
      </w:r>
      <w:proofErr w:type="spellEnd"/>
      <w:r w:rsidR="001C59C3">
        <w:t xml:space="preserve"> et al., 2019)</w:t>
      </w:r>
      <w:r w:rsidR="001C59C3">
        <w:t>.</w:t>
      </w:r>
      <w:r w:rsidR="00E03EB1">
        <w:t xml:space="preserve">  Lastly, in </w:t>
      </w:r>
      <w:r w:rsidR="00E03EB1">
        <w:rPr>
          <w:i/>
          <w:iCs/>
        </w:rPr>
        <w:t>visual exploration</w:t>
      </w:r>
      <w:r w:rsidR="00CC71BE">
        <w:rPr>
          <w:i/>
          <w:iCs/>
        </w:rPr>
        <w:t>,</w:t>
      </w:r>
      <w:r w:rsidR="0071371C">
        <w:t xml:space="preserve"> </w:t>
      </w:r>
      <w:r w:rsidR="00CC71BE">
        <w:t xml:space="preserve">we use </w:t>
      </w:r>
      <w:r w:rsidR="008B01C9">
        <w:rPr>
          <w:b/>
          <w:bCs/>
        </w:rPr>
        <w:t>v</w:t>
      </w:r>
      <w:r w:rsidR="00CC71BE">
        <w:rPr>
          <w:b/>
          <w:bCs/>
        </w:rPr>
        <w:t>isual data discovery</w:t>
      </w:r>
      <w:r w:rsidR="00CC71BE">
        <w:t xml:space="preserve"> to </w:t>
      </w:r>
      <w:r w:rsidR="008B01C9">
        <w:t>find patterns in the data set.</w:t>
      </w:r>
    </w:p>
    <w:p w14:paraId="75F1D796" w14:textId="341CD98A" w:rsidR="00E929BA" w:rsidRDefault="005C7803" w:rsidP="005C7803">
      <w:pPr>
        <w:spacing w:after="0" w:line="480" w:lineRule="auto"/>
        <w:rPr>
          <w:rStyle w:val="fnt0"/>
          <w:rFonts w:cs="Times New Roman"/>
          <w:b/>
          <w:bCs/>
          <w:szCs w:val="24"/>
        </w:rPr>
      </w:pPr>
      <w:r>
        <w:rPr>
          <w:rStyle w:val="fnt0"/>
          <w:rFonts w:cs="Times New Roman"/>
          <w:b/>
          <w:bCs/>
          <w:szCs w:val="24"/>
        </w:rPr>
        <w:lastRenderedPageBreak/>
        <w:t>Analytics Model Development</w:t>
      </w:r>
    </w:p>
    <w:p w14:paraId="5A97A147" w14:textId="77777777" w:rsidR="00D87030" w:rsidRDefault="00805860" w:rsidP="004462C2">
      <w:pPr>
        <w:spacing w:after="0" w:line="480" w:lineRule="auto"/>
        <w:ind w:firstLine="720"/>
      </w:pPr>
      <w:r>
        <w:rPr>
          <w:rStyle w:val="fnt0"/>
          <w:rFonts w:cs="Times New Roman"/>
          <w:szCs w:val="24"/>
        </w:rPr>
        <w:t xml:space="preserve">In </w:t>
      </w:r>
      <w:r>
        <w:rPr>
          <w:rStyle w:val="fnt0"/>
          <w:rFonts w:cs="Times New Roman"/>
          <w:i/>
          <w:iCs/>
          <w:szCs w:val="24"/>
        </w:rPr>
        <w:t>Analytics Model Development,</w:t>
      </w:r>
      <w:r>
        <w:t xml:space="preserve"> Nelson (2018) covers a broad range of topics</w:t>
      </w:r>
      <w:r w:rsidR="0004364B">
        <w:t>, dividing this best practice</w:t>
      </w:r>
      <w:r w:rsidR="00140B26">
        <w:t xml:space="preserve"> area into four processes: (a) </w:t>
      </w:r>
      <w:r w:rsidR="00140B26">
        <w:rPr>
          <w:i/>
          <w:iCs/>
        </w:rPr>
        <w:t xml:space="preserve">making comparisons, </w:t>
      </w:r>
      <w:r w:rsidR="00140B26">
        <w:t xml:space="preserve">(b) </w:t>
      </w:r>
      <w:r w:rsidR="00140B26">
        <w:rPr>
          <w:i/>
          <w:iCs/>
        </w:rPr>
        <w:t xml:space="preserve">measuring associations, </w:t>
      </w:r>
      <w:r w:rsidR="00140B26">
        <w:t xml:space="preserve">(c) </w:t>
      </w:r>
      <w:r w:rsidR="00140B26">
        <w:rPr>
          <w:i/>
          <w:iCs/>
        </w:rPr>
        <w:t xml:space="preserve">making predictions, </w:t>
      </w:r>
      <w:r w:rsidR="00140B26">
        <w:t xml:space="preserve">(d) </w:t>
      </w:r>
      <w:r w:rsidR="00DB4FCB" w:rsidRPr="00DB4FCB">
        <w:rPr>
          <w:i/>
          <w:iCs/>
        </w:rPr>
        <w:t>detecting patterns</w:t>
      </w:r>
      <w:r w:rsidR="00DB4FCB">
        <w:rPr>
          <w:i/>
          <w:iCs/>
        </w:rPr>
        <w:t xml:space="preserve">.  </w:t>
      </w:r>
      <w:r w:rsidR="0094549F">
        <w:t>When referring to</w:t>
      </w:r>
      <w:r w:rsidR="00086BAD">
        <w:t xml:space="preserve"> </w:t>
      </w:r>
      <w:r w:rsidR="0006065A">
        <w:t>T</w:t>
      </w:r>
      <w:r w:rsidR="00086BAD">
        <w:t>able 11.1</w:t>
      </w:r>
      <w:r w:rsidR="00763FEE">
        <w:t>,</w:t>
      </w:r>
      <w:r w:rsidR="000645B3">
        <w:t xml:space="preserve"> one-way</w:t>
      </w:r>
      <w:r w:rsidR="0094549F">
        <w:t xml:space="preserve"> Institution A could improve its effectiveness in this area</w:t>
      </w:r>
      <w:r w:rsidR="00D07B11">
        <w:t xml:space="preserve"> is</w:t>
      </w:r>
      <w:r w:rsidR="0094549F">
        <w:t xml:space="preserve"> by </w:t>
      </w:r>
      <w:r w:rsidR="00763FEE">
        <w:t>testing hypotheses for their validity</w:t>
      </w:r>
      <w:r w:rsidR="000645B3">
        <w:t>.</w:t>
      </w:r>
      <w:r w:rsidR="00D07B11">
        <w:t xml:space="preserve">  Nelson describes making compari</w:t>
      </w:r>
      <w:r w:rsidR="00C412B6">
        <w:t>so</w:t>
      </w:r>
      <w:r w:rsidR="00D07B11">
        <w:t xml:space="preserve">ns as one of the most </w:t>
      </w:r>
      <w:r w:rsidR="00C412B6">
        <w:t>common activities in analytics.</w:t>
      </w:r>
      <w:r w:rsidR="00121492">
        <w:t xml:space="preserve">  In this area, </w:t>
      </w:r>
      <w:r w:rsidR="00F41F4F">
        <w:t>we may use statist</w:t>
      </w:r>
      <w:r w:rsidR="006643B9">
        <w:t xml:space="preserve">ical tests such as the F-test or T-test to compare differences between </w:t>
      </w:r>
      <w:r w:rsidR="00AC5610">
        <w:t xml:space="preserve">means or variances.  However, when doing so, </w:t>
      </w:r>
      <w:r w:rsidR="001C5D3D">
        <w:t>it is important to state our null</w:t>
      </w:r>
      <w:r w:rsidR="007F7F70">
        <w:t xml:space="preserve"> and alternative hypotheses</w:t>
      </w:r>
      <w:r w:rsidR="00915829">
        <w:t>.  Then, we check if our data provide evidence against the null hypothesis.</w:t>
      </w:r>
      <w:r w:rsidR="00F04A14">
        <w:t xml:space="preserve">  </w:t>
      </w:r>
      <w:r w:rsidR="008603AA">
        <w:t xml:space="preserve">For instance, </w:t>
      </w:r>
      <w:proofErr w:type="spellStart"/>
      <w:r w:rsidR="008603AA">
        <w:t>Milliron</w:t>
      </w:r>
      <w:proofErr w:type="spellEnd"/>
      <w:r w:rsidR="008603AA">
        <w:t xml:space="preserve"> et al. (2014) found that</w:t>
      </w:r>
      <w:r w:rsidR="00D964FC">
        <w:t xml:space="preserve"> 3% more students completed their courses when receiving</w:t>
      </w:r>
      <w:r w:rsidR="00D61CA8">
        <w:t xml:space="preserve"> </w:t>
      </w:r>
      <w:r w:rsidR="008603AA">
        <w:t>LA interventions</w:t>
      </w:r>
      <w:r w:rsidR="00B24BA5">
        <w:t xml:space="preserve"> </w:t>
      </w:r>
      <w:r w:rsidR="009D6925">
        <w:t>compared to those who did not</w:t>
      </w:r>
      <w:r w:rsidR="00161E03">
        <w:t>.</w:t>
      </w:r>
      <w:r w:rsidR="00E002BC">
        <w:t xml:space="preserve">  </w:t>
      </w:r>
      <w:r w:rsidR="00D964FC">
        <w:t xml:space="preserve">The results were statistically significant.  </w:t>
      </w:r>
    </w:p>
    <w:p w14:paraId="73F93FE4" w14:textId="77777777" w:rsidR="000D619B" w:rsidRDefault="003C6DA0" w:rsidP="004462C2">
      <w:pPr>
        <w:spacing w:after="0" w:line="480" w:lineRule="auto"/>
        <w:ind w:firstLine="720"/>
      </w:pPr>
      <w:r>
        <w:t xml:space="preserve">The same </w:t>
      </w:r>
      <w:r w:rsidR="00E002BC">
        <w:t>concepts apply</w:t>
      </w:r>
      <w:r>
        <w:t xml:space="preserve"> </w:t>
      </w:r>
      <w:r w:rsidR="00E002BC">
        <w:t>in</w:t>
      </w:r>
      <w:r>
        <w:t xml:space="preserve"> the process area</w:t>
      </w:r>
      <w:r w:rsidR="004E4170">
        <w:t xml:space="preserve"> of </w:t>
      </w:r>
      <w:r w:rsidR="004E4170" w:rsidRPr="004E4170">
        <w:rPr>
          <w:i/>
          <w:iCs/>
        </w:rPr>
        <w:t>measuring associations</w:t>
      </w:r>
      <w:r>
        <w:t xml:space="preserve">.  </w:t>
      </w:r>
      <w:r w:rsidR="006839B4">
        <w:t>F</w:t>
      </w:r>
      <w:r w:rsidR="004736EB">
        <w:t>or instance, Fritz (2011)</w:t>
      </w:r>
      <w:r w:rsidR="006839B4">
        <w:t xml:space="preserve"> hypothes</w:t>
      </w:r>
      <w:r w:rsidR="00610C2F">
        <w:t xml:space="preserve">ized </w:t>
      </w:r>
      <w:r w:rsidR="003A0E0F">
        <w:t xml:space="preserve">that </w:t>
      </w:r>
      <w:r w:rsidR="00D73F62">
        <w:t xml:space="preserve">students more active </w:t>
      </w:r>
      <w:r w:rsidR="00E27F62">
        <w:t>i</w:t>
      </w:r>
      <w:r w:rsidR="00D73F62">
        <w:t>n the</w:t>
      </w:r>
      <w:r w:rsidR="002E5E19">
        <w:t xml:space="preserve"> course management system (CMS) at the</w:t>
      </w:r>
      <w:r w:rsidR="00D73F62">
        <w:t xml:space="preserve"> </w:t>
      </w:r>
      <w:r w:rsidR="002D4E93">
        <w:t>University of Baltimore</w:t>
      </w:r>
      <w:r w:rsidR="00DE519A">
        <w:t>, Maryland’s would receive higher grades.</w:t>
      </w:r>
      <w:r w:rsidR="00FF6914">
        <w:t xml:space="preserve">  Results indicated a positive correlation between grades and online activity.</w:t>
      </w:r>
      <w:r w:rsidR="00841DBC">
        <w:t xml:space="preserve">  Students who earned a D or F used t</w:t>
      </w:r>
      <w:r w:rsidR="002F7C09">
        <w:t xml:space="preserve">he CMS 39% less than students receiving a C grade or higher. </w:t>
      </w:r>
      <w:r w:rsidR="0021754A">
        <w:t xml:space="preserve"> </w:t>
      </w:r>
      <w:r w:rsidR="0021754A">
        <w:rPr>
          <w:i/>
          <w:iCs/>
        </w:rPr>
        <w:t xml:space="preserve">Making predictions </w:t>
      </w:r>
      <w:r w:rsidR="0021754A">
        <w:t xml:space="preserve">refers to </w:t>
      </w:r>
      <w:r w:rsidR="00034539">
        <w:t>developing</w:t>
      </w:r>
      <w:r w:rsidR="0021754A">
        <w:t xml:space="preserve"> advanced analytical models to </w:t>
      </w:r>
      <w:r w:rsidR="00034539">
        <w:t>predict the value of one variable given another.  At Institu</w:t>
      </w:r>
      <w:r w:rsidR="00AA38D7">
        <w:t>t</w:t>
      </w:r>
      <w:r w:rsidR="00034539">
        <w:t xml:space="preserve">ion A, we may wish to predict at-risk students or </w:t>
      </w:r>
      <w:r w:rsidR="00AA38D7">
        <w:t xml:space="preserve">letter grades.  </w:t>
      </w:r>
      <w:r w:rsidR="000249FA">
        <w:t xml:space="preserve">The </w:t>
      </w:r>
      <w:r w:rsidR="00381F2A">
        <w:t>SPM implemented at OU uses logistic regression to predict whether students reach specific milestones</w:t>
      </w:r>
      <w:r w:rsidR="00CE5E05">
        <w:t>, a categorical response variable (</w:t>
      </w:r>
      <w:proofErr w:type="spellStart"/>
      <w:r w:rsidR="00CE5E05">
        <w:t>Herodotou</w:t>
      </w:r>
      <w:proofErr w:type="spellEnd"/>
      <w:r w:rsidR="00CE5E05">
        <w:t xml:space="preserve"> et al., 2019).  </w:t>
      </w:r>
      <w:r w:rsidR="00E925EE">
        <w:t xml:space="preserve">Finally, </w:t>
      </w:r>
      <w:r w:rsidR="008C6C9A">
        <w:rPr>
          <w:i/>
          <w:iCs/>
        </w:rPr>
        <w:t>pattern detection</w:t>
      </w:r>
      <w:r w:rsidR="008C6C9A">
        <w:t xml:space="preserve"> is nearly synonymous with machine learning, </w:t>
      </w:r>
      <w:r w:rsidR="00B17DD0">
        <w:t>assigning labels to objects.</w:t>
      </w:r>
      <w:r w:rsidR="009673F0">
        <w:t xml:space="preserve">  </w:t>
      </w:r>
      <w:proofErr w:type="spellStart"/>
      <w:r w:rsidR="009673F0">
        <w:t>Lykourentzou</w:t>
      </w:r>
      <w:proofErr w:type="spellEnd"/>
      <w:r w:rsidR="009673F0">
        <w:t xml:space="preserve"> et al.</w:t>
      </w:r>
      <w:r w:rsidR="009673F0">
        <w:t xml:space="preserve"> (</w:t>
      </w:r>
      <w:r w:rsidR="009673F0">
        <w:t>2009)</w:t>
      </w:r>
      <w:r w:rsidR="009673F0">
        <w:t xml:space="preserve"> used </w:t>
      </w:r>
      <w:r w:rsidR="00A65C64">
        <w:t xml:space="preserve">machine learning techniques </w:t>
      </w:r>
      <w:r w:rsidR="00210AC6">
        <w:t xml:space="preserve">to </w:t>
      </w:r>
      <w:r w:rsidR="00160A79">
        <w:t>classify students likely to drop</w:t>
      </w:r>
      <w:r w:rsidR="004B11A1">
        <w:t xml:space="preserve"> </w:t>
      </w:r>
      <w:r w:rsidR="00160A79">
        <w:t xml:space="preserve">out of e-learning courses and </w:t>
      </w:r>
      <w:r w:rsidR="004B11A1">
        <w:t xml:space="preserve">achieved </w:t>
      </w:r>
      <w:r w:rsidR="00D87030">
        <w:t>significantly better results than those reported in the relevant literature.  As such, Institu</w:t>
      </w:r>
      <w:r w:rsidR="00D37B7F">
        <w:t>t</w:t>
      </w:r>
      <w:r w:rsidR="00D87030">
        <w:t xml:space="preserve">ion A may wish to </w:t>
      </w:r>
      <w:r w:rsidR="00D87030">
        <w:lastRenderedPageBreak/>
        <w:t xml:space="preserve">apply any of these examples to its </w:t>
      </w:r>
      <w:r w:rsidR="00D37B7F">
        <w:t xml:space="preserve">business analytics program to </w:t>
      </w:r>
      <w:proofErr w:type="gramStart"/>
      <w:r w:rsidR="00D37B7F">
        <w:t>efficiently and effectively identify students</w:t>
      </w:r>
      <w:proofErr w:type="gramEnd"/>
      <w:r w:rsidR="00D37B7F">
        <w:t xml:space="preserve"> at risk of dropping out.  </w:t>
      </w:r>
    </w:p>
    <w:p w14:paraId="2FD09D8D" w14:textId="77777777" w:rsidR="00ED5478" w:rsidRDefault="00ED5478" w:rsidP="000D619B">
      <w:pPr>
        <w:spacing w:after="0" w:line="480" w:lineRule="auto"/>
        <w:rPr>
          <w:b/>
          <w:bCs/>
        </w:rPr>
      </w:pPr>
      <w:r>
        <w:rPr>
          <w:b/>
          <w:bCs/>
        </w:rPr>
        <w:t>Results Activation</w:t>
      </w:r>
    </w:p>
    <w:p w14:paraId="154D5220" w14:textId="77777777" w:rsidR="00E252E6" w:rsidRDefault="00F303C4" w:rsidP="000D619B">
      <w:pPr>
        <w:spacing w:after="0" w:line="480" w:lineRule="auto"/>
      </w:pPr>
      <w:r>
        <w:rPr>
          <w:b/>
          <w:bCs/>
        </w:rPr>
        <w:tab/>
      </w:r>
      <w:r>
        <w:t xml:space="preserve">To improve effectiveness in </w:t>
      </w:r>
      <w:r w:rsidR="005A4439">
        <w:t>the</w:t>
      </w:r>
      <w:r>
        <w:rPr>
          <w:i/>
          <w:iCs/>
        </w:rPr>
        <w:t xml:space="preserve"> results activation </w:t>
      </w:r>
      <w:r>
        <w:t>area</w:t>
      </w:r>
      <w:r>
        <w:t>, Nelson suggests mastering storytelling for influence, and to improve effi</w:t>
      </w:r>
      <w:r w:rsidR="001C1E6F">
        <w:t>cie</w:t>
      </w:r>
      <w:r>
        <w:t>ncy,</w:t>
      </w:r>
      <w:r w:rsidR="00ED5478">
        <w:rPr>
          <w:b/>
          <w:bCs/>
        </w:rPr>
        <w:tab/>
      </w:r>
      <w:r w:rsidR="001C1E6F">
        <w:rPr>
          <w:b/>
          <w:bCs/>
        </w:rPr>
        <w:t xml:space="preserve"> </w:t>
      </w:r>
      <w:r w:rsidR="00097323">
        <w:t xml:space="preserve">he suggests documenting our findings and knowledge for reuse.  </w:t>
      </w:r>
      <w:r w:rsidR="005A4439">
        <w:t xml:space="preserve">Institution A could benefit from </w:t>
      </w:r>
      <w:proofErr w:type="gramStart"/>
      <w:r w:rsidR="00097323">
        <w:t>both of</w:t>
      </w:r>
      <w:r w:rsidR="005A4439">
        <w:t xml:space="preserve"> these</w:t>
      </w:r>
      <w:proofErr w:type="gramEnd"/>
      <w:r w:rsidR="005A4439">
        <w:t xml:space="preserve"> recommendations.  Nelson divides this stage into three processes:</w:t>
      </w:r>
      <w:r w:rsidR="008F094B">
        <w:t xml:space="preserve"> (a) </w:t>
      </w:r>
      <w:r w:rsidR="008F094B" w:rsidRPr="008F094B">
        <w:rPr>
          <w:i/>
          <w:iCs/>
        </w:rPr>
        <w:t>solution evaluation</w:t>
      </w:r>
      <w:r w:rsidR="008F094B">
        <w:t xml:space="preserve">, (b) </w:t>
      </w:r>
      <w:r w:rsidR="008F094B" w:rsidRPr="008F094B">
        <w:rPr>
          <w:i/>
          <w:iCs/>
        </w:rPr>
        <w:t>operationalization</w:t>
      </w:r>
      <w:r w:rsidR="008F094B">
        <w:t xml:space="preserve">, and (c) </w:t>
      </w:r>
      <w:r w:rsidR="008F094B" w:rsidRPr="008F094B">
        <w:rPr>
          <w:i/>
          <w:iCs/>
        </w:rPr>
        <w:t>presentation and storytelling</w:t>
      </w:r>
      <w:r w:rsidR="008F094B">
        <w:t xml:space="preserve">.  </w:t>
      </w:r>
      <w:r w:rsidR="00D37B7F">
        <w:t xml:space="preserve"> </w:t>
      </w:r>
      <w:r w:rsidR="00CE3ECA">
        <w:t xml:space="preserve">In the solution evaluation process, we </w:t>
      </w:r>
      <w:r w:rsidR="002A0D56">
        <w:t xml:space="preserve">review and validate our model, evaluate our results, </w:t>
      </w:r>
      <w:r w:rsidR="00156622">
        <w:t xml:space="preserve">and </w:t>
      </w:r>
      <w:r w:rsidR="00661BB3">
        <w:t>assess</w:t>
      </w:r>
      <w:r w:rsidR="003203EA">
        <w:t xml:space="preserve"> </w:t>
      </w:r>
      <w:r w:rsidR="003C5AC1">
        <w:t>our</w:t>
      </w:r>
      <w:r w:rsidR="003203EA">
        <w:t xml:space="preserve"> </w:t>
      </w:r>
      <w:r w:rsidR="003C5AC1">
        <w:t>model’s impact</w:t>
      </w:r>
      <w:r w:rsidR="003203EA">
        <w:t xml:space="preserve">.  </w:t>
      </w:r>
      <w:r w:rsidR="00045550">
        <w:t>The area under the receiver operating characteristic (</w:t>
      </w:r>
      <w:r w:rsidR="00DD0515">
        <w:t>ROC) curve</w:t>
      </w:r>
      <w:r w:rsidR="00AC6746">
        <w:t xml:space="preserve"> is a</w:t>
      </w:r>
      <w:r w:rsidR="00522761">
        <w:t xml:space="preserve"> useful</w:t>
      </w:r>
      <w:r w:rsidR="00AC6746">
        <w:t xml:space="preserve"> visualization t</w:t>
      </w:r>
      <w:r w:rsidR="00522761">
        <w:t xml:space="preserve">hat helps convey model robustness.  </w:t>
      </w:r>
      <w:r w:rsidR="00AC6746">
        <w:t xml:space="preserve"> </w:t>
      </w:r>
      <w:proofErr w:type="spellStart"/>
      <w:r w:rsidR="007872E3">
        <w:t>Milliron</w:t>
      </w:r>
      <w:proofErr w:type="spellEnd"/>
      <w:r w:rsidR="007872E3">
        <w:t xml:space="preserve"> </w:t>
      </w:r>
      <w:r w:rsidR="007872E3" w:rsidRPr="0047207C">
        <w:rPr>
          <w:i/>
          <w:iCs/>
        </w:rPr>
        <w:t>et al.</w:t>
      </w:r>
      <w:r w:rsidR="007872E3">
        <w:t xml:space="preserve"> (2014) </w:t>
      </w:r>
      <w:r w:rsidR="009F12E9">
        <w:t>used th</w:t>
      </w:r>
      <w:r w:rsidR="003C5AC1">
        <w:t>is</w:t>
      </w:r>
      <w:r w:rsidR="009F12E9">
        <w:t xml:space="preserve"> visualization to explain how</w:t>
      </w:r>
      <w:r w:rsidR="00BE4BC8">
        <w:t xml:space="preserve"> </w:t>
      </w:r>
      <w:r w:rsidR="00DB0ADC">
        <w:t>their studies</w:t>
      </w:r>
      <w:r w:rsidR="003C5AC1">
        <w:t xml:space="preserve"> </w:t>
      </w:r>
      <w:r w:rsidR="00C44362">
        <w:t xml:space="preserve">model </w:t>
      </w:r>
      <w:r w:rsidR="00F70CBF">
        <w:t>provide</w:t>
      </w:r>
      <w:r w:rsidR="003C5AC1">
        <w:t>d</w:t>
      </w:r>
      <w:r w:rsidR="00F70CBF">
        <w:t xml:space="preserve"> a 141% improvement in </w:t>
      </w:r>
      <w:r w:rsidR="008A0AD6">
        <w:t>accurately</w:t>
      </w:r>
      <w:r w:rsidR="00F70CBF">
        <w:t xml:space="preserve"> identifying eventual non-persist</w:t>
      </w:r>
      <w:r w:rsidR="008A0AD6">
        <w:t>e</w:t>
      </w:r>
      <w:r w:rsidR="00F70CBF">
        <w:t xml:space="preserve">nt students for intervention </w:t>
      </w:r>
      <w:r w:rsidR="008A0AD6">
        <w:t>compared to randomly reaching out to students.</w:t>
      </w:r>
      <w:r w:rsidR="00731962">
        <w:t xml:space="preserve">  </w:t>
      </w:r>
      <w:r w:rsidR="00BD1191">
        <w:t xml:space="preserve">As we assess </w:t>
      </w:r>
      <w:r w:rsidR="00C5744B">
        <w:t>our</w:t>
      </w:r>
      <w:r w:rsidR="00BD1191">
        <w:t xml:space="preserve"> </w:t>
      </w:r>
      <w:r w:rsidR="00C5744B">
        <w:t>model’s impact</w:t>
      </w:r>
      <w:r w:rsidR="00BD1191">
        <w:t>, we want to uncover potential process, technology, organization</w:t>
      </w:r>
      <w:r w:rsidR="00C5744B">
        <w:t>al</w:t>
      </w:r>
      <w:r w:rsidR="00BD1191">
        <w:t>, and people impacts.</w:t>
      </w:r>
      <w:r w:rsidR="00617091">
        <w:t xml:space="preserve">  </w:t>
      </w:r>
    </w:p>
    <w:p w14:paraId="6CE8FA7B" w14:textId="1EFF6EA8" w:rsidR="001026DA" w:rsidRDefault="00E252E6" w:rsidP="00E252E6">
      <w:pPr>
        <w:spacing w:after="0" w:line="480" w:lineRule="auto"/>
        <w:ind w:firstLine="720"/>
      </w:pPr>
      <w:r>
        <w:t xml:space="preserve">Then, we can operationalize </w:t>
      </w:r>
      <w:r w:rsidR="009065C1">
        <w:t>our analytics model by determining the most appropriate strategy for deployment</w:t>
      </w:r>
      <w:r w:rsidR="00D90EFE">
        <w:t xml:space="preserve">.  </w:t>
      </w:r>
      <w:proofErr w:type="spellStart"/>
      <w:r w:rsidR="00453E40">
        <w:t>Herodotou</w:t>
      </w:r>
      <w:proofErr w:type="spellEnd"/>
      <w:r w:rsidR="00453E40">
        <w:t xml:space="preserve"> </w:t>
      </w:r>
      <w:r w:rsidR="00453E40" w:rsidRPr="0047207C">
        <w:rPr>
          <w:i/>
          <w:iCs/>
        </w:rPr>
        <w:t>et al.</w:t>
      </w:r>
      <w:r w:rsidR="00453E40">
        <w:t xml:space="preserve"> (</w:t>
      </w:r>
      <w:r w:rsidR="00453E40">
        <w:t>2019)</w:t>
      </w:r>
      <w:r w:rsidR="00453E40">
        <w:t xml:space="preserve"> </w:t>
      </w:r>
      <w:r w:rsidR="0047207C">
        <w:t>provide several recommendations for the adoption of predictive</w:t>
      </w:r>
      <w:r w:rsidR="00FB0573">
        <w:t xml:space="preserve"> learning</w:t>
      </w:r>
      <w:r w:rsidR="002D759F">
        <w:t xml:space="preserve"> analytics </w:t>
      </w:r>
      <w:r w:rsidR="00FB0573">
        <w:t xml:space="preserve">(PLA) </w:t>
      </w:r>
      <w:r w:rsidR="002D759F">
        <w:t xml:space="preserve">in HE, including providing evidence of </w:t>
      </w:r>
      <w:r w:rsidR="00FB0573">
        <w:t xml:space="preserve">the effectiveness of PLA, encouraging communication across stakeholders, </w:t>
      </w:r>
      <w:r w:rsidR="00A13D50">
        <w:t xml:space="preserve">setting a shared PLA vision, </w:t>
      </w:r>
      <w:r w:rsidR="005729D6">
        <w:t xml:space="preserve">considering ways to mitigate teacher resistance, and using PLA to complement, not replace, the teaching practice.  </w:t>
      </w:r>
      <w:r w:rsidR="00BB298D">
        <w:t>Likewise,</w:t>
      </w:r>
      <w:r w:rsidR="003D3992">
        <w:t xml:space="preserve"> </w:t>
      </w:r>
      <w:r w:rsidR="003D3992">
        <w:t xml:space="preserve">Larrabee Sønderlund et al. </w:t>
      </w:r>
      <w:r w:rsidR="003D3992">
        <w:t>(</w:t>
      </w:r>
      <w:r w:rsidR="003D3992">
        <w:t>2019)</w:t>
      </w:r>
      <w:r w:rsidR="003D3992">
        <w:t xml:space="preserve"> recommend</w:t>
      </w:r>
      <w:r w:rsidR="00424765">
        <w:t xml:space="preserve"> breaking all outcomes down by relevant population characteristics, recording student and </w:t>
      </w:r>
      <w:r w:rsidR="00641B17">
        <w:t>faculty experience</w:t>
      </w:r>
      <w:r w:rsidR="003C1124">
        <w:t>s</w:t>
      </w:r>
      <w:r w:rsidR="00641B17">
        <w:t xml:space="preserve"> of the initiatives, and standardizing the assessment of intervention programs.  </w:t>
      </w:r>
      <w:r w:rsidR="003A2662">
        <w:t>Nelson (2018) confirms these recommendations, adding that we need to define key metrics and eva</w:t>
      </w:r>
      <w:r w:rsidR="001026DA">
        <w:t xml:space="preserve">luate </w:t>
      </w:r>
      <w:r w:rsidR="001026DA">
        <w:lastRenderedPageBreak/>
        <w:t xml:space="preserve">our programs.  </w:t>
      </w:r>
      <w:r w:rsidR="00D54F47">
        <w:t>For Institu</w:t>
      </w:r>
      <w:r w:rsidR="00C4466D">
        <w:t>t</w:t>
      </w:r>
      <w:r w:rsidR="00D54F47">
        <w:t>ion A to effectively and effi</w:t>
      </w:r>
      <w:r w:rsidR="00C4466D">
        <w:t>cie</w:t>
      </w:r>
      <w:r w:rsidR="00D54F47">
        <w:t>ntly master story</w:t>
      </w:r>
      <w:r w:rsidR="00C4466D">
        <w:t xml:space="preserve">telling, </w:t>
      </w:r>
      <w:r w:rsidR="008058DF">
        <w:t xml:space="preserve">Nelson suggests using </w:t>
      </w:r>
      <w:r w:rsidR="009B2C2C">
        <w:t>visual</w:t>
      </w:r>
      <w:r w:rsidR="0002355C">
        <w:t xml:space="preserve">izations to </w:t>
      </w:r>
      <w:r w:rsidR="00DC6962">
        <w:t>bring a story to life</w:t>
      </w:r>
      <w:r w:rsidR="003D6E4D">
        <w:t xml:space="preserve"> and us</w:t>
      </w:r>
      <w:r w:rsidR="004026D3">
        <w:t>e a story blueprint to understand what</w:t>
      </w:r>
      <w:r w:rsidR="009D357E">
        <w:t xml:space="preserve"> we want to convey.</w:t>
      </w:r>
      <w:r w:rsidR="006E325D">
        <w:t xml:space="preserve">  From that point on, </w:t>
      </w:r>
      <w:r w:rsidR="00D62AD8">
        <w:t xml:space="preserve">we </w:t>
      </w:r>
      <w:r w:rsidR="00DD1CB3">
        <w:t xml:space="preserve">tell our data stories, </w:t>
      </w:r>
      <w:r w:rsidR="00AA3DDD">
        <w:t>intending to create</w:t>
      </w:r>
      <w:r w:rsidR="00DD1CB3">
        <w:t xml:space="preserve"> a sense of urgency and a clear pathway to action.</w:t>
      </w:r>
    </w:p>
    <w:p w14:paraId="4844D30F" w14:textId="7AD8E150" w:rsidR="00AA3DDD" w:rsidRDefault="009D1058" w:rsidP="009D1058">
      <w:pPr>
        <w:spacing w:after="0" w:line="480" w:lineRule="auto"/>
        <w:rPr>
          <w:b/>
          <w:bCs/>
        </w:rPr>
      </w:pPr>
      <w:r>
        <w:rPr>
          <w:b/>
          <w:bCs/>
        </w:rPr>
        <w:t>Analytics Project Management</w:t>
      </w:r>
    </w:p>
    <w:p w14:paraId="257A88A1" w14:textId="77777777" w:rsidR="00DA3A2D" w:rsidRDefault="009D1058" w:rsidP="009D1058">
      <w:pPr>
        <w:spacing w:after="0" w:line="480" w:lineRule="auto"/>
      </w:pPr>
      <w:r>
        <w:tab/>
      </w:r>
      <w:r w:rsidR="005C0EF2">
        <w:t xml:space="preserve">Finally, to improve </w:t>
      </w:r>
      <w:r w:rsidR="00021442">
        <w:t xml:space="preserve">Institution A’s effectiveness within the </w:t>
      </w:r>
      <w:r w:rsidR="00021442">
        <w:rPr>
          <w:i/>
          <w:iCs/>
        </w:rPr>
        <w:t>analytics project management</w:t>
      </w:r>
      <w:r w:rsidR="00021442">
        <w:t xml:space="preserve"> </w:t>
      </w:r>
      <w:r w:rsidR="007B0C3A">
        <w:t xml:space="preserve">area, Nelson (2018) suggests defining </w:t>
      </w:r>
      <w:r w:rsidR="004E7EC4">
        <w:t>the program evaluation strategy for analytics products</w:t>
      </w:r>
      <w:r w:rsidR="00C866C5">
        <w:t xml:space="preserve"> and</w:t>
      </w:r>
      <w:r w:rsidR="004A21C2">
        <w:t xml:space="preserve">, </w:t>
      </w:r>
      <w:r w:rsidR="00C866C5">
        <w:t>to increase efficiency</w:t>
      </w:r>
      <w:r w:rsidR="000F5A16">
        <w:t>,</w:t>
      </w:r>
      <w:r w:rsidR="00C866C5">
        <w:t xml:space="preserve"> suggests </w:t>
      </w:r>
      <w:r w:rsidR="00600D94">
        <w:t xml:space="preserve">capturing knowledge for future </w:t>
      </w:r>
      <w:r w:rsidR="004A21C2">
        <w:t xml:space="preserve">use.  Nelson divides this </w:t>
      </w:r>
      <w:r w:rsidR="00ED0389">
        <w:t xml:space="preserve">best practice into </w:t>
      </w:r>
      <w:r w:rsidR="00A91130">
        <w:t xml:space="preserve">five process areas: (a) </w:t>
      </w:r>
      <w:r w:rsidR="00A91130">
        <w:rPr>
          <w:i/>
          <w:iCs/>
        </w:rPr>
        <w:t xml:space="preserve">value management, </w:t>
      </w:r>
      <w:r w:rsidR="00A91130">
        <w:t xml:space="preserve">(b) </w:t>
      </w:r>
      <w:r w:rsidR="00A91130">
        <w:rPr>
          <w:i/>
          <w:iCs/>
        </w:rPr>
        <w:t xml:space="preserve">analytics lifecycle execution, </w:t>
      </w:r>
      <w:r w:rsidR="00A91130">
        <w:t xml:space="preserve">(c) </w:t>
      </w:r>
      <w:r w:rsidR="00A91130">
        <w:rPr>
          <w:i/>
          <w:iCs/>
        </w:rPr>
        <w:t xml:space="preserve">quality processes, </w:t>
      </w:r>
      <w:r w:rsidR="00A91130">
        <w:t xml:space="preserve">(d) </w:t>
      </w:r>
      <w:r w:rsidR="00A91130">
        <w:rPr>
          <w:i/>
          <w:iCs/>
        </w:rPr>
        <w:t xml:space="preserve">stakeholder engagement and feedback¸ </w:t>
      </w:r>
      <w:r w:rsidR="00A91130">
        <w:t xml:space="preserve">(e) </w:t>
      </w:r>
      <w:r w:rsidR="00CC771D">
        <w:rPr>
          <w:i/>
          <w:iCs/>
        </w:rPr>
        <w:t>capability and talent development.</w:t>
      </w:r>
      <w:r w:rsidR="00542D34">
        <w:t xml:space="preserve">  </w:t>
      </w:r>
      <w:r w:rsidR="007103A9">
        <w:t xml:space="preserve">Within the </w:t>
      </w:r>
      <w:r w:rsidR="007103A9" w:rsidRPr="007103A9">
        <w:rPr>
          <w:i/>
          <w:iCs/>
        </w:rPr>
        <w:t>value management</w:t>
      </w:r>
      <w:r w:rsidR="007103A9">
        <w:t xml:space="preserve"> process, </w:t>
      </w:r>
      <w:r w:rsidR="00425EC7">
        <w:t>analytic product managers</w:t>
      </w:r>
      <w:r w:rsidR="007103A9">
        <w:t xml:space="preserve"> want to </w:t>
      </w:r>
      <w:r w:rsidR="00A60B9A">
        <w:t xml:space="preserve">maintain alignment with </w:t>
      </w:r>
      <w:r w:rsidR="00425EC7">
        <w:t xml:space="preserve">organizational </w:t>
      </w:r>
      <w:r w:rsidR="00A60B9A">
        <w:t xml:space="preserve">strategy, </w:t>
      </w:r>
      <w:r w:rsidR="00587F12">
        <w:t xml:space="preserve">lead the product management culture, </w:t>
      </w:r>
      <w:r w:rsidR="00BF29DD">
        <w:t xml:space="preserve">define the quality </w:t>
      </w:r>
      <w:r w:rsidR="00790B40">
        <w:t xml:space="preserve">of </w:t>
      </w:r>
      <w:r w:rsidR="00BF29DD">
        <w:t xml:space="preserve">analytics products, and promote value.  </w:t>
      </w:r>
      <w:r w:rsidR="00FD1A11">
        <w:t xml:space="preserve">Nelson </w:t>
      </w:r>
      <w:r w:rsidR="001F375D">
        <w:t>emphasizes</w:t>
      </w:r>
      <w:r w:rsidR="00FD1A11">
        <w:t xml:space="preserve"> the importance of </w:t>
      </w:r>
      <w:r w:rsidR="004643AD">
        <w:t xml:space="preserve">maintaining a highly </w:t>
      </w:r>
      <w:r w:rsidR="001F375D">
        <w:t>transparent</w:t>
      </w:r>
      <w:r w:rsidR="004643AD">
        <w:t xml:space="preserve"> process </w:t>
      </w:r>
      <w:r w:rsidR="004E4EB2">
        <w:t xml:space="preserve">regarding how </w:t>
      </w:r>
      <w:r w:rsidR="00425EC7">
        <w:t>we</w:t>
      </w:r>
      <w:r w:rsidR="0072755C">
        <w:t xml:space="preserve"> handle analytic req</w:t>
      </w:r>
      <w:r w:rsidR="00C27C06">
        <w:t>ue</w:t>
      </w:r>
      <w:r w:rsidR="0072755C">
        <w:t>sts</w:t>
      </w:r>
      <w:r w:rsidR="00C27C06">
        <w:t xml:space="preserve">, </w:t>
      </w:r>
      <w:r w:rsidR="00622812">
        <w:t xml:space="preserve">rather than adhering to strict prioritization </w:t>
      </w:r>
      <w:r w:rsidR="006D7FD9">
        <w:t>guidelines</w:t>
      </w:r>
      <w:r w:rsidR="00C27C06">
        <w:t xml:space="preserve">, </w:t>
      </w:r>
      <w:r w:rsidR="00C27C06">
        <w:t>to engender trust between analytics teams and customers</w:t>
      </w:r>
      <w:r w:rsidR="006864E1">
        <w:t>.</w:t>
      </w:r>
      <w:r w:rsidR="00C73A22">
        <w:t xml:space="preserve">  </w:t>
      </w:r>
    </w:p>
    <w:p w14:paraId="3D78440B" w14:textId="6CA737AA" w:rsidR="00FE3B1A" w:rsidRPr="009678C6" w:rsidRDefault="00C73A22" w:rsidP="00DA3A2D">
      <w:pPr>
        <w:spacing w:after="0" w:line="480" w:lineRule="auto"/>
        <w:ind w:firstLine="720"/>
      </w:pPr>
      <w:r>
        <w:t>Additionally, product managers should define what it means to deliver a quality analytics product</w:t>
      </w:r>
      <w:r w:rsidR="00C6096B">
        <w:t xml:space="preserve">.  </w:t>
      </w:r>
      <w:proofErr w:type="spellStart"/>
      <w:r w:rsidR="00542D34">
        <w:t>Endel</w:t>
      </w:r>
      <w:proofErr w:type="spellEnd"/>
      <w:r w:rsidR="00542D34">
        <w:t xml:space="preserve"> </w:t>
      </w:r>
      <w:r w:rsidR="00542D34">
        <w:t>and</w:t>
      </w:r>
      <w:r w:rsidR="00542D34">
        <w:t xml:space="preserve"> </w:t>
      </w:r>
      <w:proofErr w:type="spellStart"/>
      <w:r w:rsidR="00542D34">
        <w:t>Piringer</w:t>
      </w:r>
      <w:proofErr w:type="spellEnd"/>
      <w:r w:rsidR="00542D34">
        <w:t xml:space="preserve"> (</w:t>
      </w:r>
      <w:r w:rsidR="00542D34">
        <w:t>2015)</w:t>
      </w:r>
      <w:r w:rsidR="00794BDE">
        <w:t xml:space="preserve"> state </w:t>
      </w:r>
      <w:r w:rsidR="0066479C">
        <w:t xml:space="preserve">that researchers often neglect documentation </w:t>
      </w:r>
      <w:r w:rsidR="00794BDE">
        <w:t>in scientific research</w:t>
      </w:r>
      <w:r w:rsidR="0027276C">
        <w:t xml:space="preserve">.  However, in defining quality </w:t>
      </w:r>
      <w:r w:rsidR="00803612">
        <w:t xml:space="preserve">data products, documentation is </w:t>
      </w:r>
      <w:r w:rsidR="00B77EA1">
        <w:t xml:space="preserve">essential.  </w:t>
      </w:r>
      <w:r w:rsidR="00022052">
        <w:t xml:space="preserve">Within the </w:t>
      </w:r>
      <w:r w:rsidR="00022052">
        <w:rPr>
          <w:i/>
          <w:iCs/>
        </w:rPr>
        <w:t>analytics lifecycle execution</w:t>
      </w:r>
      <w:r w:rsidR="00022052">
        <w:t xml:space="preserve"> area, </w:t>
      </w:r>
      <w:r w:rsidR="00EC0B96">
        <w:t xml:space="preserve">product managers </w:t>
      </w:r>
      <w:r w:rsidR="0019589A">
        <w:t xml:space="preserve">are responsible for the analytics </w:t>
      </w:r>
      <w:r w:rsidR="00452E94">
        <w:t xml:space="preserve">processes that produce value.  </w:t>
      </w:r>
      <w:r w:rsidR="00452E94">
        <w:rPr>
          <w:b/>
          <w:bCs/>
        </w:rPr>
        <w:t xml:space="preserve">Product lifecycle management </w:t>
      </w:r>
      <w:r w:rsidR="00452E94">
        <w:t xml:space="preserve">encompasses </w:t>
      </w:r>
      <w:r w:rsidR="00104933">
        <w:t>six</w:t>
      </w:r>
      <w:r w:rsidR="00EA06E8">
        <w:t xml:space="preserve"> vital steps: (a) opportunity identification, (b) design, (c) testing, (d) launch, (e) assessment, and (</w:t>
      </w:r>
      <w:r w:rsidR="00104933">
        <w:t xml:space="preserve">f) retirement.  </w:t>
      </w:r>
      <w:r w:rsidR="0000252A">
        <w:t>Institu</w:t>
      </w:r>
      <w:r w:rsidR="000B5E11">
        <w:t>t</w:t>
      </w:r>
      <w:r w:rsidR="0000252A">
        <w:t xml:space="preserve">ion A </w:t>
      </w:r>
      <w:r w:rsidR="000B5E11">
        <w:t>currently utilizes a single “decider” who triages product requests.</w:t>
      </w:r>
      <w:r w:rsidR="006D455A">
        <w:t xml:space="preserve">  Nelson advises </w:t>
      </w:r>
      <w:r w:rsidR="006D455A">
        <w:lastRenderedPageBreak/>
        <w:t>against this approach and recommends a</w:t>
      </w:r>
      <w:r w:rsidR="006952DC">
        <w:t>n analytics product prio</w:t>
      </w:r>
      <w:r w:rsidR="0064685B">
        <w:t>ri</w:t>
      </w:r>
      <w:r w:rsidR="006952DC">
        <w:t xml:space="preserve">tization matrix to promote collaboration.  </w:t>
      </w:r>
      <w:proofErr w:type="gramStart"/>
      <w:r w:rsidR="0064685B">
        <w:t>Essentially</w:t>
      </w:r>
      <w:proofErr w:type="gramEnd"/>
      <w:r w:rsidR="0064685B">
        <w:t xml:space="preserve"> we want to </w:t>
      </w:r>
      <w:r w:rsidR="0064685B">
        <w:rPr>
          <w:b/>
          <w:bCs/>
        </w:rPr>
        <w:t>right</w:t>
      </w:r>
      <w:r w:rsidR="002B5947">
        <w:rPr>
          <w:b/>
          <w:bCs/>
        </w:rPr>
        <w:t>-</w:t>
      </w:r>
      <w:r w:rsidR="0064685B">
        <w:rPr>
          <w:b/>
          <w:bCs/>
        </w:rPr>
        <w:t>si</w:t>
      </w:r>
      <w:r w:rsidR="002B5947">
        <w:rPr>
          <w:b/>
          <w:bCs/>
        </w:rPr>
        <w:t xml:space="preserve">ze </w:t>
      </w:r>
      <w:r w:rsidR="002B5947">
        <w:t xml:space="preserve">analytics product requirements appropriately.  </w:t>
      </w:r>
      <w:r w:rsidR="004578C7">
        <w:t xml:space="preserve">In the design phase, we want to </w:t>
      </w:r>
      <w:r w:rsidR="000331D4">
        <w:rPr>
          <w:i/>
          <w:iCs/>
        </w:rPr>
        <w:t>prototype</w:t>
      </w:r>
      <w:r w:rsidR="000331D4">
        <w:t xml:space="preserve"> the minimum viable product (MVP) </w:t>
      </w:r>
      <w:r w:rsidR="009F2207">
        <w:t>t</w:t>
      </w:r>
      <w:r w:rsidR="005F6BC3">
        <w:t>o</w:t>
      </w:r>
      <w:r w:rsidR="009F2207">
        <w:t xml:space="preserve"> ad</w:t>
      </w:r>
      <w:r w:rsidR="00A17836">
        <w:t>dress the customers’ needs before testing</w:t>
      </w:r>
      <w:r w:rsidR="009F2207">
        <w:t>.</w:t>
      </w:r>
      <w:r w:rsidR="00A17836">
        <w:t xml:space="preserve">  </w:t>
      </w:r>
      <w:r w:rsidR="00E8632D">
        <w:t xml:space="preserve">After launching a solution, </w:t>
      </w:r>
      <w:r w:rsidR="00E25610">
        <w:t xml:space="preserve">we should </w:t>
      </w:r>
      <w:r w:rsidR="005B5E44">
        <w:t xml:space="preserve">assess product performance.  </w:t>
      </w:r>
      <w:proofErr w:type="gramStart"/>
      <w:r w:rsidR="00680CDB">
        <w:t xml:space="preserve">Likewise, </w:t>
      </w:r>
      <w:r w:rsidR="00184DD1">
        <w:t xml:space="preserve"> </w:t>
      </w:r>
      <w:r w:rsidR="00607DBB">
        <w:t>Larrabee</w:t>
      </w:r>
      <w:proofErr w:type="gramEnd"/>
      <w:r w:rsidR="00607DBB">
        <w:t xml:space="preserve"> Sønderlund </w:t>
      </w:r>
      <w:r w:rsidR="00607DBB" w:rsidRPr="00442F1D">
        <w:rPr>
          <w:i/>
          <w:iCs/>
        </w:rPr>
        <w:t>et al.</w:t>
      </w:r>
      <w:r w:rsidR="00607DBB">
        <w:t xml:space="preserve"> (</w:t>
      </w:r>
      <w:r w:rsidR="00607DBB">
        <w:t>2019)</w:t>
      </w:r>
      <w:r w:rsidR="00607DBB">
        <w:t xml:space="preserve"> suggest </w:t>
      </w:r>
      <w:r w:rsidR="005E2A1D">
        <w:t xml:space="preserve">developing standardized assessments of LA intervention programs </w:t>
      </w:r>
      <w:r w:rsidR="00073DF4">
        <w:t>and recording student and faculty experiences of the initiatives.</w:t>
      </w:r>
      <w:r w:rsidR="007C38B6">
        <w:t xml:space="preserve">  While neglected</w:t>
      </w:r>
      <w:r w:rsidR="004A7878">
        <w:t xml:space="preserve"> in Institution A’s current business analytics program</w:t>
      </w:r>
      <w:r w:rsidR="007C38B6">
        <w:t xml:space="preserve">, </w:t>
      </w:r>
      <w:r w:rsidR="00862AE8">
        <w:t>retirement planning is essential because analytics products have an expected lifespan.</w:t>
      </w:r>
      <w:r w:rsidR="00AD6B5C">
        <w:t xml:space="preserve">  </w:t>
      </w:r>
      <w:r w:rsidR="00FE3B1A">
        <w:t xml:space="preserve">As mentioned previously, during </w:t>
      </w:r>
      <w:r w:rsidR="00FE3B1A">
        <w:rPr>
          <w:i/>
          <w:iCs/>
        </w:rPr>
        <w:t xml:space="preserve">quality processes, </w:t>
      </w:r>
      <w:r w:rsidR="00FE3B1A">
        <w:t xml:space="preserve">product managers should document </w:t>
      </w:r>
      <w:r w:rsidR="002045FB">
        <w:t>all analytics product processes.  The</w:t>
      </w:r>
      <w:r w:rsidR="00334609">
        <w:t xml:space="preserve"> </w:t>
      </w:r>
      <w:r w:rsidR="002045FB">
        <w:rPr>
          <w:b/>
          <w:bCs/>
        </w:rPr>
        <w:t>analytics quality</w:t>
      </w:r>
      <w:r w:rsidR="00F41844">
        <w:rPr>
          <w:b/>
          <w:bCs/>
        </w:rPr>
        <w:t xml:space="preserve"> </w:t>
      </w:r>
      <w:r w:rsidR="00F41844">
        <w:t>of the data product</w:t>
      </w:r>
      <w:r w:rsidR="002045FB">
        <w:rPr>
          <w:b/>
          <w:bCs/>
        </w:rPr>
        <w:t xml:space="preserve"> </w:t>
      </w:r>
      <w:r w:rsidR="00645F64">
        <w:t xml:space="preserve">assesses </w:t>
      </w:r>
      <w:r w:rsidR="00F41844">
        <w:t xml:space="preserve">the </w:t>
      </w:r>
      <w:r w:rsidR="00D93C17">
        <w:t xml:space="preserve">product’s </w:t>
      </w:r>
      <w:r w:rsidR="00334609">
        <w:t xml:space="preserve">overall </w:t>
      </w:r>
      <w:r w:rsidR="00645F64">
        <w:t>ability</w:t>
      </w:r>
      <w:r w:rsidR="00FE3B1A">
        <w:rPr>
          <w:i/>
          <w:iCs/>
        </w:rPr>
        <w:t xml:space="preserve"> </w:t>
      </w:r>
      <w:r w:rsidR="00645F64">
        <w:t xml:space="preserve">to </w:t>
      </w:r>
      <w:r w:rsidR="00334609">
        <w:t xml:space="preserve">serve its function.  </w:t>
      </w:r>
      <w:r w:rsidR="00576A3B">
        <w:t>We want to engage stakeholders early and often</w:t>
      </w:r>
      <w:r w:rsidR="00AD6B5C">
        <w:t xml:space="preserve"> and document changes to analytics products.</w:t>
      </w:r>
      <w:r w:rsidR="00AB4BD5">
        <w:t xml:space="preserve">  </w:t>
      </w:r>
      <w:proofErr w:type="spellStart"/>
      <w:r w:rsidR="001600F3">
        <w:t>Herodotou</w:t>
      </w:r>
      <w:proofErr w:type="spellEnd"/>
      <w:r w:rsidR="001600F3">
        <w:t xml:space="preserve"> </w:t>
      </w:r>
      <w:r w:rsidR="001600F3" w:rsidRPr="009B131E">
        <w:rPr>
          <w:i/>
          <w:iCs/>
        </w:rPr>
        <w:t>et al.</w:t>
      </w:r>
      <w:r w:rsidR="001600F3">
        <w:t xml:space="preserve"> </w:t>
      </w:r>
      <w:r w:rsidR="001600F3">
        <w:t>(</w:t>
      </w:r>
      <w:r w:rsidR="001600F3">
        <w:t>2019)</w:t>
      </w:r>
      <w:r w:rsidR="001600F3">
        <w:t xml:space="preserve"> </w:t>
      </w:r>
      <w:r w:rsidR="00CB26C4">
        <w:t xml:space="preserve">emphasize the importance of </w:t>
      </w:r>
      <w:r w:rsidR="009B131E">
        <w:t xml:space="preserve">bidirectional communication by recommending </w:t>
      </w:r>
      <w:r w:rsidR="0029544A">
        <w:t xml:space="preserve">that organizations allocate resources for communication across stakeholders.  </w:t>
      </w:r>
      <w:r w:rsidR="009E2606">
        <w:t xml:space="preserve">Analytics done well leads to change, and </w:t>
      </w:r>
      <w:proofErr w:type="spellStart"/>
      <w:r w:rsidR="009E2606">
        <w:t>Herodotou</w:t>
      </w:r>
      <w:proofErr w:type="spellEnd"/>
      <w:r w:rsidR="009E2606">
        <w:t xml:space="preserve"> </w:t>
      </w:r>
      <w:r w:rsidR="009E2606">
        <w:rPr>
          <w:i/>
          <w:iCs/>
        </w:rPr>
        <w:t xml:space="preserve">et al. </w:t>
      </w:r>
      <w:r w:rsidR="009E2606">
        <w:t xml:space="preserve">also recommend </w:t>
      </w:r>
      <w:r w:rsidR="004F1187">
        <w:t xml:space="preserve">considering ways to mitigate teachers’ resistance to change when implementing PLA </w:t>
      </w:r>
      <w:r w:rsidR="003A33B5">
        <w:t xml:space="preserve">initiatives.  Lastly, in </w:t>
      </w:r>
      <w:r w:rsidR="009678C6">
        <w:t xml:space="preserve">the </w:t>
      </w:r>
      <w:r w:rsidR="009678C6">
        <w:rPr>
          <w:i/>
          <w:iCs/>
        </w:rPr>
        <w:t xml:space="preserve">capability and talent development </w:t>
      </w:r>
      <w:r w:rsidR="009678C6">
        <w:t xml:space="preserve">process, we want to </w:t>
      </w:r>
      <w:r w:rsidR="006B0923">
        <w:t xml:space="preserve">create a supportive learning culture.  </w:t>
      </w:r>
      <w:r w:rsidR="00644C1B">
        <w:t xml:space="preserve">Moreover, if we </w:t>
      </w:r>
      <w:r w:rsidR="00B941C8">
        <w:t xml:space="preserve">understand where </w:t>
      </w:r>
      <w:r w:rsidR="00996F89">
        <w:t>our</w:t>
      </w:r>
      <w:r w:rsidR="00B941C8">
        <w:t xml:space="preserve"> people are </w:t>
      </w:r>
      <w:r w:rsidR="00996F89">
        <w:t>regarding</w:t>
      </w:r>
      <w:r w:rsidR="00B941C8">
        <w:t xml:space="preserve"> analytics competencies</w:t>
      </w:r>
      <w:r w:rsidR="00EE7D07">
        <w:t xml:space="preserve"> and the </w:t>
      </w:r>
      <w:r w:rsidR="00D75D03">
        <w:t>organization</w:t>
      </w:r>
      <w:r w:rsidR="0008530C">
        <w:t>’</w:t>
      </w:r>
      <w:r w:rsidR="00D75D03">
        <w:t>s strategic goals</w:t>
      </w:r>
      <w:r w:rsidR="00B941C8">
        <w:t xml:space="preserve">, we </w:t>
      </w:r>
      <w:r w:rsidR="0008530C">
        <w:t>can use this framework to integrate professional development plans.</w:t>
      </w:r>
    </w:p>
    <w:p w14:paraId="52B6F8A7" w14:textId="2381F0B2" w:rsidR="00CC771D" w:rsidRDefault="00E2121C" w:rsidP="009D1058">
      <w:pPr>
        <w:spacing w:after="0" w:line="480" w:lineRule="auto"/>
        <w:rPr>
          <w:b/>
          <w:bCs/>
        </w:rPr>
      </w:pPr>
      <w:r>
        <w:rPr>
          <w:b/>
          <w:bCs/>
        </w:rPr>
        <w:t>Conclusion</w:t>
      </w:r>
    </w:p>
    <w:p w14:paraId="4AFB9A2E" w14:textId="77777777" w:rsidR="00E2121C" w:rsidRPr="00E2121C" w:rsidRDefault="00E2121C" w:rsidP="009D1058">
      <w:pPr>
        <w:spacing w:after="0" w:line="480" w:lineRule="auto"/>
      </w:pPr>
    </w:p>
    <w:p w14:paraId="2830AA63" w14:textId="6E057087" w:rsidR="00CC771D" w:rsidRDefault="00CC771D" w:rsidP="009D1058">
      <w:pPr>
        <w:spacing w:after="0" w:line="480" w:lineRule="auto"/>
      </w:pPr>
    </w:p>
    <w:p w14:paraId="61BADFB4" w14:textId="77777777" w:rsidR="00CC771D" w:rsidRPr="00021442" w:rsidRDefault="00CC771D" w:rsidP="009D1058">
      <w:pPr>
        <w:spacing w:after="0" w:line="480" w:lineRule="auto"/>
      </w:pPr>
    </w:p>
    <w:p w14:paraId="19AA7BD4" w14:textId="3C5D26BE" w:rsidR="003A1DF5" w:rsidRDefault="003A1DF5" w:rsidP="003E5A39">
      <w:pPr>
        <w:spacing w:after="0" w:line="480" w:lineRule="auto"/>
        <w:rPr>
          <w:rStyle w:val="fnt0"/>
          <w:rFonts w:cs="Times New Roman"/>
          <w:szCs w:val="24"/>
        </w:rPr>
      </w:pPr>
    </w:p>
    <w:p w14:paraId="58A95692" w14:textId="77777777" w:rsidR="00715DBE" w:rsidRDefault="00715DBE" w:rsidP="00CC771D">
      <w:pPr>
        <w:spacing w:after="0" w:line="480" w:lineRule="auto"/>
        <w:rPr>
          <w:rStyle w:val="fnt0"/>
          <w:rFonts w:cs="Times New Roman"/>
          <w:szCs w:val="24"/>
        </w:rPr>
      </w:pPr>
    </w:p>
    <w:p w14:paraId="7FA261F9" w14:textId="2422732D" w:rsidR="003E53C3" w:rsidRDefault="003E53C3" w:rsidP="001E4CD4">
      <w:pPr>
        <w:spacing w:after="0" w:line="480" w:lineRule="auto"/>
        <w:jc w:val="center"/>
        <w:rPr>
          <w:rStyle w:val="fnt0"/>
          <w:rFonts w:cs="Times New Roman"/>
          <w:szCs w:val="24"/>
        </w:rPr>
      </w:pPr>
      <w:r>
        <w:rPr>
          <w:rStyle w:val="fnt0"/>
          <w:rFonts w:cs="Times New Roman"/>
          <w:szCs w:val="24"/>
        </w:rPr>
        <w:t>References</w:t>
      </w:r>
    </w:p>
    <w:p w14:paraId="66B44670" w14:textId="214EEB8E" w:rsidR="00691ED0" w:rsidRDefault="00B31A1B" w:rsidP="00B31A1B">
      <w:pPr>
        <w:spacing w:after="0" w:line="480" w:lineRule="auto"/>
        <w:ind w:left="720" w:hanging="720"/>
        <w:rPr>
          <w:rStyle w:val="fnt0"/>
          <w:rFonts w:cs="Times New Roman"/>
          <w:i/>
          <w:iCs/>
          <w:szCs w:val="24"/>
        </w:rPr>
      </w:pPr>
      <w:proofErr w:type="spellStart"/>
      <w:r w:rsidRPr="00B31A1B">
        <w:rPr>
          <w:rStyle w:val="fnt0"/>
          <w:rFonts w:cs="Times New Roman"/>
          <w:szCs w:val="24"/>
        </w:rPr>
        <w:t>Cambruzzi</w:t>
      </w:r>
      <w:proofErr w:type="spellEnd"/>
      <w:r w:rsidRPr="00B31A1B">
        <w:rPr>
          <w:rStyle w:val="fnt0"/>
          <w:rFonts w:cs="Times New Roman"/>
          <w:szCs w:val="24"/>
        </w:rPr>
        <w:t xml:space="preserve">, W. L., </w:t>
      </w:r>
      <w:proofErr w:type="spellStart"/>
      <w:r w:rsidRPr="00B31A1B">
        <w:rPr>
          <w:rStyle w:val="fnt0"/>
          <w:rFonts w:cs="Times New Roman"/>
          <w:szCs w:val="24"/>
        </w:rPr>
        <w:t>Rigo</w:t>
      </w:r>
      <w:proofErr w:type="spellEnd"/>
      <w:r w:rsidRPr="00B31A1B">
        <w:rPr>
          <w:rStyle w:val="fnt0"/>
          <w:rFonts w:cs="Times New Roman"/>
          <w:szCs w:val="24"/>
        </w:rPr>
        <w:t xml:space="preserve">, S., &amp; Barbosa, J. L. V. (2015). Dropout Prediction and Reduction in Distance Education Courses with the Learning Analytics </w:t>
      </w:r>
      <w:proofErr w:type="spellStart"/>
      <w:r w:rsidRPr="00B31A1B">
        <w:rPr>
          <w:rStyle w:val="fnt0"/>
          <w:rFonts w:cs="Times New Roman"/>
          <w:szCs w:val="24"/>
        </w:rPr>
        <w:t>Multitrail</w:t>
      </w:r>
      <w:proofErr w:type="spellEnd"/>
      <w:r w:rsidRPr="00B31A1B">
        <w:rPr>
          <w:rStyle w:val="fnt0"/>
          <w:rFonts w:cs="Times New Roman"/>
          <w:szCs w:val="24"/>
        </w:rPr>
        <w:t xml:space="preserve"> Approach. </w:t>
      </w:r>
      <w:r w:rsidRPr="00B31A1B">
        <w:rPr>
          <w:rStyle w:val="fnt0"/>
          <w:rFonts w:cs="Times New Roman"/>
          <w:i/>
          <w:iCs/>
          <w:szCs w:val="24"/>
        </w:rPr>
        <w:t xml:space="preserve">J. </w:t>
      </w:r>
      <w:proofErr w:type="spellStart"/>
      <w:r w:rsidRPr="00B31A1B">
        <w:rPr>
          <w:rStyle w:val="fnt0"/>
          <w:rFonts w:cs="Times New Roman"/>
          <w:i/>
          <w:iCs/>
          <w:szCs w:val="24"/>
        </w:rPr>
        <w:t>Univers</w:t>
      </w:r>
      <w:proofErr w:type="spellEnd"/>
      <w:r w:rsidRPr="00B31A1B">
        <w:rPr>
          <w:rStyle w:val="fnt0"/>
          <w:rFonts w:cs="Times New Roman"/>
          <w:i/>
          <w:iCs/>
          <w:szCs w:val="24"/>
        </w:rPr>
        <w:t xml:space="preserve">. </w:t>
      </w:r>
      <w:proofErr w:type="spellStart"/>
      <w:r w:rsidRPr="00B31A1B">
        <w:rPr>
          <w:rStyle w:val="fnt0"/>
          <w:rFonts w:cs="Times New Roman"/>
          <w:i/>
          <w:iCs/>
          <w:szCs w:val="24"/>
        </w:rPr>
        <w:t>Comput</w:t>
      </w:r>
      <w:proofErr w:type="spellEnd"/>
      <w:r w:rsidRPr="00B31A1B">
        <w:rPr>
          <w:rStyle w:val="fnt0"/>
          <w:rFonts w:cs="Times New Roman"/>
          <w:i/>
          <w:iCs/>
          <w:szCs w:val="24"/>
        </w:rPr>
        <w:t>. Sci.</w:t>
      </w:r>
    </w:p>
    <w:p w14:paraId="6BAF624D" w14:textId="1CB1D7EF" w:rsidR="007063B2" w:rsidRPr="007063B2" w:rsidRDefault="007063B2" w:rsidP="007063B2">
      <w:pPr>
        <w:spacing w:line="480" w:lineRule="auto"/>
        <w:ind w:left="720" w:hanging="720"/>
        <w:rPr>
          <w:rStyle w:val="fnt0"/>
          <w:color w:val="auto"/>
          <w:shd w:val="clear" w:color="auto" w:fill="auto"/>
        </w:rPr>
      </w:pPr>
      <w:proofErr w:type="spellStart"/>
      <w:r>
        <w:t>Endel</w:t>
      </w:r>
      <w:proofErr w:type="spellEnd"/>
      <w:r>
        <w:t xml:space="preserve">, F., &amp; </w:t>
      </w:r>
      <w:proofErr w:type="spellStart"/>
      <w:r>
        <w:t>Piringer</w:t>
      </w:r>
      <w:proofErr w:type="spellEnd"/>
      <w:r>
        <w:t xml:space="preserve">, H. (2015). Data Wrangling: Making data useful again. </w:t>
      </w:r>
      <w:r>
        <w:rPr>
          <w:i/>
          <w:iCs/>
        </w:rPr>
        <w:t>IFAC-</w:t>
      </w:r>
      <w:proofErr w:type="spellStart"/>
      <w:r>
        <w:rPr>
          <w:i/>
          <w:iCs/>
        </w:rPr>
        <w:t>PapersOnLine</w:t>
      </w:r>
      <w:proofErr w:type="spellEnd"/>
      <w:r>
        <w:t xml:space="preserve">, </w:t>
      </w:r>
      <w:r>
        <w:rPr>
          <w:i/>
          <w:iCs/>
        </w:rPr>
        <w:t>48</w:t>
      </w:r>
      <w:r>
        <w:t xml:space="preserve">(1), 111–112. </w:t>
      </w:r>
      <w:hyperlink r:id="rId12" w:history="1">
        <w:r>
          <w:rPr>
            <w:rStyle w:val="Hyperlink"/>
          </w:rPr>
          <w:t>https://doi.org/10.1016/j.ifacol.2015.05.197</w:t>
        </w:r>
      </w:hyperlink>
    </w:p>
    <w:p w14:paraId="314921FA" w14:textId="613444EB" w:rsidR="001E0D5D" w:rsidRDefault="001E0D5D" w:rsidP="0008051B">
      <w:pPr>
        <w:spacing w:after="0" w:line="480" w:lineRule="auto"/>
        <w:ind w:left="720" w:hanging="720"/>
        <w:rPr>
          <w:rStyle w:val="Hyperlink"/>
          <w:rFonts w:cs="Times New Roman"/>
          <w:szCs w:val="24"/>
          <w:shd w:val="clear" w:color="auto" w:fill="FFFFFF"/>
        </w:rPr>
      </w:pPr>
      <w:r w:rsidRPr="001E0D5D">
        <w:rPr>
          <w:rStyle w:val="fnt0"/>
          <w:rFonts w:cs="Times New Roman"/>
          <w:szCs w:val="24"/>
        </w:rPr>
        <w:t xml:space="preserve">Ferguson, R. (2012). Learning analytics: Drivers, </w:t>
      </w:r>
      <w:r w:rsidR="003C55DB" w:rsidRPr="001E0D5D">
        <w:rPr>
          <w:rStyle w:val="fnt0"/>
          <w:rFonts w:cs="Times New Roman"/>
          <w:szCs w:val="24"/>
        </w:rPr>
        <w:t>developments,</w:t>
      </w:r>
      <w:r w:rsidRPr="001E0D5D">
        <w:rPr>
          <w:rStyle w:val="fnt0"/>
          <w:rFonts w:cs="Times New Roman"/>
          <w:szCs w:val="24"/>
        </w:rPr>
        <w:t xml:space="preserve"> and challenges. </w:t>
      </w:r>
      <w:r w:rsidRPr="007B2DEC">
        <w:rPr>
          <w:rStyle w:val="fnt0"/>
          <w:rFonts w:cs="Times New Roman"/>
          <w:i/>
          <w:iCs/>
          <w:szCs w:val="24"/>
        </w:rPr>
        <w:t>International Journal of Technology Enhanced Learning</w:t>
      </w:r>
      <w:r w:rsidRPr="001E0D5D">
        <w:rPr>
          <w:rStyle w:val="fnt0"/>
          <w:rFonts w:cs="Times New Roman"/>
          <w:szCs w:val="24"/>
        </w:rPr>
        <w:t xml:space="preserve">, 4(5/6), 304. </w:t>
      </w:r>
      <w:hyperlink r:id="rId13" w:history="1">
        <w:r w:rsidR="002C75A4" w:rsidRPr="0002411F">
          <w:rPr>
            <w:rStyle w:val="Hyperlink"/>
            <w:rFonts w:cs="Times New Roman"/>
            <w:szCs w:val="24"/>
            <w:shd w:val="clear" w:color="auto" w:fill="FFFFFF"/>
          </w:rPr>
          <w:t>https://doi.org/10.1504/IJTEL.2012.051816</w:t>
        </w:r>
      </w:hyperlink>
    </w:p>
    <w:p w14:paraId="6FCAC96D" w14:textId="77777777" w:rsidR="006839B4" w:rsidRDefault="006839B4" w:rsidP="00715DBE">
      <w:pPr>
        <w:spacing w:line="480" w:lineRule="auto"/>
        <w:ind w:left="720" w:hanging="720"/>
      </w:pPr>
      <w:r>
        <w:t xml:space="preserve">Fritz, J. (2011). Classroom walls that talk: Using online course activity data of successful students to raise self-awareness of underperforming peers. </w:t>
      </w:r>
      <w:r>
        <w:rPr>
          <w:i/>
          <w:iCs/>
        </w:rPr>
        <w:t>The Internet and Higher Education</w:t>
      </w:r>
      <w:r>
        <w:t xml:space="preserve">, </w:t>
      </w:r>
      <w:r>
        <w:rPr>
          <w:i/>
          <w:iCs/>
        </w:rPr>
        <w:t>14</w:t>
      </w:r>
      <w:r>
        <w:t xml:space="preserve">(2), 89–97. </w:t>
      </w:r>
      <w:hyperlink r:id="rId14" w:history="1">
        <w:r>
          <w:rPr>
            <w:rStyle w:val="Hyperlink"/>
          </w:rPr>
          <w:t>https://doi.org/10.1016/j.iheduc.2010.07.007</w:t>
        </w:r>
      </w:hyperlink>
    </w:p>
    <w:p w14:paraId="1297F046" w14:textId="0314700A" w:rsidR="003A1DF5" w:rsidRDefault="003A1DF5" w:rsidP="0008051B">
      <w:pPr>
        <w:spacing w:after="0" w:line="480" w:lineRule="auto"/>
        <w:ind w:left="720" w:hanging="720"/>
        <w:rPr>
          <w:rStyle w:val="fnt0"/>
          <w:rFonts w:cs="Times New Roman"/>
          <w:szCs w:val="24"/>
        </w:rPr>
      </w:pPr>
      <w:proofErr w:type="spellStart"/>
      <w:r w:rsidRPr="003A1DF5">
        <w:rPr>
          <w:rStyle w:val="fnt0"/>
          <w:rFonts w:cs="Times New Roman"/>
          <w:szCs w:val="24"/>
        </w:rPr>
        <w:t>Herodotou</w:t>
      </w:r>
      <w:proofErr w:type="spellEnd"/>
      <w:r w:rsidRPr="003A1DF5">
        <w:rPr>
          <w:rStyle w:val="fnt0"/>
          <w:rFonts w:cs="Times New Roman"/>
          <w:szCs w:val="24"/>
        </w:rPr>
        <w:t xml:space="preserve">, C., </w:t>
      </w:r>
      <w:proofErr w:type="spellStart"/>
      <w:r w:rsidRPr="003A1DF5">
        <w:rPr>
          <w:rStyle w:val="fnt0"/>
          <w:rFonts w:cs="Times New Roman"/>
          <w:szCs w:val="24"/>
        </w:rPr>
        <w:t>Rienties</w:t>
      </w:r>
      <w:proofErr w:type="spellEnd"/>
      <w:r w:rsidRPr="003A1DF5">
        <w:rPr>
          <w:rStyle w:val="fnt0"/>
          <w:rFonts w:cs="Times New Roman"/>
          <w:szCs w:val="24"/>
        </w:rPr>
        <w:t xml:space="preserve">, B., Verdin, B., &amp; </w:t>
      </w:r>
      <w:proofErr w:type="spellStart"/>
      <w:r w:rsidRPr="003A1DF5">
        <w:rPr>
          <w:rStyle w:val="fnt0"/>
          <w:rFonts w:cs="Times New Roman"/>
          <w:szCs w:val="24"/>
        </w:rPr>
        <w:t>Boroowa</w:t>
      </w:r>
      <w:proofErr w:type="spellEnd"/>
      <w:r w:rsidRPr="003A1DF5">
        <w:rPr>
          <w:rStyle w:val="fnt0"/>
          <w:rFonts w:cs="Times New Roman"/>
          <w:szCs w:val="24"/>
        </w:rPr>
        <w:t xml:space="preserve">, A. (2019). Predictive Learning Analytics “At Scale”: Guidelines to Successful Implementation in Higher Education. </w:t>
      </w:r>
      <w:r w:rsidRPr="003A1DF5">
        <w:rPr>
          <w:rStyle w:val="fnt0"/>
          <w:rFonts w:cs="Times New Roman"/>
          <w:i/>
          <w:iCs/>
          <w:szCs w:val="24"/>
        </w:rPr>
        <w:t xml:space="preserve">Journal of Learning Analytics, </w:t>
      </w:r>
      <w:r w:rsidRPr="003A1DF5">
        <w:rPr>
          <w:rStyle w:val="fnt0"/>
          <w:rFonts w:cs="Times New Roman"/>
          <w:szCs w:val="24"/>
        </w:rPr>
        <w:t>6(1). https://doi.org/10.18608/jla.2019.61.5</w:t>
      </w:r>
    </w:p>
    <w:p w14:paraId="4D7DFFB4" w14:textId="2528C672" w:rsidR="002C75A4" w:rsidRDefault="002C75A4" w:rsidP="0008051B">
      <w:pPr>
        <w:spacing w:after="0" w:line="480" w:lineRule="auto"/>
        <w:ind w:left="720" w:hanging="720"/>
        <w:rPr>
          <w:rStyle w:val="fnt0"/>
          <w:rFonts w:cs="Times New Roman"/>
          <w:szCs w:val="24"/>
        </w:rPr>
      </w:pPr>
      <w:r w:rsidRPr="002C75A4">
        <w:rPr>
          <w:rStyle w:val="fnt0"/>
          <w:rFonts w:cs="Times New Roman"/>
          <w:szCs w:val="24"/>
        </w:rPr>
        <w:t xml:space="preserve">Jayaprakash, S. M., Moody, E. W., Lauría, E. J. M., Regan, J. R., &amp; Baron, J. D. (2014). </w:t>
      </w:r>
      <w:r w:rsidRPr="00D262BE">
        <w:rPr>
          <w:rStyle w:val="fnt0"/>
          <w:rFonts w:cs="Times New Roman"/>
          <w:i/>
          <w:iCs/>
          <w:szCs w:val="24"/>
        </w:rPr>
        <w:t>Early Alert of Academically At-Risk Students: An Open Source Analytics Initiative. Journal of Learning Analytics,</w:t>
      </w:r>
      <w:r w:rsidRPr="002C75A4">
        <w:rPr>
          <w:rStyle w:val="fnt0"/>
          <w:rFonts w:cs="Times New Roman"/>
          <w:szCs w:val="24"/>
        </w:rPr>
        <w:t xml:space="preserve"> 1(1), 6–47.</w:t>
      </w:r>
    </w:p>
    <w:p w14:paraId="2851C20E" w14:textId="59B3CA0D" w:rsidR="00D21998" w:rsidRDefault="00D21998" w:rsidP="0008051B">
      <w:pPr>
        <w:spacing w:after="0" w:line="480" w:lineRule="auto"/>
        <w:ind w:left="720" w:hanging="720"/>
        <w:rPr>
          <w:rStyle w:val="fnt0"/>
          <w:rFonts w:cs="Times New Roman"/>
          <w:szCs w:val="24"/>
        </w:rPr>
      </w:pPr>
      <w:r w:rsidRPr="00D21998">
        <w:rPr>
          <w:rStyle w:val="fnt0"/>
          <w:rFonts w:cs="Times New Roman"/>
          <w:szCs w:val="24"/>
        </w:rPr>
        <w:t xml:space="preserve">Krumm, A. E., Waddington, R. J., Teasley, S. D., &amp; </w:t>
      </w:r>
      <w:proofErr w:type="spellStart"/>
      <w:r w:rsidRPr="00D21998">
        <w:rPr>
          <w:rStyle w:val="fnt0"/>
          <w:rFonts w:cs="Times New Roman"/>
          <w:szCs w:val="24"/>
        </w:rPr>
        <w:t>Lonn</w:t>
      </w:r>
      <w:proofErr w:type="spellEnd"/>
      <w:r w:rsidRPr="00D21998">
        <w:rPr>
          <w:rStyle w:val="fnt0"/>
          <w:rFonts w:cs="Times New Roman"/>
          <w:szCs w:val="24"/>
        </w:rPr>
        <w:t xml:space="preserve">, S. (2014). A learning management system-based early warning system for academic advising in undergraduate engineering. In </w:t>
      </w:r>
      <w:r w:rsidRPr="00BA3CD8">
        <w:rPr>
          <w:rStyle w:val="fnt0"/>
          <w:rFonts w:cs="Times New Roman"/>
          <w:i/>
          <w:iCs/>
          <w:szCs w:val="24"/>
        </w:rPr>
        <w:t>Learning analytics</w:t>
      </w:r>
      <w:r w:rsidRPr="00D21998">
        <w:rPr>
          <w:rStyle w:val="fnt0"/>
          <w:rFonts w:cs="Times New Roman"/>
          <w:szCs w:val="24"/>
        </w:rPr>
        <w:t xml:space="preserve"> (pp. 103–119). Springer.</w:t>
      </w:r>
    </w:p>
    <w:p w14:paraId="3C9920B8" w14:textId="55874799" w:rsidR="003E53C3" w:rsidRDefault="003E53C3" w:rsidP="0008051B">
      <w:pPr>
        <w:spacing w:after="0" w:line="480" w:lineRule="auto"/>
        <w:ind w:left="720" w:hanging="720"/>
        <w:rPr>
          <w:rStyle w:val="Hyperlink"/>
          <w:rFonts w:cs="Times New Roman"/>
          <w:szCs w:val="24"/>
          <w:shd w:val="clear" w:color="auto" w:fill="FFFFFF"/>
        </w:rPr>
      </w:pPr>
      <w:r w:rsidRPr="003E53C3">
        <w:rPr>
          <w:rStyle w:val="fnt0"/>
          <w:rFonts w:cs="Times New Roman"/>
          <w:szCs w:val="24"/>
        </w:rPr>
        <w:lastRenderedPageBreak/>
        <w:t xml:space="preserve">Larrabee Sønderlund, A., Hughes, E., &amp; Smith, J. (2019). The efficacy of learning analytics interventions in higher education: A systematic review. </w:t>
      </w:r>
      <w:r w:rsidRPr="0008051B">
        <w:rPr>
          <w:rStyle w:val="fnt0"/>
          <w:rFonts w:cs="Times New Roman"/>
          <w:i/>
          <w:iCs/>
          <w:szCs w:val="24"/>
        </w:rPr>
        <w:t>British Journal of Educational Technology</w:t>
      </w:r>
      <w:r w:rsidRPr="003E53C3">
        <w:rPr>
          <w:rStyle w:val="fnt0"/>
          <w:rFonts w:cs="Times New Roman"/>
          <w:szCs w:val="24"/>
        </w:rPr>
        <w:t xml:space="preserve">, 50(5), 2594–2618. </w:t>
      </w:r>
      <w:hyperlink r:id="rId15" w:history="1">
        <w:r w:rsidR="00715BBC" w:rsidRPr="0002411F">
          <w:rPr>
            <w:rStyle w:val="Hyperlink"/>
            <w:rFonts w:cs="Times New Roman"/>
            <w:szCs w:val="24"/>
            <w:shd w:val="clear" w:color="auto" w:fill="FFFFFF"/>
          </w:rPr>
          <w:t>https://doi.org/10.1111/bjet.12720</w:t>
        </w:r>
      </w:hyperlink>
    </w:p>
    <w:p w14:paraId="41D29126" w14:textId="4BF55F56" w:rsidR="0010287F" w:rsidRPr="00715DBE" w:rsidRDefault="00715DBE" w:rsidP="00715DBE">
      <w:pPr>
        <w:spacing w:line="480" w:lineRule="auto"/>
        <w:ind w:left="720" w:hanging="750"/>
        <w:rPr>
          <w:rStyle w:val="Hyperlink"/>
          <w:color w:val="auto"/>
          <w:u w:val="none"/>
        </w:rPr>
      </w:pPr>
      <w:proofErr w:type="spellStart"/>
      <w:r>
        <w:t>Lykourentzou</w:t>
      </w:r>
      <w:proofErr w:type="spellEnd"/>
      <w:r>
        <w:t xml:space="preserve">, I., </w:t>
      </w:r>
      <w:proofErr w:type="spellStart"/>
      <w:r>
        <w:t>Giannoukos</w:t>
      </w:r>
      <w:proofErr w:type="spellEnd"/>
      <w:r>
        <w:t xml:space="preserve">, I., Nikolopoulos, V., </w:t>
      </w:r>
      <w:proofErr w:type="spellStart"/>
      <w:r>
        <w:t>Mpardis</w:t>
      </w:r>
      <w:proofErr w:type="spellEnd"/>
      <w:r>
        <w:t xml:space="preserve">, G., &amp; </w:t>
      </w:r>
      <w:proofErr w:type="spellStart"/>
      <w:r>
        <w:t>Loumos</w:t>
      </w:r>
      <w:proofErr w:type="spellEnd"/>
      <w:r>
        <w:t xml:space="preserve">, V. (2009). Dropout prediction in e-learning courses through the combination of machine learning techniques. </w:t>
      </w:r>
      <w:r>
        <w:rPr>
          <w:i/>
          <w:iCs/>
        </w:rPr>
        <w:t>Computers &amp; Education</w:t>
      </w:r>
      <w:r>
        <w:t xml:space="preserve">, </w:t>
      </w:r>
      <w:r>
        <w:rPr>
          <w:i/>
          <w:iCs/>
        </w:rPr>
        <w:t>53</w:t>
      </w:r>
      <w:r>
        <w:t xml:space="preserve">(3), 950–965. </w:t>
      </w:r>
      <w:hyperlink r:id="rId16" w:history="1">
        <w:r>
          <w:rPr>
            <w:rStyle w:val="Hyperlink"/>
          </w:rPr>
          <w:t>https://doi.org/10.1016/j.compedu.2009.05.010</w:t>
        </w:r>
      </w:hyperlink>
    </w:p>
    <w:p w14:paraId="20B66018" w14:textId="15F7F21A" w:rsidR="00B077C0" w:rsidRDefault="00B077C0" w:rsidP="0008051B">
      <w:pPr>
        <w:spacing w:after="0" w:line="480" w:lineRule="auto"/>
        <w:ind w:left="720" w:hanging="720"/>
        <w:rPr>
          <w:rStyle w:val="fnt0"/>
          <w:rFonts w:cs="Times New Roman"/>
          <w:szCs w:val="24"/>
        </w:rPr>
      </w:pPr>
      <w:r w:rsidRPr="00B077C0">
        <w:rPr>
          <w:rStyle w:val="fnt0"/>
          <w:rFonts w:cs="Times New Roman"/>
          <w:szCs w:val="24"/>
        </w:rPr>
        <w:t xml:space="preserve">Mazza, R., &amp; Dimitrova, V. (2004). </w:t>
      </w:r>
      <w:proofErr w:type="spellStart"/>
      <w:r w:rsidRPr="00B077C0">
        <w:rPr>
          <w:rStyle w:val="fnt0"/>
          <w:rFonts w:cs="Times New Roman"/>
          <w:szCs w:val="24"/>
        </w:rPr>
        <w:t>Visualising</w:t>
      </w:r>
      <w:proofErr w:type="spellEnd"/>
      <w:r w:rsidRPr="00B077C0">
        <w:rPr>
          <w:rStyle w:val="fnt0"/>
          <w:rFonts w:cs="Times New Roman"/>
          <w:szCs w:val="24"/>
        </w:rPr>
        <w:t xml:space="preserve"> Student Tracking Data to Support Instructors in Web-Based Distance Education. </w:t>
      </w:r>
      <w:r w:rsidRPr="004F2EE5">
        <w:rPr>
          <w:rStyle w:val="fnt0"/>
          <w:rFonts w:cs="Times New Roman"/>
          <w:i/>
          <w:iCs/>
          <w:szCs w:val="24"/>
        </w:rPr>
        <w:t>13th International World Wide Web Conference (WWW 2004) - Educational Track. 2004 May 17-22</w:t>
      </w:r>
      <w:r w:rsidRPr="00B077C0">
        <w:rPr>
          <w:rStyle w:val="fnt0"/>
          <w:rFonts w:cs="Times New Roman"/>
          <w:szCs w:val="24"/>
        </w:rPr>
        <w:t>, 154–161.</w:t>
      </w:r>
    </w:p>
    <w:p w14:paraId="7320C3C1" w14:textId="2991CE55" w:rsidR="00715BBC" w:rsidRDefault="00715BBC" w:rsidP="0008051B">
      <w:pPr>
        <w:spacing w:after="0" w:line="480" w:lineRule="auto"/>
        <w:ind w:left="720" w:hanging="720"/>
        <w:rPr>
          <w:rStyle w:val="fnt0"/>
          <w:rFonts w:cs="Times New Roman"/>
          <w:szCs w:val="24"/>
        </w:rPr>
      </w:pPr>
      <w:r w:rsidRPr="00715BBC">
        <w:rPr>
          <w:rStyle w:val="fnt0"/>
          <w:rFonts w:cs="Times New Roman"/>
          <w:szCs w:val="24"/>
        </w:rPr>
        <w:t xml:space="preserve">Nelson, G. S. (2018). </w:t>
      </w:r>
      <w:r w:rsidRPr="00715BBC">
        <w:rPr>
          <w:rStyle w:val="fnt0"/>
          <w:rFonts w:cs="Times New Roman"/>
          <w:i/>
          <w:iCs/>
          <w:szCs w:val="24"/>
        </w:rPr>
        <w:t>The analytics lifecycle toolkit: A practical guide for an effective analytics capability</w:t>
      </w:r>
      <w:r w:rsidRPr="00715BBC">
        <w:rPr>
          <w:rStyle w:val="fnt0"/>
          <w:rFonts w:cs="Times New Roman"/>
          <w:szCs w:val="24"/>
        </w:rPr>
        <w:t>. Wiley-Blackwell.</w:t>
      </w:r>
    </w:p>
    <w:p w14:paraId="59A56EF7" w14:textId="059F079C" w:rsidR="009E00D2" w:rsidRDefault="009E00D2" w:rsidP="0008051B">
      <w:pPr>
        <w:spacing w:after="0" w:line="480" w:lineRule="auto"/>
        <w:ind w:left="720" w:hanging="720"/>
        <w:rPr>
          <w:rStyle w:val="fnt0"/>
          <w:rFonts w:cs="Times New Roman"/>
          <w:szCs w:val="24"/>
        </w:rPr>
      </w:pPr>
      <w:r w:rsidRPr="009E00D2">
        <w:rPr>
          <w:rStyle w:val="fnt0"/>
          <w:rFonts w:cs="Times New Roman"/>
          <w:szCs w:val="24"/>
        </w:rPr>
        <w:t xml:space="preserve">West, D., Heath, D., &amp; </w:t>
      </w:r>
      <w:proofErr w:type="spellStart"/>
      <w:r w:rsidRPr="009E00D2">
        <w:rPr>
          <w:rStyle w:val="fnt0"/>
          <w:rFonts w:cs="Times New Roman"/>
          <w:szCs w:val="24"/>
        </w:rPr>
        <w:t>Huijser</w:t>
      </w:r>
      <w:proofErr w:type="spellEnd"/>
      <w:r w:rsidRPr="009E00D2">
        <w:rPr>
          <w:rStyle w:val="fnt0"/>
          <w:rFonts w:cs="Times New Roman"/>
          <w:szCs w:val="24"/>
        </w:rPr>
        <w:t xml:space="preserve">, H. (2015). </w:t>
      </w:r>
      <w:proofErr w:type="gramStart"/>
      <w:r w:rsidRPr="009E00D2">
        <w:rPr>
          <w:rStyle w:val="fnt0"/>
          <w:rFonts w:cs="Times New Roman"/>
          <w:szCs w:val="24"/>
        </w:rPr>
        <w:t>Let’s</w:t>
      </w:r>
      <w:proofErr w:type="gramEnd"/>
      <w:r w:rsidRPr="009E00D2">
        <w:rPr>
          <w:rStyle w:val="fnt0"/>
          <w:rFonts w:cs="Times New Roman"/>
          <w:szCs w:val="24"/>
        </w:rPr>
        <w:t xml:space="preserve"> Talk Learning Analytics: A Framework for Implementation in Relation to Student Retention. </w:t>
      </w:r>
      <w:r w:rsidRPr="009E00D2">
        <w:rPr>
          <w:rStyle w:val="fnt0"/>
          <w:rFonts w:cs="Times New Roman"/>
          <w:i/>
          <w:iCs/>
          <w:szCs w:val="24"/>
        </w:rPr>
        <w:t>Online Learning</w:t>
      </w:r>
      <w:r w:rsidRPr="009E00D2">
        <w:rPr>
          <w:rStyle w:val="fnt0"/>
          <w:rFonts w:cs="Times New Roman"/>
          <w:szCs w:val="24"/>
        </w:rPr>
        <w:t xml:space="preserve">, 20(2). </w:t>
      </w:r>
      <w:hyperlink r:id="rId17" w:history="1">
        <w:r w:rsidRPr="00C45DD7">
          <w:rPr>
            <w:rStyle w:val="Hyperlink"/>
            <w:rFonts w:cs="Times New Roman"/>
            <w:szCs w:val="24"/>
            <w:shd w:val="clear" w:color="auto" w:fill="FFFFFF"/>
          </w:rPr>
          <w:t>https://doi.org/10.24059/olj.v20i2.792</w:t>
        </w:r>
      </w:hyperlink>
    </w:p>
    <w:p w14:paraId="40F3A7C4" w14:textId="01F93692" w:rsidR="001E4CD4" w:rsidRDefault="001E4CD4" w:rsidP="0008051B">
      <w:pPr>
        <w:spacing w:after="0" w:line="480" w:lineRule="auto"/>
        <w:ind w:left="720" w:hanging="720"/>
        <w:rPr>
          <w:rStyle w:val="fnt0"/>
          <w:rFonts w:cs="Times New Roman"/>
          <w:szCs w:val="24"/>
        </w:rPr>
      </w:pPr>
      <w:proofErr w:type="spellStart"/>
      <w:r w:rsidRPr="001E4CD4">
        <w:rPr>
          <w:rStyle w:val="fnt0"/>
          <w:rFonts w:cs="Times New Roman"/>
          <w:szCs w:val="24"/>
        </w:rPr>
        <w:t>Zilvinskis</w:t>
      </w:r>
      <w:proofErr w:type="spellEnd"/>
      <w:r w:rsidRPr="001E4CD4">
        <w:rPr>
          <w:rStyle w:val="fnt0"/>
          <w:rFonts w:cs="Times New Roman"/>
          <w:szCs w:val="24"/>
        </w:rPr>
        <w:t xml:space="preserve">, J., &amp; Wills, III, J. (2019). Learning Analytics in Higher Education: A Reflection. </w:t>
      </w:r>
      <w:proofErr w:type="spellStart"/>
      <w:r w:rsidRPr="001E4CD4">
        <w:rPr>
          <w:rStyle w:val="fnt0"/>
          <w:rFonts w:cs="Times New Roman"/>
          <w:i/>
          <w:iCs/>
          <w:szCs w:val="24"/>
        </w:rPr>
        <w:t>InSight</w:t>
      </w:r>
      <w:proofErr w:type="spellEnd"/>
      <w:r w:rsidRPr="001E4CD4">
        <w:rPr>
          <w:rStyle w:val="fnt0"/>
          <w:rFonts w:cs="Times New Roman"/>
          <w:i/>
          <w:iCs/>
          <w:szCs w:val="24"/>
        </w:rPr>
        <w:t>: A Journal of Scholarly Teaching</w:t>
      </w:r>
      <w:r w:rsidRPr="001E4CD4">
        <w:rPr>
          <w:rStyle w:val="fnt0"/>
          <w:rFonts w:cs="Times New Roman"/>
          <w:szCs w:val="24"/>
        </w:rPr>
        <w:t xml:space="preserve">, 14, 43–54. </w:t>
      </w:r>
      <w:hyperlink r:id="rId18" w:history="1">
        <w:r w:rsidRPr="00C45DD7">
          <w:rPr>
            <w:rStyle w:val="Hyperlink"/>
            <w:rFonts w:cs="Times New Roman"/>
            <w:szCs w:val="24"/>
            <w:shd w:val="clear" w:color="auto" w:fill="FFFFFF"/>
          </w:rPr>
          <w:t>https://doi.org/10.46504/14201903zi</w:t>
        </w:r>
      </w:hyperlink>
    </w:p>
    <w:sectPr w:rsidR="001E4CD4" w:rsidSect="003E5A3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3B7DA8" w14:textId="77777777" w:rsidR="008E2695" w:rsidRDefault="008E2695" w:rsidP="005F3F88">
      <w:pPr>
        <w:spacing w:after="0" w:line="240" w:lineRule="auto"/>
      </w:pPr>
      <w:r>
        <w:separator/>
      </w:r>
    </w:p>
  </w:endnote>
  <w:endnote w:type="continuationSeparator" w:id="0">
    <w:p w14:paraId="7148620C" w14:textId="77777777" w:rsidR="008E2695" w:rsidRDefault="008E2695" w:rsidP="005F3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68585" w14:textId="77777777" w:rsidR="00BE5C99" w:rsidRDefault="00BE5C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85647" w14:textId="77777777" w:rsidR="00BE5C99" w:rsidRDefault="00BE5C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8BACC" w14:textId="77777777" w:rsidR="00BE5C99" w:rsidRDefault="00BE5C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435D2" w14:textId="77777777" w:rsidR="008E2695" w:rsidRDefault="008E2695" w:rsidP="005F3F88">
      <w:pPr>
        <w:spacing w:after="0" w:line="240" w:lineRule="auto"/>
      </w:pPr>
      <w:r>
        <w:separator/>
      </w:r>
    </w:p>
  </w:footnote>
  <w:footnote w:type="continuationSeparator" w:id="0">
    <w:p w14:paraId="42FE5D89" w14:textId="77777777" w:rsidR="008E2695" w:rsidRDefault="008E2695" w:rsidP="005F3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B6227" w14:textId="77777777" w:rsidR="00BE5C99" w:rsidRDefault="00BE5C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FA0F1" w14:textId="77777777" w:rsidR="005F3F88" w:rsidRDefault="00BE5C99" w:rsidP="005F3F88">
    <w:pPr>
      <w:pStyle w:val="Header"/>
    </w:pPr>
    <w:r>
      <w:t>BUSINESS ANALYTICS PROGRAM</w:t>
    </w:r>
    <w:r w:rsidR="005F3F88">
      <w:tab/>
    </w:r>
    <w:r w:rsidR="005F3F88">
      <w:tab/>
    </w:r>
    <w:sdt>
      <w:sdtPr>
        <w:id w:val="-90313616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5F3F88">
          <w:fldChar w:fldCharType="begin"/>
        </w:r>
        <w:r w:rsidR="005F3F88">
          <w:instrText xml:space="preserve"> PAGE   \* MERGEFORMAT </w:instrText>
        </w:r>
        <w:r w:rsidR="005F3F88">
          <w:fldChar w:fldCharType="separate"/>
        </w:r>
        <w:r w:rsidR="005F3F88">
          <w:rPr>
            <w:noProof/>
          </w:rPr>
          <w:t>2</w:t>
        </w:r>
        <w:r w:rsidR="005F3F88">
          <w:rPr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5D40D" w14:textId="75E2D75B" w:rsidR="005F3F88" w:rsidRDefault="005F3F88" w:rsidP="005F3F88">
    <w:pPr>
      <w:pStyle w:val="Header"/>
    </w:pPr>
    <w:r>
      <w:t xml:space="preserve">Running head: </w:t>
    </w:r>
    <w:r w:rsidR="00BE5C99">
      <w:t>BUSINESS ANALYTICS PROGRAM</w:t>
    </w:r>
    <w:r>
      <w:tab/>
    </w:r>
    <w:sdt>
      <w:sdtPr>
        <w:id w:val="168601728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rPr>
            <w:noProof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S2MLAwMra0MLC0NDBS0lEKTi0uzszPAykwqwUAQtMRQCwAAAA="/>
  </w:docVars>
  <w:rsids>
    <w:rsidRoot w:val="00BE5C99"/>
    <w:rsid w:val="0000252A"/>
    <w:rsid w:val="00005D7A"/>
    <w:rsid w:val="0001071A"/>
    <w:rsid w:val="00011BB6"/>
    <w:rsid w:val="00014572"/>
    <w:rsid w:val="00014D1F"/>
    <w:rsid w:val="000173EE"/>
    <w:rsid w:val="00017682"/>
    <w:rsid w:val="00017BDB"/>
    <w:rsid w:val="00017F33"/>
    <w:rsid w:val="00021442"/>
    <w:rsid w:val="00022052"/>
    <w:rsid w:val="0002355C"/>
    <w:rsid w:val="000242FD"/>
    <w:rsid w:val="000249FA"/>
    <w:rsid w:val="00031BC2"/>
    <w:rsid w:val="0003230C"/>
    <w:rsid w:val="000331D4"/>
    <w:rsid w:val="00034251"/>
    <w:rsid w:val="0003451A"/>
    <w:rsid w:val="00034539"/>
    <w:rsid w:val="0004364B"/>
    <w:rsid w:val="000442C3"/>
    <w:rsid w:val="000448F4"/>
    <w:rsid w:val="00045550"/>
    <w:rsid w:val="000540AE"/>
    <w:rsid w:val="0005462C"/>
    <w:rsid w:val="00055DE7"/>
    <w:rsid w:val="00055EAD"/>
    <w:rsid w:val="0006065A"/>
    <w:rsid w:val="0006092E"/>
    <w:rsid w:val="00060C74"/>
    <w:rsid w:val="000627C3"/>
    <w:rsid w:val="000645B3"/>
    <w:rsid w:val="00064DF5"/>
    <w:rsid w:val="000673DA"/>
    <w:rsid w:val="00067F8A"/>
    <w:rsid w:val="00073DF4"/>
    <w:rsid w:val="0008051B"/>
    <w:rsid w:val="0008436F"/>
    <w:rsid w:val="0008530C"/>
    <w:rsid w:val="000857F2"/>
    <w:rsid w:val="00086BAD"/>
    <w:rsid w:val="00092902"/>
    <w:rsid w:val="000938A9"/>
    <w:rsid w:val="000962CB"/>
    <w:rsid w:val="00096C16"/>
    <w:rsid w:val="00097323"/>
    <w:rsid w:val="00097ADA"/>
    <w:rsid w:val="000A2ABA"/>
    <w:rsid w:val="000B3BB2"/>
    <w:rsid w:val="000B5E11"/>
    <w:rsid w:val="000C1D52"/>
    <w:rsid w:val="000C1DF5"/>
    <w:rsid w:val="000D2A74"/>
    <w:rsid w:val="000D4B51"/>
    <w:rsid w:val="000D4CCC"/>
    <w:rsid w:val="000D619B"/>
    <w:rsid w:val="000E2E5B"/>
    <w:rsid w:val="000E3ADA"/>
    <w:rsid w:val="000E4F8E"/>
    <w:rsid w:val="000F0D60"/>
    <w:rsid w:val="000F0E5C"/>
    <w:rsid w:val="000F3ED9"/>
    <w:rsid w:val="000F4FC6"/>
    <w:rsid w:val="000F4FD9"/>
    <w:rsid w:val="000F5261"/>
    <w:rsid w:val="000F5A16"/>
    <w:rsid w:val="001026DA"/>
    <w:rsid w:val="0010287F"/>
    <w:rsid w:val="00104933"/>
    <w:rsid w:val="00107EA1"/>
    <w:rsid w:val="001109F1"/>
    <w:rsid w:val="001143D2"/>
    <w:rsid w:val="0011602D"/>
    <w:rsid w:val="00121492"/>
    <w:rsid w:val="001221B6"/>
    <w:rsid w:val="001223E5"/>
    <w:rsid w:val="0012550A"/>
    <w:rsid w:val="001269D3"/>
    <w:rsid w:val="0012727E"/>
    <w:rsid w:val="00130407"/>
    <w:rsid w:val="00131ACB"/>
    <w:rsid w:val="00137860"/>
    <w:rsid w:val="00140B26"/>
    <w:rsid w:val="00142817"/>
    <w:rsid w:val="00147D51"/>
    <w:rsid w:val="0015121C"/>
    <w:rsid w:val="00156622"/>
    <w:rsid w:val="001600F3"/>
    <w:rsid w:val="00160A79"/>
    <w:rsid w:val="00160DCC"/>
    <w:rsid w:val="00161E03"/>
    <w:rsid w:val="00162A47"/>
    <w:rsid w:val="001674B1"/>
    <w:rsid w:val="001728B3"/>
    <w:rsid w:val="001761E2"/>
    <w:rsid w:val="00184DD1"/>
    <w:rsid w:val="00193E14"/>
    <w:rsid w:val="00194088"/>
    <w:rsid w:val="001940FC"/>
    <w:rsid w:val="0019589A"/>
    <w:rsid w:val="00196859"/>
    <w:rsid w:val="001A1B73"/>
    <w:rsid w:val="001A35A6"/>
    <w:rsid w:val="001A3D71"/>
    <w:rsid w:val="001A509C"/>
    <w:rsid w:val="001A5A70"/>
    <w:rsid w:val="001A6591"/>
    <w:rsid w:val="001B0860"/>
    <w:rsid w:val="001B7421"/>
    <w:rsid w:val="001C1E6F"/>
    <w:rsid w:val="001C473D"/>
    <w:rsid w:val="001C52F4"/>
    <w:rsid w:val="001C59C3"/>
    <w:rsid w:val="001C5D3D"/>
    <w:rsid w:val="001D109F"/>
    <w:rsid w:val="001D37EF"/>
    <w:rsid w:val="001D44D9"/>
    <w:rsid w:val="001E0D5D"/>
    <w:rsid w:val="001E4CD4"/>
    <w:rsid w:val="001E6BDE"/>
    <w:rsid w:val="001F375D"/>
    <w:rsid w:val="001F45F4"/>
    <w:rsid w:val="001F4861"/>
    <w:rsid w:val="001F4CC9"/>
    <w:rsid w:val="001F7DF3"/>
    <w:rsid w:val="001F7EDC"/>
    <w:rsid w:val="00202DCD"/>
    <w:rsid w:val="002032C1"/>
    <w:rsid w:val="002044A4"/>
    <w:rsid w:val="002045FB"/>
    <w:rsid w:val="00210AC6"/>
    <w:rsid w:val="00211365"/>
    <w:rsid w:val="00212F5F"/>
    <w:rsid w:val="00213927"/>
    <w:rsid w:val="00214945"/>
    <w:rsid w:val="0021754A"/>
    <w:rsid w:val="0022125B"/>
    <w:rsid w:val="00221FA8"/>
    <w:rsid w:val="0022423F"/>
    <w:rsid w:val="002310E5"/>
    <w:rsid w:val="00231438"/>
    <w:rsid w:val="00241844"/>
    <w:rsid w:val="0024731C"/>
    <w:rsid w:val="00250723"/>
    <w:rsid w:val="00256D66"/>
    <w:rsid w:val="00263F54"/>
    <w:rsid w:val="002677B5"/>
    <w:rsid w:val="002723EE"/>
    <w:rsid w:val="0027276C"/>
    <w:rsid w:val="00282B8E"/>
    <w:rsid w:val="0029544A"/>
    <w:rsid w:val="00297C76"/>
    <w:rsid w:val="002A0BF5"/>
    <w:rsid w:val="002A0D56"/>
    <w:rsid w:val="002A436E"/>
    <w:rsid w:val="002A7898"/>
    <w:rsid w:val="002B0F23"/>
    <w:rsid w:val="002B5947"/>
    <w:rsid w:val="002B5F5F"/>
    <w:rsid w:val="002B7AD0"/>
    <w:rsid w:val="002C00FB"/>
    <w:rsid w:val="002C175A"/>
    <w:rsid w:val="002C6601"/>
    <w:rsid w:val="002C75A4"/>
    <w:rsid w:val="002D4265"/>
    <w:rsid w:val="002D4E93"/>
    <w:rsid w:val="002D759F"/>
    <w:rsid w:val="002E3B99"/>
    <w:rsid w:val="002E3FF6"/>
    <w:rsid w:val="002E5E19"/>
    <w:rsid w:val="002E6E92"/>
    <w:rsid w:val="002F5360"/>
    <w:rsid w:val="002F5AD0"/>
    <w:rsid w:val="002F7C09"/>
    <w:rsid w:val="00301D90"/>
    <w:rsid w:val="0030691D"/>
    <w:rsid w:val="003103C0"/>
    <w:rsid w:val="00316362"/>
    <w:rsid w:val="003167EC"/>
    <w:rsid w:val="00317EA0"/>
    <w:rsid w:val="003203EA"/>
    <w:rsid w:val="0032691A"/>
    <w:rsid w:val="00326971"/>
    <w:rsid w:val="00327A16"/>
    <w:rsid w:val="00334609"/>
    <w:rsid w:val="0034047D"/>
    <w:rsid w:val="003410B5"/>
    <w:rsid w:val="00343280"/>
    <w:rsid w:val="00344F66"/>
    <w:rsid w:val="00346B1B"/>
    <w:rsid w:val="00347AA3"/>
    <w:rsid w:val="00350372"/>
    <w:rsid w:val="00351266"/>
    <w:rsid w:val="003514FB"/>
    <w:rsid w:val="00354495"/>
    <w:rsid w:val="00354816"/>
    <w:rsid w:val="00354F7B"/>
    <w:rsid w:val="003552F4"/>
    <w:rsid w:val="00361CC7"/>
    <w:rsid w:val="003727B2"/>
    <w:rsid w:val="00373A6F"/>
    <w:rsid w:val="00374898"/>
    <w:rsid w:val="00380E8B"/>
    <w:rsid w:val="00381F2A"/>
    <w:rsid w:val="003821AE"/>
    <w:rsid w:val="0038391A"/>
    <w:rsid w:val="003861EC"/>
    <w:rsid w:val="00386CC6"/>
    <w:rsid w:val="00387E8B"/>
    <w:rsid w:val="00391414"/>
    <w:rsid w:val="00391701"/>
    <w:rsid w:val="00394166"/>
    <w:rsid w:val="0039604A"/>
    <w:rsid w:val="0039637D"/>
    <w:rsid w:val="003A0E0F"/>
    <w:rsid w:val="003A1DF5"/>
    <w:rsid w:val="003A1E11"/>
    <w:rsid w:val="003A2662"/>
    <w:rsid w:val="003A33B5"/>
    <w:rsid w:val="003A6E37"/>
    <w:rsid w:val="003A753B"/>
    <w:rsid w:val="003B0374"/>
    <w:rsid w:val="003B262B"/>
    <w:rsid w:val="003B275E"/>
    <w:rsid w:val="003B3F41"/>
    <w:rsid w:val="003B6876"/>
    <w:rsid w:val="003C1124"/>
    <w:rsid w:val="003C412F"/>
    <w:rsid w:val="003C442B"/>
    <w:rsid w:val="003C55DB"/>
    <w:rsid w:val="003C592A"/>
    <w:rsid w:val="003C5AC1"/>
    <w:rsid w:val="003C65E7"/>
    <w:rsid w:val="003C6DA0"/>
    <w:rsid w:val="003D3992"/>
    <w:rsid w:val="003D4105"/>
    <w:rsid w:val="003D6AE9"/>
    <w:rsid w:val="003D6E4D"/>
    <w:rsid w:val="003E1E81"/>
    <w:rsid w:val="003E53C3"/>
    <w:rsid w:val="003E5A39"/>
    <w:rsid w:val="003F24C8"/>
    <w:rsid w:val="00400448"/>
    <w:rsid w:val="004026D3"/>
    <w:rsid w:val="00404089"/>
    <w:rsid w:val="00406DEC"/>
    <w:rsid w:val="0041089B"/>
    <w:rsid w:val="00410BEA"/>
    <w:rsid w:val="004112AC"/>
    <w:rsid w:val="00413CBE"/>
    <w:rsid w:val="00424765"/>
    <w:rsid w:val="00425EC7"/>
    <w:rsid w:val="004341F1"/>
    <w:rsid w:val="00437D38"/>
    <w:rsid w:val="004411D5"/>
    <w:rsid w:val="00442F1D"/>
    <w:rsid w:val="004462C2"/>
    <w:rsid w:val="004472DB"/>
    <w:rsid w:val="00447CE2"/>
    <w:rsid w:val="00447EDE"/>
    <w:rsid w:val="00452ADA"/>
    <w:rsid w:val="00452E94"/>
    <w:rsid w:val="00453E40"/>
    <w:rsid w:val="004554C9"/>
    <w:rsid w:val="004578C7"/>
    <w:rsid w:val="00457C93"/>
    <w:rsid w:val="004643AD"/>
    <w:rsid w:val="004673C4"/>
    <w:rsid w:val="00467608"/>
    <w:rsid w:val="0047207C"/>
    <w:rsid w:val="004736EB"/>
    <w:rsid w:val="00473942"/>
    <w:rsid w:val="00476295"/>
    <w:rsid w:val="00477B03"/>
    <w:rsid w:val="004838BE"/>
    <w:rsid w:val="00486EBB"/>
    <w:rsid w:val="00487952"/>
    <w:rsid w:val="004915F0"/>
    <w:rsid w:val="004A21C2"/>
    <w:rsid w:val="004A7878"/>
    <w:rsid w:val="004B11A1"/>
    <w:rsid w:val="004B7461"/>
    <w:rsid w:val="004D00E9"/>
    <w:rsid w:val="004D1A8D"/>
    <w:rsid w:val="004D4DE5"/>
    <w:rsid w:val="004D75A7"/>
    <w:rsid w:val="004E4170"/>
    <w:rsid w:val="004E4EB2"/>
    <w:rsid w:val="004E4F89"/>
    <w:rsid w:val="004E5284"/>
    <w:rsid w:val="004E7EC4"/>
    <w:rsid w:val="004F1187"/>
    <w:rsid w:val="004F2EE5"/>
    <w:rsid w:val="0050127F"/>
    <w:rsid w:val="0050247A"/>
    <w:rsid w:val="0050252D"/>
    <w:rsid w:val="00513AB6"/>
    <w:rsid w:val="00514574"/>
    <w:rsid w:val="00521240"/>
    <w:rsid w:val="00522761"/>
    <w:rsid w:val="00541070"/>
    <w:rsid w:val="00542D34"/>
    <w:rsid w:val="0054375E"/>
    <w:rsid w:val="00543B2E"/>
    <w:rsid w:val="00543CF1"/>
    <w:rsid w:val="005451F9"/>
    <w:rsid w:val="005544BE"/>
    <w:rsid w:val="00554826"/>
    <w:rsid w:val="005607ED"/>
    <w:rsid w:val="00561468"/>
    <w:rsid w:val="00562B39"/>
    <w:rsid w:val="005670D0"/>
    <w:rsid w:val="005729D6"/>
    <w:rsid w:val="00573512"/>
    <w:rsid w:val="00574B85"/>
    <w:rsid w:val="005765DE"/>
    <w:rsid w:val="00576A3B"/>
    <w:rsid w:val="005805A9"/>
    <w:rsid w:val="00584C67"/>
    <w:rsid w:val="00587F12"/>
    <w:rsid w:val="00591CDB"/>
    <w:rsid w:val="0059437F"/>
    <w:rsid w:val="005A11B0"/>
    <w:rsid w:val="005A4439"/>
    <w:rsid w:val="005B07FD"/>
    <w:rsid w:val="005B18CC"/>
    <w:rsid w:val="005B5E44"/>
    <w:rsid w:val="005C0996"/>
    <w:rsid w:val="005C0EF2"/>
    <w:rsid w:val="005C2283"/>
    <w:rsid w:val="005C7803"/>
    <w:rsid w:val="005D026E"/>
    <w:rsid w:val="005D2F62"/>
    <w:rsid w:val="005D7BAE"/>
    <w:rsid w:val="005D7CE0"/>
    <w:rsid w:val="005D7DED"/>
    <w:rsid w:val="005E2A1D"/>
    <w:rsid w:val="005E69D4"/>
    <w:rsid w:val="005F085E"/>
    <w:rsid w:val="005F1B7E"/>
    <w:rsid w:val="005F3F88"/>
    <w:rsid w:val="005F6BC3"/>
    <w:rsid w:val="005F791B"/>
    <w:rsid w:val="00600D94"/>
    <w:rsid w:val="00601000"/>
    <w:rsid w:val="00601AB2"/>
    <w:rsid w:val="00603693"/>
    <w:rsid w:val="00607DBB"/>
    <w:rsid w:val="00610C2F"/>
    <w:rsid w:val="00613BD3"/>
    <w:rsid w:val="00617091"/>
    <w:rsid w:val="00622812"/>
    <w:rsid w:val="006236C8"/>
    <w:rsid w:val="00624447"/>
    <w:rsid w:val="00627F1C"/>
    <w:rsid w:val="00633761"/>
    <w:rsid w:val="00633ACD"/>
    <w:rsid w:val="00634BC1"/>
    <w:rsid w:val="0064093B"/>
    <w:rsid w:val="006417D7"/>
    <w:rsid w:val="00641B17"/>
    <w:rsid w:val="00644C1B"/>
    <w:rsid w:val="00645F64"/>
    <w:rsid w:val="0064685B"/>
    <w:rsid w:val="0065056F"/>
    <w:rsid w:val="006514DC"/>
    <w:rsid w:val="00652524"/>
    <w:rsid w:val="006538B1"/>
    <w:rsid w:val="0065409A"/>
    <w:rsid w:val="00654E26"/>
    <w:rsid w:val="00655D4C"/>
    <w:rsid w:val="0066056A"/>
    <w:rsid w:val="00661BB3"/>
    <w:rsid w:val="0066255F"/>
    <w:rsid w:val="006643B9"/>
    <w:rsid w:val="0066479C"/>
    <w:rsid w:val="0066525C"/>
    <w:rsid w:val="00666C48"/>
    <w:rsid w:val="0067127E"/>
    <w:rsid w:val="00671E5B"/>
    <w:rsid w:val="00680CDB"/>
    <w:rsid w:val="006839B4"/>
    <w:rsid w:val="006864E1"/>
    <w:rsid w:val="00691ED0"/>
    <w:rsid w:val="00692122"/>
    <w:rsid w:val="006952DC"/>
    <w:rsid w:val="006A16BF"/>
    <w:rsid w:val="006A256A"/>
    <w:rsid w:val="006A3CE8"/>
    <w:rsid w:val="006A75A4"/>
    <w:rsid w:val="006A7B52"/>
    <w:rsid w:val="006B0923"/>
    <w:rsid w:val="006B18F6"/>
    <w:rsid w:val="006B34EF"/>
    <w:rsid w:val="006C2D8C"/>
    <w:rsid w:val="006C569A"/>
    <w:rsid w:val="006D41FC"/>
    <w:rsid w:val="006D455A"/>
    <w:rsid w:val="006D68D8"/>
    <w:rsid w:val="006D7FD9"/>
    <w:rsid w:val="006E325D"/>
    <w:rsid w:val="006E5672"/>
    <w:rsid w:val="006E599B"/>
    <w:rsid w:val="006F1377"/>
    <w:rsid w:val="006F13F8"/>
    <w:rsid w:val="00702DBB"/>
    <w:rsid w:val="007063B2"/>
    <w:rsid w:val="007103A9"/>
    <w:rsid w:val="0071371C"/>
    <w:rsid w:val="0071406D"/>
    <w:rsid w:val="00715BBC"/>
    <w:rsid w:val="00715D4D"/>
    <w:rsid w:val="00715DBE"/>
    <w:rsid w:val="00717BB3"/>
    <w:rsid w:val="00721ECF"/>
    <w:rsid w:val="0072452D"/>
    <w:rsid w:val="0072755C"/>
    <w:rsid w:val="007318F3"/>
    <w:rsid w:val="00731962"/>
    <w:rsid w:val="007335CD"/>
    <w:rsid w:val="0073591C"/>
    <w:rsid w:val="007413E2"/>
    <w:rsid w:val="0074503A"/>
    <w:rsid w:val="00747899"/>
    <w:rsid w:val="00752282"/>
    <w:rsid w:val="00761E3B"/>
    <w:rsid w:val="00763FEE"/>
    <w:rsid w:val="00764334"/>
    <w:rsid w:val="007660AA"/>
    <w:rsid w:val="00766555"/>
    <w:rsid w:val="00772F4B"/>
    <w:rsid w:val="00776610"/>
    <w:rsid w:val="00777AC7"/>
    <w:rsid w:val="007864AD"/>
    <w:rsid w:val="007872E3"/>
    <w:rsid w:val="00790B40"/>
    <w:rsid w:val="00794463"/>
    <w:rsid w:val="00794BDE"/>
    <w:rsid w:val="007A4DC3"/>
    <w:rsid w:val="007A6D89"/>
    <w:rsid w:val="007B0AB8"/>
    <w:rsid w:val="007B0C3A"/>
    <w:rsid w:val="007B2DEC"/>
    <w:rsid w:val="007B2FA6"/>
    <w:rsid w:val="007B6E50"/>
    <w:rsid w:val="007C38B6"/>
    <w:rsid w:val="007C72F2"/>
    <w:rsid w:val="007D0899"/>
    <w:rsid w:val="007D248A"/>
    <w:rsid w:val="007E04F4"/>
    <w:rsid w:val="007E1126"/>
    <w:rsid w:val="007E2628"/>
    <w:rsid w:val="007F3B62"/>
    <w:rsid w:val="007F3DF6"/>
    <w:rsid w:val="007F7F70"/>
    <w:rsid w:val="00803612"/>
    <w:rsid w:val="00804F8A"/>
    <w:rsid w:val="00805860"/>
    <w:rsid w:val="008058DF"/>
    <w:rsid w:val="0080613B"/>
    <w:rsid w:val="00814B28"/>
    <w:rsid w:val="0081661C"/>
    <w:rsid w:val="008166C0"/>
    <w:rsid w:val="008208D9"/>
    <w:rsid w:val="00820FF8"/>
    <w:rsid w:val="00821CDA"/>
    <w:rsid w:val="008224C5"/>
    <w:rsid w:val="008225BE"/>
    <w:rsid w:val="008238AB"/>
    <w:rsid w:val="00827EB4"/>
    <w:rsid w:val="00833ADF"/>
    <w:rsid w:val="008345AD"/>
    <w:rsid w:val="00834902"/>
    <w:rsid w:val="00834930"/>
    <w:rsid w:val="008349E3"/>
    <w:rsid w:val="008349E4"/>
    <w:rsid w:val="00841DBC"/>
    <w:rsid w:val="00853416"/>
    <w:rsid w:val="008603AA"/>
    <w:rsid w:val="008607AF"/>
    <w:rsid w:val="008612CD"/>
    <w:rsid w:val="00862AE8"/>
    <w:rsid w:val="00867462"/>
    <w:rsid w:val="00870913"/>
    <w:rsid w:val="00870B42"/>
    <w:rsid w:val="00871538"/>
    <w:rsid w:val="00880434"/>
    <w:rsid w:val="00882809"/>
    <w:rsid w:val="0088376D"/>
    <w:rsid w:val="0088578B"/>
    <w:rsid w:val="00895A81"/>
    <w:rsid w:val="00896F5A"/>
    <w:rsid w:val="008A0A96"/>
    <w:rsid w:val="008A0AD6"/>
    <w:rsid w:val="008A3752"/>
    <w:rsid w:val="008A5F95"/>
    <w:rsid w:val="008A65E0"/>
    <w:rsid w:val="008B01C9"/>
    <w:rsid w:val="008B6FE0"/>
    <w:rsid w:val="008C1EFC"/>
    <w:rsid w:val="008C2730"/>
    <w:rsid w:val="008C2FFD"/>
    <w:rsid w:val="008C6227"/>
    <w:rsid w:val="008C6C9A"/>
    <w:rsid w:val="008D047C"/>
    <w:rsid w:val="008E0DCC"/>
    <w:rsid w:val="008E2695"/>
    <w:rsid w:val="008E4112"/>
    <w:rsid w:val="008E50F4"/>
    <w:rsid w:val="008E73D1"/>
    <w:rsid w:val="008F094B"/>
    <w:rsid w:val="008F10A4"/>
    <w:rsid w:val="008F3DE8"/>
    <w:rsid w:val="00902611"/>
    <w:rsid w:val="00903B8B"/>
    <w:rsid w:val="009065C1"/>
    <w:rsid w:val="009110E8"/>
    <w:rsid w:val="00911B05"/>
    <w:rsid w:val="009148E0"/>
    <w:rsid w:val="00915829"/>
    <w:rsid w:val="009160C0"/>
    <w:rsid w:val="00920CA8"/>
    <w:rsid w:val="00925CF0"/>
    <w:rsid w:val="00926AF8"/>
    <w:rsid w:val="00930556"/>
    <w:rsid w:val="00937192"/>
    <w:rsid w:val="00940085"/>
    <w:rsid w:val="0094549F"/>
    <w:rsid w:val="00946909"/>
    <w:rsid w:val="00947478"/>
    <w:rsid w:val="00951566"/>
    <w:rsid w:val="0095211D"/>
    <w:rsid w:val="009545E4"/>
    <w:rsid w:val="00957589"/>
    <w:rsid w:val="0095784E"/>
    <w:rsid w:val="009617BE"/>
    <w:rsid w:val="009656AD"/>
    <w:rsid w:val="009673F0"/>
    <w:rsid w:val="009678C6"/>
    <w:rsid w:val="00973B40"/>
    <w:rsid w:val="0098114E"/>
    <w:rsid w:val="00985AAC"/>
    <w:rsid w:val="00987DFB"/>
    <w:rsid w:val="00990436"/>
    <w:rsid w:val="00994F0A"/>
    <w:rsid w:val="00996F89"/>
    <w:rsid w:val="009A1BE9"/>
    <w:rsid w:val="009A305C"/>
    <w:rsid w:val="009A364E"/>
    <w:rsid w:val="009B131E"/>
    <w:rsid w:val="009B2C2C"/>
    <w:rsid w:val="009B369A"/>
    <w:rsid w:val="009B6A6C"/>
    <w:rsid w:val="009B7521"/>
    <w:rsid w:val="009B7C63"/>
    <w:rsid w:val="009D1058"/>
    <w:rsid w:val="009D357E"/>
    <w:rsid w:val="009D58A6"/>
    <w:rsid w:val="009D6925"/>
    <w:rsid w:val="009E00D2"/>
    <w:rsid w:val="009E2606"/>
    <w:rsid w:val="009E2B2A"/>
    <w:rsid w:val="009E71F3"/>
    <w:rsid w:val="009F12E9"/>
    <w:rsid w:val="009F2207"/>
    <w:rsid w:val="009F4049"/>
    <w:rsid w:val="009F595D"/>
    <w:rsid w:val="00A05720"/>
    <w:rsid w:val="00A06944"/>
    <w:rsid w:val="00A1020B"/>
    <w:rsid w:val="00A10BB2"/>
    <w:rsid w:val="00A13D50"/>
    <w:rsid w:val="00A168D2"/>
    <w:rsid w:val="00A17836"/>
    <w:rsid w:val="00A218D7"/>
    <w:rsid w:val="00A21A2E"/>
    <w:rsid w:val="00A22E06"/>
    <w:rsid w:val="00A26180"/>
    <w:rsid w:val="00A26379"/>
    <w:rsid w:val="00A273F5"/>
    <w:rsid w:val="00A2773F"/>
    <w:rsid w:val="00A30F2B"/>
    <w:rsid w:val="00A36D42"/>
    <w:rsid w:val="00A3779C"/>
    <w:rsid w:val="00A41B78"/>
    <w:rsid w:val="00A436EF"/>
    <w:rsid w:val="00A44F62"/>
    <w:rsid w:val="00A452BE"/>
    <w:rsid w:val="00A45F20"/>
    <w:rsid w:val="00A517D7"/>
    <w:rsid w:val="00A52009"/>
    <w:rsid w:val="00A563D1"/>
    <w:rsid w:val="00A60B9A"/>
    <w:rsid w:val="00A60E17"/>
    <w:rsid w:val="00A628F8"/>
    <w:rsid w:val="00A642F8"/>
    <w:rsid w:val="00A648F4"/>
    <w:rsid w:val="00A65C64"/>
    <w:rsid w:val="00A734DF"/>
    <w:rsid w:val="00A8364F"/>
    <w:rsid w:val="00A8577E"/>
    <w:rsid w:val="00A8654B"/>
    <w:rsid w:val="00A91130"/>
    <w:rsid w:val="00A936F2"/>
    <w:rsid w:val="00AA23CE"/>
    <w:rsid w:val="00AA38D7"/>
    <w:rsid w:val="00AA3DDD"/>
    <w:rsid w:val="00AA7326"/>
    <w:rsid w:val="00AB053C"/>
    <w:rsid w:val="00AB1133"/>
    <w:rsid w:val="00AB3A54"/>
    <w:rsid w:val="00AB424D"/>
    <w:rsid w:val="00AB4BD5"/>
    <w:rsid w:val="00AB5830"/>
    <w:rsid w:val="00AB5BD4"/>
    <w:rsid w:val="00AB5D30"/>
    <w:rsid w:val="00AC1F00"/>
    <w:rsid w:val="00AC3DE1"/>
    <w:rsid w:val="00AC479E"/>
    <w:rsid w:val="00AC5610"/>
    <w:rsid w:val="00AC5981"/>
    <w:rsid w:val="00AC6746"/>
    <w:rsid w:val="00AC782E"/>
    <w:rsid w:val="00AC7C4D"/>
    <w:rsid w:val="00AD276F"/>
    <w:rsid w:val="00AD63B2"/>
    <w:rsid w:val="00AD6B5C"/>
    <w:rsid w:val="00AE0FCF"/>
    <w:rsid w:val="00AE2B60"/>
    <w:rsid w:val="00AE42A9"/>
    <w:rsid w:val="00AE5542"/>
    <w:rsid w:val="00AF3180"/>
    <w:rsid w:val="00AF630B"/>
    <w:rsid w:val="00B01640"/>
    <w:rsid w:val="00B028E1"/>
    <w:rsid w:val="00B05392"/>
    <w:rsid w:val="00B077C0"/>
    <w:rsid w:val="00B100EE"/>
    <w:rsid w:val="00B137D0"/>
    <w:rsid w:val="00B16BFB"/>
    <w:rsid w:val="00B17DD0"/>
    <w:rsid w:val="00B17E68"/>
    <w:rsid w:val="00B21533"/>
    <w:rsid w:val="00B21D28"/>
    <w:rsid w:val="00B239C9"/>
    <w:rsid w:val="00B24BA5"/>
    <w:rsid w:val="00B31A1B"/>
    <w:rsid w:val="00B33A31"/>
    <w:rsid w:val="00B35CDA"/>
    <w:rsid w:val="00B35EF8"/>
    <w:rsid w:val="00B40A98"/>
    <w:rsid w:val="00B50C7D"/>
    <w:rsid w:val="00B51B60"/>
    <w:rsid w:val="00B62D85"/>
    <w:rsid w:val="00B7593F"/>
    <w:rsid w:val="00B77EA1"/>
    <w:rsid w:val="00B84320"/>
    <w:rsid w:val="00B91865"/>
    <w:rsid w:val="00B91E85"/>
    <w:rsid w:val="00B932EB"/>
    <w:rsid w:val="00B941C8"/>
    <w:rsid w:val="00B94900"/>
    <w:rsid w:val="00B9788A"/>
    <w:rsid w:val="00BA2903"/>
    <w:rsid w:val="00BA3CD8"/>
    <w:rsid w:val="00BB04B4"/>
    <w:rsid w:val="00BB298D"/>
    <w:rsid w:val="00BB324E"/>
    <w:rsid w:val="00BB75D2"/>
    <w:rsid w:val="00BC1EE2"/>
    <w:rsid w:val="00BC2436"/>
    <w:rsid w:val="00BC6228"/>
    <w:rsid w:val="00BC7B07"/>
    <w:rsid w:val="00BD1191"/>
    <w:rsid w:val="00BD60E9"/>
    <w:rsid w:val="00BD7261"/>
    <w:rsid w:val="00BD7584"/>
    <w:rsid w:val="00BE2D19"/>
    <w:rsid w:val="00BE4BC8"/>
    <w:rsid w:val="00BE4F1E"/>
    <w:rsid w:val="00BE5C99"/>
    <w:rsid w:val="00BE6E2C"/>
    <w:rsid w:val="00BF29DD"/>
    <w:rsid w:val="00BF642C"/>
    <w:rsid w:val="00BF6B94"/>
    <w:rsid w:val="00C009A6"/>
    <w:rsid w:val="00C014E2"/>
    <w:rsid w:val="00C0311A"/>
    <w:rsid w:val="00C039B4"/>
    <w:rsid w:val="00C06743"/>
    <w:rsid w:val="00C06839"/>
    <w:rsid w:val="00C06893"/>
    <w:rsid w:val="00C11E44"/>
    <w:rsid w:val="00C24FC9"/>
    <w:rsid w:val="00C26149"/>
    <w:rsid w:val="00C27C06"/>
    <w:rsid w:val="00C412B6"/>
    <w:rsid w:val="00C44362"/>
    <w:rsid w:val="00C4466D"/>
    <w:rsid w:val="00C44E97"/>
    <w:rsid w:val="00C462A1"/>
    <w:rsid w:val="00C52AE9"/>
    <w:rsid w:val="00C5442B"/>
    <w:rsid w:val="00C5581B"/>
    <w:rsid w:val="00C5737B"/>
    <w:rsid w:val="00C5744B"/>
    <w:rsid w:val="00C6096B"/>
    <w:rsid w:val="00C611B1"/>
    <w:rsid w:val="00C62CBF"/>
    <w:rsid w:val="00C65201"/>
    <w:rsid w:val="00C73A22"/>
    <w:rsid w:val="00C74FBB"/>
    <w:rsid w:val="00C81A0B"/>
    <w:rsid w:val="00C8450F"/>
    <w:rsid w:val="00C849EA"/>
    <w:rsid w:val="00C866C5"/>
    <w:rsid w:val="00C922EE"/>
    <w:rsid w:val="00CA0F9D"/>
    <w:rsid w:val="00CA3EC1"/>
    <w:rsid w:val="00CA4175"/>
    <w:rsid w:val="00CA7FB5"/>
    <w:rsid w:val="00CB002C"/>
    <w:rsid w:val="00CB202A"/>
    <w:rsid w:val="00CB26C4"/>
    <w:rsid w:val="00CB7AF5"/>
    <w:rsid w:val="00CC4630"/>
    <w:rsid w:val="00CC71BE"/>
    <w:rsid w:val="00CC771D"/>
    <w:rsid w:val="00CD3EEF"/>
    <w:rsid w:val="00CE3ECA"/>
    <w:rsid w:val="00CE5E05"/>
    <w:rsid w:val="00CE6349"/>
    <w:rsid w:val="00CF2F9F"/>
    <w:rsid w:val="00CF43DC"/>
    <w:rsid w:val="00CF4790"/>
    <w:rsid w:val="00D069F6"/>
    <w:rsid w:val="00D07B11"/>
    <w:rsid w:val="00D21998"/>
    <w:rsid w:val="00D257B0"/>
    <w:rsid w:val="00D262BE"/>
    <w:rsid w:val="00D26E0C"/>
    <w:rsid w:val="00D308EF"/>
    <w:rsid w:val="00D32469"/>
    <w:rsid w:val="00D3392F"/>
    <w:rsid w:val="00D3459C"/>
    <w:rsid w:val="00D3684C"/>
    <w:rsid w:val="00D372C1"/>
    <w:rsid w:val="00D37555"/>
    <w:rsid w:val="00D37B7F"/>
    <w:rsid w:val="00D42348"/>
    <w:rsid w:val="00D458B1"/>
    <w:rsid w:val="00D459E3"/>
    <w:rsid w:val="00D467F9"/>
    <w:rsid w:val="00D538A8"/>
    <w:rsid w:val="00D54F47"/>
    <w:rsid w:val="00D5569F"/>
    <w:rsid w:val="00D563EB"/>
    <w:rsid w:val="00D6139E"/>
    <w:rsid w:val="00D61CA8"/>
    <w:rsid w:val="00D62AD8"/>
    <w:rsid w:val="00D66EAA"/>
    <w:rsid w:val="00D73F62"/>
    <w:rsid w:val="00D75B5F"/>
    <w:rsid w:val="00D75D03"/>
    <w:rsid w:val="00D77AFC"/>
    <w:rsid w:val="00D85F30"/>
    <w:rsid w:val="00D87030"/>
    <w:rsid w:val="00D9087B"/>
    <w:rsid w:val="00D90EFE"/>
    <w:rsid w:val="00D9265F"/>
    <w:rsid w:val="00D93C17"/>
    <w:rsid w:val="00D9457C"/>
    <w:rsid w:val="00D964FC"/>
    <w:rsid w:val="00DA3A2D"/>
    <w:rsid w:val="00DA7C1F"/>
    <w:rsid w:val="00DB0ADC"/>
    <w:rsid w:val="00DB0DB4"/>
    <w:rsid w:val="00DB4FCB"/>
    <w:rsid w:val="00DB558D"/>
    <w:rsid w:val="00DB6105"/>
    <w:rsid w:val="00DC1DFB"/>
    <w:rsid w:val="00DC375C"/>
    <w:rsid w:val="00DC5496"/>
    <w:rsid w:val="00DC6962"/>
    <w:rsid w:val="00DD0515"/>
    <w:rsid w:val="00DD0AF9"/>
    <w:rsid w:val="00DD1CB3"/>
    <w:rsid w:val="00DD2BE7"/>
    <w:rsid w:val="00DD5FC8"/>
    <w:rsid w:val="00DE10FF"/>
    <w:rsid w:val="00DE2511"/>
    <w:rsid w:val="00DE519A"/>
    <w:rsid w:val="00DE5C55"/>
    <w:rsid w:val="00DE6782"/>
    <w:rsid w:val="00DE74B8"/>
    <w:rsid w:val="00DE79C7"/>
    <w:rsid w:val="00DF27F0"/>
    <w:rsid w:val="00DF2924"/>
    <w:rsid w:val="00DF5C15"/>
    <w:rsid w:val="00E002BC"/>
    <w:rsid w:val="00E023EA"/>
    <w:rsid w:val="00E03EB1"/>
    <w:rsid w:val="00E07CD8"/>
    <w:rsid w:val="00E12679"/>
    <w:rsid w:val="00E12FAE"/>
    <w:rsid w:val="00E2121C"/>
    <w:rsid w:val="00E22FA8"/>
    <w:rsid w:val="00E252E6"/>
    <w:rsid w:val="00E25601"/>
    <w:rsid w:val="00E25610"/>
    <w:rsid w:val="00E2612E"/>
    <w:rsid w:val="00E27F62"/>
    <w:rsid w:val="00E35B17"/>
    <w:rsid w:val="00E37C7E"/>
    <w:rsid w:val="00E403C9"/>
    <w:rsid w:val="00E412F3"/>
    <w:rsid w:val="00E46C4E"/>
    <w:rsid w:val="00E50562"/>
    <w:rsid w:val="00E522F6"/>
    <w:rsid w:val="00E630B0"/>
    <w:rsid w:val="00E670D1"/>
    <w:rsid w:val="00E7077F"/>
    <w:rsid w:val="00E72F02"/>
    <w:rsid w:val="00E76816"/>
    <w:rsid w:val="00E7688B"/>
    <w:rsid w:val="00E81A24"/>
    <w:rsid w:val="00E81ABC"/>
    <w:rsid w:val="00E8222D"/>
    <w:rsid w:val="00E8632D"/>
    <w:rsid w:val="00E86ABB"/>
    <w:rsid w:val="00E925EE"/>
    <w:rsid w:val="00E929BA"/>
    <w:rsid w:val="00E948D2"/>
    <w:rsid w:val="00E966E6"/>
    <w:rsid w:val="00EA06E8"/>
    <w:rsid w:val="00EA3DBA"/>
    <w:rsid w:val="00EB4DDD"/>
    <w:rsid w:val="00EB72DC"/>
    <w:rsid w:val="00EC028E"/>
    <w:rsid w:val="00EC0B96"/>
    <w:rsid w:val="00EC37C5"/>
    <w:rsid w:val="00ED0389"/>
    <w:rsid w:val="00ED3590"/>
    <w:rsid w:val="00ED5156"/>
    <w:rsid w:val="00ED5478"/>
    <w:rsid w:val="00EE007E"/>
    <w:rsid w:val="00EE0438"/>
    <w:rsid w:val="00EE7D07"/>
    <w:rsid w:val="00EF2699"/>
    <w:rsid w:val="00EF4CE7"/>
    <w:rsid w:val="00F00111"/>
    <w:rsid w:val="00F04A14"/>
    <w:rsid w:val="00F04FFC"/>
    <w:rsid w:val="00F05CC5"/>
    <w:rsid w:val="00F1570F"/>
    <w:rsid w:val="00F213F6"/>
    <w:rsid w:val="00F24073"/>
    <w:rsid w:val="00F24C40"/>
    <w:rsid w:val="00F25179"/>
    <w:rsid w:val="00F25AF9"/>
    <w:rsid w:val="00F25B37"/>
    <w:rsid w:val="00F265B6"/>
    <w:rsid w:val="00F303C4"/>
    <w:rsid w:val="00F30D3D"/>
    <w:rsid w:val="00F330F4"/>
    <w:rsid w:val="00F371E0"/>
    <w:rsid w:val="00F41844"/>
    <w:rsid w:val="00F41F4F"/>
    <w:rsid w:val="00F459BD"/>
    <w:rsid w:val="00F51215"/>
    <w:rsid w:val="00F51487"/>
    <w:rsid w:val="00F538F9"/>
    <w:rsid w:val="00F61C3B"/>
    <w:rsid w:val="00F626CF"/>
    <w:rsid w:val="00F63F75"/>
    <w:rsid w:val="00F64ECE"/>
    <w:rsid w:val="00F66145"/>
    <w:rsid w:val="00F70A69"/>
    <w:rsid w:val="00F70CBF"/>
    <w:rsid w:val="00F84F7D"/>
    <w:rsid w:val="00F87327"/>
    <w:rsid w:val="00F92134"/>
    <w:rsid w:val="00F94819"/>
    <w:rsid w:val="00FA67D2"/>
    <w:rsid w:val="00FA7520"/>
    <w:rsid w:val="00FB0573"/>
    <w:rsid w:val="00FB3F7B"/>
    <w:rsid w:val="00FB60FA"/>
    <w:rsid w:val="00FC5118"/>
    <w:rsid w:val="00FD1A11"/>
    <w:rsid w:val="00FE3B1A"/>
    <w:rsid w:val="00FF6914"/>
    <w:rsid w:val="00FF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3636D"/>
  <w15:chartTrackingRefBased/>
  <w15:docId w15:val="{E5AD79AF-A202-4047-8476-416E5C168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2A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nt0">
    <w:name w:val="fnt0"/>
    <w:rsid w:val="00C462A1"/>
    <w:rPr>
      <w:color w:val="00000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5F3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F88"/>
  </w:style>
  <w:style w:type="paragraph" w:styleId="Footer">
    <w:name w:val="footer"/>
    <w:basedOn w:val="Normal"/>
    <w:link w:val="FooterChar"/>
    <w:uiPriority w:val="99"/>
    <w:unhideWhenUsed/>
    <w:rsid w:val="005F3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F88"/>
  </w:style>
  <w:style w:type="character" w:styleId="Hyperlink">
    <w:name w:val="Hyperlink"/>
    <w:basedOn w:val="DefaultParagraphFont"/>
    <w:uiPriority w:val="99"/>
    <w:unhideWhenUsed/>
    <w:rsid w:val="00715B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BB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2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2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2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7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11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1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54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15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4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3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48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75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44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005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70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56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43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85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488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oi.org/10.1504/IJTEL.2012.051816" TargetMode="External"/><Relationship Id="rId18" Type="http://schemas.openxmlformats.org/officeDocument/2006/relationships/hyperlink" Target="https://doi.org/10.46504/14201903zi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yperlink" Target="https://doi.org/10.1016/j.ifacol.2015.05.197" TargetMode="External"/><Relationship Id="rId17" Type="http://schemas.openxmlformats.org/officeDocument/2006/relationships/hyperlink" Target="https://doi.org/10.24059/olj.v20i2.79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16/j.compedu.2009.05.010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yperlink" Target="https://doi.org/10.1111/bjet.12720" TargetMode="External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doi.org/10.1016/j.iheduc.2010.07.007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ott\OneDrive\Documents\Custom%20Office%20Templates\APA-Cover-Page-Template-New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APA-Cover-Page-Template-New.dotm</Template>
  <TotalTime>1018</TotalTime>
  <Pages>11</Pages>
  <Words>2861</Words>
  <Characters>16314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Scott Miner</cp:lastModifiedBy>
  <cp:revision>874</cp:revision>
  <dcterms:created xsi:type="dcterms:W3CDTF">2020-09-27T04:54:00Z</dcterms:created>
  <dcterms:modified xsi:type="dcterms:W3CDTF">2020-10-02T12:41:00Z</dcterms:modified>
</cp:coreProperties>
</file>