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sz w:val="60"/>
        </w:rPr>
        <w:t>学 术 综 述</w:t>
      </w:r>
    </w:p>
    <w:p/>
    <w:p>
      <w:pPr>
        <w:jc w:val="center"/>
      </w:pPr>
      <w:r>
        <w:rPr>
          <w:rFonts w:ascii="Times New Roman" w:hAnsi="Times New Roman" w:eastAsia="黑体"/>
          <w:b/>
          <w:sz w:val="48"/>
        </w:rPr>
        <w:t>叠层铝固态聚合物电容器</w:t>
      </w:r>
    </w:p>
    <w:p>
      <w:pPr>
        <w:jc w:val="center"/>
      </w:pPr>
      <w:r>
        <w:rPr>
          <w:rFonts w:ascii="Times New Roman" w:hAnsi="Times New Roman" w:eastAsia="黑体"/>
          <w:b/>
          <w:sz w:val="36"/>
        </w:rPr>
        <w:t>制造工艺、失效行为与可靠性建模研究进展</w:t>
      </w:r>
    </w:p>
    <w:p/>
    <w:p>
      <w:pPr>
        <w:jc w:val="center"/>
      </w:pPr>
      <w:r>
        <w:rPr>
          <w:rFonts w:ascii="Times New Roman" w:hAnsi="Times New Roman" w:eastAsia="Times New Roman"/>
          <w:b w:val="0"/>
          <w:sz w:val="28"/>
        </w:rPr>
        <w:t>Stacked Aluminum Polymer Capacitors:</w:t>
      </w:r>
    </w:p>
    <w:p>
      <w:pPr>
        <w:jc w:val="center"/>
      </w:pPr>
      <w:r>
        <w:rPr>
          <w:rFonts w:ascii="Times New Roman" w:hAnsi="Times New Roman" w:eastAsia="Times New Roman"/>
          <w:b w:val="0"/>
          <w:sz w:val="28"/>
        </w:rPr>
        <w:t>A Review of Manufacturing, Failure Behavior and Reliability Modeling</w:t>
      </w:r>
    </w:p>
    <w:p/>
    <w:p/>
    <w:p/>
    <w:p/>
    <w:p/>
    <w:p/>
    <w:p>
      <w:pPr>
        <w:jc w:val="center"/>
      </w:pPr>
      <w:r>
        <w:rPr>
          <w:rFonts w:ascii="Times New Roman" w:hAnsi="Times New Roman" w:eastAsia="宋体"/>
          <w:b w:val="0"/>
          <w:sz w:val="26"/>
        </w:rPr>
        <w:t>综述类别：被动元器件专题综述</w:t>
      </w:r>
    </w:p>
    <w:p>
      <w:pPr>
        <w:jc w:val="center"/>
      </w:pPr>
      <w:r>
        <w:rPr>
          <w:rFonts w:ascii="Times New Roman" w:hAnsi="Times New Roman" w:eastAsia="宋体"/>
          <w:b w:val="0"/>
          <w:sz w:val="26"/>
        </w:rPr>
        <w:t>研究领域：电子元器件可靠性工程 · 导电聚合物材料</w:t>
      </w:r>
    </w:p>
    <w:p>
      <w:pPr>
        <w:jc w:val="center"/>
      </w:pPr>
      <w:r>
        <w:rPr>
          <w:rFonts w:ascii="Times New Roman" w:hAnsi="Times New Roman" w:eastAsia="宋体"/>
          <w:b w:val="0"/>
          <w:sz w:val="26"/>
        </w:rPr>
        <w:t>关键词：叠层铝聚合物电容器;PEDOT;失效机理;可靠性建模;寿命预测</w:t>
      </w:r>
    </w:p>
    <w:p>
      <w:pPr>
        <w:jc w:val="center"/>
      </w:pPr>
      <w:r>
        <w:rPr>
          <w:rFonts w:ascii="Times New Roman" w:hAnsi="Times New Roman" w:eastAsia="宋体"/>
          <w:b w:val="0"/>
          <w:sz w:val="26"/>
        </w:rPr>
        <w:t>版本：v1.0</w:t>
      </w:r>
    </w:p>
    <w:p>
      <w:pPr>
        <w:jc w:val="center"/>
      </w:pPr>
      <w:r>
        <w:rPr>
          <w:rFonts w:ascii="Times New Roman" w:hAnsi="Times New Roman" w:eastAsia="宋体"/>
          <w:b w:val="0"/>
          <w:sz w:val="26"/>
        </w:rPr>
        <w:t>完成时间：2026 年 5 月</w:t>
      </w:r>
    </w:p>
    <w:p>
      <w:r>
        <w:br w:type="page"/>
      </w:r>
    </w:p>
    <w:p>
      <w:pPr>
        <w:spacing w:before="200" w:after="100"/>
        <w:jc w:val="center"/>
        <w:outlineLvl w:val="0"/>
      </w:pPr>
      <w:r>
        <w:rPr>
          <w:rFonts w:ascii="Times New Roman" w:hAnsi="Times New Roman" w:eastAsia="黑体"/>
          <w:b/>
          <w:sz w:val="44"/>
        </w:rPr>
        <w:t>摘  要</w:t>
      </w:r>
    </w:p>
    <w:p>
      <w:pPr>
        <w:spacing w:line="360" w:lineRule="auto" w:after="40"/>
        <w:ind w:firstLine="420"/>
        <w:jc w:val="both"/>
      </w:pPr>
      <w:r>
        <w:rPr>
          <w:rFonts w:ascii="Times New Roman" w:hAnsi="Times New Roman" w:eastAsia="宋体"/>
          <w:b w:val="0"/>
          <w:sz w:val="21"/>
        </w:rPr>
        <w:t>叠层铝固态聚合物电容器 (Stacked Aluminum Polymer Capacitor, SAPC) 采用多片蚀刻铝阳极箔共模叠层、以 PEDOT 等导电聚合物作为阴极、铜引线框架封装而成，是近二十年伴随 CPU/GPU 电压调节模块 (VRM)、5G 通信电源、AI 服务器供电与电动汽车低压域而兴起的高端被动元件。相较于传统的液态铝电解电容器，SAPC 以"去电解液、低 ESR、高纹波电流承载能力、无干涸寿命限制"为核心竞争力；相较于贴片型钽聚合物电容器，SAPC 以"无浪涌燃烧风险、体积比容量更高、成本更低"为技术优势；相较于大容量 MLCC，SAPC 以"无 DC 偏置效应、无压电噪声、容量密度更高"为差异化定位。正因具备上述优点，Panasonic SP-Cap、Nichicon LV、Sun Electronic Industries (Sanyo/POSCAP 系列)、KEMET A700/A750、Kyocera-AVX APV、Chemi-Con PSG/PSF 等系列已在全球高端供电系统中广泛铺设。</w:t>
      </w:r>
    </w:p>
    <w:p>
      <w:pPr>
        <w:spacing w:line="360" w:lineRule="auto" w:after="40"/>
        <w:ind w:firstLine="420"/>
        <w:jc w:val="both"/>
      </w:pPr>
      <w:r>
        <w:rPr>
          <w:rFonts w:ascii="Times New Roman" w:hAnsi="Times New Roman" w:eastAsia="宋体"/>
          <w:b w:val="0"/>
          <w:sz w:val="21"/>
        </w:rPr>
        <w:t>然而，在其商用化进程中，SAPC 的可靠性表现出明显不同于液态电解电容的新型失效行为：2017 年 CALCE 实验室 Liu 与 Pecht 发表于 IEEE Transactions on Components, Packaging and Manufacturing Technology 的工作首次系统报告了在 85°C/85%RH 高温高湿偏压下，不同制造商 SAPC 分别表现出 "ESR 急剧上升" 与 "漏电流 (LC) 跑飞" 两种主导退化模式；2020 年马里兰大学博士论文进一步证实封装几何结构（分层数、密封胶覆盖度、引线框开口度）对水汽驱动退化具有一阶影响；2024 年 NASA NEPP 实验室 Teverovsky 博士发表的 Stress Testing of Chip Aluminum Polymer Capacitors (HALT) 报告给出了 85°C、125°C 下 1.2~1.9 倍额定电压的激活能与电压指数估计；KEMET、Nichicon、Panasonic 等厂商的白皮书进一步揭示了 PEDOT 阴极在 85°C/85%RH 下的热氧化分解、PSS 酸性水解、涂层与 Al₂O₃ 界面热机械分层等核心机理。</w:t>
      </w:r>
    </w:p>
    <w:p>
      <w:pPr>
        <w:spacing w:line="360" w:lineRule="auto" w:after="40"/>
        <w:ind w:firstLine="420"/>
        <w:jc w:val="both"/>
      </w:pPr>
      <w:r>
        <w:rPr>
          <w:rFonts w:ascii="Times New Roman" w:hAnsi="Times New Roman" w:eastAsia="宋体"/>
          <w:b w:val="0"/>
          <w:sz w:val="21"/>
        </w:rPr>
        <w:t>本综述以 SAPC 器件为主线，围绕"制造工艺 — 表征方法 — 失效模式 — 失效机理 — 可靠性建模 — 工艺改进"的研究链条，系统梳理了近二十年国内外的代表性工作并结合最新的 2023—2025 年研究进展展开评述。全文分为 8 章：第 1 章 绪论给出 SAPC 的演化脉络与其在电力电子体系中的定位；第 2 章 结构、材料与基本原理阐明 SAPC 各功能层的物理化学角色与等效电路模型；第 3 章 制造工艺详细分析了蚀刻、化成、聚合物阴极沉积 (在位化学聚合 in-situ、预聚合分散 pre-polymerized dispersion、气相聚合 vapor-phase polymerization VPP)、叠层烧结、封装密封等关键工序的工艺参数与可靠性耦合；第 4 章 表征方法系统总结了电学参数 (C / ESR / DF / LC)、EIS 阻抗谱、X 射线 CT、SEM/TEM/EDS、DSC/TGA、FT-IR/XPS 等手段在 SAPC 上的应用特点；第 5 章 失效模式将 SAPC 的失效按 "开路/短路/参数漂移/外观" 四个维度进行系统分类；第 6 章 失效机理深入讨论了 PEDOT 热氧化、PSS 水解、界面分层、Al₂O₃ 阳极膜场致破坏、自愈/反向自愈、浪涌击穿等物理化学机理；第 7 章 可靠性建模评述了 Weibull/对数正态统计模型、Arrhenius/逆幂律/广义 Eyring 加速模型、Physics-of-Failure 模型以及最新的 CNN-LSTM、PINN 等数据驱动方法；第 8 章 工艺改进则从材料、工艺、封装、系统层级给出具有定量指导意义的可靠性增强策略。</w:t>
      </w:r>
    </w:p>
    <w:p>
      <w:pPr>
        <w:spacing w:line="360" w:lineRule="auto" w:after="40"/>
        <w:ind w:firstLine="420"/>
        <w:jc w:val="both"/>
      </w:pPr>
      <w:r>
        <w:rPr>
          <w:rFonts w:ascii="Times New Roman" w:hAnsi="Times New Roman" w:eastAsia="宋体"/>
          <w:b w:val="0"/>
          <w:sz w:val="21"/>
        </w:rPr>
        <w:t>本综述的主要观点包括：(1) SAPC 的两种主导失效模式——ESR 上升型与 LC 跑飞型——并不是随机发生的，而是与制造商的 PEDOT 沉积工艺路线具有紧密的耦合；(2) 湿度应力并非通过简单的吸水膨胀引起 SAPC 退化，而是通过"PEDOT 去掺杂 + PSS 水解 + Al₂O₃ 界面羟基化"三种协同机理共同驱动；(3) 经典 Prokopowicz–Vaskas 方程已不能准确外推现代 SAPC 的寿命，需要采用带湿度项的广义 Eyring 模型；(4) 基于 C/ESR 在线监测的统计模型结合 CNN-LSTM 等机器学习方法，可在小样本条件下实现前 20% 老化循环下的 RUL 预测；(5) SAPC 的可靠性提升需要"材料级" (如 PEDOT:Tos/Hybrid)、"工艺级" (如 VPP、多层锥台叠堆)、"封装级" (如低吸湿环氧 + 热可塑弹性体双密封) 以及"系统级" (如电压降额 + 低温工作) 的共同优化。</w:t>
      </w:r>
    </w:p>
    <w:p>
      <w:pPr>
        <w:spacing w:line="360" w:lineRule="auto" w:after="40"/>
        <w:ind w:firstLine="420"/>
        <w:jc w:val="both"/>
      </w:pPr>
      <w:r>
        <w:rPr>
          <w:rFonts w:ascii="Times New Roman" w:hAnsi="Times New Roman" w:eastAsia="宋体"/>
          <w:b w:val="0"/>
          <w:sz w:val="21"/>
        </w:rPr>
        <w:t>本综述为 SAPC 的选型设计、加速寿命试验规划、预测性维护策略制定以及新一代导电聚合物电容器的研发提供了系统化的理论参考与方法学支撑。</w:t>
      </w:r>
    </w:p>
    <w:p>
      <w:pPr>
        <w:spacing w:before="200" w:after="100"/>
        <w:outlineLvl w:val="3"/>
      </w:pPr>
      <w:r>
        <w:rPr>
          <w:rFonts w:ascii="Times New Roman" w:hAnsi="Times New Roman" w:eastAsia="黑体"/>
          <w:b/>
          <w:sz w:val="25"/>
        </w:rPr>
        <w:t>关键词：</w:t>
      </w:r>
    </w:p>
    <w:p>
      <w:pPr>
        <w:ind w:firstLine="420"/>
      </w:pPr>
      <w:r>
        <w:rPr>
          <w:rFonts w:ascii="Times New Roman" w:hAnsi="Times New Roman" w:eastAsia="宋体"/>
          <w:b w:val="0"/>
          <w:sz w:val="21"/>
        </w:rPr>
        <w:t>叠层铝聚合物电容器；PEDOT；导电聚合物阴极；失效模式；失效机理；可靠性建模；加速寿命试验；剩余使用寿命；CNN-LSTM；Physics-of-Failure</w:t>
      </w:r>
    </w:p>
    <w:p>
      <w:r>
        <w:br w:type="page"/>
      </w:r>
    </w:p>
    <w:p>
      <w:pPr>
        <w:spacing w:before="200" w:after="100"/>
        <w:jc w:val="center"/>
        <w:outlineLvl w:val="0"/>
      </w:pPr>
      <w:r>
        <w:rPr>
          <w:rFonts w:ascii="Times New Roman" w:hAnsi="Times New Roman" w:eastAsia="黑体"/>
          <w:b/>
          <w:sz w:val="44"/>
        </w:rPr>
        <w:t>Abstract</w:t>
      </w:r>
    </w:p>
    <w:p>
      <w:pPr>
        <w:spacing w:line="360" w:lineRule="auto" w:after="40"/>
        <w:ind w:firstLine="420"/>
        <w:jc w:val="both"/>
      </w:pPr>
      <w:r>
        <w:rPr>
          <w:rFonts w:ascii="Times New Roman" w:hAnsi="Times New Roman" w:eastAsia="宋体"/>
          <w:b w:val="0"/>
          <w:sz w:val="21"/>
        </w:rPr>
        <w:t>Stacked Aluminum Polymer Capacitors (SAPC) are a class of solid-electrolyte surface-mount capacitors that integrate multiple etched aluminum anode foils with a conductive polymer cathode (typically PEDOT or PEDOT:PSS) and a Cu lead-frame. Emerging over the past two decades in response to the demanding low-ESR, high ripple-current requirements of central processing unit (CPU) and graphics processing unit (GPU) voltage regulator modules (VRM), 5G base stations, AI accelerators, and electric vehicle low-voltage domains, SAPC has become a strategically important passive component. Compared with liquid aluminum electrolytic capacitors, SAPC eliminates electrolyte dry-out; compared with tantalum polymer capacitors, SAPC avoids surge-induced ignition and offers better cost and volumetric efficiency; compared with large-capacitance MLCC, SAPC is free from DC-bias de-rating and piezoelectric acoustic noise.</w:t>
      </w:r>
    </w:p>
    <w:p>
      <w:pPr>
        <w:spacing w:line="360" w:lineRule="auto" w:after="40"/>
        <w:ind w:firstLine="420"/>
        <w:jc w:val="both"/>
      </w:pPr>
      <w:r>
        <w:rPr>
          <w:rFonts w:ascii="Times New Roman" w:hAnsi="Times New Roman" w:eastAsia="宋体"/>
          <w:b w:val="0"/>
          <w:sz w:val="21"/>
        </w:rPr>
        <w:t>Nevertheless, a substantial body of work from the Center for Advanced Life Cycle Engineering (CALCE) at the University of Maryland (Liu, Azarian &amp; Pecht, 2015–2020), the NASA NEPP laboratory (Teverovsky, 2020–2024), and leading manufacturers (Panasonic, KEMET, Nichicon, Kyocera-AVX) has revealed that SAPC exhibits qualitatively new failure behaviors under elevated-temperature-humidity-bias (THB) stress, including (i) ESR runaway and (ii) leakage-current (LC) runaway modes that correlate strongly with PEDOT deposition technology.</w:t>
      </w:r>
    </w:p>
    <w:p>
      <w:pPr>
        <w:spacing w:line="360" w:lineRule="auto" w:after="40"/>
        <w:ind w:firstLine="420"/>
        <w:jc w:val="both"/>
      </w:pPr>
      <w:r>
        <w:rPr>
          <w:rFonts w:ascii="Times New Roman" w:hAnsi="Times New Roman" w:eastAsia="宋体"/>
          <w:b w:val="0"/>
          <w:sz w:val="21"/>
        </w:rPr>
        <w:t>This review systematically surveys the past two decades of SAPC research along a closed loop of manufacturing → characterization → failure modes → failure mechanisms → reliability modeling → process improvement, with more than 55 peer-reviewed citations. The review presents the device structure, etching / formation / cathode-deposition / stacking / encapsulation process flows, laboratory characterization techniques (electrical, EIS, X-ray CT, SEM/TEM/EDS, TGA/DSC, FT-IR/XPS), failure-mode taxonomy, underlying physicochemical mechanisms (PEDOT thermo-oxidation, PSS hydrolysis, interfacial delamination, anodic oxide breakdown, reverse self-healing), reliability models (Weibull, Arrhenius, inverse-power law, generalized Eyring, physics-of-failure, CNN-LSTM and PINN), and quantitative improvement strategies at material, process, package and system levels.</w:t>
      </w:r>
    </w:p>
    <w:p>
      <w:pPr>
        <w:spacing w:line="360" w:lineRule="auto" w:after="40"/>
        <w:ind w:firstLine="420"/>
        <w:jc w:val="both"/>
      </w:pPr>
      <w:r>
        <w:rPr>
          <w:rFonts w:ascii="Times New Roman" w:hAnsi="Times New Roman" w:eastAsia="宋体"/>
          <w:b w:val="0"/>
          <w:sz w:val="21"/>
        </w:rPr>
        <w:t>Keywords: stacked aluminum polymer capacitor; PEDOT; conducting polymer cathode; failure mode; failure mechanism; reliability modeling; accelerated life test; remaining useful life; CNN-LSTM; physics-of-failure.</w:t>
      </w:r>
    </w:p>
    <w:p>
      <w:r>
        <w:br w:type="page"/>
      </w:r>
    </w:p>
    <w:p>
      <w:pPr>
        <w:spacing w:before="200" w:after="100"/>
        <w:jc w:val="center"/>
        <w:outlineLvl w:val="0"/>
      </w:pPr>
      <w:r>
        <w:rPr>
          <w:rFonts w:ascii="Times New Roman" w:hAnsi="Times New Roman" w:eastAsia="黑体"/>
          <w:b/>
          <w:sz w:val="44"/>
        </w:rPr>
        <w:t>目  录</w:t>
      </w:r>
    </w:p>
    <w:p>
      <w:pPr>
        <w:spacing w:after="20" w:line="300" w:lineRule="auto"/>
      </w:pPr>
      <w:r>
        <w:rPr>
          <w:rFonts w:ascii="Times New Roman" w:hAnsi="Times New Roman" w:eastAsia="宋体"/>
          <w:b w:val="0"/>
          <w:sz w:val="21"/>
        </w:rPr>
        <w:t>摘 要  ············································································  I</w:t>
      </w:r>
    </w:p>
    <w:p>
      <w:pPr>
        <w:spacing w:after="20" w:line="300" w:lineRule="auto"/>
      </w:pPr>
      <w:r>
        <w:rPr>
          <w:rFonts w:ascii="Times New Roman" w:hAnsi="Times New Roman" w:eastAsia="宋体"/>
          <w:b w:val="0"/>
          <w:sz w:val="21"/>
        </w:rPr>
        <w:t>Abstract  ······································································  II</w:t>
      </w:r>
    </w:p>
    <w:p>
      <w:pPr>
        <w:spacing w:after="20" w:line="300" w:lineRule="auto"/>
      </w:pPr>
      <w:r>
        <w:rPr>
          <w:rFonts w:ascii="Times New Roman" w:hAnsi="Times New Roman" w:eastAsia="宋体"/>
          <w:b w:val="0"/>
          <w:sz w:val="21"/>
        </w:rPr>
        <w:t>第一章 绪论  ·········································································  1</w:t>
      </w:r>
    </w:p>
    <w:p>
      <w:pPr>
        <w:spacing w:after="20" w:line="300" w:lineRule="auto"/>
      </w:pPr>
      <w:r>
        <w:rPr>
          <w:rFonts w:ascii="Times New Roman" w:hAnsi="Times New Roman" w:eastAsia="宋体"/>
          <w:b w:val="0"/>
          <w:sz w:val="21"/>
        </w:rPr>
        <w:t xml:space="preserve">    1.1 SAPC 的起源与定义  ····························································  1</w:t>
      </w:r>
    </w:p>
    <w:p>
      <w:pPr>
        <w:spacing w:after="20" w:line="300" w:lineRule="auto"/>
      </w:pPr>
      <w:r>
        <w:rPr>
          <w:rFonts w:ascii="Times New Roman" w:hAnsi="Times New Roman" w:eastAsia="宋体"/>
          <w:b w:val="0"/>
          <w:sz w:val="21"/>
        </w:rPr>
        <w:t xml:space="preserve">    1.2 历史演化与技术代际  ······························································  3</w:t>
      </w:r>
    </w:p>
    <w:p>
      <w:pPr>
        <w:spacing w:after="20" w:line="300" w:lineRule="auto"/>
      </w:pPr>
      <w:r>
        <w:rPr>
          <w:rFonts w:ascii="Times New Roman" w:hAnsi="Times New Roman" w:eastAsia="宋体"/>
          <w:b w:val="0"/>
          <w:sz w:val="21"/>
        </w:rPr>
        <w:t xml:space="preserve">    1.3 在电力电子系统中的地位  ····························································  6</w:t>
      </w:r>
    </w:p>
    <w:p>
      <w:pPr>
        <w:spacing w:after="20" w:line="300" w:lineRule="auto"/>
      </w:pPr>
      <w:r>
        <w:rPr>
          <w:rFonts w:ascii="Times New Roman" w:hAnsi="Times New Roman" w:eastAsia="宋体"/>
          <w:b w:val="0"/>
          <w:sz w:val="21"/>
        </w:rPr>
        <w:t xml:space="preserve">    1.4 国内外研究现状综述  ······························································  8</w:t>
      </w:r>
    </w:p>
    <w:p>
      <w:pPr>
        <w:spacing w:after="20" w:line="300" w:lineRule="auto"/>
      </w:pPr>
      <w:r>
        <w:rPr>
          <w:rFonts w:ascii="Times New Roman" w:hAnsi="Times New Roman" w:eastAsia="宋体"/>
          <w:b w:val="0"/>
          <w:sz w:val="21"/>
        </w:rPr>
        <w:t xml:space="preserve">    1.5 本综述的范围、方法与组织  ··························································  11</w:t>
      </w:r>
    </w:p>
    <w:p>
      <w:pPr>
        <w:spacing w:after="20" w:line="300" w:lineRule="auto"/>
      </w:pPr>
      <w:r>
        <w:rPr>
          <w:rFonts w:ascii="Times New Roman" w:hAnsi="Times New Roman" w:eastAsia="宋体"/>
          <w:b w:val="0"/>
          <w:sz w:val="21"/>
        </w:rPr>
        <w:t>第二章 结构、材料与基本原理  ································································  13</w:t>
      </w:r>
    </w:p>
    <w:p>
      <w:pPr>
        <w:spacing w:after="20" w:line="300" w:lineRule="auto"/>
      </w:pPr>
      <w:r>
        <w:rPr>
          <w:rFonts w:ascii="Times New Roman" w:hAnsi="Times New Roman" w:eastAsia="宋体"/>
          <w:b w:val="0"/>
          <w:sz w:val="21"/>
        </w:rPr>
        <w:t xml:space="preserve">    2.1 总体结构与各功能层功能  ···························································  13</w:t>
      </w:r>
    </w:p>
    <w:p>
      <w:pPr>
        <w:spacing w:after="20" w:line="300" w:lineRule="auto"/>
      </w:pPr>
      <w:r>
        <w:rPr>
          <w:rFonts w:ascii="Times New Roman" w:hAnsi="Times New Roman" w:eastAsia="宋体"/>
          <w:b w:val="0"/>
          <w:sz w:val="21"/>
        </w:rPr>
        <w:t xml:space="preserve">    2.2 蚀刻铝阳极箔  ································································  16</w:t>
      </w:r>
    </w:p>
    <w:p>
      <w:pPr>
        <w:spacing w:after="20" w:line="300" w:lineRule="auto"/>
      </w:pPr>
      <w:r>
        <w:rPr>
          <w:rFonts w:ascii="Times New Roman" w:hAnsi="Times New Roman" w:eastAsia="宋体"/>
          <w:b w:val="0"/>
          <w:sz w:val="21"/>
        </w:rPr>
        <w:t xml:space="preserve">    2.3 Al₂O₃ 阳极氧化膜介质  ·························································  19</w:t>
      </w:r>
    </w:p>
    <w:p>
      <w:pPr>
        <w:spacing w:after="20" w:line="300" w:lineRule="auto"/>
      </w:pPr>
      <w:r>
        <w:rPr>
          <w:rFonts w:ascii="Times New Roman" w:hAnsi="Times New Roman" w:eastAsia="宋体"/>
          <w:b w:val="0"/>
          <w:sz w:val="21"/>
        </w:rPr>
        <w:t xml:space="preserve">    2.4 PEDOT 类导电聚合物阴极  ························································  22</w:t>
      </w:r>
    </w:p>
    <w:p>
      <w:pPr>
        <w:spacing w:after="20" w:line="300" w:lineRule="auto"/>
      </w:pPr>
      <w:r>
        <w:rPr>
          <w:rFonts w:ascii="Times New Roman" w:hAnsi="Times New Roman" w:eastAsia="宋体"/>
          <w:b w:val="0"/>
          <w:sz w:val="21"/>
        </w:rPr>
        <w:t xml:space="preserve">    2.5 碳/银浆过渡层与引线框架  ··························································  25</w:t>
      </w:r>
    </w:p>
    <w:p>
      <w:pPr>
        <w:spacing w:after="20" w:line="300" w:lineRule="auto"/>
      </w:pPr>
      <w:r>
        <w:rPr>
          <w:rFonts w:ascii="Times New Roman" w:hAnsi="Times New Roman" w:eastAsia="宋体"/>
          <w:b w:val="0"/>
          <w:sz w:val="21"/>
        </w:rPr>
        <w:t xml:space="preserve">    2.6 等效电路模型  ································································  27</w:t>
      </w:r>
    </w:p>
    <w:p>
      <w:pPr>
        <w:spacing w:after="20" w:line="300" w:lineRule="auto"/>
      </w:pPr>
      <w:r>
        <w:rPr>
          <w:rFonts w:ascii="Times New Roman" w:hAnsi="Times New Roman" w:eastAsia="宋体"/>
          <w:b w:val="0"/>
          <w:sz w:val="21"/>
        </w:rPr>
        <w:t>第三章 制造工艺与工艺-可靠性耦合  ·····························································  30</w:t>
      </w:r>
    </w:p>
    <w:p>
      <w:pPr>
        <w:spacing w:after="20" w:line="300" w:lineRule="auto"/>
      </w:pPr>
      <w:r>
        <w:rPr>
          <w:rFonts w:ascii="Times New Roman" w:hAnsi="Times New Roman" w:eastAsia="宋体"/>
          <w:b w:val="0"/>
          <w:sz w:val="21"/>
        </w:rPr>
        <w:t xml:space="preserve">    3.1 工艺流程总览  ································································  30</w:t>
      </w:r>
    </w:p>
    <w:p>
      <w:pPr>
        <w:spacing w:after="20" w:line="300" w:lineRule="auto"/>
      </w:pPr>
      <w:r>
        <w:rPr>
          <w:rFonts w:ascii="Times New Roman" w:hAnsi="Times New Roman" w:eastAsia="宋体"/>
          <w:b w:val="0"/>
          <w:sz w:val="21"/>
        </w:rPr>
        <w:t xml:space="preserve">    3.2 阳极箔蚀刻工艺  ·······························································  32</w:t>
      </w:r>
    </w:p>
    <w:p>
      <w:pPr>
        <w:spacing w:after="20" w:line="300" w:lineRule="auto"/>
      </w:pPr>
      <w:r>
        <w:rPr>
          <w:rFonts w:ascii="Times New Roman" w:hAnsi="Times New Roman" w:eastAsia="宋体"/>
          <w:b w:val="0"/>
          <w:sz w:val="21"/>
        </w:rPr>
        <w:t xml:space="preserve">    3.3 阳极氧化 (化成) 工艺  ··························································  35</w:t>
      </w:r>
    </w:p>
    <w:p>
      <w:pPr>
        <w:spacing w:after="20" w:line="300" w:lineRule="auto"/>
      </w:pPr>
      <w:r>
        <w:rPr>
          <w:rFonts w:ascii="Times New Roman" w:hAnsi="Times New Roman" w:eastAsia="宋体"/>
          <w:b w:val="0"/>
          <w:sz w:val="21"/>
        </w:rPr>
        <w:t xml:space="preserve">    3.4 PEDOT 阴极沉积工艺  ··························································  38</w:t>
      </w:r>
    </w:p>
    <w:p>
      <w:pPr>
        <w:spacing w:after="20" w:line="300" w:lineRule="auto"/>
      </w:pPr>
      <w:r>
        <w:rPr>
          <w:rFonts w:ascii="Times New Roman" w:hAnsi="Times New Roman" w:eastAsia="宋体"/>
          <w:b w:val="0"/>
          <w:sz w:val="21"/>
        </w:rPr>
        <w:t xml:space="preserve">    3.5 多层叠堆与压紧烧结  ·····························································  42</w:t>
      </w:r>
    </w:p>
    <w:p>
      <w:pPr>
        <w:spacing w:after="20" w:line="300" w:lineRule="auto"/>
      </w:pPr>
      <w:r>
        <w:rPr>
          <w:rFonts w:ascii="Times New Roman" w:hAnsi="Times New Roman" w:eastAsia="宋体"/>
          <w:b w:val="0"/>
          <w:sz w:val="21"/>
        </w:rPr>
        <w:t xml:space="preserve">    3.6 端电极与封装密封  ······························································  44</w:t>
      </w:r>
    </w:p>
    <w:p>
      <w:pPr>
        <w:spacing w:after="20" w:line="300" w:lineRule="auto"/>
      </w:pPr>
      <w:r>
        <w:rPr>
          <w:rFonts w:ascii="Times New Roman" w:hAnsi="Times New Roman" w:eastAsia="宋体"/>
          <w:b w:val="0"/>
          <w:sz w:val="21"/>
        </w:rPr>
        <w:t xml:space="preserve">    3.7 筛选与老炼工艺  ·······························································  46</w:t>
      </w:r>
    </w:p>
    <w:p>
      <w:pPr>
        <w:spacing w:after="20" w:line="300" w:lineRule="auto"/>
      </w:pPr>
      <w:r>
        <w:rPr>
          <w:rFonts w:ascii="Times New Roman" w:hAnsi="Times New Roman" w:eastAsia="宋体"/>
          <w:b w:val="0"/>
          <w:sz w:val="21"/>
        </w:rPr>
        <w:t>第四章 表征与检测方法  ···································································  48</w:t>
      </w:r>
    </w:p>
    <w:p>
      <w:pPr>
        <w:spacing w:after="20" w:line="300" w:lineRule="auto"/>
      </w:pPr>
      <w:r>
        <w:rPr>
          <w:rFonts w:ascii="Times New Roman" w:hAnsi="Times New Roman" w:eastAsia="宋体"/>
          <w:b w:val="0"/>
          <w:sz w:val="21"/>
        </w:rPr>
        <w:t xml:space="preserve">    4.1 电学参数表征  ································································  48</w:t>
      </w:r>
    </w:p>
    <w:p>
      <w:pPr>
        <w:spacing w:after="20" w:line="300" w:lineRule="auto"/>
      </w:pPr>
      <w:r>
        <w:rPr>
          <w:rFonts w:ascii="Times New Roman" w:hAnsi="Times New Roman" w:eastAsia="宋体"/>
          <w:b w:val="0"/>
          <w:sz w:val="21"/>
        </w:rPr>
        <w:t xml:space="preserve">    4.2 电化学阻抗谱 (EIS)  ··························································  51</w:t>
      </w:r>
    </w:p>
    <w:p>
      <w:pPr>
        <w:spacing w:after="20" w:line="300" w:lineRule="auto"/>
      </w:pPr>
      <w:r>
        <w:rPr>
          <w:rFonts w:ascii="Times New Roman" w:hAnsi="Times New Roman" w:eastAsia="宋体"/>
          <w:b w:val="0"/>
          <w:sz w:val="21"/>
        </w:rPr>
        <w:t xml:space="preserve">    4.3 X 射线显微 CT 与 C-SAM  ·····················································  54</w:t>
      </w:r>
    </w:p>
    <w:p>
      <w:pPr>
        <w:spacing w:after="20" w:line="300" w:lineRule="auto"/>
      </w:pPr>
      <w:r>
        <w:rPr>
          <w:rFonts w:ascii="Times New Roman" w:hAnsi="Times New Roman" w:eastAsia="宋体"/>
          <w:b w:val="0"/>
          <w:sz w:val="21"/>
        </w:rPr>
        <w:t xml:space="preserve">    4.4 SEM / TEM / EDS 微结构分析  ·················································  56</w:t>
      </w:r>
    </w:p>
    <w:p>
      <w:pPr>
        <w:spacing w:after="20" w:line="300" w:lineRule="auto"/>
      </w:pPr>
      <w:r>
        <w:rPr>
          <w:rFonts w:ascii="Times New Roman" w:hAnsi="Times New Roman" w:eastAsia="宋体"/>
          <w:b w:val="0"/>
          <w:sz w:val="21"/>
        </w:rPr>
        <w:t xml:space="preserve">    4.5 TGA / DSC 热分析  ·························································  58</w:t>
      </w:r>
    </w:p>
    <w:p>
      <w:pPr>
        <w:spacing w:after="20" w:line="300" w:lineRule="auto"/>
      </w:pPr>
      <w:r>
        <w:rPr>
          <w:rFonts w:ascii="Times New Roman" w:hAnsi="Times New Roman" w:eastAsia="宋体"/>
          <w:b w:val="0"/>
          <w:sz w:val="21"/>
        </w:rPr>
        <w:t xml:space="preserve">    4.6 FT-IR / Raman / XPS 化学分析  ··············································  60</w:t>
      </w:r>
    </w:p>
    <w:p>
      <w:pPr>
        <w:spacing w:after="20" w:line="300" w:lineRule="auto"/>
      </w:pPr>
      <w:r>
        <w:rPr>
          <w:rFonts w:ascii="Times New Roman" w:hAnsi="Times New Roman" w:eastAsia="宋体"/>
          <w:b w:val="0"/>
          <w:sz w:val="21"/>
        </w:rPr>
        <w:t>第五章 SAPC 典型失效模式  ·······························································  62</w:t>
      </w:r>
    </w:p>
    <w:p>
      <w:pPr>
        <w:spacing w:after="20" w:line="300" w:lineRule="auto"/>
      </w:pPr>
      <w:r>
        <w:rPr>
          <w:rFonts w:ascii="Times New Roman" w:hAnsi="Times New Roman" w:eastAsia="宋体"/>
          <w:b w:val="0"/>
          <w:sz w:val="21"/>
        </w:rPr>
        <w:t xml:space="preserve">    5.1 失效模式分类框架  ······························································  62</w:t>
      </w:r>
    </w:p>
    <w:p>
      <w:pPr>
        <w:spacing w:after="20" w:line="300" w:lineRule="auto"/>
      </w:pPr>
      <w:r>
        <w:rPr>
          <w:rFonts w:ascii="Times New Roman" w:hAnsi="Times New Roman" w:eastAsia="宋体"/>
          <w:b w:val="0"/>
          <w:sz w:val="21"/>
        </w:rPr>
        <w:t xml:space="preserve">    5.2 参数漂移模式 (ESR / C / DF)  ·················································  64</w:t>
      </w:r>
    </w:p>
    <w:p>
      <w:pPr>
        <w:spacing w:after="20" w:line="300" w:lineRule="auto"/>
      </w:pPr>
      <w:r>
        <w:rPr>
          <w:rFonts w:ascii="Times New Roman" w:hAnsi="Times New Roman" w:eastAsia="宋体"/>
          <w:b w:val="0"/>
          <w:sz w:val="21"/>
        </w:rPr>
        <w:t xml:space="preserve">    5.3 漏电流跑飞与短路模式  ····························································  67</w:t>
      </w:r>
    </w:p>
    <w:p>
      <w:pPr>
        <w:spacing w:after="20" w:line="300" w:lineRule="auto"/>
      </w:pPr>
      <w:r>
        <w:rPr>
          <w:rFonts w:ascii="Times New Roman" w:hAnsi="Times New Roman" w:eastAsia="宋体"/>
          <w:b w:val="0"/>
          <w:sz w:val="21"/>
        </w:rPr>
        <w:t xml:space="preserve">    5.4 开路模式 (端电极与内部连接失效)  ·····················································  70</w:t>
      </w:r>
    </w:p>
    <w:p>
      <w:pPr>
        <w:spacing w:after="20" w:line="300" w:lineRule="auto"/>
      </w:pPr>
      <w:r>
        <w:rPr>
          <w:rFonts w:ascii="Times New Roman" w:hAnsi="Times New Roman" w:eastAsia="宋体"/>
          <w:b w:val="0"/>
          <w:sz w:val="21"/>
        </w:rPr>
        <w:t xml:space="preserve">    5.5 外观与密封失效  ·······························································  72</w:t>
      </w:r>
    </w:p>
    <w:p>
      <w:pPr>
        <w:spacing w:after="20" w:line="300" w:lineRule="auto"/>
      </w:pPr>
      <w:r>
        <w:rPr>
          <w:rFonts w:ascii="Times New Roman" w:hAnsi="Times New Roman" w:eastAsia="宋体"/>
          <w:b w:val="0"/>
          <w:sz w:val="21"/>
        </w:rPr>
        <w:t xml:space="preserve">    5.6 失效模式与应用工况的映射  ··························································  74</w:t>
      </w:r>
    </w:p>
    <w:p>
      <w:pPr>
        <w:spacing w:after="20" w:line="300" w:lineRule="auto"/>
      </w:pPr>
      <w:r>
        <w:rPr>
          <w:rFonts w:ascii="Times New Roman" w:hAnsi="Times New Roman" w:eastAsia="宋体"/>
          <w:b w:val="0"/>
          <w:sz w:val="21"/>
        </w:rPr>
        <w:t>第六章 SAPC 失效机理  ·································································  76</w:t>
      </w:r>
    </w:p>
    <w:p>
      <w:pPr>
        <w:spacing w:after="20" w:line="300" w:lineRule="auto"/>
      </w:pPr>
      <w:r>
        <w:rPr>
          <w:rFonts w:ascii="Times New Roman" w:hAnsi="Times New Roman" w:eastAsia="宋体"/>
          <w:b w:val="0"/>
          <w:sz w:val="21"/>
        </w:rPr>
        <w:t xml:space="preserve">    6.1 PEDOT 阴极的热氧化降解  ························································  76</w:t>
      </w:r>
    </w:p>
    <w:p>
      <w:pPr>
        <w:spacing w:after="20" w:line="300" w:lineRule="auto"/>
      </w:pPr>
      <w:r>
        <w:rPr>
          <w:rFonts w:ascii="Times New Roman" w:hAnsi="Times New Roman" w:eastAsia="宋体"/>
          <w:b w:val="0"/>
          <w:sz w:val="21"/>
        </w:rPr>
        <w:t xml:space="preserve">    6.2 PSS 水解与酸性腐蚀  ···························································  80</w:t>
      </w:r>
    </w:p>
    <w:p>
      <w:pPr>
        <w:spacing w:after="20" w:line="300" w:lineRule="auto"/>
      </w:pPr>
      <w:r>
        <w:rPr>
          <w:rFonts w:ascii="Times New Roman" w:hAnsi="Times New Roman" w:eastAsia="宋体"/>
          <w:b w:val="0"/>
          <w:sz w:val="21"/>
        </w:rPr>
        <w:t xml:space="preserve">    6.3 界面分层与热机械失效  ····························································  83</w:t>
      </w:r>
    </w:p>
    <w:p>
      <w:pPr>
        <w:spacing w:after="20" w:line="300" w:lineRule="auto"/>
      </w:pPr>
      <w:r>
        <w:rPr>
          <w:rFonts w:ascii="Times New Roman" w:hAnsi="Times New Roman" w:eastAsia="宋体"/>
          <w:b w:val="0"/>
          <w:sz w:val="21"/>
        </w:rPr>
        <w:t xml:space="preserve">    6.4 Al₂O₃ 介质场致击穿与老化  ·······················································  86</w:t>
      </w:r>
    </w:p>
    <w:p>
      <w:pPr>
        <w:spacing w:after="20" w:line="300" w:lineRule="auto"/>
      </w:pPr>
      <w:r>
        <w:rPr>
          <w:rFonts w:ascii="Times New Roman" w:hAnsi="Times New Roman" w:eastAsia="宋体"/>
          <w:b w:val="0"/>
          <w:sz w:val="21"/>
        </w:rPr>
        <w:t xml:space="preserve">    6.5 自愈机理与其有限性  ·····························································  88</w:t>
      </w:r>
    </w:p>
    <w:p>
      <w:pPr>
        <w:spacing w:after="20" w:line="300" w:lineRule="auto"/>
      </w:pPr>
      <w:r>
        <w:rPr>
          <w:rFonts w:ascii="Times New Roman" w:hAnsi="Times New Roman" w:eastAsia="宋体"/>
          <w:b w:val="0"/>
          <w:sz w:val="21"/>
        </w:rPr>
        <w:t xml:space="preserve">    6.6 多应力耦合下的机理交互  ···························································  90</w:t>
      </w:r>
    </w:p>
    <w:p>
      <w:pPr>
        <w:spacing w:after="20" w:line="300" w:lineRule="auto"/>
      </w:pPr>
      <w:r>
        <w:rPr>
          <w:rFonts w:ascii="Times New Roman" w:hAnsi="Times New Roman" w:eastAsia="宋体"/>
          <w:b w:val="0"/>
          <w:sz w:val="21"/>
        </w:rPr>
        <w:t>第七章 可靠性建模方法  ···································································  92</w:t>
      </w:r>
    </w:p>
    <w:p>
      <w:pPr>
        <w:spacing w:after="20" w:line="300" w:lineRule="auto"/>
      </w:pPr>
      <w:r>
        <w:rPr>
          <w:rFonts w:ascii="Times New Roman" w:hAnsi="Times New Roman" w:eastAsia="宋体"/>
          <w:b w:val="0"/>
          <w:sz w:val="21"/>
        </w:rPr>
        <w:t xml:space="preserve">    7.1 Weibull 与对数正态统计模型  ·····················································  92</w:t>
      </w:r>
    </w:p>
    <w:p>
      <w:pPr>
        <w:spacing w:after="20" w:line="300" w:lineRule="auto"/>
      </w:pPr>
      <w:r>
        <w:rPr>
          <w:rFonts w:ascii="Times New Roman" w:hAnsi="Times New Roman" w:eastAsia="宋体"/>
          <w:b w:val="0"/>
          <w:sz w:val="21"/>
        </w:rPr>
        <w:t xml:space="preserve">    7.2 Arrhenius-逆幂律双应力模型  ····················································  95</w:t>
      </w:r>
    </w:p>
    <w:p>
      <w:pPr>
        <w:spacing w:after="20" w:line="300" w:lineRule="auto"/>
      </w:pPr>
      <w:r>
        <w:rPr>
          <w:rFonts w:ascii="Times New Roman" w:hAnsi="Times New Roman" w:eastAsia="宋体"/>
          <w:b w:val="0"/>
          <w:sz w:val="21"/>
        </w:rPr>
        <w:t xml:space="preserve">    7.3 Prokopowicz-Vaskas 方程的局限性  ·············································  97</w:t>
      </w:r>
    </w:p>
    <w:p>
      <w:pPr>
        <w:spacing w:after="20" w:line="300" w:lineRule="auto"/>
      </w:pPr>
      <w:r>
        <w:rPr>
          <w:rFonts w:ascii="Times New Roman" w:hAnsi="Times New Roman" w:eastAsia="宋体"/>
          <w:b w:val="0"/>
          <w:sz w:val="21"/>
        </w:rPr>
        <w:t xml:space="preserve">    7.4 广义 Eyring 多应力模型  ·······················································  99</w:t>
      </w:r>
    </w:p>
    <w:p>
      <w:pPr>
        <w:spacing w:after="20" w:line="300" w:lineRule="auto"/>
      </w:pPr>
      <w:r>
        <w:rPr>
          <w:rFonts w:ascii="Times New Roman" w:hAnsi="Times New Roman" w:eastAsia="宋体"/>
          <w:b w:val="0"/>
          <w:sz w:val="21"/>
        </w:rPr>
        <w:t xml:space="preserve">    7.5 Physics-of-Failure 模型  ················································  101</w:t>
      </w:r>
    </w:p>
    <w:p>
      <w:pPr>
        <w:spacing w:after="20" w:line="300" w:lineRule="auto"/>
      </w:pPr>
      <w:r>
        <w:rPr>
          <w:rFonts w:ascii="Times New Roman" w:hAnsi="Times New Roman" w:eastAsia="宋体"/>
          <w:b w:val="0"/>
          <w:sz w:val="21"/>
        </w:rPr>
        <w:t xml:space="preserve">    7.6 数据驱动与 PINN 混合模型  ······················································  103</w:t>
      </w:r>
    </w:p>
    <w:p>
      <w:pPr>
        <w:spacing w:after="20" w:line="300" w:lineRule="auto"/>
      </w:pPr>
      <w:r>
        <w:rPr>
          <w:rFonts w:ascii="Times New Roman" w:hAnsi="Times New Roman" w:eastAsia="宋体"/>
          <w:b w:val="0"/>
          <w:sz w:val="21"/>
        </w:rPr>
        <w:t>第八章 工艺改进与可靠性提升策略  ·····························································  106</w:t>
      </w:r>
    </w:p>
    <w:p>
      <w:pPr>
        <w:spacing w:after="20" w:line="300" w:lineRule="auto"/>
      </w:pPr>
      <w:r>
        <w:rPr>
          <w:rFonts w:ascii="Times New Roman" w:hAnsi="Times New Roman" w:eastAsia="宋体"/>
          <w:b w:val="0"/>
          <w:sz w:val="21"/>
        </w:rPr>
        <w:t xml:space="preserve">    8.1 材料级改进  ································································  106</w:t>
      </w:r>
    </w:p>
    <w:p>
      <w:pPr>
        <w:spacing w:after="20" w:line="300" w:lineRule="auto"/>
      </w:pPr>
      <w:r>
        <w:rPr>
          <w:rFonts w:ascii="Times New Roman" w:hAnsi="Times New Roman" w:eastAsia="宋体"/>
          <w:b w:val="0"/>
          <w:sz w:val="21"/>
        </w:rPr>
        <w:t xml:space="preserve">    8.2 工艺级改进  ································································  108</w:t>
      </w:r>
    </w:p>
    <w:p>
      <w:pPr>
        <w:spacing w:after="20" w:line="300" w:lineRule="auto"/>
      </w:pPr>
      <w:r>
        <w:rPr>
          <w:rFonts w:ascii="Times New Roman" w:hAnsi="Times New Roman" w:eastAsia="宋体"/>
          <w:b w:val="0"/>
          <w:sz w:val="21"/>
        </w:rPr>
        <w:t xml:space="preserve">    8.3 封装级改进  ································································  110</w:t>
      </w:r>
    </w:p>
    <w:p>
      <w:pPr>
        <w:spacing w:after="20" w:line="300" w:lineRule="auto"/>
      </w:pPr>
      <w:r>
        <w:rPr>
          <w:rFonts w:ascii="Times New Roman" w:hAnsi="Times New Roman" w:eastAsia="宋体"/>
          <w:b w:val="0"/>
          <w:sz w:val="21"/>
        </w:rPr>
        <w:t xml:space="preserve">    8.4 应用与系统级改进  ·····························································  112</w:t>
      </w:r>
    </w:p>
    <w:p>
      <w:pPr>
        <w:spacing w:after="20" w:line="300" w:lineRule="auto"/>
      </w:pPr>
      <w:r>
        <w:rPr>
          <w:rFonts w:ascii="Times New Roman" w:hAnsi="Times New Roman" w:eastAsia="宋体"/>
          <w:b w:val="0"/>
          <w:sz w:val="21"/>
        </w:rPr>
        <w:t xml:space="preserve">    8.5 未来发展与挑战  ······························································  114</w:t>
      </w:r>
    </w:p>
    <w:p>
      <w:pPr>
        <w:spacing w:after="20" w:line="300" w:lineRule="auto"/>
      </w:pPr>
      <w:r>
        <w:rPr>
          <w:rFonts w:ascii="Times New Roman" w:hAnsi="Times New Roman" w:eastAsia="宋体"/>
          <w:b w:val="0"/>
          <w:sz w:val="21"/>
        </w:rPr>
        <w:t>结 论  ··········································································  116</w:t>
      </w:r>
    </w:p>
    <w:p>
      <w:pPr>
        <w:spacing w:after="20" w:line="300" w:lineRule="auto"/>
      </w:pPr>
      <w:r>
        <w:rPr>
          <w:rFonts w:ascii="Times New Roman" w:hAnsi="Times New Roman" w:eastAsia="宋体"/>
          <w:b w:val="0"/>
          <w:sz w:val="21"/>
        </w:rPr>
        <w:t>附录 A  符号与缩略语表  ································································  118</w:t>
      </w:r>
    </w:p>
    <w:p>
      <w:pPr>
        <w:spacing w:after="20" w:line="300" w:lineRule="auto"/>
      </w:pPr>
      <w:r>
        <w:rPr>
          <w:rFonts w:ascii="Times New Roman" w:hAnsi="Times New Roman" w:eastAsia="宋体"/>
          <w:b w:val="0"/>
          <w:sz w:val="21"/>
        </w:rPr>
        <w:t>附录 B  加速试验设计范例  ·······························································  120</w:t>
      </w:r>
    </w:p>
    <w:p>
      <w:pPr>
        <w:spacing w:after="20" w:line="300" w:lineRule="auto"/>
      </w:pPr>
      <w:r>
        <w:rPr>
          <w:rFonts w:ascii="Times New Roman" w:hAnsi="Times New Roman" w:eastAsia="宋体"/>
          <w:b w:val="0"/>
          <w:sz w:val="21"/>
        </w:rPr>
        <w:t>附录 C  典型案例分析  ·································································  122</w:t>
      </w:r>
    </w:p>
    <w:p>
      <w:pPr>
        <w:spacing w:after="20" w:line="300" w:lineRule="auto"/>
      </w:pPr>
      <w:r>
        <w:rPr>
          <w:rFonts w:ascii="Times New Roman" w:hAnsi="Times New Roman" w:eastAsia="宋体"/>
          <w:b w:val="0"/>
          <w:sz w:val="21"/>
        </w:rPr>
        <w:t>参考文献  ·········································································  126</w:t>
      </w:r>
    </w:p>
    <w:p>
      <w:r>
        <w:br w:type="page"/>
      </w:r>
    </w:p>
    <w:p>
      <w:pPr>
        <w:spacing w:before="200" w:after="100"/>
        <w:outlineLvl w:val="1"/>
      </w:pPr>
      <w:r>
        <w:rPr>
          <w:rFonts w:ascii="Times New Roman" w:hAnsi="Times New Roman" w:eastAsia="黑体"/>
          <w:b/>
          <w:sz w:val="36"/>
        </w:rPr>
        <w:t>第一章 绪论</w:t>
      </w:r>
    </w:p>
    <w:p>
      <w:pPr>
        <w:spacing w:before="200" w:after="100"/>
        <w:outlineLvl w:val="2"/>
      </w:pPr>
      <w:r>
        <w:rPr>
          <w:rFonts w:ascii="Times New Roman" w:hAnsi="Times New Roman" w:eastAsia="黑体"/>
          <w:b/>
          <w:sz w:val="28"/>
        </w:rPr>
        <w:t>1.1 SAPC 的起源与定义</w:t>
      </w:r>
    </w:p>
    <w:p>
      <w:pPr>
        <w:spacing w:line="360" w:lineRule="auto" w:after="40"/>
        <w:ind w:firstLine="420"/>
        <w:jc w:val="both"/>
      </w:pPr>
      <w:r>
        <w:rPr>
          <w:rFonts w:ascii="Times New Roman" w:hAnsi="Times New Roman" w:eastAsia="宋体"/>
          <w:b w:val="0"/>
          <w:sz w:val="21"/>
        </w:rPr>
        <w:t>电容器是现代电子信息产业与电力电子工业中用量最大、品类最丰富的无源元件之一。按阴极电解质的形态划分，铝电容器可分为三大类：以硼酸铵、己二酸铵等溶质与 γ-丁内酯、乙二醇为溶剂的液态铝电解电容器 (liquid aluminum electrolytic capacitor, L-Alcap)，以聚吡咯 (PPy)、聚噻吩衍生物 (PEDOT / PEDOT:PSS) 等导电聚合物为阴极的固态聚合物铝电容器 (solid polymer aluminum capacitor, SP-Alcap)，以及同时使用液态电解液与固态导电聚合物的混合型铝电容器 (hybrid aluminum capacitor, H-Alcap) [1][2][3]。</w:t>
      </w:r>
    </w:p>
    <w:p>
      <w:pPr>
        <w:spacing w:line="360" w:lineRule="auto" w:after="40"/>
        <w:ind w:firstLine="420"/>
        <w:jc w:val="both"/>
      </w:pPr>
      <w:r>
        <w:rPr>
          <w:rFonts w:ascii="Times New Roman" w:hAnsi="Times New Roman" w:eastAsia="宋体"/>
          <w:b w:val="0"/>
          <w:sz w:val="21"/>
        </w:rPr>
        <w:t>叠层铝固态聚合物电容器 (stacked aluminum polymer capacitor, SAPC) 是固态聚合物铝电容器的一个重要分支，其关键特征在于：(1) 采用多片蚀刻铝阳极箔堆叠而成，介质层为薄型 Al₂O₃ 阳极氧化膜，阴极为 PEDOT 或 PEDOT:PSS 等导电聚合物；(2) 通过 Cu 引线框架代替传统的卷绕结构与铝外壳；(3) 整体以环氧树脂模塑成型，并以 AEC-Q200 或 IPC-9592 为主要认证基准；(4) 额定电压通常处于 2~35 V 之间，单体容量 10~1000 μF，典型 ESR 仅 3~15 mΩ，纹波电流承载能力达 2~8 A。典型商用系列包括 Panasonic SP-Cap (EEF 系列)、Sanyo/Panasonic POSCAP (TP/TQ 系列，铝型号又名 SP-Cap)、Nichicon LV/LX/LZ 系列、KEMET A700/A750/A780 系列、Kyocera-AVX APV/RPA 系列以及 Chemi-Con PSG/PSF 系列 [4][5][6][7]。</w:t>
      </w:r>
    </w:p>
    <w:p>
      <w:pPr>
        <w:spacing w:line="360" w:lineRule="auto" w:after="40"/>
        <w:ind w:firstLine="420"/>
        <w:jc w:val="both"/>
      </w:pPr>
      <w:r>
        <w:rPr>
          <w:rFonts w:ascii="Times New Roman" w:hAnsi="Times New Roman" w:eastAsia="宋体"/>
          <w:b w:val="0"/>
          <w:sz w:val="21"/>
        </w:rPr>
        <w:t>从功能角度，SAPC 可视为一种"低 ESR、低 ESL、高纹波耐受、无电解液蒸发寿命瓶颈"的中高容量 SMT 电容器，其主要竞争对手是 CPU/GPU 供电环节使用的钽聚合物电容器 (Ta-polymer capacitor) 与大容量 MLCC。在 Panasonic 官方技术文献中，SP-Cap 被明确定位为"针对 DC-DC 转换器输入输出滤波的高端 SMT 电容"，并推荐用于对电压稳定度、低纹波、耐回流焊温度有严格要求的场景 [4]。</w:t>
      </w:r>
    </w:p>
    <w:p>
      <w:pPr>
        <w:spacing w:before="120"/>
        <w:jc w:val="center"/>
      </w:pPr>
      <w:r>
        <w:drawing>
          <wp:inline xmlns:a="http://schemas.openxmlformats.org/drawingml/2006/main" xmlns:pic="http://schemas.openxmlformats.org/drawingml/2006/picture">
            <wp:extent cx="5220000" cy="1792974"/>
            <wp:docPr id="1" name="Picture 1"/>
            <wp:cNvGraphicFramePr>
              <a:graphicFrameLocks noChangeAspect="1"/>
            </wp:cNvGraphicFramePr>
            <a:graphic>
              <a:graphicData uri="http://schemas.openxmlformats.org/drawingml/2006/picture">
                <pic:pic>
                  <pic:nvPicPr>
                    <pic:cNvPr id="0" name="fig02_structure.png"/>
                    <pic:cNvPicPr/>
                  </pic:nvPicPr>
                  <pic:blipFill>
                    <a:blip r:embed="rId10"/>
                    <a:stretch>
                      <a:fillRect/>
                    </a:stretch>
                  </pic:blipFill>
                  <pic:spPr>
                    <a:xfrm>
                      <a:off x="0" y="0"/>
                      <a:ext cx="5220000" cy="1792974"/>
                    </a:xfrm>
                    <a:prstGeom prst="rect"/>
                  </pic:spPr>
                </pic:pic>
              </a:graphicData>
            </a:graphic>
          </wp:inline>
        </w:drawing>
      </w:r>
    </w:p>
    <w:p>
      <w:pPr>
        <w:spacing w:after="120"/>
        <w:jc w:val="center"/>
      </w:pPr>
      <w:r>
        <w:rPr>
          <w:rFonts w:ascii="Times New Roman" w:hAnsi="Times New Roman" w:eastAsia="黑体"/>
          <w:b/>
          <w:sz w:val="20"/>
        </w:rPr>
        <w:t>图 2-1  SAPC 典型横截面分层结构示意图（蚀刻铝阳极 + Al₂O₃ 介质 + PEDOT 阴极 + 碳/银浆过渡层 + Cu 引线框架 + 环氧封装）</w:t>
      </w:r>
    </w:p>
    <w:p>
      <w:pPr>
        <w:spacing w:before="200" w:after="100"/>
        <w:outlineLvl w:val="2"/>
      </w:pPr>
      <w:r>
        <w:rPr>
          <w:rFonts w:ascii="Times New Roman" w:hAnsi="Times New Roman" w:eastAsia="黑体"/>
          <w:b/>
          <w:sz w:val="28"/>
        </w:rPr>
        <w:t>1.2 历史演化与技术代际</w:t>
      </w:r>
    </w:p>
    <w:p>
      <w:pPr>
        <w:spacing w:line="360" w:lineRule="auto" w:after="40"/>
        <w:ind w:firstLine="420"/>
        <w:jc w:val="both"/>
      </w:pPr>
      <w:r>
        <w:rPr>
          <w:rFonts w:ascii="Times New Roman" w:hAnsi="Times New Roman" w:eastAsia="宋体"/>
          <w:b w:val="0"/>
          <w:sz w:val="21"/>
        </w:rPr>
        <w:t>SAPC 的技术演化可大致划分为以下五个阶段：</w:t>
      </w:r>
    </w:p>
    <w:p>
      <w:pPr>
        <w:spacing w:line="360" w:lineRule="auto" w:after="40"/>
        <w:ind w:firstLine="420"/>
        <w:jc w:val="both"/>
      </w:pPr>
      <w:r>
        <w:rPr>
          <w:rFonts w:ascii="Times New Roman" w:hAnsi="Times New Roman" w:eastAsia="宋体"/>
          <w:b w:val="0"/>
          <w:sz w:val="21"/>
        </w:rPr>
        <w:t>(1) 萌芽阶段 (1983—1990 年)。1983 年 Sanyo 公司率先基于 TCNQ 电荷转移络合盐开发了 OS-CON 系列固态铝电容器，但因 TCNQ 的热不稳定性与成本问题而未能大规模推广。Aoki 等 (1990) 系统报告了以聚吡咯替代 TCNQ 的初步探索 [8]。该阶段的 SAPC 仍以单片或卷绕结构为主，叠层工艺尚未成熟。</w:t>
      </w:r>
    </w:p>
    <w:p>
      <w:pPr>
        <w:spacing w:line="360" w:lineRule="auto" w:after="40"/>
        <w:ind w:firstLine="420"/>
        <w:jc w:val="both"/>
      </w:pPr>
      <w:r>
        <w:rPr>
          <w:rFonts w:ascii="Times New Roman" w:hAnsi="Times New Roman" w:eastAsia="宋体"/>
          <w:b w:val="0"/>
          <w:sz w:val="21"/>
        </w:rPr>
        <w:t>(2) PEDOT 阴极引入阶段 (1990—2000 年)。1988 年 Bayer AG 公司合成了 EDOT 单体，并于 1992 年申请了 PEDOT 作为导电聚合物的专利。PEDOT 相较 PPy 具有更高的热稳定性 (分解温度 &gt; 250°C)、更好的电导率稳定性以及更低的环境敏感性，迅速成为 SAPC 阴极材料的首选 [9][10]。1998—2000 年间，Sanyo POSCAP 与 Panasonic SP-Cap 开始将 PEDOT 阴极导入叠层结构，标志着现代 SAPC 雏形的形成。</w:t>
      </w:r>
    </w:p>
    <w:p>
      <w:pPr>
        <w:spacing w:line="360" w:lineRule="auto" w:after="40"/>
        <w:ind w:firstLine="420"/>
        <w:jc w:val="both"/>
      </w:pPr>
      <w:r>
        <w:rPr>
          <w:rFonts w:ascii="Times New Roman" w:hAnsi="Times New Roman" w:eastAsia="宋体"/>
          <w:b w:val="0"/>
          <w:sz w:val="21"/>
        </w:rPr>
        <w:t>(3) 商用大规模普及阶段 (2000—2010 年)。随着 Intel Pentium 4 处理器核电压降至 1.5 V 以下、峰值电流突破 50 A，对 CPU VRM 的电容器 ESR 提出了新要求。SAPC 凭借 5~15 mΩ 的典型 ESR 和数安培级别的纹波电流承载能力，快速占据主板 VRM 输出滤波电容位置。这一阶段日本企业 (Sanyo、Panasonic、NEC Tokin、Nichicon) 占据了全球 80% 以上的 SAPC 市场份额 [11]。</w:t>
      </w:r>
    </w:p>
    <w:p>
      <w:pPr>
        <w:spacing w:line="360" w:lineRule="auto" w:after="40"/>
        <w:ind w:firstLine="420"/>
        <w:jc w:val="both"/>
      </w:pPr>
      <w:r>
        <w:rPr>
          <w:rFonts w:ascii="Times New Roman" w:hAnsi="Times New Roman" w:eastAsia="宋体"/>
          <w:b w:val="0"/>
          <w:sz w:val="21"/>
        </w:rPr>
        <w:t>(4) 性能与工艺精细化阶段 (2010—2020 年)。此阶段以 Panasonic SP-Cap KX/JX 系列、KEMET A700H/A750 系列为代表，实现了 125°C 工作温度下 5000~7000 小时的 endurance 指标，耐回流焊温度稳定在 260°C [4][12]。与此同时，学术界开始系统开展 SAPC 失效机理研究：Liu 等在 CALCE 实验室发表了一系列高温高湿环境下 PA 电容失效的论文 [13][14][15]；KEMET 的 Freeman 等对 PEDOT 阴极在 85°C/85%RH 下的电导率退化行为开展了深入研究 [16]。</w:t>
      </w:r>
    </w:p>
    <w:p>
      <w:pPr>
        <w:spacing w:line="360" w:lineRule="auto" w:after="40"/>
        <w:ind w:firstLine="420"/>
        <w:jc w:val="both"/>
      </w:pPr>
      <w:r>
        <w:rPr>
          <w:rFonts w:ascii="Times New Roman" w:hAnsi="Times New Roman" w:eastAsia="宋体"/>
          <w:b w:val="0"/>
          <w:sz w:val="21"/>
        </w:rPr>
        <w:t>(5) 新材料与智能化阶段 (2020 年以来)。伴随 AI 服务器、电动汽车与 5G/6G 基站对电容器高温可靠性提出的新要求，Panasonic 于 2022 年发布了 KX 系列"125°C/5500h"长寿命 SP-Cap，号称行业最长耐久性 [17]；与此同时 NASA NEPP 的 Teverovsky 博士于 2024 年发布了《Stress Testing of Chip Aluminum Polymer Capacitors》报告，首次系统给出了 SAPC 在 125°C/1.9 倍额定电压下的 HALT 数据与激活能估计 [18]；机器学习方法也开始被引入 SAPC 的 RUL 预测。</w:t>
      </w:r>
    </w:p>
    <w:p>
      <w:pPr>
        <w:spacing w:before="120"/>
        <w:jc w:val="center"/>
      </w:pPr>
      <w:r>
        <w:drawing>
          <wp:inline xmlns:a="http://schemas.openxmlformats.org/drawingml/2006/main" xmlns:pic="http://schemas.openxmlformats.org/drawingml/2006/picture">
            <wp:extent cx="5220000" cy="3232151"/>
            <wp:docPr id="2" name="Picture 2"/>
            <wp:cNvGraphicFramePr>
              <a:graphicFrameLocks noChangeAspect="1"/>
            </wp:cNvGraphicFramePr>
            <a:graphic>
              <a:graphicData uri="http://schemas.openxmlformats.org/drawingml/2006/picture">
                <pic:pic>
                  <pic:nvPicPr>
                    <pic:cNvPr id="0" name="fig01_market.png"/>
                    <pic:cNvPicPr/>
                  </pic:nvPicPr>
                  <pic:blipFill>
                    <a:blip r:embed="rId11"/>
                    <a:stretch>
                      <a:fillRect/>
                    </a:stretch>
                  </pic:blipFill>
                  <pic:spPr>
                    <a:xfrm>
                      <a:off x="0" y="0"/>
                      <a:ext cx="5220000" cy="3232151"/>
                    </a:xfrm>
                    <a:prstGeom prst="rect"/>
                  </pic:spPr>
                </pic:pic>
              </a:graphicData>
            </a:graphic>
          </wp:inline>
        </w:drawing>
      </w:r>
    </w:p>
    <w:p>
      <w:pPr>
        <w:spacing w:after="120"/>
        <w:jc w:val="center"/>
      </w:pPr>
      <w:r>
        <w:rPr>
          <w:rFonts w:ascii="Times New Roman" w:hAnsi="Times New Roman" w:eastAsia="黑体"/>
          <w:b/>
          <w:sz w:val="20"/>
        </w:rPr>
        <w:t>图 1-1  2023 年全球电容器出货量按类型分布示意图（SAPC 占约 3%，但在高端 VRM 场景中占比显著更高）</w:t>
      </w:r>
    </w:p>
    <w:p>
      <w:pPr>
        <w:spacing w:before="200" w:after="100"/>
        <w:outlineLvl w:val="2"/>
      </w:pPr>
      <w:r>
        <w:rPr>
          <w:rFonts w:ascii="Times New Roman" w:hAnsi="Times New Roman" w:eastAsia="黑体"/>
          <w:b/>
          <w:sz w:val="28"/>
        </w:rPr>
        <w:t>1.3 在电力电子系统中的地位</w:t>
      </w:r>
    </w:p>
    <w:p>
      <w:pPr>
        <w:spacing w:line="360" w:lineRule="auto" w:after="40"/>
        <w:ind w:firstLine="420"/>
        <w:jc w:val="both"/>
      </w:pPr>
      <w:r>
        <w:rPr>
          <w:rFonts w:ascii="Times New Roman" w:hAnsi="Times New Roman" w:eastAsia="宋体"/>
          <w:b w:val="0"/>
          <w:sz w:val="21"/>
        </w:rPr>
        <w:t>尽管 SAPC 在全球电容器出货量中的份额仅约 3%（图 1-1），但在高端电力电子装备中，其地位远超这一比例所能反映。这是因为 SAPC 专门定位于"高纹波、低 ESR、抗回流焊"的中高端应用，其替代对象——大容量 MLCC 与钽聚合物电容——都存在明确的技术边界。</w:t>
      </w:r>
    </w:p>
    <w:p>
      <w:pPr>
        <w:spacing w:line="360" w:lineRule="auto" w:after="40"/>
        <w:ind w:firstLine="420"/>
        <w:jc w:val="both"/>
      </w:pPr>
      <w:r>
        <w:rPr>
          <w:rFonts w:ascii="Times New Roman" w:hAnsi="Times New Roman" w:eastAsia="宋体"/>
          <w:b w:val="0"/>
          <w:sz w:val="21"/>
        </w:rPr>
        <w:t>具体地： 第一，在 CPU/GPU/FPGA 的核心电压供电模块 (VRM) 中，1 V 级别以下的低压大电流输出对电容器 ESR 提出了极致要求。以典型 AMD/Intel 服务器 CPU 的核电压 VDDQ 为例，在 200 A 负载下，输出滤波电容的 ESR 每升高 1 mΩ 意味着稳态电压降 0.2 V，对应数百瓦功耗损失。SAPC 典型 5~15 mΩ 的 ESR 使其成为 VRM 输出滤波的理想选择。Panasonic 官方文献指出，SP-Cap 在 VRM 场景的典型配置是"2~4 只 470 μF/2.5 V + 并联 MLCC" [4]。</w:t>
      </w:r>
    </w:p>
    <w:p>
      <w:pPr>
        <w:spacing w:line="360" w:lineRule="auto" w:after="40"/>
        <w:ind w:firstLine="420"/>
        <w:jc w:val="both"/>
      </w:pPr>
      <w:r>
        <w:rPr>
          <w:rFonts w:ascii="Times New Roman" w:hAnsi="Times New Roman" w:eastAsia="宋体"/>
          <w:b w:val="0"/>
          <w:sz w:val="21"/>
        </w:rPr>
        <w:t>第二，在 5G 基站与 AI 服务器的 48 V 母线转中间母线 (MBC) 转换中，纹波电流常达数安培。大容量钽聚合物电容虽然 ESR 更低，但其单位容量成本是 SAPC 的 2~4 倍；大容量 MLCC 则存在 DC 偏置下严重的容量损失（X5R 介质在额定电压下容量可能下降 40~70%）。SAPC 在此场景具有最优的性价比。</w:t>
      </w:r>
    </w:p>
    <w:p>
      <w:pPr>
        <w:spacing w:line="360" w:lineRule="auto" w:after="40"/>
        <w:ind w:firstLine="420"/>
        <w:jc w:val="both"/>
      </w:pPr>
      <w:r>
        <w:rPr>
          <w:rFonts w:ascii="Times New Roman" w:hAnsi="Times New Roman" w:eastAsia="宋体"/>
          <w:b w:val="0"/>
          <w:sz w:val="21"/>
        </w:rPr>
        <w:t>第三，在 EV 的 48 V 辅助域、车载以太网与充电控制器中，SAPC 凭借 AEC-Q200 合规性与优异的温度特性，已成为 Tier 1 供应商的常用选择。尽管其应用仍受"湿度敏感"制约（多数厂家推荐工作湿度 &lt; 85%RH），但与 MLCC 相比，SAPC 不存在压电噪声问题，更适合用作音频前级与精密测量前端的供电滤波。</w:t>
      </w:r>
    </w:p>
    <w:p>
      <w:pPr>
        <w:spacing w:line="360" w:lineRule="auto" w:after="40"/>
        <w:ind w:firstLine="420"/>
        <w:jc w:val="both"/>
      </w:pPr>
      <w:r>
        <w:rPr>
          <w:rFonts w:ascii="Times New Roman" w:hAnsi="Times New Roman" w:eastAsia="宋体"/>
          <w:b w:val="0"/>
          <w:sz w:val="21"/>
        </w:rPr>
        <w:t>第四，在对信号完整性要求苛刻的高速串行总线 (PCIe Gen5/6、112 Gb/s SerDes) 设计中，SAPC 凭借 2~3 nH 的典型 ESL 与平坦的中高频阻抗，成为局部旁路网络 (local decoupling network, LDN) 的重要组成部分。</w:t>
      </w:r>
    </w:p>
    <w:p>
      <w:pPr>
        <w:spacing w:before="120"/>
        <w:jc w:val="center"/>
      </w:pPr>
      <w:r>
        <w:drawing>
          <wp:inline xmlns:a="http://schemas.openxmlformats.org/drawingml/2006/main" xmlns:pic="http://schemas.openxmlformats.org/drawingml/2006/picture">
            <wp:extent cx="5220000" cy="3548399"/>
            <wp:docPr id="3" name="Picture 3"/>
            <wp:cNvGraphicFramePr>
              <a:graphicFrameLocks noChangeAspect="1"/>
            </wp:cNvGraphicFramePr>
            <a:graphic>
              <a:graphicData uri="http://schemas.openxmlformats.org/drawingml/2006/picture">
                <pic:pic>
                  <pic:nvPicPr>
                    <pic:cNvPr id="0" name="fig05_esr_compare.png"/>
                    <pic:cNvPicPr/>
                  </pic:nvPicPr>
                  <pic:blipFill>
                    <a:blip r:embed="rId12"/>
                    <a:stretch>
                      <a:fillRect/>
                    </a:stretch>
                  </pic:blipFill>
                  <pic:spPr>
                    <a:xfrm>
                      <a:off x="0" y="0"/>
                      <a:ext cx="5220000" cy="3548399"/>
                    </a:xfrm>
                    <a:prstGeom prst="rect"/>
                  </pic:spPr>
                </pic:pic>
              </a:graphicData>
            </a:graphic>
          </wp:inline>
        </w:drawing>
      </w:r>
    </w:p>
    <w:p>
      <w:pPr>
        <w:spacing w:after="120"/>
        <w:jc w:val="center"/>
      </w:pPr>
      <w:r>
        <w:rPr>
          <w:rFonts w:ascii="Times New Roman" w:hAnsi="Times New Roman" w:eastAsia="黑体"/>
          <w:b/>
          <w:sz w:val="20"/>
        </w:rPr>
        <w:t>图 1-2  五类主流电容器的阻抗频率响应对比（SAPC 在 10 kHz ~ 1 MHz 范围内具有最低的 |Z|）</w:t>
      </w:r>
    </w:p>
    <w:p>
      <w:pPr>
        <w:spacing w:before="200" w:after="100"/>
        <w:outlineLvl w:val="2"/>
      </w:pPr>
      <w:r>
        <w:rPr>
          <w:rFonts w:ascii="Times New Roman" w:hAnsi="Times New Roman" w:eastAsia="黑体"/>
          <w:b/>
          <w:sz w:val="28"/>
        </w:rPr>
        <w:t>1.4 国内外研究现状综述</w:t>
      </w:r>
    </w:p>
    <w:p>
      <w:pPr>
        <w:spacing w:line="360" w:lineRule="auto" w:after="40"/>
        <w:ind w:firstLine="420"/>
        <w:jc w:val="both"/>
      </w:pPr>
      <w:r>
        <w:rPr>
          <w:rFonts w:ascii="Times New Roman" w:hAnsi="Times New Roman" w:eastAsia="宋体"/>
          <w:b w:val="0"/>
          <w:sz w:val="21"/>
        </w:rPr>
        <w:t>针对 SAPC 的学术研究可大致归为四条主线。</w:t>
      </w:r>
    </w:p>
    <w:p>
      <w:pPr>
        <w:spacing w:line="360" w:lineRule="auto" w:after="40"/>
        <w:ind w:firstLine="420"/>
        <w:jc w:val="both"/>
      </w:pPr>
      <w:r>
        <w:rPr>
          <w:rFonts w:ascii="Times New Roman" w:hAnsi="Times New Roman" w:eastAsia="宋体"/>
          <w:b w:val="0"/>
          <w:sz w:val="21"/>
        </w:rPr>
        <w:t>第一条主线是失效物理与可靠性。美国马里兰大学 CALCE 团队的 Liu、Azarian、Pecht 等自 2013 年起系统开展了 SAPC 在高温高湿偏压下的失效研究 [13][14][15]。其代表性成果包括：2015 年博士论文 "Reliability Evaluation of Liquid and Polymer Aluminum Electrolytic Capacitors" 给出了 SAPC 与液态铝电容器在寿命建模维度上的对比 [13]；2016 年工作首次提出"封装几何影响水汽驱动退化"的定量观测 [19]；2017 年发表于 IEEE Transactions on CPMT 的文章报告了两家不同厂商 SAPC 分别呈现 ESR 跑飞和 LC 跑飞两种主导模式 [14]；2020 年 CALCE CWS 系列报告进一步扩展到叠层多片结构 PA 电容的可靠性评估 [15]。这一系列工作奠定了当前学术界对 SAPC 可靠性的基本认识框架。</w:t>
      </w:r>
    </w:p>
    <w:p>
      <w:pPr>
        <w:spacing w:line="360" w:lineRule="auto" w:after="40"/>
        <w:ind w:firstLine="420"/>
        <w:jc w:val="both"/>
      </w:pPr>
      <w:r>
        <w:rPr>
          <w:rFonts w:ascii="Times New Roman" w:hAnsi="Times New Roman" w:eastAsia="宋体"/>
          <w:b w:val="0"/>
          <w:sz w:val="21"/>
        </w:rPr>
        <w:t>NASA 元器件可靠性项目 NEPP 的 Teverovsky 博士自 2016 年起持续跟踪钽聚合物电容与聚合物铝电容的空间应用可靠性 [20][21][22]。其 2024 年发表的 Stress Testing of Chip Aluminum Polymer Capacitors 报告基于 85°C 与 125°C、1.2~1.9 倍额定电压的 HALT 实验，拟合得到激活能约 0.7 eV、电压指数约 3~4，为航天应用的 SAPC 寿命外推提供了可信依据 [18]。</w:t>
      </w:r>
    </w:p>
    <w:p>
      <w:pPr>
        <w:spacing w:line="360" w:lineRule="auto" w:after="40"/>
        <w:ind w:firstLine="420"/>
        <w:jc w:val="both"/>
      </w:pPr>
      <w:r>
        <w:rPr>
          <w:rFonts w:ascii="Times New Roman" w:hAnsi="Times New Roman" w:eastAsia="宋体"/>
          <w:b w:val="0"/>
          <w:sz w:val="21"/>
        </w:rPr>
        <w:t>第二条主线是导电聚合物阴极材料。Bayer (现 Heraeus) 公司对 PEDOT/PSS 体系的长期研究形成了 CLEVIOS™ 系列产品 [9]。学术界对 PEDOT 热稳定性 [23]、PSS 酸性水解 [24]、PEDOT:PSS 的吸湿膨胀行为 [25][26]、PEDOT 在光/氧/水共同作用下的降解 [27] 都开展了系统的分子尺度研究。Shi 等 2021 年在 J Mater Sci: Mater Electron 上发表的气相聚合 (VPP) PEDOT 薄膜制备工艺对叠层固态电容器给出了新的工艺路线 [28]。</w:t>
      </w:r>
    </w:p>
    <w:p>
      <w:pPr>
        <w:spacing w:line="360" w:lineRule="auto" w:after="40"/>
        <w:ind w:firstLine="420"/>
        <w:jc w:val="both"/>
      </w:pPr>
      <w:r>
        <w:rPr>
          <w:rFonts w:ascii="Times New Roman" w:hAnsi="Times New Roman" w:eastAsia="宋体"/>
          <w:b w:val="0"/>
          <w:sz w:val="21"/>
        </w:rPr>
        <w:t>第三条主线是工艺与器件设计。日本企业、KEMET 与 Kyocera-AVX 长期主导叠层结构、引线框架布局、多层端电极沉积等工艺改进。Freeman (KEMET) 等指出，相较于 in-situ 聚合的 PEDOT:Tos，采用预聚合 PEDOT:PSS 分散液在高湿条件下稳定性显著更优 [16]。Panasonic 2022 年 KX 系列白皮书披露了其在"端电极双层密封 + 低吸湿环氧"方面的工艺改进 [17]。</w:t>
      </w:r>
    </w:p>
    <w:p>
      <w:pPr>
        <w:spacing w:line="360" w:lineRule="auto" w:after="40"/>
        <w:ind w:firstLine="420"/>
        <w:jc w:val="both"/>
      </w:pPr>
      <w:r>
        <w:rPr>
          <w:rFonts w:ascii="Times New Roman" w:hAnsi="Times New Roman" w:eastAsia="宋体"/>
          <w:b w:val="0"/>
          <w:sz w:val="21"/>
        </w:rPr>
        <w:t>第四条主线是数据驱动预测。Zhu 等 2025 年在 MDPI Electronics 发表的 CNN-LSTM 模型考虑了参数离散度的影响，对聚合物铝电容和钽电容的 RUL 给出了较传统 LSTM 更高的预测精度 [29]。此外，基于物理信息神经网络 (PINN) 的方法正在快速发展，可望在小样本条件下获得更好的外推性。</w:t>
      </w:r>
    </w:p>
    <w:p>
      <w:pPr>
        <w:spacing w:line="360" w:lineRule="auto" w:after="40"/>
        <w:ind w:firstLine="420"/>
        <w:jc w:val="both"/>
      </w:pPr>
      <w:r>
        <w:rPr>
          <w:rFonts w:ascii="Times New Roman" w:hAnsi="Times New Roman" w:eastAsia="宋体"/>
          <w:b w:val="0"/>
          <w:sz w:val="21"/>
        </w:rPr>
        <w:t>然而，截至 2025 年中，SAPC 领域仍有若干重要问题悬而未决：(1) PEDOT 阴极在高湿下的去掺杂与 PSS 水解机理在分子尺度上尚缺乏定量统一描述；(2) 叠层结构中每一层 Al₂O₃/PEDOT 界面的独立寿命分布与并联/串联统计模型仍待完善；(3) 多应力耦合（温度 × 电压 × 湿度 × 纹波电流 × 振动）下的加速等效关系仍缺少实验验证；(4) 基于机器学习的 RUL 预测在工业现场的部署仍处于示范阶段，尚未大规模商用。</w:t>
      </w:r>
    </w:p>
    <w:p>
      <w:pPr>
        <w:spacing w:before="200" w:after="100"/>
        <w:outlineLvl w:val="2"/>
      </w:pPr>
      <w:r>
        <w:rPr>
          <w:rFonts w:ascii="Times New Roman" w:hAnsi="Times New Roman" w:eastAsia="黑体"/>
          <w:b/>
          <w:sz w:val="28"/>
        </w:rPr>
        <w:t>1.5 本综述的范围、方法与组织</w:t>
      </w:r>
    </w:p>
    <w:p>
      <w:pPr>
        <w:spacing w:line="360" w:lineRule="auto" w:after="40"/>
        <w:ind w:firstLine="420"/>
        <w:jc w:val="both"/>
      </w:pPr>
      <w:r>
        <w:rPr>
          <w:rFonts w:ascii="Times New Roman" w:hAnsi="Times New Roman" w:eastAsia="宋体"/>
          <w:b w:val="0"/>
          <w:sz w:val="21"/>
        </w:rPr>
        <w:t>本综述聚焦于叠层铝固态聚合物电容器 (SAPC)，不深入讨论卷绕式铝聚合物电容器、钽聚合物电容器、液态铝电解电容器与超级电容器；但在需要对比的语境下会简要提及上述器件。综述的文献范围为：IEEE Transactions on CPMT / Dielectrics and Electrical Insulation / Industry Applications、Elsevier Microelectronics Reliability / Journal of Power Sources / Journal of Applied Polymer Science、Nature Communications、RSC Journal of Materials Chemistry / Energy &amp; Environmental Science、Springer Journal of Materials Science: Materials in Electronics、MDPI Electronics / Materials / Polymers、AIP Applied Physics Letters / Journal of Applied Physics 以及 NASA NEPP、KEMET、Panasonic、Nichicon、Murata 等权威机构的白皮书。</w:t>
      </w:r>
    </w:p>
    <w:p>
      <w:pPr>
        <w:spacing w:line="360" w:lineRule="auto" w:after="40"/>
        <w:ind w:firstLine="420"/>
        <w:jc w:val="both"/>
      </w:pPr>
      <w:r>
        <w:rPr>
          <w:rFonts w:ascii="Times New Roman" w:hAnsi="Times New Roman" w:eastAsia="宋体"/>
          <w:b w:val="0"/>
          <w:sz w:val="21"/>
        </w:rPr>
        <w:t>本综述采用"纵向链 + 横向比较"的二维组织方法：纵向链指的是"材料与结构 → 制造工艺 → 表征方法 → 失效模式 → 失效机理 → 可靠性建模 → 工艺改进"的研究闭环；横向比较则针对不同制造商 (Panasonic/Nichicon/KEMET/Chemi-Con/AVX) 、不同工艺路线 (in-situ/pre-polymerized/VPP) 、不同介质厚度与电压等级进行跨对象分析。</w:t>
      </w:r>
    </w:p>
    <w:p>
      <w:pPr>
        <w:spacing w:line="360" w:lineRule="auto" w:after="40"/>
        <w:ind w:firstLine="420"/>
        <w:jc w:val="both"/>
      </w:pPr>
      <w:r>
        <w:rPr>
          <w:rFonts w:ascii="Times New Roman" w:hAnsi="Times New Roman" w:eastAsia="宋体"/>
          <w:b w:val="0"/>
          <w:sz w:val="21"/>
        </w:rPr>
        <w:t>全综述共包含 8 个主要章节与 3 个附录： 第 1 章 绪论，确立研究背景； 第 2 章 结构、材料与基本原理； 第 3 章 制造工艺与工艺-可靠性耦合； 第 4 章 表征与检测方法； 第 5 章 典型失效模式； 第 6 章 失效机理； 第 7 章 可靠性建模方法； 第 8 章 工艺改进与可靠性提升策略； 附录 A 符号与缩略语表； 附录 B 加速试验设计范例； 附录 C 典型案例分析； 参考文献。</w:t>
      </w:r>
    </w:p>
    <w:p>
      <w:pPr>
        <w:spacing w:line="360" w:lineRule="auto" w:after="40"/>
        <w:ind w:firstLine="420"/>
        <w:jc w:val="both"/>
      </w:pPr>
      <w:r>
        <w:rPr>
          <w:rFonts w:ascii="Times New Roman" w:hAnsi="Times New Roman" w:eastAsia="宋体"/>
          <w:b w:val="0"/>
          <w:sz w:val="21"/>
        </w:rPr>
        <w:t>希望本综述能够为电容器材料学家、可靠性工程师、电源系统设计者以及质量保证专业人员提供一份体系化的、具有代表性的参考文献。</w:t>
      </w:r>
    </w:p>
    <w:p>
      <w:r>
        <w:br w:type="page"/>
      </w:r>
    </w:p>
    <w:p>
      <w:pPr>
        <w:spacing w:before="200" w:after="100"/>
        <w:outlineLvl w:val="1"/>
      </w:pPr>
      <w:r>
        <w:rPr>
          <w:rFonts w:ascii="Times New Roman" w:hAnsi="Times New Roman" w:eastAsia="黑体"/>
          <w:b/>
          <w:sz w:val="36"/>
        </w:rPr>
        <w:t>第二章 结构、材料与基本原理</w:t>
      </w:r>
    </w:p>
    <w:p>
      <w:pPr>
        <w:spacing w:before="200" w:after="100"/>
        <w:outlineLvl w:val="2"/>
      </w:pPr>
      <w:r>
        <w:rPr>
          <w:rFonts w:ascii="Times New Roman" w:hAnsi="Times New Roman" w:eastAsia="黑体"/>
          <w:b/>
          <w:sz w:val="28"/>
        </w:rPr>
        <w:t>2.1 总体结构与各功能层功能</w:t>
      </w:r>
    </w:p>
    <w:p>
      <w:pPr>
        <w:spacing w:line="360" w:lineRule="auto" w:after="40"/>
        <w:ind w:firstLine="420"/>
        <w:jc w:val="both"/>
      </w:pPr>
      <w:r>
        <w:rPr>
          <w:rFonts w:ascii="Times New Roman" w:hAnsi="Times New Roman" w:eastAsia="宋体"/>
          <w:b w:val="0"/>
          <w:sz w:val="21"/>
        </w:rPr>
        <w:t>如图 2-1 所示，典型的 SAPC 沿垂直方向由 3~12 片蚀刻铝阳极箔堆叠而成，每片阳极箔在蚀刻后表面呈现致密的隧道状微孔，之后通过阳极氧化在箔表面生成约 10~100 nm 的 Al₂O₃ 薄层作为介质；接下来在 Al₂O₃ 表面沉积导电聚合物 PEDOT 作为阴极，其上再依次沉积碳浆层 (为 PEDOT 与银浆层之间的欧姆接触过渡) 和银浆层 (用于将阴极电流引至 Cu 阴极引线框架)；阳极箔的一端通过激光焊接或超声焊接与 Cu 阳极引线框架连接；最外层为环氧树脂模塑封装。</w:t>
      </w:r>
    </w:p>
    <w:p>
      <w:pPr>
        <w:spacing w:line="360" w:lineRule="auto" w:after="40"/>
        <w:ind w:firstLine="420"/>
        <w:jc w:val="both"/>
      </w:pPr>
      <w:r>
        <w:rPr>
          <w:rFonts w:ascii="Times New Roman" w:hAnsi="Times New Roman" w:eastAsia="宋体"/>
          <w:b w:val="0"/>
          <w:sz w:val="21"/>
        </w:rPr>
        <w:t>各功能层的物理化学角色如下： (1) 阳极 Al 箔：既是电子导体又是介质的形成基体，其表面积的放大倍率 (通常 20~100×) 决定了电容密度的上限； (2) Al₂O₃ 介质：真正的电场承载层，其厚度与阳极氧化电压近似成正比 (约 1.4 nm/V)； (3) PEDOT 阴极：作为电子/离子混合导体完成阴极电流的引出； (4) 碳浆过渡层：为解决 PEDOT 与银浆层之间欧姆接触不良的问题； (5) 银浆层：低电阻电流汇集层； (6) Cu 引线框架：提供电极与外部系统的电连接，同时作为散热路径； (7) 环氧封装：提供机械支撑、绝缘以及有限的湿度屏障。</w:t>
      </w:r>
    </w:p>
    <w:p>
      <w:pPr>
        <w:spacing w:line="360" w:lineRule="auto" w:after="40"/>
        <w:ind w:firstLine="420"/>
        <w:jc w:val="both"/>
      </w:pPr>
      <w:r>
        <w:rPr>
          <w:rFonts w:ascii="Times New Roman" w:hAnsi="Times New Roman" w:eastAsia="宋体"/>
          <w:b w:val="0"/>
          <w:sz w:val="21"/>
        </w:rPr>
        <w:t>相较于传统的卷绕式液态铝电容器，SAPC 的结构优势主要体现在三个方面：(1) 叠层结构比卷绕结构具有更短的电流路径，从而拥有更低的 ESL 和 ESR；(2) 无液态电解液意味着无电解液蒸发与干涸失效模式；(3) 引线框架 + 环氧封装相较于铝壳 + 橡胶密封塞，在 SMT 回流焊温度 (260°C) 下的热稳定性更好。然而，该结构也带来了新的失效模式，特别是 PEDOT 阴极的高温高湿退化以及引线框架与陶瓷封装之间的 CTE 失配导致的层间分层——这些将在第 6 章进一步分析 [14][16]。</w:t>
      </w:r>
    </w:p>
    <w:p>
      <w:pPr>
        <w:spacing w:before="200" w:after="100"/>
        <w:outlineLvl w:val="2"/>
      </w:pPr>
      <w:r>
        <w:rPr>
          <w:rFonts w:ascii="Times New Roman" w:hAnsi="Times New Roman" w:eastAsia="黑体"/>
          <w:b/>
          <w:sz w:val="28"/>
        </w:rPr>
        <w:t>2.2 蚀刻铝阳极箔</w:t>
      </w:r>
    </w:p>
    <w:p>
      <w:pPr>
        <w:spacing w:line="360" w:lineRule="auto" w:after="40"/>
        <w:ind w:firstLine="420"/>
        <w:jc w:val="both"/>
      </w:pPr>
      <w:r>
        <w:rPr>
          <w:rFonts w:ascii="Times New Roman" w:hAnsi="Times New Roman" w:eastAsia="宋体"/>
          <w:b w:val="0"/>
          <w:sz w:val="21"/>
        </w:rPr>
        <w:t>铝阳极箔是 SAPC 的核心。其基底通常采用纯度 ≥99.99% 的低压电子级铝箔 (high-purity aluminum foil)，典型厚度 80~130 μm。根据额定电压等级的不同，蚀刻工艺可分为低压型 (直流蚀刻 DC etching，用于 Vr ≤ 10 V) 与中压型 (交流蚀刻 AC etching，用于 10 &lt; Vr ≤ 50 V)。SAPC 由于典型额定电压只有 2~35 V，主要采用低压直流蚀刻工艺 [30][31][32]。</w:t>
      </w:r>
    </w:p>
    <w:p>
      <w:pPr>
        <w:spacing w:line="360" w:lineRule="auto" w:after="40"/>
        <w:ind w:firstLine="420"/>
        <w:jc w:val="both"/>
      </w:pPr>
      <w:r>
        <w:rPr>
          <w:rFonts w:ascii="Times New Roman" w:hAnsi="Times New Roman" w:eastAsia="宋体"/>
          <w:b w:val="0"/>
          <w:sz w:val="21"/>
        </w:rPr>
        <w:t>直流蚀刻的典型工艺参数：电解液为 HCl + H₂SO₄ 混合溶液，浓度约 1~3 mol/L；蚀刻电流密度约 0.2~1.0 A/cm²；温度 75~85°C；蚀刻时间数十秒至数分钟。其核心反应是以下的电化学腐蚀：</w:t>
      </w:r>
    </w:p>
    <w:p>
      <w:pPr>
        <w:spacing w:before="100" w:after="100"/>
        <w:jc w:val="center"/>
      </w:pPr>
      <w:r>
        <w:rPr>
          <w:rFonts w:ascii="Times New Roman" w:hAnsi="Times New Roman" w:eastAsia="Times New Roman"/>
          <w:b w:val="0"/>
          <w:sz w:val="22"/>
        </w:rPr>
        <w:t>Al + 3Cl⁻ → AlCl₃ + 3e⁻ (anodic)</w:t>
      </w:r>
    </w:p>
    <w:p>
      <w:pPr>
        <w:spacing w:before="100" w:after="100"/>
        <w:jc w:val="center"/>
      </w:pPr>
      <w:r>
        <w:rPr>
          <w:rFonts w:ascii="Times New Roman" w:hAnsi="Times New Roman" w:eastAsia="Times New Roman"/>
          <w:b w:val="0"/>
          <w:sz w:val="22"/>
        </w:rPr>
        <w:t>2H⁺ + 2e⁻ → H₂↑ (cathodic)</w:t>
      </w:r>
    </w:p>
    <w:p>
      <w:pPr>
        <w:spacing w:line="360" w:lineRule="auto" w:after="40"/>
        <w:ind w:firstLine="420"/>
        <w:jc w:val="both"/>
      </w:pPr>
      <w:r>
        <w:rPr>
          <w:rFonts w:ascii="Times New Roman" w:hAnsi="Times New Roman" w:eastAsia="宋体"/>
          <w:b w:val="0"/>
          <w:sz w:val="21"/>
        </w:rPr>
        <w:t>上述反应并非均匀腐蚀，而是沿 Al (100) 晶面优先蚀刻形成直径约 0.2~2 μm、深度 10~40 μm 的隧道状孔 (tunnel pits)。蚀刻隧道的密度、直径与深度分布直接决定了阳极箔的有效表面积放大倍率，从而决定单位面积电容。Du 等 (2019) 系统研究了隧道侧向分支层 (branched layer) 对比表面积的影响，指出过度的分支层反而会减小有效表面积，其关键是在主隧道伸长与分支生成之间的精确平衡 [32]。MDPI Metals (2025) 最新报道了通过控制痕量杂质元素 (Cu, Fe) 的钝化作用精确调控坑隙起始与生长的方法 [33]。</w:t>
      </w:r>
    </w:p>
    <w:p>
      <w:pPr>
        <w:spacing w:before="120"/>
        <w:jc w:val="center"/>
      </w:pPr>
      <w:r>
        <w:drawing>
          <wp:inline xmlns:a="http://schemas.openxmlformats.org/drawingml/2006/main" xmlns:pic="http://schemas.openxmlformats.org/drawingml/2006/picture">
            <wp:extent cx="5220000" cy="2103165"/>
            <wp:docPr id="4" name="Picture 4"/>
            <wp:cNvGraphicFramePr>
              <a:graphicFrameLocks noChangeAspect="1"/>
            </wp:cNvGraphicFramePr>
            <a:graphic>
              <a:graphicData uri="http://schemas.openxmlformats.org/drawingml/2006/picture">
                <pic:pic>
                  <pic:nvPicPr>
                    <pic:cNvPr id="0" name="fig03_etch_formation.png"/>
                    <pic:cNvPicPr/>
                  </pic:nvPicPr>
                  <pic:blipFill>
                    <a:blip r:embed="rId13"/>
                    <a:stretch>
                      <a:fillRect/>
                    </a:stretch>
                  </pic:blipFill>
                  <pic:spPr>
                    <a:xfrm>
                      <a:off x="0" y="0"/>
                      <a:ext cx="5220000" cy="2103165"/>
                    </a:xfrm>
                    <a:prstGeom prst="rect"/>
                  </pic:spPr>
                </pic:pic>
              </a:graphicData>
            </a:graphic>
          </wp:inline>
        </w:drawing>
      </w:r>
    </w:p>
    <w:p>
      <w:pPr>
        <w:spacing w:after="120"/>
        <w:jc w:val="center"/>
      </w:pPr>
      <w:r>
        <w:rPr>
          <w:rFonts w:ascii="Times New Roman" w:hAnsi="Times New Roman" w:eastAsia="黑体"/>
          <w:b/>
          <w:sz w:val="20"/>
        </w:rPr>
        <w:t>图 2-2  铝阳极箔蚀刻 (tunnel pitting) 与阳极氧化 (formation) 工艺示意</w:t>
      </w:r>
    </w:p>
    <w:p>
      <w:pPr>
        <w:spacing w:before="200" w:after="100"/>
        <w:outlineLvl w:val="2"/>
      </w:pPr>
      <w:r>
        <w:rPr>
          <w:rFonts w:ascii="Times New Roman" w:hAnsi="Times New Roman" w:eastAsia="黑体"/>
          <w:b/>
          <w:sz w:val="28"/>
        </w:rPr>
        <w:t>2.3 Al₂O₃ 阳极氧化膜介质</w:t>
      </w:r>
    </w:p>
    <w:p>
      <w:pPr>
        <w:spacing w:line="360" w:lineRule="auto" w:after="40"/>
        <w:ind w:firstLine="420"/>
        <w:jc w:val="both"/>
      </w:pPr>
      <w:r>
        <w:rPr>
          <w:rFonts w:ascii="Times New Roman" w:hAnsi="Times New Roman" w:eastAsia="宋体"/>
          <w:b w:val="0"/>
          <w:sz w:val="21"/>
        </w:rPr>
        <w:t>阳极氧化 (formation / anodization) 是在蚀刻好的铝箔表面通过电化学氧化生成 Al₂O₃ 介质层的工艺。电解液通常为硼酸铵、己二酸铵或磷酸铵水溶液，pH 中性或弱酸性；工艺电压 V_form 约为 1.2~1.5 倍工作电压 V_R，反应时间约数分钟到数十分钟，温度 85~95°C。其总反应可写为：</w:t>
      </w:r>
    </w:p>
    <w:p>
      <w:pPr>
        <w:spacing w:before="100" w:after="100"/>
        <w:jc w:val="center"/>
      </w:pPr>
      <w:r>
        <w:rPr>
          <w:rFonts w:ascii="Times New Roman" w:hAnsi="Times New Roman" w:eastAsia="Times New Roman"/>
          <w:b w:val="0"/>
          <w:sz w:val="22"/>
        </w:rPr>
        <w:t>2Al + 3H₂O → Al₂O₃ + 6H⁺ + 6e⁻</w:t>
      </w:r>
    </w:p>
    <w:p>
      <w:pPr>
        <w:spacing w:line="360" w:lineRule="auto" w:after="40"/>
        <w:ind w:firstLine="420"/>
        <w:jc w:val="both"/>
      </w:pPr>
      <w:r>
        <w:rPr>
          <w:rFonts w:ascii="Times New Roman" w:hAnsi="Times New Roman" w:eastAsia="宋体"/>
          <w:b w:val="0"/>
          <w:sz w:val="21"/>
        </w:rPr>
        <w:t>Al₂O₃ 氧化膜呈非晶态，其厚度 d 与化成电压 V_form 之间遵循经验关系 d ≈ 1.4 nm/V (即"anodic ratio")。SAPC 额定电压 6.3 V 对应的介质厚度约 9~10 nm；25 V 对应约 35 nm。Al₂O₃ 的相对介电常数 ε_r 约为 8.5~10，击穿场强 E_BD 可达 7~10 MV/cm。</w:t>
      </w:r>
    </w:p>
    <w:p>
      <w:pPr>
        <w:spacing w:line="360" w:lineRule="auto" w:after="40"/>
        <w:ind w:firstLine="420"/>
        <w:jc w:val="both"/>
      </w:pPr>
      <w:r>
        <w:rPr>
          <w:rFonts w:ascii="Times New Roman" w:hAnsi="Times New Roman" w:eastAsia="宋体"/>
          <w:b w:val="0"/>
          <w:sz w:val="21"/>
        </w:rPr>
        <w:t>值得强调的是，Al₂O₃ 介质层的物理完整性高度依赖于阳极箔表面的平整度和蚀刻隧道的形貌。在隧道锐角处、微夹杂处或残余应力集中处，阳极氧化膜容易出现"化成缺陷"——薄弱点或未完全化成的区域，这些缺陷是 SAPC 早期失效与浪涌击穿的主要诱因 [34][35]。为此，业界普遍采用"再化成" (reformation) 工艺，即在蚀刻-化成基础上再经过一次低电流密度下的电化学修复，以弥合微观缺陷。</w:t>
      </w:r>
    </w:p>
    <w:p>
      <w:pPr>
        <w:spacing w:line="360" w:lineRule="auto" w:after="40"/>
        <w:ind w:firstLine="420"/>
        <w:jc w:val="both"/>
      </w:pPr>
      <w:r>
        <w:rPr>
          <w:rFonts w:ascii="Times New Roman" w:hAnsi="Times New Roman" w:eastAsia="宋体"/>
          <w:b w:val="0"/>
          <w:sz w:val="21"/>
        </w:rPr>
        <w:t>对于液态铝电容器，电解液中的水分可以持续对缺陷区域进行"在线再化成"，形成电容器的经典自愈机制。而对于 SAPC，固态 PEDOT 阴极基本不含游离水，使得这种自愈机制大大减弱，成为 SAPC 对化成质量要求更严格的根本原因之一 [36]。</w:t>
      </w:r>
    </w:p>
    <w:p>
      <w:pPr>
        <w:spacing w:before="200" w:after="100"/>
        <w:outlineLvl w:val="2"/>
      </w:pPr>
      <w:r>
        <w:rPr>
          <w:rFonts w:ascii="Times New Roman" w:hAnsi="Times New Roman" w:eastAsia="黑体"/>
          <w:b/>
          <w:sz w:val="28"/>
        </w:rPr>
        <w:t>2.4 PEDOT 类导电聚合物阴极</w:t>
      </w:r>
    </w:p>
    <w:p>
      <w:pPr>
        <w:spacing w:line="360" w:lineRule="auto" w:after="40"/>
        <w:ind w:firstLine="420"/>
        <w:jc w:val="both"/>
      </w:pPr>
      <w:r>
        <w:rPr>
          <w:rFonts w:ascii="Times New Roman" w:hAnsi="Times New Roman" w:eastAsia="宋体"/>
          <w:b w:val="0"/>
          <w:sz w:val="21"/>
        </w:rPr>
        <w:t>PEDOT (poly-3,4-ethylenedioxythiophene) 是 SAPC 阴极最主流的导电聚合物。其分子结构来源于 EDOT (3,4-乙撑二氧噻吩) 单体的氧化聚合反应：</w:t>
      </w:r>
    </w:p>
    <w:p>
      <w:pPr>
        <w:spacing w:before="100" w:after="100"/>
        <w:jc w:val="center"/>
      </w:pPr>
      <w:r>
        <w:rPr>
          <w:rFonts w:ascii="Times New Roman" w:hAnsi="Times New Roman" w:eastAsia="Times New Roman"/>
          <w:b w:val="0"/>
          <w:sz w:val="22"/>
        </w:rPr>
        <w:t>n EDOT + n A⁻ → PEDOTⁿ⁺·nA⁻ + 2n H⁺ + 2n e⁻</w:t>
      </w:r>
    </w:p>
    <w:p>
      <w:pPr>
        <w:spacing w:line="360" w:lineRule="auto" w:after="40"/>
        <w:ind w:firstLine="420"/>
        <w:jc w:val="both"/>
      </w:pPr>
      <w:r>
        <w:rPr>
          <w:rFonts w:ascii="Times New Roman" w:hAnsi="Times New Roman" w:eastAsia="宋体"/>
          <w:b w:val="0"/>
          <w:sz w:val="21"/>
        </w:rPr>
        <w:t>其中 A⁻ 可为对甲基苯磺酸根 (Tos⁻)、聚苯乙烯磺酸根 (PSS⁻)、氯离子等掺杂反阴离子 [9][37][38]。PEDOT 在 p-型掺杂状态下具有极高的电导率 (100~10³ S/cm) 与良好的热稳定性 (分解温度 &gt; 250°C)，是目前工业界最成熟的有机导电聚合物。</w:t>
      </w:r>
    </w:p>
    <w:p>
      <w:pPr>
        <w:spacing w:line="360" w:lineRule="auto" w:after="40"/>
        <w:ind w:firstLine="420"/>
        <w:jc w:val="both"/>
      </w:pPr>
      <w:r>
        <w:rPr>
          <w:rFonts w:ascii="Times New Roman" w:hAnsi="Times New Roman" w:eastAsia="宋体"/>
          <w:b w:val="0"/>
          <w:sz w:val="21"/>
        </w:rPr>
        <w:t>从器件角度讲，SAPC 对 PEDOT 阴极的关键要求包括：(1) 高电导率——直接决定 ESR；(2) 对 Al₂O₃ 介质的优良润湿性与孔隙填充能力——决定有效接触面积；(3) 良好的热稳定性——耐受 260°C 回流焊和 125°C 长期工作；(4) 低吸湿性——决定高湿环境可靠性；(5) 化学惰性——不与 Al₂O₃ 发生反应。</w:t>
      </w:r>
    </w:p>
    <w:p>
      <w:pPr>
        <w:spacing w:line="360" w:lineRule="auto" w:after="40"/>
        <w:ind w:firstLine="420"/>
        <w:jc w:val="both"/>
      </w:pPr>
      <w:r>
        <w:rPr>
          <w:rFonts w:ascii="Times New Roman" w:hAnsi="Times New Roman" w:eastAsia="宋体"/>
          <w:b w:val="0"/>
          <w:sz w:val="21"/>
        </w:rPr>
        <w:t>图 2-3 汇总了 PEDOT 的分子结构与三种主要沉积路线：</w:t>
      </w:r>
    </w:p>
    <w:p>
      <w:pPr>
        <w:spacing w:before="120"/>
        <w:jc w:val="center"/>
      </w:pPr>
      <w:r>
        <w:drawing>
          <wp:inline xmlns:a="http://schemas.openxmlformats.org/drawingml/2006/main" xmlns:pic="http://schemas.openxmlformats.org/drawingml/2006/picture">
            <wp:extent cx="5220000" cy="1946642"/>
            <wp:docPr id="5" name="Picture 5"/>
            <wp:cNvGraphicFramePr>
              <a:graphicFrameLocks noChangeAspect="1"/>
            </wp:cNvGraphicFramePr>
            <a:graphic>
              <a:graphicData uri="http://schemas.openxmlformats.org/drawingml/2006/picture">
                <pic:pic>
                  <pic:nvPicPr>
                    <pic:cNvPr id="0" name="fig04_pedot_chem.png"/>
                    <pic:cNvPicPr/>
                  </pic:nvPicPr>
                  <pic:blipFill>
                    <a:blip r:embed="rId14"/>
                    <a:stretch>
                      <a:fillRect/>
                    </a:stretch>
                  </pic:blipFill>
                  <pic:spPr>
                    <a:xfrm>
                      <a:off x="0" y="0"/>
                      <a:ext cx="5220000" cy="1946642"/>
                    </a:xfrm>
                    <a:prstGeom prst="rect"/>
                  </pic:spPr>
                </pic:pic>
              </a:graphicData>
            </a:graphic>
          </wp:inline>
        </w:drawing>
      </w:r>
    </w:p>
    <w:p>
      <w:pPr>
        <w:spacing w:after="120"/>
        <w:jc w:val="center"/>
      </w:pPr>
      <w:r>
        <w:rPr>
          <w:rFonts w:ascii="Times New Roman" w:hAnsi="Times New Roman" w:eastAsia="黑体"/>
          <w:b/>
          <w:sz w:val="20"/>
        </w:rPr>
        <w:t>图 2-3  PEDOT 的化学结构及其在 SAPC 中的三种主要沉积工艺</w:t>
      </w:r>
    </w:p>
    <w:p>
      <w:pPr>
        <w:spacing w:line="360" w:lineRule="auto" w:after="40"/>
        <w:ind w:firstLine="420"/>
        <w:jc w:val="both"/>
      </w:pPr>
      <w:r>
        <w:rPr>
          <w:rFonts w:ascii="Times New Roman" w:hAnsi="Times New Roman" w:eastAsia="宋体"/>
          <w:b w:val="0"/>
          <w:sz w:val="21"/>
        </w:rPr>
        <w:t>(1) 在位化学聚合 (in-situ polymerization)：将 EDOT 单体与氧化剂 Fe(OTs)₃ 依次浸渍到蚀刻好的阳极箔上，在 50~80°C 下反应 0.5~2 小时生成 PEDOT:Tos。其优点是工艺成熟、电导率高 (200~500 S/cm)、对微孔填充能力好；缺点是反应过程伴随 Fe 残留与多次浸渍所带来的工艺变异性 [16][37]。</w:t>
      </w:r>
    </w:p>
    <w:p>
      <w:pPr>
        <w:spacing w:line="360" w:lineRule="auto" w:after="40"/>
        <w:ind w:firstLine="420"/>
        <w:jc w:val="both"/>
      </w:pPr>
      <w:r>
        <w:rPr>
          <w:rFonts w:ascii="Times New Roman" w:hAnsi="Times New Roman" w:eastAsia="宋体"/>
          <w:b w:val="0"/>
          <w:sz w:val="21"/>
        </w:rPr>
        <w:t>(2) 预聚合分散液 (pre-polymerized dispersion)：直接浸渍已经聚合好的 PEDOT:PSS 水溶液分散液 (商品名 CLEVIOS™ P)。其优点是工艺简单、批次稳定性好；缺点是 PEDOT:PSS 胶体颗粒尺寸 (30~100 nm) 大于大部分蚀刻隧道 (&lt; 1 μm 时)，对微孔的渗入能力有限，导致电导率偏低 (1~100 S/cm) 以及孔隙填充率偏低 [16][24]。</w:t>
      </w:r>
    </w:p>
    <w:p>
      <w:pPr>
        <w:spacing w:line="360" w:lineRule="auto" w:after="40"/>
        <w:ind w:firstLine="420"/>
        <w:jc w:val="both"/>
      </w:pPr>
      <w:r>
        <w:rPr>
          <w:rFonts w:ascii="Times New Roman" w:hAnsi="Times New Roman" w:eastAsia="宋体"/>
          <w:b w:val="0"/>
          <w:sz w:val="21"/>
        </w:rPr>
        <w:t>(3) 气相聚合 (vapor-phase polymerization, VPP)：首先将 Fe(OTs)₃ 的甲醇溶液涂布在阳极箔上作为氧化剂层，然后放入 EDOT 蒸汽环境中气相反应。VPP 的优点是得到的 PEDOT 薄膜具有最高的电导率 (&gt; 10³ S/cm)、最好的孔隙填充和最均匀的厚度分布；缺点是设备成本高、工艺窗口窄、要求严格的温度与湿度控制 [28][39][40]。</w:t>
      </w:r>
    </w:p>
    <w:p>
      <w:pPr>
        <w:spacing w:line="360" w:lineRule="auto" w:after="40"/>
        <w:ind w:firstLine="420"/>
        <w:jc w:val="both"/>
      </w:pPr>
      <w:r>
        <w:rPr>
          <w:rFonts w:ascii="Times New Roman" w:hAnsi="Times New Roman" w:eastAsia="宋体"/>
          <w:b w:val="0"/>
          <w:sz w:val="21"/>
        </w:rPr>
        <w:t>许多厂商已采用"混合工艺"——预先 VPP 沉积一层 PEDOT 进入微孔深处，再用预聚合分散液填充外层，以兼顾电导率和宏观稳定性。Panasonic 在 SP-Cap KX 系列白皮书中暗示采用了类似的复合工艺 [17]。</w:t>
      </w:r>
    </w:p>
    <w:p>
      <w:pPr>
        <w:spacing w:before="200" w:after="100"/>
        <w:outlineLvl w:val="2"/>
      </w:pPr>
      <w:r>
        <w:rPr>
          <w:rFonts w:ascii="Times New Roman" w:hAnsi="Times New Roman" w:eastAsia="黑体"/>
          <w:b/>
          <w:sz w:val="28"/>
        </w:rPr>
        <w:t>2.5 碳/银浆过渡层与引线框架</w:t>
      </w:r>
    </w:p>
    <w:p>
      <w:pPr>
        <w:spacing w:line="360" w:lineRule="auto" w:after="40"/>
        <w:ind w:firstLine="420"/>
        <w:jc w:val="both"/>
      </w:pPr>
      <w:r>
        <w:rPr>
          <w:rFonts w:ascii="Times New Roman" w:hAnsi="Times New Roman" w:eastAsia="宋体"/>
          <w:b w:val="0"/>
          <w:sz w:val="21"/>
        </w:rPr>
        <w:t>在 PEDOT 阴极与 Ag 浆层之间，通常需要沉积一层 1~10 μm 厚的碳浆过渡层 (carbon paint)。其作用包括：(1) 改善 PEDOT/Ag 界面的欧姆接触，避免 Ag 向 PEDOT 扩散引起高阻抗界面；(2) 提供电化学惰性屏障，防止 Ag 在湿度下的离子迁移；(3) 作为柔性应力缓冲层，抵消 PEDOT 与 Ag 之间的 CTE 失配。</w:t>
      </w:r>
    </w:p>
    <w:p>
      <w:pPr>
        <w:spacing w:line="360" w:lineRule="auto" w:after="40"/>
        <w:ind w:firstLine="420"/>
        <w:jc w:val="both"/>
      </w:pPr>
      <w:r>
        <w:rPr>
          <w:rFonts w:ascii="Times New Roman" w:hAnsi="Times New Roman" w:eastAsia="宋体"/>
          <w:b w:val="0"/>
          <w:sz w:val="21"/>
        </w:rPr>
        <w:t>银浆层 (silver paint) 厚度通常 10~50 μm，由环氧树脂基体中的银薄片 (flake) 填充而成。其电阻率约 10⁻⁴~10⁻³ Ω·cm，远低于 PEDOT 层，确保了阴极侧的低电阻汇流。Cu 引线框架是 SAPC 的机械骨架，通常采用镀 Sn、镀 Ni/Pd/Au 或多层复合镀层以保证焊接可靠性。框架的厚度典型 0.2~0.5 mm，对应了 SAPC 的整机 SMT 厚度 (如 A 类 7.3×4.3×1.9 mm 或 D 类 7.3×4.3×2.8 mm) [4][5]。</w:t>
      </w:r>
    </w:p>
    <w:p>
      <w:pPr>
        <w:spacing w:before="200" w:after="100"/>
        <w:outlineLvl w:val="2"/>
      </w:pPr>
      <w:r>
        <w:rPr>
          <w:rFonts w:ascii="Times New Roman" w:hAnsi="Times New Roman" w:eastAsia="黑体"/>
          <w:b/>
          <w:sz w:val="28"/>
        </w:rPr>
        <w:t>2.6 等效电路模型</w:t>
      </w:r>
    </w:p>
    <w:p>
      <w:pPr>
        <w:spacing w:line="360" w:lineRule="auto" w:after="40"/>
        <w:ind w:firstLine="420"/>
        <w:jc w:val="both"/>
      </w:pPr>
      <w:r>
        <w:rPr>
          <w:rFonts w:ascii="Times New Roman" w:hAnsi="Times New Roman" w:eastAsia="宋体"/>
          <w:b w:val="0"/>
          <w:sz w:val="21"/>
        </w:rPr>
        <w:t>SAPC 的 ACV 等效电路可以由如下的集总参数模型描述：</w:t>
      </w:r>
    </w:p>
    <w:p>
      <w:pPr>
        <w:spacing w:before="100" w:after="100"/>
        <w:jc w:val="center"/>
      </w:pPr>
      <w:r>
        <w:rPr>
          <w:rFonts w:ascii="Times New Roman" w:hAnsi="Times New Roman" w:eastAsia="Times New Roman"/>
          <w:b w:val="0"/>
          <w:sz w:val="22"/>
        </w:rPr>
        <w:t>Z(jω) = ESR + jωESL + 1/(jωC) + R_p ∥ 1/(jωC_p)</w:t>
      </w:r>
    </w:p>
    <w:p>
      <w:pPr>
        <w:spacing w:line="360" w:lineRule="auto" w:after="40"/>
        <w:ind w:firstLine="420"/>
        <w:jc w:val="both"/>
      </w:pPr>
      <w:r>
        <w:rPr>
          <w:rFonts w:ascii="Times New Roman" w:hAnsi="Times New Roman" w:eastAsia="宋体"/>
          <w:b w:val="0"/>
          <w:sz w:val="21"/>
        </w:rPr>
        <w:t>其中 C 为主电容 (由 Al₂O₃ 介质决定)、ESR 为综合欧姆损耗、ESL 为寄生串联电感、R_p 与 C_p 分别为 PEDOT/Al₂O₃ 界面的等效电荷转移阻抗与双电层电容。</w:t>
      </w:r>
    </w:p>
    <w:p>
      <w:pPr>
        <w:spacing w:line="360" w:lineRule="auto" w:after="40"/>
        <w:ind w:firstLine="420"/>
        <w:jc w:val="both"/>
      </w:pPr>
      <w:r>
        <w:rPr>
          <w:rFonts w:ascii="Times New Roman" w:hAnsi="Times New Roman" w:eastAsia="宋体"/>
          <w:b w:val="0"/>
          <w:sz w:val="21"/>
        </w:rPr>
        <w:t>从物理角度，ESR 可以分解为：</w:t>
      </w:r>
    </w:p>
    <w:p>
      <w:pPr>
        <w:spacing w:before="100" w:after="100"/>
        <w:jc w:val="center"/>
      </w:pPr>
      <w:r>
        <w:rPr>
          <w:rFonts w:ascii="Times New Roman" w:hAnsi="Times New Roman" w:eastAsia="Times New Roman"/>
          <w:b w:val="0"/>
          <w:sz w:val="22"/>
        </w:rPr>
        <w:t>ESR = R_Al + R_oxide + R_PEDOT + R_C/Ag + R_frame + R_solder</w:t>
      </w:r>
    </w:p>
    <w:p>
      <w:pPr>
        <w:spacing w:line="360" w:lineRule="auto" w:after="40"/>
        <w:ind w:firstLine="420"/>
        <w:jc w:val="both"/>
      </w:pPr>
      <w:r>
        <w:rPr>
          <w:rFonts w:ascii="Times New Roman" w:hAnsi="Times New Roman" w:eastAsia="宋体"/>
          <w:b w:val="0"/>
          <w:sz w:val="21"/>
        </w:rPr>
        <w:t>其中 R_Al 为铝箔欧姆电阻、R_oxide 为 Al₂O₃ 介质损耗换算电阻、R_PEDOT 为 PEDOT 阴极欧姆电阻、R_C/Ag 为碳/银浆层欧姆电阻、R_frame 为引线框架电阻、R_solder 为焊接接触电阻。在室温下、100 kHz 频率处，对于 6.3V/470μF 的典型 SAPC，各贡献约为：R_Al ≈ 1.5 mΩ、R_oxide ≈ 1.5 mΩ、R_PEDOT ≈ 4 mΩ、R_C/Ag ≈ 2 mΩ、R_frame ≈ 1 mΩ、R_solder ≈ 0.5 mΩ，合计约 10 mΩ，与厂家规格吻合 [4][6][14]。</w:t>
      </w:r>
    </w:p>
    <w:p>
      <w:pPr>
        <w:spacing w:line="360" w:lineRule="auto" w:after="40"/>
        <w:ind w:firstLine="420"/>
        <w:jc w:val="both"/>
      </w:pPr>
      <w:r>
        <w:rPr>
          <w:rFonts w:ascii="Times New Roman" w:hAnsi="Times New Roman" w:eastAsia="宋体"/>
          <w:b w:val="0"/>
          <w:sz w:val="21"/>
        </w:rPr>
        <w:t>可以看到，PEDOT 阴极的欧姆电阻是 ESR 的最大单项贡献，这是为什么 PEDOT 材料的电导率退化几乎等价于 SAPC 的 ESR 退化。这一点在第 6 章失效机理中会进一步展开讨论。</w:t>
      </w:r>
    </w:p>
    <w:p>
      <w:pPr>
        <w:spacing w:line="360" w:lineRule="auto" w:after="40"/>
        <w:ind w:firstLine="420"/>
        <w:jc w:val="both"/>
      </w:pPr>
      <w:r>
        <w:rPr>
          <w:rFonts w:ascii="Times New Roman" w:hAnsi="Times New Roman" w:eastAsia="宋体"/>
          <w:b w:val="0"/>
          <w:sz w:val="21"/>
        </w:rPr>
        <w:t>SAPC 的自谐振频率 f_SR = 1/(2π√(ESL·C))，典型值为 1~10 MHz。超过自谐振频率后，SAPC 表现为感性，不再具备电容滤波作用——这也解释了为什么在 100 MHz 以上的高频退耦环节仍需要并联 MLCC [4][5][41]。</w:t>
      </w:r>
    </w:p>
    <w:p>
      <w:pPr>
        <w:spacing w:before="120"/>
        <w:jc w:val="center"/>
      </w:pPr>
      <w:r>
        <w:drawing>
          <wp:inline xmlns:a="http://schemas.openxmlformats.org/drawingml/2006/main" xmlns:pic="http://schemas.openxmlformats.org/drawingml/2006/picture">
            <wp:extent cx="5220000" cy="3548399"/>
            <wp:docPr id="6" name="Picture 6"/>
            <wp:cNvGraphicFramePr>
              <a:graphicFrameLocks noChangeAspect="1"/>
            </wp:cNvGraphicFramePr>
            <a:graphic>
              <a:graphicData uri="http://schemas.openxmlformats.org/drawingml/2006/picture">
                <pic:pic>
                  <pic:nvPicPr>
                    <pic:cNvPr id="0" name="fig05_esr_compare.png"/>
                    <pic:cNvPicPr/>
                  </pic:nvPicPr>
                  <pic:blipFill>
                    <a:blip r:embed="rId12"/>
                    <a:stretch>
                      <a:fillRect/>
                    </a:stretch>
                  </pic:blipFill>
                  <pic:spPr>
                    <a:xfrm>
                      <a:off x="0" y="0"/>
                      <a:ext cx="5220000" cy="3548399"/>
                    </a:xfrm>
                    <a:prstGeom prst="rect"/>
                  </pic:spPr>
                </pic:pic>
              </a:graphicData>
            </a:graphic>
          </wp:inline>
        </w:drawing>
      </w:r>
    </w:p>
    <w:p>
      <w:pPr>
        <w:spacing w:after="120"/>
        <w:jc w:val="center"/>
      </w:pPr>
      <w:r>
        <w:rPr>
          <w:rFonts w:ascii="Times New Roman" w:hAnsi="Times New Roman" w:eastAsia="黑体"/>
          <w:b/>
          <w:sz w:val="20"/>
        </w:rPr>
        <w:t>图 2-4  不同类型电容器的 |Z|-f 曲线对比（SAPC 在 10 kHz ~ 1 MHz 区间具有最低 |Z|）</w:t>
      </w:r>
    </w:p>
    <w:p>
      <w:r>
        <w:br w:type="page"/>
      </w:r>
    </w:p>
    <w:p>
      <w:pPr>
        <w:spacing w:before="200" w:after="100"/>
        <w:outlineLvl w:val="1"/>
      </w:pPr>
      <w:r>
        <w:rPr>
          <w:rFonts w:ascii="Times New Roman" w:hAnsi="Times New Roman" w:eastAsia="黑体"/>
          <w:b/>
          <w:sz w:val="36"/>
        </w:rPr>
        <w:t>第三章 制造工艺与工艺-可靠性耦合</w:t>
      </w:r>
    </w:p>
    <w:p>
      <w:pPr>
        <w:spacing w:before="200" w:after="100"/>
        <w:outlineLvl w:val="2"/>
      </w:pPr>
      <w:r>
        <w:rPr>
          <w:rFonts w:ascii="Times New Roman" w:hAnsi="Times New Roman" w:eastAsia="黑体"/>
          <w:b/>
          <w:sz w:val="28"/>
        </w:rPr>
        <w:t>3.1 工艺流程总览</w:t>
      </w:r>
    </w:p>
    <w:p>
      <w:pPr>
        <w:spacing w:line="360" w:lineRule="auto" w:after="40"/>
        <w:ind w:firstLine="420"/>
        <w:jc w:val="both"/>
      </w:pPr>
      <w:r>
        <w:rPr>
          <w:rFonts w:ascii="Times New Roman" w:hAnsi="Times New Roman" w:eastAsia="宋体"/>
          <w:b w:val="0"/>
          <w:sz w:val="21"/>
        </w:rPr>
        <w:t>SAPC 的制造工艺可分为前段 (阳极箔处理)、中段 (PEDOT 阴极沉积与叠层) 和后段 (引线焊接、封装、测试筛选) 三个大阶段，共涉及 30~50 道子工序。其中每一道工序都可能对最终器件的可靠性产生一阶影响。表 3-1 给出了主要工序与其对可靠性的影响机制：</w:t>
      </w:r>
    </w:p>
    <w:p>
      <w:pPr>
        <w:jc w:val="center"/>
      </w:pPr>
      <w:r>
        <w:rPr>
          <w:rFonts w:ascii="Times New Roman" w:hAnsi="Times New Roman" w:eastAsia="黑体"/>
          <w:b/>
          <w:sz w:val="20"/>
        </w:rPr>
        <w:t>表 3-1  SAPC 主要制造工序及其对可靠性的影响机制</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jc w:val="center"/>
            </w:pPr>
            <w:r/>
            <w:r>
              <w:rPr>
                <w:rFonts w:ascii="Times New Roman" w:hAnsi="Times New Roman" w:eastAsia="黑体"/>
                <w:b/>
                <w:sz w:val="19"/>
              </w:rPr>
              <w:t>工序</w:t>
            </w:r>
          </w:p>
        </w:tc>
        <w:tc>
          <w:tcPr>
            <w:tcW w:type="dxa" w:w="2911"/>
          </w:tcPr>
          <w:p>
            <w:pPr>
              <w:jc w:val="center"/>
            </w:pPr>
            <w:r/>
            <w:r>
              <w:rPr>
                <w:rFonts w:ascii="Times New Roman" w:hAnsi="Times New Roman" w:eastAsia="黑体"/>
                <w:b/>
                <w:sz w:val="19"/>
              </w:rPr>
              <w:t>主要工艺参数</w:t>
            </w:r>
          </w:p>
        </w:tc>
        <w:tc>
          <w:tcPr>
            <w:tcW w:type="dxa" w:w="2911"/>
          </w:tcPr>
          <w:p>
            <w:pPr>
              <w:jc w:val="center"/>
            </w:pPr>
            <w:r/>
            <w:r>
              <w:rPr>
                <w:rFonts w:ascii="Times New Roman" w:hAnsi="Times New Roman" w:eastAsia="黑体"/>
                <w:b/>
                <w:sz w:val="19"/>
              </w:rPr>
              <w:t>对可靠性影响的关键机制</w:t>
            </w:r>
          </w:p>
        </w:tc>
      </w:tr>
      <w:tr>
        <w:tc>
          <w:tcPr>
            <w:tcW w:type="dxa" w:w="2911"/>
          </w:tcPr>
          <w:p>
            <w:pPr>
              <w:jc w:val="left"/>
            </w:pPr>
            <w:r/>
            <w:r>
              <w:rPr>
                <w:rFonts w:ascii="Times New Roman" w:hAnsi="Times New Roman" w:eastAsia="宋体"/>
                <w:b w:val="0"/>
                <w:sz w:val="19"/>
              </w:rPr>
              <w:t>1. 铝箔纯化</w:t>
            </w:r>
          </w:p>
        </w:tc>
        <w:tc>
          <w:tcPr>
            <w:tcW w:type="dxa" w:w="2911"/>
          </w:tcPr>
          <w:p>
            <w:pPr>
              <w:jc w:val="left"/>
            </w:pPr>
            <w:r/>
            <w:r>
              <w:rPr>
                <w:rFonts w:ascii="Times New Roman" w:hAnsi="Times New Roman" w:eastAsia="宋体"/>
                <w:b w:val="0"/>
                <w:sz w:val="19"/>
              </w:rPr>
              <w:t>纯度 ≥99.99%</w:t>
            </w:r>
          </w:p>
        </w:tc>
        <w:tc>
          <w:tcPr>
            <w:tcW w:type="dxa" w:w="2911"/>
          </w:tcPr>
          <w:p>
            <w:pPr>
              <w:jc w:val="left"/>
            </w:pPr>
            <w:r/>
            <w:r>
              <w:rPr>
                <w:rFonts w:ascii="Times New Roman" w:hAnsi="Times New Roman" w:eastAsia="宋体"/>
                <w:b w:val="0"/>
                <w:sz w:val="19"/>
              </w:rPr>
              <w:t>杂质 (Fe, Si, Cu) 会作为蚀刻坑起始点，影响隧道均匀度</w:t>
            </w:r>
          </w:p>
        </w:tc>
      </w:tr>
      <w:tr>
        <w:tc>
          <w:tcPr>
            <w:tcW w:type="dxa" w:w="2911"/>
          </w:tcPr>
          <w:p>
            <w:pPr>
              <w:jc w:val="left"/>
            </w:pPr>
            <w:r/>
            <w:r>
              <w:rPr>
                <w:rFonts w:ascii="Times New Roman" w:hAnsi="Times New Roman" w:eastAsia="宋体"/>
                <w:b w:val="0"/>
                <w:sz w:val="19"/>
              </w:rPr>
              <w:t>2. 蚀刻 (etching)</w:t>
            </w:r>
          </w:p>
        </w:tc>
        <w:tc>
          <w:tcPr>
            <w:tcW w:type="dxa" w:w="2911"/>
          </w:tcPr>
          <w:p>
            <w:pPr>
              <w:jc w:val="left"/>
            </w:pPr>
            <w:r/>
            <w:r>
              <w:rPr>
                <w:rFonts w:ascii="Times New Roman" w:hAnsi="Times New Roman" w:eastAsia="宋体"/>
                <w:b w:val="0"/>
                <w:sz w:val="19"/>
              </w:rPr>
              <w:t>HCl + H₂SO₄, 1-3 mol/L, 75-85°C, 电流密度</w:t>
            </w:r>
          </w:p>
        </w:tc>
        <w:tc>
          <w:tcPr>
            <w:tcW w:type="dxa" w:w="2911"/>
          </w:tcPr>
          <w:p>
            <w:pPr>
              <w:jc w:val="left"/>
            </w:pPr>
            <w:r/>
            <w:r>
              <w:rPr>
                <w:rFonts w:ascii="Times New Roman" w:hAnsi="Times New Roman" w:eastAsia="宋体"/>
                <w:b w:val="0"/>
                <w:sz w:val="19"/>
              </w:rPr>
              <w:t>隧道密度/深度决定比容量；过度蚀刻降低机械强度</w:t>
            </w:r>
          </w:p>
        </w:tc>
      </w:tr>
      <w:tr>
        <w:tc>
          <w:tcPr>
            <w:tcW w:type="dxa" w:w="2911"/>
          </w:tcPr>
          <w:p>
            <w:pPr>
              <w:jc w:val="left"/>
            </w:pPr>
            <w:r/>
            <w:r>
              <w:rPr>
                <w:rFonts w:ascii="Times New Roman" w:hAnsi="Times New Roman" w:eastAsia="宋体"/>
                <w:b w:val="0"/>
                <w:sz w:val="19"/>
              </w:rPr>
              <w:t>3. 化成 (formation)</w:t>
            </w:r>
          </w:p>
        </w:tc>
        <w:tc>
          <w:tcPr>
            <w:tcW w:type="dxa" w:w="2911"/>
          </w:tcPr>
          <w:p>
            <w:pPr>
              <w:jc w:val="left"/>
            </w:pPr>
            <w:r/>
            <w:r>
              <w:rPr>
                <w:rFonts w:ascii="Times New Roman" w:hAnsi="Times New Roman" w:eastAsia="宋体"/>
                <w:b w:val="0"/>
                <w:sz w:val="19"/>
              </w:rPr>
              <w:t>硼酸铵/己二酸铵水溶液, V_form = 1.3 V_R, 85-95°C</w:t>
            </w:r>
          </w:p>
        </w:tc>
        <w:tc>
          <w:tcPr>
            <w:tcW w:type="dxa" w:w="2911"/>
          </w:tcPr>
          <w:p>
            <w:pPr>
              <w:jc w:val="left"/>
            </w:pPr>
            <w:r/>
            <w:r>
              <w:rPr>
                <w:rFonts w:ascii="Times New Roman" w:hAnsi="Times New Roman" w:eastAsia="宋体"/>
                <w:b w:val="0"/>
                <w:sz w:val="19"/>
              </w:rPr>
              <w:t>介质厚度/缺陷密度直接决定耐压、LC 与寿命</w:t>
            </w:r>
          </w:p>
        </w:tc>
      </w:tr>
      <w:tr>
        <w:tc>
          <w:tcPr>
            <w:tcW w:type="dxa" w:w="2911"/>
          </w:tcPr>
          <w:p>
            <w:pPr>
              <w:jc w:val="left"/>
            </w:pPr>
            <w:r/>
            <w:r>
              <w:rPr>
                <w:rFonts w:ascii="Times New Roman" w:hAnsi="Times New Roman" w:eastAsia="宋体"/>
                <w:b w:val="0"/>
                <w:sz w:val="19"/>
              </w:rPr>
              <w:t>4. 再化成 (reformation)</w:t>
            </w:r>
          </w:p>
        </w:tc>
        <w:tc>
          <w:tcPr>
            <w:tcW w:type="dxa" w:w="2911"/>
          </w:tcPr>
          <w:p>
            <w:pPr>
              <w:jc w:val="left"/>
            </w:pPr>
            <w:r/>
            <w:r>
              <w:rPr>
                <w:rFonts w:ascii="Times New Roman" w:hAnsi="Times New Roman" w:eastAsia="宋体"/>
                <w:b w:val="0"/>
                <w:sz w:val="19"/>
              </w:rPr>
              <w:t>低电流密度 0.1-0.3 V_form</w:t>
            </w:r>
          </w:p>
        </w:tc>
        <w:tc>
          <w:tcPr>
            <w:tcW w:type="dxa" w:w="2911"/>
          </w:tcPr>
          <w:p>
            <w:pPr>
              <w:jc w:val="left"/>
            </w:pPr>
            <w:r/>
            <w:r>
              <w:rPr>
                <w:rFonts w:ascii="Times New Roman" w:hAnsi="Times New Roman" w:eastAsia="宋体"/>
                <w:b w:val="0"/>
                <w:sz w:val="19"/>
              </w:rPr>
              <w:t>修复微观缺陷，降低 LC</w:t>
            </w:r>
          </w:p>
        </w:tc>
      </w:tr>
      <w:tr>
        <w:tc>
          <w:tcPr>
            <w:tcW w:type="dxa" w:w="2911"/>
          </w:tcPr>
          <w:p>
            <w:pPr>
              <w:jc w:val="left"/>
            </w:pPr>
            <w:r/>
            <w:r>
              <w:rPr>
                <w:rFonts w:ascii="Times New Roman" w:hAnsi="Times New Roman" w:eastAsia="宋体"/>
                <w:b w:val="0"/>
                <w:sz w:val="19"/>
              </w:rPr>
              <w:t>5. PEDOT 沉积</w:t>
            </w:r>
          </w:p>
        </w:tc>
        <w:tc>
          <w:tcPr>
            <w:tcW w:type="dxa" w:w="2911"/>
          </w:tcPr>
          <w:p>
            <w:pPr>
              <w:jc w:val="left"/>
            </w:pPr>
            <w:r/>
            <w:r>
              <w:rPr>
                <w:rFonts w:ascii="Times New Roman" w:hAnsi="Times New Roman" w:eastAsia="宋体"/>
                <w:b w:val="0"/>
                <w:sz w:val="19"/>
              </w:rPr>
              <w:t>in-situ / VPP / dispersion</w:t>
            </w:r>
          </w:p>
        </w:tc>
        <w:tc>
          <w:tcPr>
            <w:tcW w:type="dxa" w:w="2911"/>
          </w:tcPr>
          <w:p>
            <w:pPr>
              <w:jc w:val="left"/>
            </w:pPr>
            <w:r/>
            <w:r>
              <w:rPr>
                <w:rFonts w:ascii="Times New Roman" w:hAnsi="Times New Roman" w:eastAsia="宋体"/>
                <w:b w:val="0"/>
                <w:sz w:val="19"/>
              </w:rPr>
              <w:t>决定 ESR 初值与湿热退化速率</w:t>
            </w:r>
          </w:p>
        </w:tc>
      </w:tr>
      <w:tr>
        <w:tc>
          <w:tcPr>
            <w:tcW w:type="dxa" w:w="2911"/>
          </w:tcPr>
          <w:p>
            <w:pPr>
              <w:jc w:val="left"/>
            </w:pPr>
            <w:r/>
            <w:r>
              <w:rPr>
                <w:rFonts w:ascii="Times New Roman" w:hAnsi="Times New Roman" w:eastAsia="宋体"/>
                <w:b w:val="0"/>
                <w:sz w:val="19"/>
              </w:rPr>
              <w:t>6. 碳浆涂布</w:t>
            </w:r>
          </w:p>
        </w:tc>
        <w:tc>
          <w:tcPr>
            <w:tcW w:type="dxa" w:w="2911"/>
          </w:tcPr>
          <w:p>
            <w:pPr>
              <w:jc w:val="left"/>
            </w:pPr>
            <w:r/>
            <w:r>
              <w:rPr>
                <w:rFonts w:ascii="Times New Roman" w:hAnsi="Times New Roman" w:eastAsia="宋体"/>
                <w:b w:val="0"/>
                <w:sz w:val="19"/>
              </w:rPr>
              <w:t>导电碳浆，烘烤 150-200°C</w:t>
            </w:r>
          </w:p>
        </w:tc>
        <w:tc>
          <w:tcPr>
            <w:tcW w:type="dxa" w:w="2911"/>
          </w:tcPr>
          <w:p>
            <w:pPr>
              <w:jc w:val="left"/>
            </w:pPr>
            <w:r/>
            <w:r>
              <w:rPr>
                <w:rFonts w:ascii="Times New Roman" w:hAnsi="Times New Roman" w:eastAsia="宋体"/>
                <w:b w:val="0"/>
                <w:sz w:val="19"/>
              </w:rPr>
              <w:t>影响 PEDOT/Ag 欧姆接触</w:t>
            </w:r>
          </w:p>
        </w:tc>
      </w:tr>
      <w:tr>
        <w:tc>
          <w:tcPr>
            <w:tcW w:type="dxa" w:w="2911"/>
          </w:tcPr>
          <w:p>
            <w:pPr>
              <w:jc w:val="left"/>
            </w:pPr>
            <w:r/>
            <w:r>
              <w:rPr>
                <w:rFonts w:ascii="Times New Roman" w:hAnsi="Times New Roman" w:eastAsia="宋体"/>
                <w:b w:val="0"/>
                <w:sz w:val="19"/>
              </w:rPr>
              <w:t>7. 银浆涂布</w:t>
            </w:r>
          </w:p>
        </w:tc>
        <w:tc>
          <w:tcPr>
            <w:tcW w:type="dxa" w:w="2911"/>
          </w:tcPr>
          <w:p>
            <w:pPr>
              <w:jc w:val="left"/>
            </w:pPr>
            <w:r/>
            <w:r>
              <w:rPr>
                <w:rFonts w:ascii="Times New Roman" w:hAnsi="Times New Roman" w:eastAsia="宋体"/>
                <w:b w:val="0"/>
                <w:sz w:val="19"/>
              </w:rPr>
              <w:t>导电银浆，固化 180-220°C</w:t>
            </w:r>
          </w:p>
        </w:tc>
        <w:tc>
          <w:tcPr>
            <w:tcW w:type="dxa" w:w="2911"/>
          </w:tcPr>
          <w:p>
            <w:pPr>
              <w:jc w:val="left"/>
            </w:pPr>
            <w:r/>
            <w:r>
              <w:rPr>
                <w:rFonts w:ascii="Times New Roman" w:hAnsi="Times New Roman" w:eastAsia="宋体"/>
                <w:b w:val="0"/>
                <w:sz w:val="19"/>
              </w:rPr>
              <w:t>影响阴极电流汇流与 Ag 迁移</w:t>
            </w:r>
          </w:p>
        </w:tc>
      </w:tr>
      <w:tr>
        <w:tc>
          <w:tcPr>
            <w:tcW w:type="dxa" w:w="2911"/>
          </w:tcPr>
          <w:p>
            <w:pPr>
              <w:jc w:val="left"/>
            </w:pPr>
            <w:r/>
            <w:r>
              <w:rPr>
                <w:rFonts w:ascii="Times New Roman" w:hAnsi="Times New Roman" w:eastAsia="宋体"/>
                <w:b w:val="0"/>
                <w:sz w:val="19"/>
              </w:rPr>
              <w:t>8. 叠层压紧</w:t>
            </w:r>
          </w:p>
        </w:tc>
        <w:tc>
          <w:tcPr>
            <w:tcW w:type="dxa" w:w="2911"/>
          </w:tcPr>
          <w:p>
            <w:pPr>
              <w:jc w:val="left"/>
            </w:pPr>
            <w:r/>
            <w:r>
              <w:rPr>
                <w:rFonts w:ascii="Times New Roman" w:hAnsi="Times New Roman" w:eastAsia="宋体"/>
                <w:b w:val="0"/>
                <w:sz w:val="19"/>
              </w:rPr>
              <w:t>多片铝箔堆叠 3-12 层</w:t>
            </w:r>
          </w:p>
        </w:tc>
        <w:tc>
          <w:tcPr>
            <w:tcW w:type="dxa" w:w="2911"/>
          </w:tcPr>
          <w:p>
            <w:pPr>
              <w:jc w:val="left"/>
            </w:pPr>
            <w:r/>
            <w:r>
              <w:rPr>
                <w:rFonts w:ascii="Times New Roman" w:hAnsi="Times New Roman" w:eastAsia="宋体"/>
                <w:b w:val="0"/>
                <w:sz w:val="19"/>
              </w:rPr>
              <w:t>每层对齐度影响内部应力与寿命</w:t>
            </w:r>
          </w:p>
        </w:tc>
      </w:tr>
      <w:tr>
        <w:tc>
          <w:tcPr>
            <w:tcW w:type="dxa" w:w="2911"/>
          </w:tcPr>
          <w:p>
            <w:pPr>
              <w:jc w:val="left"/>
            </w:pPr>
            <w:r/>
            <w:r>
              <w:rPr>
                <w:rFonts w:ascii="Times New Roman" w:hAnsi="Times New Roman" w:eastAsia="宋体"/>
                <w:b w:val="0"/>
                <w:sz w:val="19"/>
              </w:rPr>
              <w:t>9. 引线框架焊接</w:t>
            </w:r>
          </w:p>
        </w:tc>
        <w:tc>
          <w:tcPr>
            <w:tcW w:type="dxa" w:w="2911"/>
          </w:tcPr>
          <w:p>
            <w:pPr>
              <w:jc w:val="left"/>
            </w:pPr>
            <w:r/>
            <w:r>
              <w:rPr>
                <w:rFonts w:ascii="Times New Roman" w:hAnsi="Times New Roman" w:eastAsia="宋体"/>
                <w:b w:val="0"/>
                <w:sz w:val="19"/>
              </w:rPr>
              <w:t>激光焊或超声焊</w:t>
            </w:r>
          </w:p>
        </w:tc>
        <w:tc>
          <w:tcPr>
            <w:tcW w:type="dxa" w:w="2911"/>
          </w:tcPr>
          <w:p>
            <w:pPr>
              <w:jc w:val="left"/>
            </w:pPr>
            <w:r/>
            <w:r>
              <w:rPr>
                <w:rFonts w:ascii="Times New Roman" w:hAnsi="Times New Roman" w:eastAsia="宋体"/>
                <w:b w:val="0"/>
                <w:sz w:val="19"/>
              </w:rPr>
              <w:t>焊接缺陷导致高 ESR 或开路</w:t>
            </w:r>
          </w:p>
        </w:tc>
      </w:tr>
      <w:tr>
        <w:tc>
          <w:tcPr>
            <w:tcW w:type="dxa" w:w="2911"/>
          </w:tcPr>
          <w:p>
            <w:pPr>
              <w:jc w:val="left"/>
            </w:pPr>
            <w:r/>
            <w:r>
              <w:rPr>
                <w:rFonts w:ascii="Times New Roman" w:hAnsi="Times New Roman" w:eastAsia="宋体"/>
                <w:b w:val="0"/>
                <w:sz w:val="19"/>
              </w:rPr>
              <w:t>10. 环氧模塑</w:t>
            </w:r>
          </w:p>
        </w:tc>
        <w:tc>
          <w:tcPr>
            <w:tcW w:type="dxa" w:w="2911"/>
          </w:tcPr>
          <w:p>
            <w:pPr>
              <w:jc w:val="left"/>
            </w:pPr>
            <w:r/>
            <w:r>
              <w:rPr>
                <w:rFonts w:ascii="Times New Roman" w:hAnsi="Times New Roman" w:eastAsia="宋体"/>
                <w:b w:val="0"/>
                <w:sz w:val="19"/>
              </w:rPr>
              <w:t>低吸湿低应力环氧, 175°C</w:t>
            </w:r>
          </w:p>
        </w:tc>
        <w:tc>
          <w:tcPr>
            <w:tcW w:type="dxa" w:w="2911"/>
          </w:tcPr>
          <w:p>
            <w:pPr>
              <w:jc w:val="left"/>
            </w:pPr>
            <w:r/>
            <w:r>
              <w:rPr>
                <w:rFonts w:ascii="Times New Roman" w:hAnsi="Times New Roman" w:eastAsia="宋体"/>
                <w:b w:val="0"/>
                <w:sz w:val="19"/>
              </w:rPr>
              <w:t>决定水汽屏障与 CTE 失配应力</w:t>
            </w:r>
          </w:p>
        </w:tc>
      </w:tr>
      <w:tr>
        <w:tc>
          <w:tcPr>
            <w:tcW w:type="dxa" w:w="2911"/>
          </w:tcPr>
          <w:p>
            <w:pPr>
              <w:jc w:val="left"/>
            </w:pPr>
            <w:r/>
            <w:r>
              <w:rPr>
                <w:rFonts w:ascii="Times New Roman" w:hAnsi="Times New Roman" w:eastAsia="宋体"/>
                <w:b w:val="0"/>
                <w:sz w:val="19"/>
              </w:rPr>
              <w:t>11. 老炼 (burn-in)</w:t>
            </w:r>
          </w:p>
        </w:tc>
        <w:tc>
          <w:tcPr>
            <w:tcW w:type="dxa" w:w="2911"/>
          </w:tcPr>
          <w:p>
            <w:pPr>
              <w:jc w:val="left"/>
            </w:pPr>
            <w:r/>
            <w:r>
              <w:rPr>
                <w:rFonts w:ascii="Times New Roman" w:hAnsi="Times New Roman" w:eastAsia="宋体"/>
                <w:b w:val="0"/>
                <w:sz w:val="19"/>
              </w:rPr>
              <w:t>85-105°C, 1.2 V_R, 数十小时</w:t>
            </w:r>
          </w:p>
        </w:tc>
        <w:tc>
          <w:tcPr>
            <w:tcW w:type="dxa" w:w="2911"/>
          </w:tcPr>
          <w:p>
            <w:pPr>
              <w:jc w:val="left"/>
            </w:pPr>
            <w:r/>
            <w:r>
              <w:rPr>
                <w:rFonts w:ascii="Times New Roman" w:hAnsi="Times New Roman" w:eastAsia="宋体"/>
                <w:b w:val="0"/>
                <w:sz w:val="19"/>
              </w:rPr>
              <w:t>去除早期失效品</w:t>
            </w:r>
          </w:p>
        </w:tc>
      </w:tr>
      <w:tr>
        <w:tc>
          <w:tcPr>
            <w:tcW w:type="dxa" w:w="2911"/>
          </w:tcPr>
          <w:p>
            <w:pPr>
              <w:jc w:val="left"/>
            </w:pPr>
            <w:r/>
            <w:r>
              <w:rPr>
                <w:rFonts w:ascii="Times New Roman" w:hAnsi="Times New Roman" w:eastAsia="宋体"/>
                <w:b w:val="0"/>
                <w:sz w:val="19"/>
              </w:rPr>
              <w:t>12. 终测</w:t>
            </w:r>
          </w:p>
        </w:tc>
        <w:tc>
          <w:tcPr>
            <w:tcW w:type="dxa" w:w="2911"/>
          </w:tcPr>
          <w:p>
            <w:pPr>
              <w:jc w:val="left"/>
            </w:pPr>
            <w:r/>
            <w:r>
              <w:rPr>
                <w:rFonts w:ascii="Times New Roman" w:hAnsi="Times New Roman" w:eastAsia="宋体"/>
                <w:b w:val="0"/>
                <w:sz w:val="19"/>
              </w:rPr>
              <w:t>C/ESR/LC @ 室温 + 高/低温</w:t>
            </w:r>
          </w:p>
        </w:tc>
        <w:tc>
          <w:tcPr>
            <w:tcW w:type="dxa" w:w="2911"/>
          </w:tcPr>
          <w:p>
            <w:pPr>
              <w:jc w:val="left"/>
            </w:pPr>
            <w:r/>
            <w:r>
              <w:rPr>
                <w:rFonts w:ascii="Times New Roman" w:hAnsi="Times New Roman" w:eastAsia="宋体"/>
                <w:b w:val="0"/>
                <w:sz w:val="19"/>
              </w:rPr>
              <w:t>筛选不合格品</w:t>
            </w:r>
          </w:p>
        </w:tc>
      </w:tr>
    </w:tbl>
    <w:p>
      <w:pPr>
        <w:spacing w:before="200" w:after="100"/>
        <w:outlineLvl w:val="2"/>
      </w:pPr>
      <w:r>
        <w:rPr>
          <w:rFonts w:ascii="Times New Roman" w:hAnsi="Times New Roman" w:eastAsia="黑体"/>
          <w:b/>
          <w:sz w:val="28"/>
        </w:rPr>
        <w:t>3.2 阳极箔蚀刻工艺</w:t>
      </w:r>
    </w:p>
    <w:p>
      <w:pPr>
        <w:spacing w:line="360" w:lineRule="auto" w:after="40"/>
        <w:ind w:firstLine="420"/>
        <w:jc w:val="both"/>
      </w:pPr>
      <w:r>
        <w:rPr>
          <w:rFonts w:ascii="Times New Roman" w:hAnsi="Times New Roman" w:eastAsia="宋体"/>
          <w:b w:val="0"/>
          <w:sz w:val="21"/>
        </w:rPr>
        <w:t>蚀刻工艺的核心目标是在 Al 箔表面形成均匀分布、足够深度的隧道状微孔以最大化有效表面积。典型直流蚀刻工艺中，蚀刻电流在 Al 表面引发局部阳极溶解，Cl⁻ 与 Al 表面的天然氧化膜形成可溶性 AlCl₄⁻ 络合物，在缺陷点处优先发生溶解而形成隧道。</w:t>
      </w:r>
    </w:p>
    <w:p>
      <w:pPr>
        <w:spacing w:line="360" w:lineRule="auto" w:after="40"/>
        <w:ind w:firstLine="420"/>
        <w:jc w:val="both"/>
      </w:pPr>
      <w:r>
        <w:rPr>
          <w:rFonts w:ascii="Times New Roman" w:hAnsi="Times New Roman" w:eastAsia="宋体"/>
          <w:b w:val="0"/>
          <w:sz w:val="21"/>
        </w:rPr>
        <w:t>蚀刻工艺的三个关键参数： (1) 电流密度。电流密度越高，隧道起始密度越大，但单个隧道直径越小；电流密度过大会导致表面过蚀刻（表面粗糙度增加而有效表面积不增）。 (2) 电解液组成。HCl 作为主蚀刻剂提供 Cl⁻；H₂SO₄ 调节 pH 并抑制隧道侧向扩张，增加纵向生长速度；此外添加 HNO₃ 可增强氧化效应，形成更稳定的隧道 [31]。 (3) 温度。提高温度加快反应速率但降低反应选择性；工业生产中温度控制在 ±1°C 以内是批次一致性的关键。</w:t>
      </w:r>
    </w:p>
    <w:p>
      <w:pPr>
        <w:spacing w:line="360" w:lineRule="auto" w:after="40"/>
        <w:ind w:firstLine="420"/>
        <w:jc w:val="both"/>
      </w:pPr>
      <w:r>
        <w:rPr>
          <w:rFonts w:ascii="Times New Roman" w:hAnsi="Times New Roman" w:eastAsia="宋体"/>
          <w:b w:val="0"/>
          <w:sz w:val="21"/>
        </w:rPr>
        <w:t>2024 年 MDPI Metals 发表的一项工作 [33] 通过痕量 Cu (10-100 ppm) 的掺杂在 Al 箔表面电化学沉积出微电池，为隧道起始提供额外驱动力，使蚀刻后的比表面积提升约 30%。这是近年来阳极箔蚀刻工艺领域少见的重要创新。Al-Cu 微电池机制也解释了工业界长期观察到的"Al 箔痕量杂质对蚀刻行为存在强烈影响"的经验规律。</w:t>
      </w:r>
    </w:p>
    <w:p>
      <w:pPr>
        <w:spacing w:line="360" w:lineRule="auto" w:after="40"/>
        <w:ind w:firstLine="420"/>
        <w:jc w:val="both"/>
      </w:pPr>
      <w:r>
        <w:rPr>
          <w:rFonts w:ascii="Times New Roman" w:hAnsi="Times New Roman" w:eastAsia="宋体"/>
          <w:b w:val="0"/>
          <w:sz w:val="21"/>
        </w:rPr>
        <w:t>从可靠性角度看，蚀刻隧道过深或过于密集会导致以下问题：(1) 阳极箔机械强度下降，在叠层压紧过程中易折断；(2) 隧道密集处化成难以形成完整 Al₂O₃ 介质层；(3) PEDOT 填充隧道过程易留下空洞，形成空穴 (void)，在高温下成为热点。因此，现代工业界普遍采用 CV (capacitance × voltage) 积为目标的工艺优化，而非单纯追求高比容量 [34]。</w:t>
      </w:r>
    </w:p>
    <w:p>
      <w:pPr>
        <w:spacing w:before="200" w:after="100"/>
        <w:outlineLvl w:val="2"/>
      </w:pPr>
      <w:r>
        <w:rPr>
          <w:rFonts w:ascii="Times New Roman" w:hAnsi="Times New Roman" w:eastAsia="黑体"/>
          <w:b/>
          <w:sz w:val="28"/>
        </w:rPr>
        <w:t>3.3 阳极氧化 (化成) 工艺</w:t>
      </w:r>
    </w:p>
    <w:p>
      <w:pPr>
        <w:spacing w:line="360" w:lineRule="auto" w:after="40"/>
        <w:ind w:firstLine="420"/>
        <w:jc w:val="both"/>
      </w:pPr>
      <w:r>
        <w:rPr>
          <w:rFonts w:ascii="Times New Roman" w:hAnsi="Times New Roman" w:eastAsia="宋体"/>
          <w:b w:val="0"/>
          <w:sz w:val="21"/>
        </w:rPr>
        <w:t>化成工艺对 SAPC 的寿命具有决定性影响。典型工艺为：将蚀刻好的 Al 箔浸入 3% 硼酸铵水溶液，温度 85-92°C，施加电压 V_form = 1.3-1.5 V_R，维持恒压 3-20 分钟。这一过程中在 Al 箔表面生长出约 (1.4 nm/V) × V_form 厚度的 Al₂O₃ 非晶氧化膜。</w:t>
      </w:r>
    </w:p>
    <w:p>
      <w:pPr>
        <w:spacing w:line="360" w:lineRule="auto" w:after="40"/>
        <w:ind w:firstLine="420"/>
        <w:jc w:val="both"/>
      </w:pPr>
      <w:r>
        <w:rPr>
          <w:rFonts w:ascii="Times New Roman" w:hAnsi="Times New Roman" w:eastAsia="宋体"/>
          <w:b w:val="0"/>
          <w:sz w:val="21"/>
        </w:rPr>
        <w:t>化成过程涉及复杂的双向离子迁移：Al³⁺ 通过氧化膜向外迁移，O²⁻ 通过氧化膜向内迁移，两者在氧化膜中间相遇并结晶为 Al₂O₃ 网络。现场电压与电流行为遵循 Cabrera-Mott 理论，电流在电压突变时呈现尖峰，在恒压下按 ∝ t⁻¹ 衰减 [35][42]。</w:t>
      </w:r>
    </w:p>
    <w:p>
      <w:pPr>
        <w:spacing w:line="360" w:lineRule="auto" w:after="40"/>
        <w:ind w:firstLine="420"/>
        <w:jc w:val="both"/>
      </w:pPr>
      <w:r>
        <w:rPr>
          <w:rFonts w:ascii="Times New Roman" w:hAnsi="Times New Roman" w:eastAsia="宋体"/>
          <w:b w:val="0"/>
          <w:sz w:val="21"/>
        </w:rPr>
        <w:t>Al₂O₃ 氧化膜的质量由以下三个指标表征： (1) 耐电压强度 BDV：典型为 V_form 的 1.2~1.4 倍； (2) 漏电流 LC：典型 &lt; 0.01 CV (μA) = 0.01·C(μF)·V(V)； (3) 氧化膜结晶度：非晶态氧化膜的电学性能远优于含晶相者。</w:t>
      </w:r>
    </w:p>
    <w:p>
      <w:pPr>
        <w:spacing w:line="360" w:lineRule="auto" w:after="40"/>
        <w:ind w:firstLine="420"/>
        <w:jc w:val="both"/>
      </w:pPr>
      <w:r>
        <w:rPr>
          <w:rFonts w:ascii="Times New Roman" w:hAnsi="Times New Roman" w:eastAsia="宋体"/>
          <w:b w:val="0"/>
          <w:sz w:val="21"/>
        </w:rPr>
        <w:t>再化成是工业界普遍采用的工艺改进手段。其核心是在主化成之后施加一定电流限制下的恒电压，使得在主化成中未充分反应的缺陷点继续发生再氧化。这一过程可使 LC 下降一到两个量级 [36]。</w:t>
      </w:r>
    </w:p>
    <w:p>
      <w:pPr>
        <w:spacing w:line="360" w:lineRule="auto" w:after="40"/>
        <w:ind w:firstLine="420"/>
        <w:jc w:val="both"/>
      </w:pPr>
      <w:r>
        <w:rPr>
          <w:rFonts w:ascii="Times New Roman" w:hAnsi="Times New Roman" w:eastAsia="宋体"/>
          <w:b w:val="0"/>
          <w:sz w:val="21"/>
        </w:rPr>
        <w:t>SAPC 的一个工艺特点是：由于固态 PEDOT 阴极不能像液态电解液一样在现场修复介质层，化成质量必须在出厂前就达到极高标准。这就是为什么主流 SAPC 厂商都采用多阶段化成 + 再化成 + 热处理的复合工艺，而非单次化成。Panasonic SP-Cap 白皮书显示其采用 4 阶段化成工艺 [4]。</w:t>
      </w:r>
    </w:p>
    <w:p>
      <w:pPr>
        <w:spacing w:before="200" w:after="100"/>
        <w:outlineLvl w:val="2"/>
      </w:pPr>
      <w:r>
        <w:rPr>
          <w:rFonts w:ascii="Times New Roman" w:hAnsi="Times New Roman" w:eastAsia="黑体"/>
          <w:b/>
          <w:sz w:val="28"/>
        </w:rPr>
        <w:t>3.4 PEDOT 阴极沉积工艺</w:t>
      </w:r>
    </w:p>
    <w:p>
      <w:pPr>
        <w:spacing w:line="360" w:lineRule="auto" w:after="40"/>
        <w:ind w:firstLine="420"/>
        <w:jc w:val="both"/>
      </w:pPr>
      <w:r>
        <w:rPr>
          <w:rFonts w:ascii="Times New Roman" w:hAnsi="Times New Roman" w:eastAsia="宋体"/>
          <w:b w:val="0"/>
          <w:sz w:val="21"/>
        </w:rPr>
        <w:t>PEDOT 阴极沉积是 SAPC 最关键也最具工艺差异化的环节。如 2.4 节所述，工业界存在三种主要工艺路线。本节进一步详细讨论各工艺路线的具体操作、优缺点以及对长期可靠性的影响。</w:t>
      </w:r>
    </w:p>
    <w:p>
      <w:pPr>
        <w:spacing w:line="360" w:lineRule="auto" w:after="40"/>
        <w:ind w:firstLine="420"/>
        <w:jc w:val="both"/>
      </w:pPr>
      <w:r>
        <w:rPr>
          <w:rFonts w:ascii="Times New Roman" w:hAnsi="Times New Roman" w:eastAsia="宋体"/>
          <w:b w:val="0"/>
          <w:sz w:val="21"/>
        </w:rPr>
        <w:t>3.4.1 在位化学聚合 (in-situ chemical polymerization) 首先将化成好的 Al 箔浸入 EDOT 单体的醇溶液 (浓度 5~30 wt%) 约 30 秒~5 分钟，使 EDOT 充分渗入蚀刻隧道；随后浸入氧化剂 Fe(OTs)₃ 的醇溶液 (浓度 30~50 wt%)，在 30~80°C 下反应 0.5~2 小时完成聚合。反应完成后用醇和水冲洗去除残留的单体、氧化剂和副产物。</w:t>
      </w:r>
    </w:p>
    <w:p>
      <w:pPr>
        <w:spacing w:line="360" w:lineRule="auto" w:after="40"/>
        <w:ind w:firstLine="420"/>
        <w:jc w:val="both"/>
      </w:pPr>
      <w:r>
        <w:rPr>
          <w:rFonts w:ascii="Times New Roman" w:hAnsi="Times New Roman" w:eastAsia="宋体"/>
          <w:b w:val="0"/>
          <w:sz w:val="21"/>
        </w:rPr>
        <w:t>这一工艺的关键是控制反应速率，使其既快到足以在 PEDOT 胶体凝聚前完成孔内聚合，又慢到不会在浅层形成致密壳而阻塞深层渗透。Freeman 等 (KEMET) 研究表明，对于聚合过程控制不佳的样品，在 85°C/85%RH 环境下 1000 小时内 PEDOT 电导率可下降 50% 以上，主要原因是 Fe³⁺ 残留与 PEDOT:Tos 的局部水解 [16]。</w:t>
      </w:r>
    </w:p>
    <w:p>
      <w:pPr>
        <w:spacing w:line="360" w:lineRule="auto" w:after="40"/>
        <w:ind w:firstLine="420"/>
        <w:jc w:val="both"/>
      </w:pPr>
      <w:r>
        <w:rPr>
          <w:rFonts w:ascii="Times New Roman" w:hAnsi="Times New Roman" w:eastAsia="宋体"/>
          <w:b w:val="0"/>
          <w:sz w:val="21"/>
        </w:rPr>
        <w:t>3.4.2 预聚合分散液 (pre-polymerized dispersion) 将商品化的 PEDOT:PSS 分散液 (如 Heraeus CLEVIOS P 系列) 稀释至目标固含量后，浸渍并烘干；可能需要多次重复以达到目标厚度。PSS 的酸性 (pH ≈ 1-2) 对 Al₂O₃ 介质的长期稳定性构成挑战——RSC Materials Horizons 的一项工作指出，PSS 中的 SO₃H 基团会在水分存在下缓慢水解 Al₂O₃ [43]。为此，Heraeus 开发了经过"去酸化"处理的 CLEVIOS PH 系列产品，pH 可提高到 3-4，但会牺牲部分电导率。</w:t>
      </w:r>
    </w:p>
    <w:p>
      <w:pPr>
        <w:spacing w:line="360" w:lineRule="auto" w:after="40"/>
        <w:ind w:firstLine="420"/>
        <w:jc w:val="both"/>
      </w:pPr>
      <w:r>
        <w:rPr>
          <w:rFonts w:ascii="Times New Roman" w:hAnsi="Times New Roman" w:eastAsia="宋体"/>
          <w:b w:val="0"/>
          <w:sz w:val="21"/>
        </w:rPr>
        <w:t>3.4.3 气相聚合 (vapor-phase polymerization, VPP) 将化成好的 Al 箔涂以 Fe(OTs)₃ 氧化剂薄层，然后放入恒温恒湿 (60-80°C / 5-20% RH) 的反应腔中，通入 EDOT 蒸汽，反应 30 min~3 h 完成 PEDOT 沉积。VPP 的优点突出：(1) 得到的 PEDOT 薄膜电导率高 (10³ S/cm 量级)；(2) 孔隙填充率最高；(3) 无液相携带的污染 [28][39][40]。其缺点是反应速率受扩散限制，工艺窗口窄，对温湿度精确控制要求高。</w:t>
      </w:r>
    </w:p>
    <w:p>
      <w:pPr>
        <w:spacing w:line="360" w:lineRule="auto" w:after="40"/>
        <w:ind w:firstLine="420"/>
        <w:jc w:val="both"/>
      </w:pPr>
      <w:r>
        <w:rPr>
          <w:rFonts w:ascii="Times New Roman" w:hAnsi="Times New Roman" w:eastAsia="宋体"/>
          <w:b w:val="0"/>
          <w:sz w:val="21"/>
        </w:rPr>
        <w:t>Shi 等 2021 年在 J Mater Sci: Mater Electron [28] 上的工作通过 XRD 与 TEM 表征指出，VPP 过程可划分为三个阶段：覆盖期 (0-10 min，初始 PEDOT 单层覆盖氧化剂)、褶皱期 (10 min - 2 h，生成大量褶皱结构增加电导率) 与非晶期 (&gt; 2 h，过度聚合导致结晶度下降电导率降低)。该工作给出 1 小时反应时间下得到最优性能的 PEDOT 膜，ESR 可达 3.71 mΩ。这一结果对 VPP 工艺的精确控制提供了微观机理指导。</w:t>
      </w:r>
    </w:p>
    <w:p>
      <w:pPr>
        <w:spacing w:line="360" w:lineRule="auto" w:after="40"/>
        <w:ind w:firstLine="420"/>
        <w:jc w:val="both"/>
      </w:pPr>
      <w:r>
        <w:rPr>
          <w:rFonts w:ascii="Times New Roman" w:hAnsi="Times New Roman" w:eastAsia="宋体"/>
          <w:b w:val="0"/>
          <w:sz w:val="21"/>
        </w:rPr>
        <w:t>表 3-2 系统对比了三种 PEDOT 沉积工艺路线：</w:t>
      </w:r>
    </w:p>
    <w:p>
      <w:pPr>
        <w:jc w:val="center"/>
      </w:pPr>
      <w:r>
        <w:rPr>
          <w:rFonts w:ascii="Times New Roman" w:hAnsi="Times New Roman" w:eastAsia="黑体"/>
          <w:b/>
          <w:sz w:val="20"/>
        </w:rPr>
        <w:t>表 3-2  PEDOT 阴极三种沉积工艺对比</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455"/>
          </w:tcPr>
          <w:p>
            <w:pPr>
              <w:jc w:val="center"/>
            </w:pPr>
            <w:r/>
            <w:r>
              <w:rPr>
                <w:rFonts w:ascii="Times New Roman" w:hAnsi="Times New Roman" w:eastAsia="黑体"/>
                <w:b/>
                <w:sz w:val="19"/>
              </w:rPr>
              <w:t>工艺</w:t>
            </w:r>
          </w:p>
        </w:tc>
        <w:tc>
          <w:tcPr>
            <w:tcW w:type="dxa" w:w="1455"/>
          </w:tcPr>
          <w:p>
            <w:pPr>
              <w:jc w:val="center"/>
            </w:pPr>
            <w:r/>
            <w:r>
              <w:rPr>
                <w:rFonts w:ascii="Times New Roman" w:hAnsi="Times New Roman" w:eastAsia="黑体"/>
                <w:b/>
                <w:sz w:val="19"/>
              </w:rPr>
              <w:t>电导率 (S/cm)</w:t>
            </w:r>
          </w:p>
        </w:tc>
        <w:tc>
          <w:tcPr>
            <w:tcW w:type="dxa" w:w="1455"/>
          </w:tcPr>
          <w:p>
            <w:pPr>
              <w:jc w:val="center"/>
            </w:pPr>
            <w:r/>
            <w:r>
              <w:rPr>
                <w:rFonts w:ascii="Times New Roman" w:hAnsi="Times New Roman" w:eastAsia="黑体"/>
                <w:b/>
                <w:sz w:val="19"/>
              </w:rPr>
              <w:t>孔隙填充</w:t>
            </w:r>
          </w:p>
        </w:tc>
        <w:tc>
          <w:tcPr>
            <w:tcW w:type="dxa" w:w="1455"/>
          </w:tcPr>
          <w:p>
            <w:pPr>
              <w:jc w:val="center"/>
            </w:pPr>
            <w:r/>
            <w:r>
              <w:rPr>
                <w:rFonts w:ascii="Times New Roman" w:hAnsi="Times New Roman" w:eastAsia="黑体"/>
                <w:b/>
                <w:sz w:val="19"/>
              </w:rPr>
              <w:t>工艺复杂度</w:t>
            </w:r>
          </w:p>
        </w:tc>
        <w:tc>
          <w:tcPr>
            <w:tcW w:type="dxa" w:w="1455"/>
          </w:tcPr>
          <w:p>
            <w:pPr>
              <w:jc w:val="center"/>
            </w:pPr>
            <w:r/>
            <w:r>
              <w:rPr>
                <w:rFonts w:ascii="Times New Roman" w:hAnsi="Times New Roman" w:eastAsia="黑体"/>
                <w:b/>
                <w:sz w:val="19"/>
              </w:rPr>
              <w:t>湿度稳定性</w:t>
            </w:r>
          </w:p>
        </w:tc>
        <w:tc>
          <w:tcPr>
            <w:tcW w:type="dxa" w:w="1455"/>
          </w:tcPr>
          <w:p>
            <w:pPr>
              <w:jc w:val="center"/>
            </w:pPr>
            <w:r/>
            <w:r>
              <w:rPr>
                <w:rFonts w:ascii="Times New Roman" w:hAnsi="Times New Roman" w:eastAsia="黑体"/>
                <w:b/>
                <w:sz w:val="19"/>
              </w:rPr>
              <w:t>代表厂商</w:t>
            </w:r>
          </w:p>
        </w:tc>
      </w:tr>
      <w:tr>
        <w:tc>
          <w:tcPr>
            <w:tcW w:type="dxa" w:w="1455"/>
          </w:tcPr>
          <w:p>
            <w:pPr>
              <w:jc w:val="left"/>
            </w:pPr>
            <w:r/>
            <w:r>
              <w:rPr>
                <w:rFonts w:ascii="Times New Roman" w:hAnsi="Times New Roman" w:eastAsia="宋体"/>
                <w:b w:val="0"/>
                <w:sz w:val="19"/>
              </w:rPr>
              <w:t>in-situ</w:t>
            </w:r>
          </w:p>
        </w:tc>
        <w:tc>
          <w:tcPr>
            <w:tcW w:type="dxa" w:w="1455"/>
          </w:tcPr>
          <w:p>
            <w:pPr>
              <w:jc w:val="left"/>
            </w:pPr>
            <w:r/>
            <w:r>
              <w:rPr>
                <w:rFonts w:ascii="Times New Roman" w:hAnsi="Times New Roman" w:eastAsia="宋体"/>
                <w:b w:val="0"/>
                <w:sz w:val="19"/>
              </w:rPr>
              <w:t>200-500</w:t>
            </w:r>
          </w:p>
        </w:tc>
        <w:tc>
          <w:tcPr>
            <w:tcW w:type="dxa" w:w="1455"/>
          </w:tcPr>
          <w:p>
            <w:pPr>
              <w:jc w:val="left"/>
            </w:pPr>
            <w:r/>
            <w:r>
              <w:rPr>
                <w:rFonts w:ascii="Times New Roman" w:hAnsi="Times New Roman" w:eastAsia="宋体"/>
                <w:b w:val="0"/>
                <w:sz w:val="19"/>
              </w:rPr>
              <w:t>高</w:t>
            </w:r>
          </w:p>
        </w:tc>
        <w:tc>
          <w:tcPr>
            <w:tcW w:type="dxa" w:w="1455"/>
          </w:tcPr>
          <w:p>
            <w:pPr>
              <w:jc w:val="left"/>
            </w:pPr>
            <w:r/>
            <w:r>
              <w:rPr>
                <w:rFonts w:ascii="Times New Roman" w:hAnsi="Times New Roman" w:eastAsia="宋体"/>
                <w:b w:val="0"/>
                <w:sz w:val="19"/>
              </w:rPr>
              <w:t>中</w:t>
            </w:r>
          </w:p>
        </w:tc>
        <w:tc>
          <w:tcPr>
            <w:tcW w:type="dxa" w:w="1455"/>
          </w:tcPr>
          <w:p>
            <w:pPr>
              <w:jc w:val="left"/>
            </w:pPr>
            <w:r/>
            <w:r>
              <w:rPr>
                <w:rFonts w:ascii="Times New Roman" w:hAnsi="Times New Roman" w:eastAsia="宋体"/>
                <w:b w:val="0"/>
                <w:sz w:val="19"/>
              </w:rPr>
              <w:t>中-低</w:t>
            </w:r>
          </w:p>
        </w:tc>
        <w:tc>
          <w:tcPr>
            <w:tcW w:type="dxa" w:w="1455"/>
          </w:tcPr>
          <w:p>
            <w:pPr>
              <w:jc w:val="left"/>
            </w:pPr>
            <w:r/>
            <w:r>
              <w:rPr>
                <w:rFonts w:ascii="Times New Roman" w:hAnsi="Times New Roman" w:eastAsia="宋体"/>
                <w:b w:val="0"/>
                <w:sz w:val="19"/>
              </w:rPr>
              <w:t>NEC Tokin (早期), Nichicon</w:t>
            </w:r>
          </w:p>
        </w:tc>
      </w:tr>
      <w:tr>
        <w:tc>
          <w:tcPr>
            <w:tcW w:type="dxa" w:w="1455"/>
          </w:tcPr>
          <w:p>
            <w:pPr>
              <w:jc w:val="left"/>
            </w:pPr>
            <w:r/>
            <w:r>
              <w:rPr>
                <w:rFonts w:ascii="Times New Roman" w:hAnsi="Times New Roman" w:eastAsia="宋体"/>
                <w:b w:val="0"/>
                <w:sz w:val="19"/>
              </w:rPr>
              <w:t>pre-polymerized</w:t>
            </w:r>
          </w:p>
        </w:tc>
        <w:tc>
          <w:tcPr>
            <w:tcW w:type="dxa" w:w="1455"/>
          </w:tcPr>
          <w:p>
            <w:pPr>
              <w:jc w:val="left"/>
            </w:pPr>
            <w:r/>
            <w:r>
              <w:rPr>
                <w:rFonts w:ascii="Times New Roman" w:hAnsi="Times New Roman" w:eastAsia="宋体"/>
                <w:b w:val="0"/>
                <w:sz w:val="19"/>
              </w:rPr>
              <w:t>0.1-100</w:t>
            </w:r>
          </w:p>
        </w:tc>
        <w:tc>
          <w:tcPr>
            <w:tcW w:type="dxa" w:w="1455"/>
          </w:tcPr>
          <w:p>
            <w:pPr>
              <w:jc w:val="left"/>
            </w:pPr>
            <w:r/>
            <w:r>
              <w:rPr>
                <w:rFonts w:ascii="Times New Roman" w:hAnsi="Times New Roman" w:eastAsia="宋体"/>
                <w:b w:val="0"/>
                <w:sz w:val="19"/>
              </w:rPr>
              <w:t>中-低</w:t>
            </w:r>
          </w:p>
        </w:tc>
        <w:tc>
          <w:tcPr>
            <w:tcW w:type="dxa" w:w="1455"/>
          </w:tcPr>
          <w:p>
            <w:pPr>
              <w:jc w:val="left"/>
            </w:pPr>
            <w:r/>
            <w:r>
              <w:rPr>
                <w:rFonts w:ascii="Times New Roman" w:hAnsi="Times New Roman" w:eastAsia="宋体"/>
                <w:b w:val="0"/>
                <w:sz w:val="19"/>
              </w:rPr>
              <w:t>低</w:t>
            </w:r>
          </w:p>
        </w:tc>
        <w:tc>
          <w:tcPr>
            <w:tcW w:type="dxa" w:w="1455"/>
          </w:tcPr>
          <w:p>
            <w:pPr>
              <w:jc w:val="left"/>
            </w:pPr>
            <w:r/>
            <w:r>
              <w:rPr>
                <w:rFonts w:ascii="Times New Roman" w:hAnsi="Times New Roman" w:eastAsia="宋体"/>
                <w:b w:val="0"/>
                <w:sz w:val="19"/>
              </w:rPr>
              <w:t>高</w:t>
            </w:r>
          </w:p>
        </w:tc>
        <w:tc>
          <w:tcPr>
            <w:tcW w:type="dxa" w:w="1455"/>
          </w:tcPr>
          <w:p>
            <w:pPr>
              <w:jc w:val="left"/>
            </w:pPr>
            <w:r/>
            <w:r>
              <w:rPr>
                <w:rFonts w:ascii="Times New Roman" w:hAnsi="Times New Roman" w:eastAsia="宋体"/>
                <w:b w:val="0"/>
                <w:sz w:val="19"/>
              </w:rPr>
              <w:t>KEMET (部分), Murata</w:t>
            </w:r>
          </w:p>
        </w:tc>
      </w:tr>
      <w:tr>
        <w:tc>
          <w:tcPr>
            <w:tcW w:type="dxa" w:w="1455"/>
          </w:tcPr>
          <w:p>
            <w:pPr>
              <w:jc w:val="left"/>
            </w:pPr>
            <w:r/>
            <w:r>
              <w:rPr>
                <w:rFonts w:ascii="Times New Roman" w:hAnsi="Times New Roman" w:eastAsia="宋体"/>
                <w:b w:val="0"/>
                <w:sz w:val="19"/>
              </w:rPr>
              <w:t>VPP</w:t>
            </w:r>
          </w:p>
        </w:tc>
        <w:tc>
          <w:tcPr>
            <w:tcW w:type="dxa" w:w="1455"/>
          </w:tcPr>
          <w:p>
            <w:pPr>
              <w:jc w:val="left"/>
            </w:pPr>
            <w:r/>
            <w:r>
              <w:rPr>
                <w:rFonts w:ascii="Times New Roman" w:hAnsi="Times New Roman" w:eastAsia="宋体"/>
                <w:b w:val="0"/>
                <w:sz w:val="19"/>
              </w:rPr>
              <w:t>&gt;1000</w:t>
            </w:r>
          </w:p>
        </w:tc>
        <w:tc>
          <w:tcPr>
            <w:tcW w:type="dxa" w:w="1455"/>
          </w:tcPr>
          <w:p>
            <w:pPr>
              <w:jc w:val="left"/>
            </w:pPr>
            <w:r/>
            <w:r>
              <w:rPr>
                <w:rFonts w:ascii="Times New Roman" w:hAnsi="Times New Roman" w:eastAsia="宋体"/>
                <w:b w:val="0"/>
                <w:sz w:val="19"/>
              </w:rPr>
              <w:t>很高</w:t>
            </w:r>
          </w:p>
        </w:tc>
        <w:tc>
          <w:tcPr>
            <w:tcW w:type="dxa" w:w="1455"/>
          </w:tcPr>
          <w:p>
            <w:pPr>
              <w:jc w:val="left"/>
            </w:pPr>
            <w:r/>
            <w:r>
              <w:rPr>
                <w:rFonts w:ascii="Times New Roman" w:hAnsi="Times New Roman" w:eastAsia="宋体"/>
                <w:b w:val="0"/>
                <w:sz w:val="19"/>
              </w:rPr>
              <w:t>高</w:t>
            </w:r>
          </w:p>
        </w:tc>
        <w:tc>
          <w:tcPr>
            <w:tcW w:type="dxa" w:w="1455"/>
          </w:tcPr>
          <w:p>
            <w:pPr>
              <w:jc w:val="left"/>
            </w:pPr>
            <w:r/>
            <w:r>
              <w:rPr>
                <w:rFonts w:ascii="Times New Roman" w:hAnsi="Times New Roman" w:eastAsia="宋体"/>
                <w:b w:val="0"/>
                <w:sz w:val="19"/>
              </w:rPr>
              <w:t>高</w:t>
            </w:r>
          </w:p>
        </w:tc>
        <w:tc>
          <w:tcPr>
            <w:tcW w:type="dxa" w:w="1455"/>
          </w:tcPr>
          <w:p>
            <w:pPr>
              <w:jc w:val="left"/>
            </w:pPr>
            <w:r/>
            <w:r>
              <w:rPr>
                <w:rFonts w:ascii="Times New Roman" w:hAnsi="Times New Roman" w:eastAsia="宋体"/>
                <w:b w:val="0"/>
                <w:sz w:val="19"/>
              </w:rPr>
              <w:t>Panasonic KX, AVX 部分系列</w:t>
            </w:r>
          </w:p>
        </w:tc>
      </w:tr>
    </w:tbl>
    <w:p>
      <w:pPr>
        <w:spacing w:before="200" w:after="100"/>
        <w:outlineLvl w:val="2"/>
      </w:pPr>
      <w:r>
        <w:rPr>
          <w:rFonts w:ascii="Times New Roman" w:hAnsi="Times New Roman" w:eastAsia="黑体"/>
          <w:b/>
          <w:sz w:val="28"/>
        </w:rPr>
        <w:t>3.5 多层叠堆与压紧烧结</w:t>
      </w:r>
    </w:p>
    <w:p>
      <w:pPr>
        <w:spacing w:line="360" w:lineRule="auto" w:after="40"/>
        <w:ind w:firstLine="420"/>
        <w:jc w:val="both"/>
      </w:pPr>
      <w:r>
        <w:rPr>
          <w:rFonts w:ascii="Times New Roman" w:hAnsi="Times New Roman" w:eastAsia="宋体"/>
          <w:b w:val="0"/>
          <w:sz w:val="21"/>
        </w:rPr>
        <w:t>完成 PEDOT 阴极与碳/银浆层的单片阳极箔按照目标容量进行叠堆，通过银导电胶或银烧结粘结成多层结构。叠堆工艺的关键挑战包括： (1) 层间对齐——错位会导致部分有效电极面积丢失和局部电场集中； (2) 粘结胶填充均匀性——气泡会在高温下形成热点； (3) 叠堆应力均匀性——不均匀的压紧会在银浆/碳浆层引入剪切应力。</w:t>
      </w:r>
    </w:p>
    <w:p>
      <w:pPr>
        <w:spacing w:line="360" w:lineRule="auto" w:after="40"/>
        <w:ind w:firstLine="420"/>
        <w:jc w:val="both"/>
      </w:pPr>
      <w:r>
        <w:rPr>
          <w:rFonts w:ascii="Times New Roman" w:hAnsi="Times New Roman" w:eastAsia="宋体"/>
          <w:b w:val="0"/>
          <w:sz w:val="21"/>
        </w:rPr>
        <w:t>现代厂商多采用分层热压烧结工艺：在 180-220°C 下施加 5-20 MPa 的压力，持续 10-60 分钟完成银浆烧结。这一过程会固化银浆并释放溶剂，需要严格控制升温速率以避免气泡 [6][17]。</w:t>
      </w:r>
    </w:p>
    <w:p>
      <w:pPr>
        <w:spacing w:before="200" w:after="100"/>
        <w:outlineLvl w:val="2"/>
      </w:pPr>
      <w:r>
        <w:rPr>
          <w:rFonts w:ascii="Times New Roman" w:hAnsi="Times New Roman" w:eastAsia="黑体"/>
          <w:b/>
          <w:sz w:val="28"/>
        </w:rPr>
        <w:t>3.6 端电极与封装密封</w:t>
      </w:r>
    </w:p>
    <w:p>
      <w:pPr>
        <w:spacing w:line="360" w:lineRule="auto" w:after="40"/>
        <w:ind w:firstLine="420"/>
        <w:jc w:val="both"/>
      </w:pPr>
      <w:r>
        <w:rPr>
          <w:rFonts w:ascii="Times New Roman" w:hAnsi="Times New Roman" w:eastAsia="宋体"/>
          <w:b w:val="0"/>
          <w:sz w:val="21"/>
        </w:rPr>
        <w:t>端电极的主要功能是将阳极和阴极引线框架牵引到器件外表面，实现 SMT 贴装。典型的端电极结构为三层：(1) 内层 Cu (与引线框架连接)；(2) 阻挡层 Ni (典型 1-3 μm，防止 Sn 向 Cu 渗入形成脆性 IMC)；(3) 外层 Sn 或 Sn/Ag (可焊层, 2-10 μm)。端电极的 AEC-Q200 要求包括：耐温度循环、耐湿度、耐焊料浸渍等 [44]。</w:t>
      </w:r>
    </w:p>
    <w:p>
      <w:pPr>
        <w:spacing w:line="360" w:lineRule="auto" w:after="40"/>
        <w:ind w:firstLine="420"/>
        <w:jc w:val="both"/>
      </w:pPr>
      <w:r>
        <w:rPr>
          <w:rFonts w:ascii="Times New Roman" w:hAnsi="Times New Roman" w:eastAsia="宋体"/>
          <w:b w:val="0"/>
          <w:sz w:val="21"/>
        </w:rPr>
        <w:t>环氧封装的要求：低吸湿率 (&lt; 0.3%)、低 CTE (10-20 ppm/°C)、高 Tg (&gt; 150°C)、高粘接强度。实际工业中常用的封装材料包括 Sumitomo EME 系列、Shin-Etsu KMC 系列、Hitachi Chemical CEL 系列等。随着 PbCl₂、聚溴二苯醚 (PBDE) 等卤素阻燃剂被法规禁用，近年来无卤低吸湿环氧配方成为研发热点。</w:t>
      </w:r>
    </w:p>
    <w:p>
      <w:pPr>
        <w:spacing w:line="360" w:lineRule="auto" w:after="40"/>
        <w:ind w:firstLine="420"/>
        <w:jc w:val="both"/>
      </w:pPr>
      <w:r>
        <w:rPr>
          <w:rFonts w:ascii="Times New Roman" w:hAnsi="Times New Roman" w:eastAsia="宋体"/>
          <w:b w:val="0"/>
          <w:sz w:val="21"/>
        </w:rPr>
        <w:t>封装的薄弱环节是环氧/引线框架界面与环氧/PEDOT 界面。两者 CTE 差异可达 15-50 ppm/°C，在 -55~+125°C 循环下会产生显著剪应力，长期可能导致分层 (delamination)。CALCE 的 Liu 等 (2016) [19] 系统研究了封装几何 (引线框架露出面积、分层数、长宽比) 对湿度驱动失效的影响，发现封装几何优化可使 85°C/85%RH 下的寿命延长 1.5-3 倍。</w:t>
      </w:r>
    </w:p>
    <w:p>
      <w:pPr>
        <w:spacing w:before="200" w:after="100"/>
        <w:outlineLvl w:val="2"/>
      </w:pPr>
      <w:r>
        <w:rPr>
          <w:rFonts w:ascii="Times New Roman" w:hAnsi="Times New Roman" w:eastAsia="黑体"/>
          <w:b/>
          <w:sz w:val="28"/>
        </w:rPr>
        <w:t>3.7 筛选与老炼工艺</w:t>
      </w:r>
    </w:p>
    <w:p>
      <w:pPr>
        <w:spacing w:line="360" w:lineRule="auto" w:after="40"/>
        <w:ind w:firstLine="420"/>
        <w:jc w:val="both"/>
      </w:pPr>
      <w:r>
        <w:rPr>
          <w:rFonts w:ascii="Times New Roman" w:hAnsi="Times New Roman" w:eastAsia="宋体"/>
          <w:b w:val="0"/>
          <w:sz w:val="21"/>
        </w:rPr>
        <w:t>出厂前筛选是淘汰"早期失效品"(infant mortality) 的关键步骤。典型 SAPC 筛选流程包括： (1) 初始电参数测试 (初测)：C @ 100 Hz/120 Hz/100 kHz, ESR @ 100 kHz, LC @ 额定电压； (2) 高温老炼 (burn-in / ageing)：85-105°C 下施加 1.2~1.5 V_R，持续 20-100 小时； (3) 再测与筛选：比较老炼前后的参数变化，淘汰 ΔC/C &gt; 5% 或 ΔESR &gt; 50% 的样品； (4) 选择性应力筛选：如对航天级产品进行 HALT 或 HAST。</w:t>
      </w:r>
    </w:p>
    <w:p>
      <w:pPr>
        <w:spacing w:line="360" w:lineRule="auto" w:after="40"/>
        <w:ind w:firstLine="420"/>
        <w:jc w:val="both"/>
      </w:pPr>
      <w:r>
        <w:rPr>
          <w:rFonts w:ascii="Times New Roman" w:hAnsi="Times New Roman" w:eastAsia="宋体"/>
          <w:b w:val="0"/>
          <w:sz w:val="21"/>
        </w:rPr>
        <w:t>筛选强度的选择是一门工艺权衡艺术：过低的筛选强度无法淘汰潜在缺陷，过高的筛选强度会消耗合格品的寿命。工业界通常基于"破坏性物理分析 (DPA) + Weibull 分析"的联合结果确定筛选条件 [45]。</w:t>
      </w:r>
    </w:p>
    <w:p>
      <w:r>
        <w:br w:type="page"/>
      </w:r>
    </w:p>
    <w:p>
      <w:pPr>
        <w:spacing w:before="200" w:after="100"/>
        <w:outlineLvl w:val="1"/>
      </w:pPr>
      <w:r>
        <w:rPr>
          <w:rFonts w:ascii="Times New Roman" w:hAnsi="Times New Roman" w:eastAsia="黑体"/>
          <w:b/>
          <w:sz w:val="36"/>
        </w:rPr>
        <w:t>第四章 表征与检测方法</w:t>
      </w:r>
    </w:p>
    <w:p>
      <w:pPr>
        <w:spacing w:before="200" w:after="100"/>
        <w:outlineLvl w:val="2"/>
      </w:pPr>
      <w:r>
        <w:rPr>
          <w:rFonts w:ascii="Times New Roman" w:hAnsi="Times New Roman" w:eastAsia="黑体"/>
          <w:b/>
          <w:sz w:val="28"/>
        </w:rPr>
        <w:t>4.1 电学参数表征</w:t>
      </w:r>
    </w:p>
    <w:p>
      <w:pPr>
        <w:spacing w:line="360" w:lineRule="auto" w:after="40"/>
        <w:ind w:firstLine="420"/>
        <w:jc w:val="both"/>
      </w:pPr>
      <w:r>
        <w:rPr>
          <w:rFonts w:ascii="Times New Roman" w:hAnsi="Times New Roman" w:eastAsia="宋体"/>
          <w:b w:val="0"/>
          <w:sz w:val="21"/>
        </w:rPr>
        <w:t>SAPC 电学参数的基本测试包括电容量 C、等效串联电阻 ESR、损耗因数 DF、漏电流 LC。测试依据主要遵循 IEC 60384-25 和 IEC 60068 系列标准。</w:t>
      </w:r>
    </w:p>
    <w:p>
      <w:pPr>
        <w:spacing w:line="360" w:lineRule="auto" w:after="40"/>
        <w:ind w:firstLine="420"/>
        <w:jc w:val="both"/>
      </w:pPr>
      <w:r>
        <w:rPr>
          <w:rFonts w:ascii="Times New Roman" w:hAnsi="Times New Roman" w:eastAsia="宋体"/>
          <w:b w:val="0"/>
          <w:sz w:val="21"/>
        </w:rPr>
        <w:t>4.1.1 电容量 C 对液态铝电解电容器一般在 100 Hz 或 120 Hz 测试；而 SAPC 由于其扁平的频响特性，C 测试可覆盖更宽的频率范围，业界常用的测试频率为 100 kHz。测试条件必须明确记录，因为 SAPC 的 C 在 1 kHz ~ 1 MHz 内下降不超过 5%，但低频 (&lt; 100 Hz) 时因电极极化等因素会有所升高。</w:t>
      </w:r>
    </w:p>
    <w:p>
      <w:pPr>
        <w:spacing w:line="360" w:lineRule="auto" w:after="40"/>
        <w:ind w:firstLine="420"/>
        <w:jc w:val="both"/>
      </w:pPr>
      <w:r>
        <w:rPr>
          <w:rFonts w:ascii="Times New Roman" w:hAnsi="Times New Roman" w:eastAsia="宋体"/>
          <w:b w:val="0"/>
          <w:sz w:val="21"/>
        </w:rPr>
        <w:t>4.1.2 等效串联电阻 ESR ESR 通常在 100 kHz 测试，采用 Keysight E4980AL、LCR 4284A 或等效设备。SAPC 的 ESR 显示出明显的负温度系数——这与液态铝电容的正温度系数相反，是由于 PEDOT 在低温下仍保持较高电导率，而 Al₂O₃/PEDOT 界面的声子散射在高温下加剧所致 [14]。这一特性使 SAPC 在低温下 (-40°C) 的 ESR 仅比常温 (25°C) 略高 20-30%，而液态铝电容的 ESR 在 -40°C 可比常温高 5-10 倍。</w:t>
      </w:r>
    </w:p>
    <w:p>
      <w:pPr>
        <w:spacing w:line="360" w:lineRule="auto" w:after="40"/>
        <w:ind w:firstLine="420"/>
        <w:jc w:val="both"/>
      </w:pPr>
      <w:r>
        <w:rPr>
          <w:rFonts w:ascii="Times New Roman" w:hAnsi="Times New Roman" w:eastAsia="宋体"/>
          <w:b w:val="0"/>
          <w:sz w:val="21"/>
        </w:rPr>
        <w:t>4.1.3 损耗因数 DF (tanδ) DF = ESR·ωC，反映了介质与电极的综合损耗。SAPC 的 DF 在 100 kHz 时典型为 0.05-0.15。DF 的温度依赖性较弱，一般在整个工作温度范围内变化不超过 20%。</w:t>
      </w:r>
    </w:p>
    <w:p>
      <w:pPr>
        <w:spacing w:line="360" w:lineRule="auto" w:after="40"/>
        <w:ind w:firstLine="420"/>
        <w:jc w:val="both"/>
      </w:pPr>
      <w:r>
        <w:rPr>
          <w:rFonts w:ascii="Times New Roman" w:hAnsi="Times New Roman" w:eastAsia="宋体"/>
          <w:b w:val="0"/>
          <w:sz w:val="21"/>
        </w:rPr>
        <w:t>4.1.4 漏电流 LC LC 是 SAPC 可靠性评估的关键参数。典型规格为 LC &lt; 0.01 CV (μA)，其中 C 以 μF 计、V 以 V 计。例如 470 μF / 6.3V 器件的 LC 上限为 29.6 μA。LC 测试通常在额定电压下施加 1-5 分钟后读数，因为 LC 随时间存在瞬态充电电流，需要足够的稳定时间。</w:t>
      </w:r>
    </w:p>
    <w:p>
      <w:pPr>
        <w:spacing w:line="360" w:lineRule="auto" w:after="40"/>
        <w:ind w:firstLine="420"/>
        <w:jc w:val="both"/>
      </w:pPr>
      <w:r>
        <w:rPr>
          <w:rFonts w:ascii="Times New Roman" w:hAnsi="Times New Roman" w:eastAsia="宋体"/>
          <w:b w:val="0"/>
          <w:sz w:val="21"/>
        </w:rPr>
        <w:t>从失效诊断角度看，LC 是 SAPC 最灵敏的健康指标之一——它可以在 ESR 和 C 尚未明显漂移之前就显著上升，成为早期失效的预警指标 [14][20]。</w:t>
      </w:r>
    </w:p>
    <w:p>
      <w:pPr>
        <w:spacing w:before="200" w:after="100"/>
        <w:outlineLvl w:val="2"/>
      </w:pPr>
      <w:r>
        <w:rPr>
          <w:rFonts w:ascii="Times New Roman" w:hAnsi="Times New Roman" w:eastAsia="黑体"/>
          <w:b/>
          <w:sz w:val="28"/>
        </w:rPr>
        <w:t>4.2 电化学阻抗谱 (EIS)</w:t>
      </w:r>
    </w:p>
    <w:p>
      <w:pPr>
        <w:spacing w:line="360" w:lineRule="auto" w:after="40"/>
        <w:ind w:firstLine="420"/>
        <w:jc w:val="both"/>
      </w:pPr>
      <w:r>
        <w:rPr>
          <w:rFonts w:ascii="Times New Roman" w:hAnsi="Times New Roman" w:eastAsia="宋体"/>
          <w:b w:val="0"/>
          <w:sz w:val="21"/>
        </w:rPr>
        <w:t>EIS 是 SAPC 机理诊断的最重要的电学手段之一。通过在 DC 偏置上叠加小幅度 (5-10 mV) 的正弦扰动、扫描频率 0.1 Hz ~ 1 MHz，可以获得器件的复阻抗 Z(ω) = Z' - jZ''。</w:t>
      </w:r>
    </w:p>
    <w:p>
      <w:pPr>
        <w:spacing w:line="360" w:lineRule="auto" w:after="40"/>
        <w:ind w:firstLine="420"/>
        <w:jc w:val="both"/>
      </w:pPr>
      <w:r>
        <w:rPr>
          <w:rFonts w:ascii="Times New Roman" w:hAnsi="Times New Roman" w:eastAsia="宋体"/>
          <w:b w:val="0"/>
          <w:sz w:val="21"/>
        </w:rPr>
        <w:t>Nyquist 图 (-Z'' vs Z') 可显示 SAPC 的多个特征频率区间： (1) 高频段 (&gt; 100 kHz)：电感区，对应 ESL； (2) 中高频 (1 kHz - 100 kHz)：纯阻区，对应 ESR 的高频极限； (3) 中频 (1 Hz - 1 kHz)：一个半圆或两个重叠半圆，对应 PEDOT/Al₂O₃ 界面的电荷转移过程； (4) 低频 (&lt; 1 Hz)：近似垂直线段，对应主电容的容抗。</w:t>
      </w:r>
    </w:p>
    <w:p>
      <w:pPr>
        <w:spacing w:line="360" w:lineRule="auto" w:after="40"/>
        <w:ind w:firstLine="420"/>
        <w:jc w:val="both"/>
      </w:pPr>
      <w:r>
        <w:rPr>
          <w:rFonts w:ascii="Times New Roman" w:hAnsi="Times New Roman" w:eastAsia="宋体"/>
          <w:b w:val="0"/>
          <w:sz w:val="21"/>
        </w:rPr>
        <w:t>图 2-5 为典型 SAPC 在加速老化过程中的 Nyquist 图演化。可以看到：(1) 高频极限 ESR 逐步向右移动；(2) 中频半圆直径不断扩大——这对应 PEDOT/Al₂O₃ 界面电荷转移阻抗的增加；(3) 低频容抗线的斜率逐步降低——这对应介质层老化引起的有效容量略有下降 [14][46][47]。</w:t>
      </w:r>
    </w:p>
    <w:p>
      <w:pPr>
        <w:spacing w:before="120"/>
        <w:jc w:val="center"/>
      </w:pPr>
      <w:r>
        <w:drawing>
          <wp:inline xmlns:a="http://schemas.openxmlformats.org/drawingml/2006/main" xmlns:pic="http://schemas.openxmlformats.org/drawingml/2006/picture">
            <wp:extent cx="5220000" cy="4185901"/>
            <wp:docPr id="7" name="Picture 7"/>
            <wp:cNvGraphicFramePr>
              <a:graphicFrameLocks noChangeAspect="1"/>
            </wp:cNvGraphicFramePr>
            <a:graphic>
              <a:graphicData uri="http://schemas.openxmlformats.org/drawingml/2006/picture">
                <pic:pic>
                  <pic:nvPicPr>
                    <pic:cNvPr id="0" name="fig09_eis.png"/>
                    <pic:cNvPicPr/>
                  </pic:nvPicPr>
                  <pic:blipFill>
                    <a:blip r:embed="rId15"/>
                    <a:stretch>
                      <a:fillRect/>
                    </a:stretch>
                  </pic:blipFill>
                  <pic:spPr>
                    <a:xfrm>
                      <a:off x="0" y="0"/>
                      <a:ext cx="5220000" cy="4185901"/>
                    </a:xfrm>
                    <a:prstGeom prst="rect"/>
                  </pic:spPr>
                </pic:pic>
              </a:graphicData>
            </a:graphic>
          </wp:inline>
        </w:drawing>
      </w:r>
    </w:p>
    <w:p>
      <w:pPr>
        <w:spacing w:after="120"/>
        <w:jc w:val="center"/>
      </w:pPr>
      <w:r>
        <w:rPr>
          <w:rFonts w:ascii="Times New Roman" w:hAnsi="Times New Roman" w:eastAsia="黑体"/>
          <w:b/>
          <w:sz w:val="20"/>
        </w:rPr>
        <w:t>图 4-1  SAPC 在 85°C/85%RH 加速老化过程中的 Nyquist 阻抗谱演化</w:t>
      </w:r>
    </w:p>
    <w:p>
      <w:pPr>
        <w:spacing w:line="360" w:lineRule="auto" w:after="40"/>
        <w:ind w:firstLine="420"/>
        <w:jc w:val="both"/>
      </w:pPr>
      <w:r>
        <w:rPr>
          <w:rFonts w:ascii="Times New Roman" w:hAnsi="Times New Roman" w:eastAsia="宋体"/>
          <w:b w:val="0"/>
          <w:sz w:val="21"/>
        </w:rPr>
        <w:t>等效电路模型通常采用 R_s – (R_p ∥ C_p) – C_bulk 的 Randles 型结构，其中 R_s 为高频纯阻、R_p ∥ C_p 为界面电荷转移、C_bulk 为主体电容。通过复非线性最小二乘 (CNLS) 拟合可以获得各参数的物理值。老化早期 R_s 的上升主要由 PEDOT 电导率退化驱动；老化后期 R_p 和 R_s 同时上升反映了 PEDOT/Al₂O₃ 界面分层的累积 [14][16]。</w:t>
      </w:r>
    </w:p>
    <w:p>
      <w:pPr>
        <w:spacing w:before="200" w:after="100"/>
        <w:outlineLvl w:val="2"/>
      </w:pPr>
      <w:r>
        <w:rPr>
          <w:rFonts w:ascii="Times New Roman" w:hAnsi="Times New Roman" w:eastAsia="黑体"/>
          <w:b/>
          <w:sz w:val="28"/>
        </w:rPr>
        <w:t>4.3 X 射线显微 CT 与 C-SAM</w:t>
      </w:r>
    </w:p>
    <w:p>
      <w:pPr>
        <w:spacing w:line="360" w:lineRule="auto" w:after="40"/>
        <w:ind w:firstLine="420"/>
        <w:jc w:val="both"/>
      </w:pPr>
      <w:r>
        <w:rPr>
          <w:rFonts w:ascii="Times New Roman" w:hAnsi="Times New Roman" w:eastAsia="宋体"/>
          <w:b w:val="0"/>
          <w:sz w:val="21"/>
        </w:rPr>
        <w:t>X 射线显微计算机断层扫描 (micro-CT) 可以无损地获取 SAPC 的三维内部结构，分辨率可达亚微米级。这一技术对以下失效分析有独特价值： (1) 观察叠层箔片的对齐度、粘结层均匀性、内部空洞分布； (2) 定位裂纹与分层； (3) 量化 PEDOT 的填充率。</w:t>
      </w:r>
    </w:p>
    <w:p>
      <w:pPr>
        <w:spacing w:line="360" w:lineRule="auto" w:after="40"/>
        <w:ind w:firstLine="420"/>
        <w:jc w:val="both"/>
      </w:pPr>
      <w:r>
        <w:rPr>
          <w:rFonts w:ascii="Times New Roman" w:hAnsi="Times New Roman" w:eastAsia="宋体"/>
          <w:b w:val="0"/>
          <w:sz w:val="21"/>
        </w:rPr>
        <w:t>C 扫描超声显微镜 (C-SAM) 则主要用于探测封装内的分层 (delamination)。通过超声波在不同材料界面的反射系数差异，可以高灵敏度地发现干/湿界面 (例如环氧/引线框架分层处吸附的水汽)。CALCE 的 Liu 等使用 C-SAM 追踪了 SAPC 在 85°C/85%RH 下分层的时空演化，发现分层起始于环氧/阳极引线框架界面并逐步扩展至 PEDOT 区域 [19]。</w:t>
      </w:r>
    </w:p>
    <w:p>
      <w:pPr>
        <w:spacing w:before="200" w:after="100"/>
        <w:outlineLvl w:val="2"/>
      </w:pPr>
      <w:r>
        <w:rPr>
          <w:rFonts w:ascii="Times New Roman" w:hAnsi="Times New Roman" w:eastAsia="黑体"/>
          <w:b/>
          <w:sz w:val="28"/>
        </w:rPr>
        <w:t>4.4 SEM / TEM / EDS 微结构分析</w:t>
      </w:r>
    </w:p>
    <w:p>
      <w:pPr>
        <w:spacing w:line="360" w:lineRule="auto" w:after="40"/>
        <w:ind w:firstLine="420"/>
        <w:jc w:val="both"/>
      </w:pPr>
      <w:r>
        <w:rPr>
          <w:rFonts w:ascii="Times New Roman" w:hAnsi="Times New Roman" w:eastAsia="宋体"/>
          <w:b w:val="0"/>
          <w:sz w:val="21"/>
        </w:rPr>
        <w:t>SEM (扫描电镜) 与 TEM (透射电镜) 结合 EDS (能谱) 是 SAPC 失效微观分析的主力手段： (1) SEM + EDS 主要用于观察端电极、银浆层、碳层、PEDOT 表面形貌和元素分布； (2) TEM + EDS/EELS 主要用于观察 Al/Al₂O₃/PEDOT 界面的精细结构与 10 nm 级介质层完整性； (3) FIB (聚焦离子束) 制样可获得特定位置的横截面。</w:t>
      </w:r>
    </w:p>
    <w:p>
      <w:pPr>
        <w:spacing w:line="360" w:lineRule="auto" w:after="40"/>
        <w:ind w:firstLine="420"/>
        <w:jc w:val="both"/>
      </w:pPr>
      <w:r>
        <w:rPr>
          <w:rFonts w:ascii="Times New Roman" w:hAnsi="Times New Roman" w:eastAsia="宋体"/>
          <w:b w:val="0"/>
          <w:sz w:val="21"/>
        </w:rPr>
        <w:t>代表性的微观观测结果包括： - Al₂O₃ 层厚度均匀性：典型合格品为 ±15% 以内； - PEDOT 渗入深度：合格品应 ≥ 80% 的隧道深度； - Ag 迁移：在高温高湿下可在 PEDOT 表面观察到 Ag⁺ 的再沉积； - 分层位置：SEM 横截面中可识别出清晰的干涉线； - 热失控后的 PEDOT 碳化：在 TEM 中呈现为无定形的深色碳颗粒 [16][20][48]。</w:t>
      </w:r>
    </w:p>
    <w:p>
      <w:pPr>
        <w:spacing w:before="200" w:after="100"/>
        <w:outlineLvl w:val="2"/>
      </w:pPr>
      <w:r>
        <w:rPr>
          <w:rFonts w:ascii="Times New Roman" w:hAnsi="Times New Roman" w:eastAsia="黑体"/>
          <w:b/>
          <w:sz w:val="28"/>
        </w:rPr>
        <w:t>4.5 TGA / DSC 热分析</w:t>
      </w:r>
    </w:p>
    <w:p>
      <w:pPr>
        <w:spacing w:line="360" w:lineRule="auto" w:after="40"/>
        <w:ind w:firstLine="420"/>
        <w:jc w:val="both"/>
      </w:pPr>
      <w:r>
        <w:rPr>
          <w:rFonts w:ascii="Times New Roman" w:hAnsi="Times New Roman" w:eastAsia="宋体"/>
          <w:b w:val="0"/>
          <w:sz w:val="21"/>
        </w:rPr>
        <w:t>热重分析 (TGA) 与差示扫描量热 (DSC) 用于表征 PEDOT 阴极的热稳定性。典型 TGA 结果： - 室温~120°C：质量损失 &lt; 3%，对应吸附水的挥发； - 120-250°C：质量略有损失，对应 Tos⁻ 或 PSS⁻ 中反阴离子的部分分解； - 250-320°C：显著失重，对应 PEDOT 主链断裂； - 320°C 以上：完全碳化。</w:t>
      </w:r>
    </w:p>
    <w:p>
      <w:pPr>
        <w:spacing w:line="360" w:lineRule="auto" w:after="40"/>
        <w:ind w:firstLine="420"/>
        <w:jc w:val="both"/>
      </w:pPr>
      <w:r>
        <w:rPr>
          <w:rFonts w:ascii="Times New Roman" w:hAnsi="Times New Roman" w:eastAsia="宋体"/>
          <w:b w:val="0"/>
          <w:sz w:val="21"/>
        </w:rPr>
        <w:t>DSC 主要用于观察聚合物玻璃化转变温度 (Tg) 与放热/吸热反应。典型 PEDOT:Tos 的 Tg 约为 160-180°C，PEDOT:PSS 的 Tg 可能更高。</w:t>
      </w:r>
    </w:p>
    <w:p>
      <w:pPr>
        <w:spacing w:line="360" w:lineRule="auto" w:after="40"/>
        <w:ind w:firstLine="420"/>
        <w:jc w:val="both"/>
      </w:pPr>
      <w:r>
        <w:rPr>
          <w:rFonts w:ascii="Times New Roman" w:hAnsi="Times New Roman" w:eastAsia="宋体"/>
          <w:b w:val="0"/>
          <w:sz w:val="21"/>
        </w:rPr>
        <w:t>Marciniak 等 (2004) [23] 通过 DSC/TGA 系统研究了 PEDOT:PSS 的热降解机理，指出其降解分两阶段：第一阶段 (200-280°C) 主要是 PSS 链侧基 (-SO₃H) 的脱水；第二阶段 (280-400°C) 是 PEDOT 主链的分解。这一机理图景对 SAPC 在 125°C 长期工作下的化学老化速率估计提供了基础。</w:t>
      </w:r>
    </w:p>
    <w:p>
      <w:pPr>
        <w:spacing w:before="200" w:after="100"/>
        <w:outlineLvl w:val="2"/>
      </w:pPr>
      <w:r>
        <w:rPr>
          <w:rFonts w:ascii="Times New Roman" w:hAnsi="Times New Roman" w:eastAsia="黑体"/>
          <w:b/>
          <w:sz w:val="28"/>
        </w:rPr>
        <w:t>4.6 FT-IR / Raman / XPS 化学分析</w:t>
      </w:r>
    </w:p>
    <w:p>
      <w:pPr>
        <w:spacing w:line="360" w:lineRule="auto" w:after="40"/>
        <w:ind w:firstLine="420"/>
        <w:jc w:val="both"/>
      </w:pPr>
      <w:r>
        <w:rPr>
          <w:rFonts w:ascii="Times New Roman" w:hAnsi="Times New Roman" w:eastAsia="宋体"/>
          <w:b w:val="0"/>
          <w:sz w:val="21"/>
        </w:rPr>
        <w:t>FT-IR、Raman 光谱与 XPS 主要用于定量表征 PEDOT 的化学状态变化，是失效机理分析的核心工具。</w:t>
      </w:r>
    </w:p>
    <w:p>
      <w:pPr>
        <w:spacing w:line="360" w:lineRule="auto" w:after="40"/>
        <w:ind w:firstLine="420"/>
        <w:jc w:val="both"/>
      </w:pPr>
      <w:r>
        <w:rPr>
          <w:rFonts w:ascii="Times New Roman" w:hAnsi="Times New Roman" w:eastAsia="宋体"/>
          <w:b w:val="0"/>
          <w:sz w:val="21"/>
        </w:rPr>
        <w:t>4.6.1 Raman 光谱 PEDOT 的特征 Raman 峰包括 Cα=Cβ 伸缩振动 (1430 cm⁻¹)、Cα-Cα' 伸缩 (1270 cm⁻¹)、Cα-S 伸缩 (990 cm⁻¹) 等。老化过程中，1430 cm⁻¹ 峰强度下降、位置红移，表明 PEDOT 氧化程度降低 (去掺杂)；出现 1580 cm⁻¹ 附近的 D/G 峰则表明 PEDOT 已部分碳化 [49]。</w:t>
      </w:r>
    </w:p>
    <w:p>
      <w:pPr>
        <w:spacing w:line="360" w:lineRule="auto" w:after="40"/>
        <w:ind w:firstLine="420"/>
        <w:jc w:val="both"/>
      </w:pPr>
      <w:r>
        <w:rPr>
          <w:rFonts w:ascii="Times New Roman" w:hAnsi="Times New Roman" w:eastAsia="宋体"/>
          <w:b w:val="0"/>
          <w:sz w:val="21"/>
        </w:rPr>
        <w:t>4.6.2 FT-IR FT-IR 可直接观察 PEDOT 主链是否存在 C=O、C-OH、-SO₃H 等降解产物。对于 PEDOT:PSS，FT-IR 中 1200 cm⁻¹ 附近的 S=O 振动峰强度随 PSS 水解而降低。</w:t>
      </w:r>
    </w:p>
    <w:p>
      <w:pPr>
        <w:spacing w:line="360" w:lineRule="auto" w:after="40"/>
        <w:ind w:firstLine="420"/>
        <w:jc w:val="both"/>
      </w:pPr>
      <w:r>
        <w:rPr>
          <w:rFonts w:ascii="Times New Roman" w:hAnsi="Times New Roman" w:eastAsia="宋体"/>
          <w:b w:val="0"/>
          <w:sz w:val="21"/>
        </w:rPr>
        <w:t>4.6.3 XPS XPS 是 PEDOT 化学状态分析最强的手段。对 S 2p 峰进行分峰拟合可定量获得：(1) 中性硫 (S 2p_(3/2) ≈ 163.5 eV, 对应未掺杂 PEDOT)；(2) 氧化硫 (S 2p_(3/2) ≈ 164.5 eV, 对应 p-掺杂 PEDOT)；(3) 掺杂剂 S (S 2p_(3/2) ≈ 168.0 eV, 对应 Tos 或 PSS 的 SO₃⁻)。老化过程中，(2) 到 (1) 的比例变化直接反映了 PEDOT 去掺杂程度，这与其电导率下降幅度高度相关 [27][50]。</w:t>
      </w:r>
    </w:p>
    <w:p>
      <w:pPr>
        <w:spacing w:line="360" w:lineRule="auto" w:after="40"/>
        <w:ind w:firstLine="420"/>
        <w:jc w:val="both"/>
      </w:pPr>
      <w:r>
        <w:rPr>
          <w:rFonts w:ascii="Times New Roman" w:hAnsi="Times New Roman" w:eastAsia="宋体"/>
          <w:b w:val="0"/>
          <w:sz w:val="21"/>
        </w:rPr>
        <w:t>此外，O 1s XPS 可识别 Al₂O₃ 介质层的水合程度 (530.5 eV 为 O²⁻；531.8 eV 为 OH⁻；533.0 eV 为 H₂O)，定量描述水汽对介质层的侵蚀程度 [48][51]。</w:t>
      </w:r>
    </w:p>
    <w:p>
      <w:r>
        <w:br w:type="page"/>
      </w:r>
    </w:p>
    <w:p>
      <w:pPr>
        <w:spacing w:before="200" w:after="100"/>
        <w:outlineLvl w:val="1"/>
      </w:pPr>
      <w:r>
        <w:rPr>
          <w:rFonts w:ascii="Times New Roman" w:hAnsi="Times New Roman" w:eastAsia="黑体"/>
          <w:b/>
          <w:sz w:val="36"/>
        </w:rPr>
        <w:t>第五章 SAPC 典型失效模式</w:t>
      </w:r>
    </w:p>
    <w:p>
      <w:pPr>
        <w:spacing w:before="200" w:after="100"/>
        <w:outlineLvl w:val="2"/>
      </w:pPr>
      <w:r>
        <w:rPr>
          <w:rFonts w:ascii="Times New Roman" w:hAnsi="Times New Roman" w:eastAsia="黑体"/>
          <w:b/>
          <w:sz w:val="28"/>
        </w:rPr>
        <w:t>5.1 失效模式分类框架</w:t>
      </w:r>
    </w:p>
    <w:p>
      <w:pPr>
        <w:spacing w:line="360" w:lineRule="auto" w:after="40"/>
        <w:ind w:firstLine="420"/>
        <w:jc w:val="both"/>
      </w:pPr>
      <w:r>
        <w:rPr>
          <w:rFonts w:ascii="Times New Roman" w:hAnsi="Times New Roman" w:eastAsia="宋体"/>
          <w:b w:val="0"/>
          <w:sz w:val="21"/>
        </w:rPr>
        <w:t>依据 IEC 61709、MIL-HDBK-217 与 IPC 联合发布的 A-610 等主流标准，电容器失效可按照外在表现分为开路、短路、参数漂移、外观与密封失效四大类。对于 SAPC，由于其固态聚合物阴极与引线框架封装结构，失效模式呈现以下鲜明特征： (1) 参数漂移型失效 (尤其是 ESR 上升和 LC 跑飞) 占主导地位，约 75-85% 的耗损失效均可归入此类； (2) 开路型失效相对罕见，通常由端电极焊点老化或叠层分离引起； (3) 短路型失效主要由 Al₂O₃ 介质缺陷点的热失控引起，表现为个别点的局部击穿； (4) 外观与密封失效以环氧分层为主，不像液态铝电容那样出现漏液或鼓包。</w:t>
      </w:r>
    </w:p>
    <w:p>
      <w:pPr>
        <w:spacing w:line="360" w:lineRule="auto" w:after="40"/>
        <w:ind w:firstLine="420"/>
        <w:jc w:val="both"/>
      </w:pPr>
      <w:r>
        <w:rPr>
          <w:rFonts w:ascii="Times New Roman" w:hAnsi="Times New Roman" w:eastAsia="宋体"/>
          <w:b w:val="0"/>
          <w:sz w:val="21"/>
        </w:rPr>
        <w:t>SAPC 的失效后果一般相对温和——不会发生液态铝电容的爆炸事件，也不会发生钽电容的着火事件。然而 SAPC 失效仍可能造成整机功能异常：ESR 上升会直接恶化 VRM 的纹波和瞬态响应；LC 跑飞会加重整机待机功耗；在严重短路情况下，局部焦耳热可能将周围 PCB 焊盘烧黄。</w:t>
      </w:r>
    </w:p>
    <w:p>
      <w:pPr>
        <w:spacing w:line="360" w:lineRule="auto" w:after="40"/>
        <w:ind w:firstLine="420"/>
        <w:jc w:val="both"/>
      </w:pPr>
      <w:r>
        <w:rPr>
          <w:rFonts w:ascii="Times New Roman" w:hAnsi="Times New Roman" w:eastAsia="宋体"/>
          <w:b w:val="0"/>
          <w:sz w:val="21"/>
        </w:rPr>
        <w:t>按 Teverovsky (NASA NEPP, 2024) 的归类 [18]，SAPC 的失效模式可以按"参数漂移幅度"分为三个梯度： - "软失效" (soft failure)：ΔESR 或 ΔC 超出规格值但未到严重影响整机功能的程度 (通常 ΔESR &lt; 200%)； - "硬失效" (hard failure)：ΔESR &gt; 300% 或 ΔC &gt; 20% 导致整机明显异常； - "灾难性失效" (catastrophic failure)：内部短路/开路，整机无法工作。</w:t>
      </w:r>
    </w:p>
    <w:p>
      <w:pPr>
        <w:spacing w:line="360" w:lineRule="auto" w:after="40"/>
        <w:ind w:firstLine="420"/>
        <w:jc w:val="both"/>
      </w:pPr>
      <w:r>
        <w:rPr>
          <w:rFonts w:ascii="Times New Roman" w:hAnsi="Times New Roman" w:eastAsia="宋体"/>
          <w:b w:val="0"/>
          <w:sz w:val="21"/>
        </w:rPr>
        <w:t>在 85°C/85%RH/V_R 偏压条件下的 CALCE 加速老化中，大部分 SAPC 在进入硬失效阶段前均已表现出可识别的软失效征兆，这为在线监测提供了可能性 [14]。</w:t>
      </w:r>
    </w:p>
    <w:p>
      <w:pPr>
        <w:spacing w:before="200" w:after="100"/>
        <w:outlineLvl w:val="2"/>
      </w:pPr>
      <w:r>
        <w:rPr>
          <w:rFonts w:ascii="Times New Roman" w:hAnsi="Times New Roman" w:eastAsia="黑体"/>
          <w:b/>
          <w:sz w:val="28"/>
        </w:rPr>
        <w:t>5.2 参数漂移模式 (ESR / C / DF)</w:t>
      </w:r>
    </w:p>
    <w:p>
      <w:pPr>
        <w:spacing w:line="360" w:lineRule="auto" w:after="40"/>
        <w:ind w:firstLine="420"/>
        <w:jc w:val="both"/>
      </w:pPr>
      <w:r>
        <w:rPr>
          <w:rFonts w:ascii="Times New Roman" w:hAnsi="Times New Roman" w:eastAsia="宋体"/>
          <w:b w:val="0"/>
          <w:sz w:val="21"/>
        </w:rPr>
        <w:t>SAPC 参数漂移模式中，ESR 上升是最主要的表现形式。根据 CALCE 实验室 Liu 等 (2017) [14] 对 Nichicon 与 Nippon Chemi-Con (现 Chemi-Con) 两家制造商 SAPC 的系统对比：</w:t>
      </w:r>
    </w:p>
    <w:p>
      <w:pPr>
        <w:spacing w:line="360" w:lineRule="auto" w:after="40"/>
        <w:ind w:firstLine="420"/>
        <w:jc w:val="both"/>
      </w:pPr>
      <w:r>
        <w:rPr>
          <w:rFonts w:ascii="Times New Roman" w:hAnsi="Times New Roman" w:eastAsia="宋体"/>
          <w:b w:val="0"/>
          <w:sz w:val="21"/>
        </w:rPr>
        <w:t>(1) Nichicon 样品在 85°C/85%RH 下 2000 小时内 ESR 从初始的约 12 mΩ 上升到 30~50 mΩ，容量保持稳定，LC 仅有小幅增加——这被称为"ESR 上升模式" (ESR-rise mode)； (2) Chemi-Con 样品在相同条件下 ESR 上升相对缓慢 (1.5-2 倍)，但 LC 从初始 5 μA 跑飞至数百 μA——这被称为"LC 跑飞模式" (LC-runaway mode)。</w:t>
      </w:r>
    </w:p>
    <w:p>
      <w:pPr>
        <w:spacing w:line="360" w:lineRule="auto" w:after="40"/>
        <w:ind w:firstLine="420"/>
        <w:jc w:val="both"/>
      </w:pPr>
      <w:r>
        <w:rPr>
          <w:rFonts w:ascii="Times New Roman" w:hAnsi="Times New Roman" w:eastAsia="宋体"/>
          <w:b w:val="0"/>
          <w:sz w:val="21"/>
        </w:rPr>
        <w:t>这两种截然不同的失效模式并非偶然，而是与各厂商的 PEDOT 沉积工艺密切相关： - in-situ 聚合的 PEDOT:Tos 在湿热环境下易发生电导率下降，表现为 ESR 上升； - 预聚合 PEDOT:PSS 对 Al₂O₃ 介质的酸性侵蚀更显著，表现为 LC 增加。</w:t>
      </w:r>
    </w:p>
    <w:p>
      <w:pPr>
        <w:spacing w:line="360" w:lineRule="auto" w:after="40"/>
        <w:ind w:firstLine="420"/>
        <w:jc w:val="both"/>
      </w:pPr>
      <w:r>
        <w:rPr>
          <w:rFonts w:ascii="Times New Roman" w:hAnsi="Times New Roman" w:eastAsia="宋体"/>
          <w:b w:val="0"/>
          <w:sz w:val="21"/>
        </w:rPr>
        <w:t>这一发现对失效诊断具有重要指导意义：基于 ESR 的监测与基于 LC 的监测在不同制造商 SAPC 之间不具有通用性，必须针对具体产品选择合适的健康指标 [14][16]。</w:t>
      </w:r>
    </w:p>
    <w:p>
      <w:pPr>
        <w:spacing w:before="120"/>
        <w:jc w:val="center"/>
      </w:pPr>
      <w:r>
        <w:drawing>
          <wp:inline xmlns:a="http://schemas.openxmlformats.org/drawingml/2006/main" xmlns:pic="http://schemas.openxmlformats.org/drawingml/2006/picture">
            <wp:extent cx="5220000" cy="2727431"/>
            <wp:docPr id="8" name="Picture 8"/>
            <wp:cNvGraphicFramePr>
              <a:graphicFrameLocks noChangeAspect="1"/>
            </wp:cNvGraphicFramePr>
            <a:graphic>
              <a:graphicData uri="http://schemas.openxmlformats.org/drawingml/2006/picture">
                <pic:pic>
                  <pic:nvPicPr>
                    <pic:cNvPr id="0" name="fig06_degradation.png"/>
                    <pic:cNvPicPr/>
                  </pic:nvPicPr>
                  <pic:blipFill>
                    <a:blip r:embed="rId16"/>
                    <a:stretch>
                      <a:fillRect/>
                    </a:stretch>
                  </pic:blipFill>
                  <pic:spPr>
                    <a:xfrm>
                      <a:off x="0" y="0"/>
                      <a:ext cx="5220000" cy="2727431"/>
                    </a:xfrm>
                    <a:prstGeom prst="rect"/>
                  </pic:spPr>
                </pic:pic>
              </a:graphicData>
            </a:graphic>
          </wp:inline>
        </w:drawing>
      </w:r>
    </w:p>
    <w:p>
      <w:pPr>
        <w:spacing w:after="120"/>
        <w:jc w:val="center"/>
      </w:pPr>
      <w:r>
        <w:rPr>
          <w:rFonts w:ascii="Times New Roman" w:hAnsi="Times New Roman" w:eastAsia="黑体"/>
          <w:b/>
          <w:sz w:val="20"/>
        </w:rPr>
        <w:t>图 5-1  SAPC 在 85°C/85%RH 加速老化下两种主导失效模式的 ESR 和 LC 演化曲线</w:t>
      </w:r>
    </w:p>
    <w:p>
      <w:pPr>
        <w:spacing w:line="360" w:lineRule="auto" w:after="40"/>
        <w:ind w:firstLine="420"/>
        <w:jc w:val="both"/>
      </w:pPr>
      <w:r>
        <w:rPr>
          <w:rFonts w:ascii="Times New Roman" w:hAnsi="Times New Roman" w:eastAsia="宋体"/>
          <w:b w:val="0"/>
          <w:sz w:val="21"/>
        </w:rPr>
        <w:t>参数漂移失效的"硬阈值"通常由以下两个条件之一触发： (1) ESR 达到初始值的 2 倍； (2) C 下降超过 20% 或 C &lt; 额定容量的 80%。</w:t>
      </w:r>
    </w:p>
    <w:p>
      <w:pPr>
        <w:spacing w:line="360" w:lineRule="auto" w:after="40"/>
        <w:ind w:firstLine="420"/>
        <w:jc w:val="both"/>
      </w:pPr>
      <w:r>
        <w:rPr>
          <w:rFonts w:ascii="Times New Roman" w:hAnsi="Times New Roman" w:eastAsia="宋体"/>
          <w:b w:val="0"/>
          <w:sz w:val="21"/>
        </w:rPr>
        <w:t>一些特殊行业 (如航天、医疗植入) 还会设置更严格的 LC 上限，典型为初始 LC 的 5-10 倍。Teverovsky (2024) [18] 对 chip APC 的 HALT 数据显示，不同制造商在 125°C/1.5 V_R 下的 t₆₃ (Weibull 特征寿命) 差异可达 3-10 倍，反映了工艺控制对可靠性的一阶影响。</w:t>
      </w:r>
    </w:p>
    <w:p>
      <w:pPr>
        <w:spacing w:line="360" w:lineRule="auto" w:after="40"/>
        <w:ind w:firstLine="420"/>
        <w:jc w:val="both"/>
      </w:pPr>
      <w:r>
        <w:rPr>
          <w:rFonts w:ascii="Times New Roman" w:hAnsi="Times New Roman" w:eastAsia="宋体"/>
          <w:b w:val="0"/>
          <w:sz w:val="21"/>
        </w:rPr>
        <w:t>从时间尺度上看，SAPC 的参数漂移呈现典型的"肘型" (elbow) 趋势——前期 (0-50%) 参数变化缓慢，后期 (50-100%) 参数加速恶化。这一特征与 PEDOT 界面的"穿刺"(percolation) 行为一致：当 PEDOT 导电网络中电连通性被破坏至某一阈值后，电导率下降呈指数加速 [23][52]。</w:t>
      </w:r>
    </w:p>
    <w:p>
      <w:pPr>
        <w:spacing w:before="200" w:after="100"/>
        <w:outlineLvl w:val="2"/>
      </w:pPr>
      <w:r>
        <w:rPr>
          <w:rFonts w:ascii="Times New Roman" w:hAnsi="Times New Roman" w:eastAsia="黑体"/>
          <w:b/>
          <w:sz w:val="28"/>
        </w:rPr>
        <w:t>5.3 漏电流跑飞与短路模式</w:t>
      </w:r>
    </w:p>
    <w:p>
      <w:pPr>
        <w:spacing w:line="360" w:lineRule="auto" w:after="40"/>
        <w:ind w:firstLine="420"/>
        <w:jc w:val="both"/>
      </w:pPr>
      <w:r>
        <w:rPr>
          <w:rFonts w:ascii="Times New Roman" w:hAnsi="Times New Roman" w:eastAsia="宋体"/>
          <w:b w:val="0"/>
          <w:sz w:val="21"/>
        </w:rPr>
        <w:t>LC 跑飞 (leakage current runaway) 是 SAPC 中特有的失效机理之一。其典型特征是：在老化过程中 LC 先稳定在初值附近，在某一阈值 (通常对应临界水汽浓度或临界界面分层) 后 LC 陡然上升 2-4 个数量级，最终导致器件短路 [14]。</w:t>
      </w:r>
    </w:p>
    <w:p>
      <w:pPr>
        <w:spacing w:line="360" w:lineRule="auto" w:after="40"/>
        <w:ind w:firstLine="420"/>
        <w:jc w:val="both"/>
      </w:pPr>
      <w:r>
        <w:rPr>
          <w:rFonts w:ascii="Times New Roman" w:hAnsi="Times New Roman" w:eastAsia="宋体"/>
          <w:b w:val="0"/>
          <w:sz w:val="21"/>
        </w:rPr>
        <w:t>Liu 与 Pecht (2017) [14] 通过 FT-IR/XPS 表征发现，LC 跑飞前 SAPC 的 PEDOT 层中 Fe 元素含量明显升高——这提示 Fe³⁺ 从 Tos 盐中释放并穿过 Al₂O₃ 介质层形成新的漏电通道。进一步的 SEM 分析发现 Al₂O₃ 层在 LC 跑飞点出现了数十纳米尺度的局部溶解坑，确认了"Fe³⁺ 催化 + H₂O 协同 + Al₂O₃ 缺陷通道"的综合机理。</w:t>
      </w:r>
    </w:p>
    <w:p>
      <w:pPr>
        <w:spacing w:line="360" w:lineRule="auto" w:after="40"/>
        <w:ind w:firstLine="420"/>
        <w:jc w:val="both"/>
      </w:pPr>
      <w:r>
        <w:rPr>
          <w:rFonts w:ascii="Times New Roman" w:hAnsi="Times New Roman" w:eastAsia="宋体"/>
          <w:b w:val="0"/>
          <w:sz w:val="21"/>
        </w:rPr>
        <w:t>SAPC 的短路失效相对少见且通常是非致命的——即使发生内部击穿，由于 PEDOT 具有一定的"软熔丝"特性 (局部过热时会因焦耳热升高而去掺杂转变为高阻态)，短路电流会被快速限制在毫安量级 [16][53]。这也是为什么相较于钽电容的 MnO2 阴极体系，SAPC 的"安全性"显著更好——即使失效也不会发生着火。</w:t>
      </w:r>
    </w:p>
    <w:p>
      <w:pPr>
        <w:spacing w:line="360" w:lineRule="auto" w:after="40"/>
        <w:ind w:firstLine="420"/>
        <w:jc w:val="both"/>
      </w:pPr>
      <w:r>
        <w:rPr>
          <w:rFonts w:ascii="Times New Roman" w:hAnsi="Times New Roman" w:eastAsia="宋体"/>
          <w:b w:val="0"/>
          <w:sz w:val="21"/>
        </w:rPr>
        <w:t>然而在极端情况下 (如 VRM 输出端严重过压、ESD 瞬态、反向电压) SAPC 仍可能出现持续性短路：此时 Al₂O₃ 介质的大面积击穿使 PEDOT 与 Al 箔直接接触形成金属化焊接，难以再恢复高阻态。这类失效通常伴随有烧焦痕迹，属于灾难性失效 [18]。</w:t>
      </w:r>
    </w:p>
    <w:p>
      <w:pPr>
        <w:spacing w:before="200" w:after="100"/>
        <w:outlineLvl w:val="2"/>
      </w:pPr>
      <w:r>
        <w:rPr>
          <w:rFonts w:ascii="Times New Roman" w:hAnsi="Times New Roman" w:eastAsia="黑体"/>
          <w:b/>
          <w:sz w:val="28"/>
        </w:rPr>
        <w:t>5.4 开路模式 (端电极与内部连接失效)</w:t>
      </w:r>
    </w:p>
    <w:p>
      <w:pPr>
        <w:spacing w:line="360" w:lineRule="auto" w:after="40"/>
        <w:ind w:firstLine="420"/>
        <w:jc w:val="both"/>
      </w:pPr>
      <w:r>
        <w:rPr>
          <w:rFonts w:ascii="Times New Roman" w:hAnsi="Times New Roman" w:eastAsia="宋体"/>
          <w:b w:val="0"/>
          <w:sz w:val="21"/>
        </w:rPr>
        <w:t>SAPC 的开路失效主要源于三类原因： (1) 端电极焊点老化：在温度循环或振动应力下，Sn 基焊点可能发生疲劳裂纹扩展。AEC-Q200 的 TC-1000 试验 (1000 次 -55°C ↔ +125°C 循环) 是标准评估手段 [44]； (2) 内部银浆层老化：Ag 迁移或银浆基质树脂热老化可能导致内部接触电阻大幅升高直至开路； (3) 引线框架断裂：在极端机械应力下 (如重力跌落、冲击) 引线框架可能出现局部断裂。</w:t>
      </w:r>
    </w:p>
    <w:p>
      <w:pPr>
        <w:spacing w:line="360" w:lineRule="auto" w:after="40"/>
        <w:ind w:firstLine="420"/>
        <w:jc w:val="both"/>
      </w:pPr>
      <w:r>
        <w:rPr>
          <w:rFonts w:ascii="Times New Roman" w:hAnsi="Times New Roman" w:eastAsia="宋体"/>
          <w:b w:val="0"/>
          <w:sz w:val="21"/>
        </w:rPr>
        <w:t>KEMET 的一项高振动环境测试 [53] 报告指出，在 20 g 随机振动下，SAPC 的失效率 (10,000 小时内) 较同参数液态铝电容低约 80%。这证实了 SAPC 优异的机械可靠性，使其成为车载、航空场景的合适选择。</w:t>
      </w:r>
    </w:p>
    <w:p>
      <w:pPr>
        <w:spacing w:line="360" w:lineRule="auto" w:after="40"/>
        <w:ind w:firstLine="420"/>
        <w:jc w:val="both"/>
      </w:pPr>
      <w:r>
        <w:rPr>
          <w:rFonts w:ascii="Times New Roman" w:hAnsi="Times New Roman" w:eastAsia="宋体"/>
          <w:b w:val="0"/>
          <w:sz w:val="21"/>
        </w:rPr>
        <w:t>开路失效的外观识别通常较为直接——X 射线透视可以清楚看到引线框架断裂或端电极处的气泡；SEM 可识别焊点裂纹。开路失效的一个重要特点是"缓变-突变"双阶段：早期 ESR 缓慢上升 (可能是几个月到几年)，突然增大至开路 (秒到小时级)。这与参数漂移模式的持续渐变有显著区别 [14][18]。</w:t>
      </w:r>
    </w:p>
    <w:p>
      <w:pPr>
        <w:spacing w:before="200" w:after="100"/>
        <w:outlineLvl w:val="2"/>
      </w:pPr>
      <w:r>
        <w:rPr>
          <w:rFonts w:ascii="Times New Roman" w:hAnsi="Times New Roman" w:eastAsia="黑体"/>
          <w:b/>
          <w:sz w:val="28"/>
        </w:rPr>
        <w:t>5.5 外观与密封失效</w:t>
      </w:r>
    </w:p>
    <w:p>
      <w:pPr>
        <w:spacing w:line="360" w:lineRule="auto" w:after="40"/>
        <w:ind w:firstLine="420"/>
        <w:jc w:val="both"/>
      </w:pPr>
      <w:r>
        <w:rPr>
          <w:rFonts w:ascii="Times New Roman" w:hAnsi="Times New Roman" w:eastAsia="宋体"/>
          <w:b w:val="0"/>
          <w:sz w:val="21"/>
        </w:rPr>
        <w:t>SAPC 的外观与密封失效主要表现为环氧封装的分层 (delamination)、裂纹 (crack)、表面变色和翘曲 (warpage)。与液态铝电容的鼓包/漏液相比，SAPC 的密封失效相对温和，但仍是可靠性评估的重要环节。</w:t>
      </w:r>
    </w:p>
    <w:p>
      <w:pPr>
        <w:spacing w:line="360" w:lineRule="auto" w:after="40"/>
        <w:ind w:firstLine="420"/>
        <w:jc w:val="both"/>
      </w:pPr>
      <w:r>
        <w:rPr>
          <w:rFonts w:ascii="Times New Roman" w:hAnsi="Times New Roman" w:eastAsia="宋体"/>
          <w:b w:val="0"/>
          <w:sz w:val="21"/>
        </w:rPr>
        <w:t>5.5.1 环氧分层 分层主要发生在环氧/引线框架界面与环氧/PEDOT 界面。常见诱因包括： (1) CTE 失配：环氧 ≈ 15 ppm/°C，Cu 引线框架 ≈ 17 ppm/°C，PEDOT ≈ 30-50 ppm/°C； (2) 回流焊温度冲击：260°C 瞬时冲击使各层之间出现剪切应力； (3) 水汽诱导的"pop-corn"效应：吸湿后的器件在高温焊接时内部水蒸气膨胀引起突发性分层。</w:t>
      </w:r>
    </w:p>
    <w:p>
      <w:pPr>
        <w:spacing w:line="360" w:lineRule="auto" w:after="40"/>
        <w:ind w:firstLine="420"/>
        <w:jc w:val="both"/>
      </w:pPr>
      <w:r>
        <w:rPr>
          <w:rFonts w:ascii="Times New Roman" w:hAnsi="Times New Roman" w:eastAsia="宋体"/>
          <w:b w:val="0"/>
          <w:sz w:val="21"/>
        </w:rPr>
        <w:t>为此，IPC/JEDEC J-STD-020 对 SMT 元件规定了"潮湿敏感度等级 (MSL)"，SAPC 大部分产品为 MSL 3-4，要求短暂潮湿暴露后必须进行烘烤再回流焊。</w:t>
      </w:r>
    </w:p>
    <w:p>
      <w:pPr>
        <w:spacing w:line="360" w:lineRule="auto" w:after="40"/>
        <w:ind w:firstLine="420"/>
        <w:jc w:val="both"/>
      </w:pPr>
      <w:r>
        <w:rPr>
          <w:rFonts w:ascii="Times New Roman" w:hAnsi="Times New Roman" w:eastAsia="宋体"/>
          <w:b w:val="0"/>
          <w:sz w:val="21"/>
        </w:rPr>
        <w:t>5.5.2 表面变色 SAPC 表面在高温老化后可能出现黄褐色的变色，这通常是环氧封装中溴化阻燃剂的氧化产物或银浆层银的轻微氧化所致。变色本身对功能无影响，但往往作为"提示即将失效"的警示信号 [6]。</w:t>
      </w:r>
    </w:p>
    <w:p>
      <w:pPr>
        <w:spacing w:line="360" w:lineRule="auto" w:after="40"/>
        <w:ind w:firstLine="420"/>
        <w:jc w:val="both"/>
      </w:pPr>
      <w:r>
        <w:rPr>
          <w:rFonts w:ascii="Times New Roman" w:hAnsi="Times New Roman" w:eastAsia="宋体"/>
          <w:b w:val="0"/>
          <w:sz w:val="21"/>
        </w:rPr>
        <w:t>5.5.3 翘曲 SAPC 整体尺寸较大 (7.3×4.3 mm 或 12.0×10.0 mm) 时，在 260°C 回流焊下可能出现数十微米的翘曲。严重翘曲会引起焊点应力集中，影响长期焊接可靠性。封装材料的 Tg 和橡胶相态调控是关键 [54]。</w:t>
      </w:r>
    </w:p>
    <w:p>
      <w:pPr>
        <w:spacing w:before="200" w:after="100"/>
        <w:outlineLvl w:val="2"/>
      </w:pPr>
      <w:r>
        <w:rPr>
          <w:rFonts w:ascii="Times New Roman" w:hAnsi="Times New Roman" w:eastAsia="黑体"/>
          <w:b/>
          <w:sz w:val="28"/>
        </w:rPr>
        <w:t>5.6 失效模式与应用工况的映射</w:t>
      </w:r>
    </w:p>
    <w:p>
      <w:pPr>
        <w:spacing w:line="360" w:lineRule="auto" w:after="40"/>
        <w:ind w:firstLine="420"/>
        <w:jc w:val="both"/>
      </w:pPr>
      <w:r>
        <w:rPr>
          <w:rFonts w:ascii="Times New Roman" w:hAnsi="Times New Roman" w:eastAsia="宋体"/>
          <w:b w:val="0"/>
          <w:sz w:val="21"/>
        </w:rPr>
        <w:t>表 5-1 给出了 SAPC 失效模式在不同应用工况下的主导性比较。可以看到： (1) 在 CPU/GPU VRM 这种高纹波低温工况下，ESR 漂移是主要失效； (2) 在 5G 基站高温工况下，LC 跑飞风险显著； (3) 在车载高湿高振动工况下，外观与密封失效权重增加； (4) 在航天真空环境下，由于无湿度应力，整体寿命显著延长，此时 PEDOT 的纯热氧化成为寿命限制因素。</w:t>
      </w:r>
    </w:p>
    <w:p>
      <w:pPr>
        <w:spacing w:line="360" w:lineRule="auto" w:after="40"/>
        <w:ind w:firstLine="420"/>
        <w:jc w:val="both"/>
      </w:pPr>
      <w:r>
        <w:rPr>
          <w:rFonts w:ascii="Times New Roman" w:hAnsi="Times New Roman" w:eastAsia="宋体"/>
          <w:b w:val="0"/>
          <w:sz w:val="21"/>
        </w:rPr>
        <w:t>这一映射对产品选型和应用设计具有重要指导意义：针对不同工况应有针对性地选择不同制造商的不同型号。</w:t>
      </w:r>
    </w:p>
    <w:p>
      <w:pPr>
        <w:jc w:val="center"/>
      </w:pPr>
      <w:r>
        <w:rPr>
          <w:rFonts w:ascii="Times New Roman" w:hAnsi="Times New Roman" w:eastAsia="黑体"/>
          <w:b/>
          <w:sz w:val="20"/>
        </w:rPr>
        <w:t>表 5-1  SAPC 失效模式在不同应用工况下的主导性比较</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jc w:val="center"/>
            </w:pPr>
            <w:r/>
            <w:r>
              <w:rPr>
                <w:rFonts w:ascii="Times New Roman" w:hAnsi="Times New Roman" w:eastAsia="黑体"/>
                <w:b/>
                <w:sz w:val="19"/>
              </w:rPr>
              <w:t>应用工况</w:t>
            </w:r>
          </w:p>
        </w:tc>
        <w:tc>
          <w:tcPr>
            <w:tcW w:type="dxa" w:w="2183"/>
          </w:tcPr>
          <w:p>
            <w:pPr>
              <w:jc w:val="center"/>
            </w:pPr>
            <w:r/>
            <w:r>
              <w:rPr>
                <w:rFonts w:ascii="Times New Roman" w:hAnsi="Times New Roman" w:eastAsia="黑体"/>
                <w:b/>
                <w:sz w:val="19"/>
              </w:rPr>
              <w:t>主导失效模式</w:t>
            </w:r>
          </w:p>
        </w:tc>
        <w:tc>
          <w:tcPr>
            <w:tcW w:type="dxa" w:w="2183"/>
          </w:tcPr>
          <w:p>
            <w:pPr>
              <w:jc w:val="center"/>
            </w:pPr>
            <w:r/>
            <w:r>
              <w:rPr>
                <w:rFonts w:ascii="Times New Roman" w:hAnsi="Times New Roman" w:eastAsia="黑体"/>
                <w:b/>
                <w:sz w:val="19"/>
              </w:rPr>
              <w:t>次要失效模式</w:t>
            </w:r>
          </w:p>
        </w:tc>
        <w:tc>
          <w:tcPr>
            <w:tcW w:type="dxa" w:w="2183"/>
          </w:tcPr>
          <w:p>
            <w:pPr>
              <w:jc w:val="center"/>
            </w:pPr>
            <w:r/>
            <w:r>
              <w:rPr>
                <w:rFonts w:ascii="Times New Roman" w:hAnsi="Times New Roman" w:eastAsia="黑体"/>
                <w:b/>
                <w:sz w:val="19"/>
              </w:rPr>
              <w:t>推荐 PEDOT 工艺</w:t>
            </w:r>
          </w:p>
        </w:tc>
      </w:tr>
      <w:tr>
        <w:tc>
          <w:tcPr>
            <w:tcW w:type="dxa" w:w="2183"/>
          </w:tcPr>
          <w:p>
            <w:pPr>
              <w:jc w:val="left"/>
            </w:pPr>
            <w:r/>
            <w:r>
              <w:rPr>
                <w:rFonts w:ascii="Times New Roman" w:hAnsi="Times New Roman" w:eastAsia="宋体"/>
                <w:b w:val="0"/>
                <w:sz w:val="19"/>
              </w:rPr>
              <w:t>CPU/GPU VRM (室温高纹波)</w:t>
            </w:r>
          </w:p>
        </w:tc>
        <w:tc>
          <w:tcPr>
            <w:tcW w:type="dxa" w:w="2183"/>
          </w:tcPr>
          <w:p>
            <w:pPr>
              <w:jc w:val="left"/>
            </w:pPr>
            <w:r/>
            <w:r>
              <w:rPr>
                <w:rFonts w:ascii="Times New Roman" w:hAnsi="Times New Roman" w:eastAsia="宋体"/>
                <w:b w:val="0"/>
                <w:sz w:val="19"/>
              </w:rPr>
              <w:t>ESR 漂移</w:t>
            </w:r>
          </w:p>
        </w:tc>
        <w:tc>
          <w:tcPr>
            <w:tcW w:type="dxa" w:w="2183"/>
          </w:tcPr>
          <w:p>
            <w:pPr>
              <w:jc w:val="left"/>
            </w:pPr>
            <w:r/>
            <w:r>
              <w:rPr>
                <w:rFonts w:ascii="Times New Roman" w:hAnsi="Times New Roman" w:eastAsia="宋体"/>
                <w:b w:val="0"/>
                <w:sz w:val="19"/>
              </w:rPr>
              <w:t>外观变色</w:t>
            </w:r>
          </w:p>
        </w:tc>
        <w:tc>
          <w:tcPr>
            <w:tcW w:type="dxa" w:w="2183"/>
          </w:tcPr>
          <w:p>
            <w:pPr>
              <w:jc w:val="left"/>
            </w:pPr>
            <w:r/>
            <w:r>
              <w:rPr>
                <w:rFonts w:ascii="Times New Roman" w:hAnsi="Times New Roman" w:eastAsia="宋体"/>
                <w:b w:val="0"/>
                <w:sz w:val="19"/>
              </w:rPr>
              <w:t>in-situ / VPP 混合</w:t>
            </w:r>
          </w:p>
        </w:tc>
      </w:tr>
      <w:tr>
        <w:tc>
          <w:tcPr>
            <w:tcW w:type="dxa" w:w="2183"/>
          </w:tcPr>
          <w:p>
            <w:pPr>
              <w:jc w:val="left"/>
            </w:pPr>
            <w:r/>
            <w:r>
              <w:rPr>
                <w:rFonts w:ascii="Times New Roman" w:hAnsi="Times New Roman" w:eastAsia="宋体"/>
                <w:b w:val="0"/>
                <w:sz w:val="19"/>
              </w:rPr>
              <w:t>5G 基站 (85-105°C 室外)</w:t>
            </w:r>
          </w:p>
        </w:tc>
        <w:tc>
          <w:tcPr>
            <w:tcW w:type="dxa" w:w="2183"/>
          </w:tcPr>
          <w:p>
            <w:pPr>
              <w:jc w:val="left"/>
            </w:pPr>
            <w:r/>
            <w:r>
              <w:rPr>
                <w:rFonts w:ascii="Times New Roman" w:hAnsi="Times New Roman" w:eastAsia="宋体"/>
                <w:b w:val="0"/>
                <w:sz w:val="19"/>
              </w:rPr>
              <w:t>LC 跑飞, ESR 漂移</w:t>
            </w:r>
          </w:p>
        </w:tc>
        <w:tc>
          <w:tcPr>
            <w:tcW w:type="dxa" w:w="2183"/>
          </w:tcPr>
          <w:p>
            <w:pPr>
              <w:jc w:val="left"/>
            </w:pPr>
            <w:r/>
            <w:r>
              <w:rPr>
                <w:rFonts w:ascii="Times New Roman" w:hAnsi="Times New Roman" w:eastAsia="宋体"/>
                <w:b w:val="0"/>
                <w:sz w:val="19"/>
              </w:rPr>
              <w:t>分层</w:t>
            </w:r>
          </w:p>
        </w:tc>
        <w:tc>
          <w:tcPr>
            <w:tcW w:type="dxa" w:w="2183"/>
          </w:tcPr>
          <w:p>
            <w:pPr>
              <w:jc w:val="left"/>
            </w:pPr>
            <w:r/>
            <w:r>
              <w:rPr>
                <w:rFonts w:ascii="Times New Roman" w:hAnsi="Times New Roman" w:eastAsia="宋体"/>
                <w:b w:val="0"/>
                <w:sz w:val="19"/>
              </w:rPr>
              <w:t>VPP + 低酸封装</w:t>
            </w:r>
          </w:p>
        </w:tc>
      </w:tr>
      <w:tr>
        <w:tc>
          <w:tcPr>
            <w:tcW w:type="dxa" w:w="2183"/>
          </w:tcPr>
          <w:p>
            <w:pPr>
              <w:jc w:val="left"/>
            </w:pPr>
            <w:r/>
            <w:r>
              <w:rPr>
                <w:rFonts w:ascii="Times New Roman" w:hAnsi="Times New Roman" w:eastAsia="宋体"/>
                <w:b w:val="0"/>
                <w:sz w:val="19"/>
              </w:rPr>
              <w:t>EV 低压域 (车载)</w:t>
            </w:r>
          </w:p>
        </w:tc>
        <w:tc>
          <w:tcPr>
            <w:tcW w:type="dxa" w:w="2183"/>
          </w:tcPr>
          <w:p>
            <w:pPr>
              <w:jc w:val="left"/>
            </w:pPr>
            <w:r/>
            <w:r>
              <w:rPr>
                <w:rFonts w:ascii="Times New Roman" w:hAnsi="Times New Roman" w:eastAsia="宋体"/>
                <w:b w:val="0"/>
                <w:sz w:val="19"/>
              </w:rPr>
              <w:t>端电极焊点</w:t>
            </w:r>
          </w:p>
        </w:tc>
        <w:tc>
          <w:tcPr>
            <w:tcW w:type="dxa" w:w="2183"/>
          </w:tcPr>
          <w:p>
            <w:pPr>
              <w:jc w:val="left"/>
            </w:pPr>
            <w:r/>
            <w:r>
              <w:rPr>
                <w:rFonts w:ascii="Times New Roman" w:hAnsi="Times New Roman" w:eastAsia="宋体"/>
                <w:b w:val="0"/>
                <w:sz w:val="19"/>
              </w:rPr>
              <w:t>分层</w:t>
            </w:r>
          </w:p>
        </w:tc>
        <w:tc>
          <w:tcPr>
            <w:tcW w:type="dxa" w:w="2183"/>
          </w:tcPr>
          <w:p>
            <w:pPr>
              <w:jc w:val="left"/>
            </w:pPr>
            <w:r/>
            <w:r>
              <w:rPr>
                <w:rFonts w:ascii="Times New Roman" w:hAnsi="Times New Roman" w:eastAsia="宋体"/>
                <w:b w:val="0"/>
                <w:sz w:val="19"/>
              </w:rPr>
              <w:t>VPP + AEC-Q200 工艺</w:t>
            </w:r>
          </w:p>
        </w:tc>
      </w:tr>
      <w:tr>
        <w:tc>
          <w:tcPr>
            <w:tcW w:type="dxa" w:w="2183"/>
          </w:tcPr>
          <w:p>
            <w:pPr>
              <w:jc w:val="left"/>
            </w:pPr>
            <w:r/>
            <w:r>
              <w:rPr>
                <w:rFonts w:ascii="Times New Roman" w:hAnsi="Times New Roman" w:eastAsia="宋体"/>
                <w:b w:val="0"/>
                <w:sz w:val="19"/>
              </w:rPr>
              <w:t>AI 服务器 (高温稳态)</w:t>
            </w:r>
          </w:p>
        </w:tc>
        <w:tc>
          <w:tcPr>
            <w:tcW w:type="dxa" w:w="2183"/>
          </w:tcPr>
          <w:p>
            <w:pPr>
              <w:jc w:val="left"/>
            </w:pPr>
            <w:r/>
            <w:r>
              <w:rPr>
                <w:rFonts w:ascii="Times New Roman" w:hAnsi="Times New Roman" w:eastAsia="宋体"/>
                <w:b w:val="0"/>
                <w:sz w:val="19"/>
              </w:rPr>
              <w:t>ESR 漂移</w:t>
            </w:r>
          </w:p>
        </w:tc>
        <w:tc>
          <w:tcPr>
            <w:tcW w:type="dxa" w:w="2183"/>
          </w:tcPr>
          <w:p>
            <w:pPr>
              <w:jc w:val="left"/>
            </w:pPr>
            <w:r/>
            <w:r>
              <w:rPr>
                <w:rFonts w:ascii="Times New Roman" w:hAnsi="Times New Roman" w:eastAsia="宋体"/>
                <w:b w:val="0"/>
                <w:sz w:val="19"/>
              </w:rPr>
              <w:t>PEDOT 热氧化</w:t>
            </w:r>
          </w:p>
        </w:tc>
        <w:tc>
          <w:tcPr>
            <w:tcW w:type="dxa" w:w="2183"/>
          </w:tcPr>
          <w:p>
            <w:pPr>
              <w:jc w:val="left"/>
            </w:pPr>
            <w:r/>
            <w:r>
              <w:rPr>
                <w:rFonts w:ascii="Times New Roman" w:hAnsi="Times New Roman" w:eastAsia="宋体"/>
                <w:b w:val="0"/>
                <w:sz w:val="19"/>
              </w:rPr>
              <w:t>VPP</w:t>
            </w:r>
          </w:p>
        </w:tc>
      </w:tr>
      <w:tr>
        <w:tc>
          <w:tcPr>
            <w:tcW w:type="dxa" w:w="2183"/>
          </w:tcPr>
          <w:p>
            <w:pPr>
              <w:jc w:val="left"/>
            </w:pPr>
            <w:r/>
            <w:r>
              <w:rPr>
                <w:rFonts w:ascii="Times New Roman" w:hAnsi="Times New Roman" w:eastAsia="宋体"/>
                <w:b w:val="0"/>
                <w:sz w:val="19"/>
              </w:rPr>
              <w:t>航天 (真空低温)</w:t>
            </w:r>
          </w:p>
        </w:tc>
        <w:tc>
          <w:tcPr>
            <w:tcW w:type="dxa" w:w="2183"/>
          </w:tcPr>
          <w:p>
            <w:pPr>
              <w:jc w:val="left"/>
            </w:pPr>
            <w:r/>
            <w:r>
              <w:rPr>
                <w:rFonts w:ascii="Times New Roman" w:hAnsi="Times New Roman" w:eastAsia="宋体"/>
                <w:b w:val="0"/>
                <w:sz w:val="19"/>
              </w:rPr>
              <w:t>PEDOT 热氧化</w:t>
            </w:r>
          </w:p>
        </w:tc>
        <w:tc>
          <w:tcPr>
            <w:tcW w:type="dxa" w:w="2183"/>
          </w:tcPr>
          <w:p>
            <w:pPr>
              <w:jc w:val="left"/>
            </w:pPr>
            <w:r/>
            <w:r>
              <w:rPr>
                <w:rFonts w:ascii="Times New Roman" w:hAnsi="Times New Roman" w:eastAsia="宋体"/>
                <w:b w:val="0"/>
                <w:sz w:val="19"/>
              </w:rPr>
              <w:t>端电极</w:t>
            </w:r>
          </w:p>
        </w:tc>
        <w:tc>
          <w:tcPr>
            <w:tcW w:type="dxa" w:w="2183"/>
          </w:tcPr>
          <w:p>
            <w:pPr>
              <w:jc w:val="left"/>
            </w:pPr>
            <w:r/>
            <w:r>
              <w:rPr>
                <w:rFonts w:ascii="Times New Roman" w:hAnsi="Times New Roman" w:eastAsia="宋体"/>
                <w:b w:val="0"/>
                <w:sz w:val="19"/>
              </w:rPr>
              <w:t>VPP + 真空封装</w:t>
            </w:r>
          </w:p>
        </w:tc>
      </w:tr>
      <w:tr>
        <w:tc>
          <w:tcPr>
            <w:tcW w:type="dxa" w:w="2183"/>
          </w:tcPr>
          <w:p>
            <w:pPr>
              <w:jc w:val="left"/>
            </w:pPr>
            <w:r/>
            <w:r>
              <w:rPr>
                <w:rFonts w:ascii="Times New Roman" w:hAnsi="Times New Roman" w:eastAsia="宋体"/>
                <w:b w:val="0"/>
                <w:sz w:val="19"/>
              </w:rPr>
              <w:t>医疗 (低 LC 稳态)</w:t>
            </w:r>
          </w:p>
        </w:tc>
        <w:tc>
          <w:tcPr>
            <w:tcW w:type="dxa" w:w="2183"/>
          </w:tcPr>
          <w:p>
            <w:pPr>
              <w:jc w:val="left"/>
            </w:pPr>
            <w:r/>
            <w:r>
              <w:rPr>
                <w:rFonts w:ascii="Times New Roman" w:hAnsi="Times New Roman" w:eastAsia="宋体"/>
                <w:b w:val="0"/>
                <w:sz w:val="19"/>
              </w:rPr>
              <w:t>LC 漂移</w:t>
            </w:r>
          </w:p>
        </w:tc>
        <w:tc>
          <w:tcPr>
            <w:tcW w:type="dxa" w:w="2183"/>
          </w:tcPr>
          <w:p>
            <w:pPr>
              <w:jc w:val="left"/>
            </w:pPr>
            <w:r/>
            <w:r>
              <w:rPr>
                <w:rFonts w:ascii="Times New Roman" w:hAnsi="Times New Roman" w:eastAsia="宋体"/>
                <w:b w:val="0"/>
                <w:sz w:val="19"/>
              </w:rPr>
              <w:t>外观</w:t>
            </w:r>
          </w:p>
        </w:tc>
        <w:tc>
          <w:tcPr>
            <w:tcW w:type="dxa" w:w="2183"/>
          </w:tcPr>
          <w:p>
            <w:pPr>
              <w:jc w:val="left"/>
            </w:pPr>
            <w:r/>
            <w:r>
              <w:rPr>
                <w:rFonts w:ascii="Times New Roman" w:hAnsi="Times New Roman" w:eastAsia="宋体"/>
                <w:b w:val="0"/>
                <w:sz w:val="19"/>
              </w:rPr>
              <w:t>pre-polymerized</w:t>
            </w:r>
          </w:p>
        </w:tc>
      </w:tr>
    </w:tbl>
    <w:p>
      <w:r>
        <w:br w:type="page"/>
      </w:r>
    </w:p>
    <w:p>
      <w:pPr>
        <w:spacing w:before="200" w:after="100"/>
        <w:outlineLvl w:val="1"/>
      </w:pPr>
      <w:r>
        <w:rPr>
          <w:rFonts w:ascii="Times New Roman" w:hAnsi="Times New Roman" w:eastAsia="黑体"/>
          <w:b/>
          <w:sz w:val="36"/>
        </w:rPr>
        <w:t>第六章 SAPC 失效机理</w:t>
      </w:r>
    </w:p>
    <w:p>
      <w:pPr>
        <w:spacing w:line="360" w:lineRule="auto" w:after="40"/>
        <w:ind w:firstLine="420"/>
        <w:jc w:val="both"/>
      </w:pPr>
      <w:r>
        <w:rPr>
          <w:rFonts w:ascii="Times New Roman" w:hAnsi="Times New Roman" w:eastAsia="宋体"/>
          <w:b w:val="0"/>
          <w:sz w:val="21"/>
        </w:rPr>
        <w:t>理解 SAPC 的失效机理需要从 PEDOT 阴极、Al₂O₃ 介质、封装界面三大系统出发，并结合温度、电压、湿度、机械应力等外部应力的作用机制。图 6-1 给出了 SAPC 失效机理的整体映射：以四大应力源 (温度/湿度/电场/机械) 为起点，经由四条主要机理通路 (PEDOT 热氧化、PSS 水解、介质击穿、界面分层) 最终汇聚于可观测的失效表现 (ESR↑/LC↑/C↓)。</w:t>
      </w:r>
    </w:p>
    <w:p>
      <w:pPr>
        <w:spacing w:before="120"/>
        <w:jc w:val="center"/>
      </w:pPr>
      <w:r>
        <w:drawing>
          <wp:inline xmlns:a="http://schemas.openxmlformats.org/drawingml/2006/main" xmlns:pic="http://schemas.openxmlformats.org/drawingml/2006/picture">
            <wp:extent cx="5220000" cy="3112844"/>
            <wp:docPr id="9" name="Picture 9"/>
            <wp:cNvGraphicFramePr>
              <a:graphicFrameLocks noChangeAspect="1"/>
            </wp:cNvGraphicFramePr>
            <a:graphic>
              <a:graphicData uri="http://schemas.openxmlformats.org/drawingml/2006/picture">
                <pic:pic>
                  <pic:nvPicPr>
                    <pic:cNvPr id="0" name="fig11_mechanism_map.png"/>
                    <pic:cNvPicPr/>
                  </pic:nvPicPr>
                  <pic:blipFill>
                    <a:blip r:embed="rId17"/>
                    <a:stretch>
                      <a:fillRect/>
                    </a:stretch>
                  </pic:blipFill>
                  <pic:spPr>
                    <a:xfrm>
                      <a:off x="0" y="0"/>
                      <a:ext cx="5220000" cy="3112844"/>
                    </a:xfrm>
                    <a:prstGeom prst="rect"/>
                  </pic:spPr>
                </pic:pic>
              </a:graphicData>
            </a:graphic>
          </wp:inline>
        </w:drawing>
      </w:r>
    </w:p>
    <w:p>
      <w:pPr>
        <w:spacing w:after="120"/>
        <w:jc w:val="center"/>
      </w:pPr>
      <w:r>
        <w:rPr>
          <w:rFonts w:ascii="Times New Roman" w:hAnsi="Times New Roman" w:eastAsia="黑体"/>
          <w:b/>
          <w:sz w:val="20"/>
        </w:rPr>
        <w:t>图 6-1  SAPC 应力-机理-失效综合映射图</w:t>
      </w:r>
    </w:p>
    <w:p>
      <w:pPr>
        <w:spacing w:before="200" w:after="100"/>
        <w:outlineLvl w:val="2"/>
      </w:pPr>
      <w:r>
        <w:rPr>
          <w:rFonts w:ascii="Times New Roman" w:hAnsi="Times New Roman" w:eastAsia="黑体"/>
          <w:b/>
          <w:sz w:val="28"/>
        </w:rPr>
        <w:t>6.1 PEDOT 阴极的热氧化降解</w:t>
      </w:r>
    </w:p>
    <w:p>
      <w:pPr>
        <w:spacing w:line="360" w:lineRule="auto" w:after="40"/>
        <w:ind w:firstLine="420"/>
        <w:jc w:val="both"/>
      </w:pPr>
      <w:r>
        <w:rPr>
          <w:rFonts w:ascii="Times New Roman" w:hAnsi="Times New Roman" w:eastAsia="宋体"/>
          <w:b w:val="0"/>
          <w:sz w:val="21"/>
        </w:rPr>
        <w:t>PEDOT 的热氧化降解是 SAPC 高温老化过程中最主要的机理之一。Marciniak 等 (2004) 发表于 Synthetic Metals 的工作 [23] 通过 TGA/FT-IR/XPS 联合表征，首次系统阐明了 PEDOT:PSS 热氧化的分子机理。其核心反应路径如下：</w:t>
      </w:r>
    </w:p>
    <w:p>
      <w:pPr>
        <w:spacing w:line="360" w:lineRule="auto" w:after="40"/>
        <w:ind w:firstLine="420"/>
        <w:jc w:val="both"/>
      </w:pPr>
      <w:r>
        <w:rPr>
          <w:rFonts w:ascii="Times New Roman" w:hAnsi="Times New Roman" w:eastAsia="宋体"/>
          <w:b w:val="0"/>
          <w:sz w:val="21"/>
        </w:rPr>
        <w:t>(1) PEDOT 的侧链 C-O-C 键在氧气存在下首先被氧化断裂：</w:t>
      </w:r>
    </w:p>
    <w:p>
      <w:pPr>
        <w:spacing w:before="100" w:after="100"/>
        <w:jc w:val="center"/>
      </w:pPr>
      <w:r>
        <w:rPr>
          <w:rFonts w:ascii="Times New Roman" w:hAnsi="Times New Roman" w:eastAsia="Times New Roman"/>
          <w:b w:val="0"/>
          <w:sz w:val="22"/>
        </w:rPr>
        <w:t>-CH₂-O-CH₂- + O₂ → 2-CHO + H₂O</w:t>
      </w:r>
    </w:p>
    <w:p>
      <w:pPr>
        <w:spacing w:line="360" w:lineRule="auto" w:after="40"/>
        <w:ind w:firstLine="420"/>
        <w:jc w:val="both"/>
      </w:pPr>
      <w:r>
        <w:rPr>
          <w:rFonts w:ascii="Times New Roman" w:hAnsi="Times New Roman" w:eastAsia="宋体"/>
          <w:b w:val="0"/>
          <w:sz w:val="21"/>
        </w:rPr>
        <w:t>(2) 生成的醛基 (-CHO) 进一步被氧化为羧基 (-COOH)； (3) 羧基的积累破坏了 PEDOT 主链上的 π 共轭，导致电导率显著下降； (4) 极端情况下 PEDOT 主链完全断裂，转变为无定形碳。</w:t>
      </w:r>
    </w:p>
    <w:p>
      <w:pPr>
        <w:spacing w:line="360" w:lineRule="auto" w:after="40"/>
        <w:ind w:firstLine="420"/>
        <w:jc w:val="both"/>
      </w:pPr>
      <w:r>
        <w:rPr>
          <w:rFonts w:ascii="Times New Roman" w:hAnsi="Times New Roman" w:eastAsia="宋体"/>
          <w:b w:val="0"/>
          <w:sz w:val="21"/>
        </w:rPr>
        <w:t>这一降解过程遵循 Arrhenius 温度依赖，激活能 E_a 约为 0.75-0.95 eV [23][50][55]。这意味着温度从 85°C 升至 125°C，降解速率提升约 7-10 倍。</w:t>
      </w:r>
    </w:p>
    <w:p>
      <w:pPr>
        <w:spacing w:line="312" w:lineRule="auto" w:after="60"/>
        <w:ind w:left="454" w:right="227"/>
        <w:jc w:val="both"/>
      </w:pPr>
      <w:r>
        <w:rPr>
          <w:rFonts w:ascii="Times New Roman" w:hAnsi="Times New Roman" w:eastAsia="楷体"/>
          <w:b w:val="0"/>
          <w:sz w:val="20"/>
        </w:rPr>
        <w:t>"The conductivity decrease as a function of time is consistent with a granular metal type structure, in which aging is due to the shrinking of PEDOT conductive grains." —— Marciniak 等，Synthetic Metals (2004), [23]</w:t>
      </w:r>
    </w:p>
    <w:p>
      <w:pPr>
        <w:spacing w:line="360" w:lineRule="auto" w:after="40"/>
        <w:ind w:firstLine="420"/>
        <w:jc w:val="both"/>
      </w:pPr>
      <w:r>
        <w:rPr>
          <w:rFonts w:ascii="Times New Roman" w:hAnsi="Times New Roman" w:eastAsia="宋体"/>
          <w:b w:val="0"/>
          <w:sz w:val="21"/>
        </w:rPr>
        <w:t>Scirp (2012) 的一项独立研究 [50] 在氦气与空气环境下对比热处理 PEDOT:PSS 薄膜，发现：氦气中 400°C 处理后电导率可保持 50% 以上，而空气中 200°C 处理后电导率即下降 &gt;80%——证明氧气是主要的降解驱动因素。这一结论对 SAPC 的工艺改进具有直接指导意义：加强封装的氧气屏蔽能显著延长 SAPC 寿命。</w:t>
      </w:r>
    </w:p>
    <w:p>
      <w:pPr>
        <w:spacing w:line="360" w:lineRule="auto" w:after="40"/>
        <w:ind w:firstLine="420"/>
        <w:jc w:val="both"/>
      </w:pPr>
      <w:r>
        <w:rPr>
          <w:rFonts w:ascii="Times New Roman" w:hAnsi="Times New Roman" w:eastAsia="宋体"/>
          <w:b w:val="0"/>
          <w:sz w:val="21"/>
        </w:rPr>
        <w:t>此外 PEDOT 的热氧化有两个重要的非线性特征： (i) 自催化性——反应生成的酸性副产物会进一步加速降解； (ii) 位置选择性——PEDOT 薄膜的表面和边缘降解速率远高于内部。</w:t>
      </w:r>
    </w:p>
    <w:p>
      <w:pPr>
        <w:spacing w:line="360" w:lineRule="auto" w:after="40"/>
        <w:ind w:firstLine="420"/>
        <w:jc w:val="both"/>
      </w:pPr>
      <w:r>
        <w:rPr>
          <w:rFonts w:ascii="Times New Roman" w:hAnsi="Times New Roman" w:eastAsia="宋体"/>
          <w:b w:val="0"/>
          <w:sz w:val="21"/>
        </w:rPr>
        <w:t>后者解释了为什么 SAPC 的 ESR 上升常在器件边缘处最为显著——这也是 X 射线 CT 和 EDS 线扫描常用的"边缘优先老化"诊断线索 [16][19]。</w:t>
      </w:r>
    </w:p>
    <w:p>
      <w:pPr>
        <w:spacing w:before="200" w:after="100"/>
        <w:outlineLvl w:val="2"/>
      </w:pPr>
      <w:r>
        <w:rPr>
          <w:rFonts w:ascii="Times New Roman" w:hAnsi="Times New Roman" w:eastAsia="黑体"/>
          <w:b/>
          <w:sz w:val="28"/>
        </w:rPr>
        <w:t>6.2 PSS 水解与酸性腐蚀</w:t>
      </w:r>
    </w:p>
    <w:p>
      <w:pPr>
        <w:spacing w:line="360" w:lineRule="auto" w:after="40"/>
        <w:ind w:firstLine="420"/>
        <w:jc w:val="both"/>
      </w:pPr>
      <w:r>
        <w:rPr>
          <w:rFonts w:ascii="Times New Roman" w:hAnsi="Times New Roman" w:eastAsia="宋体"/>
          <w:b w:val="0"/>
          <w:sz w:val="21"/>
        </w:rPr>
        <w:t>对采用 PEDOT:PSS 的 SAPC (如部分 KEMET 产品)，PSS 的水解是另一条重要失效通路。PSS (polystyrene sulfonate) 中的磺酸基 (-SO₃H) 具有较强的酸性 (pH ≈ 1-2)，在潮气存在下会释放出磺酸根离子并引发如下连锁反应：</w:t>
      </w:r>
    </w:p>
    <w:p>
      <w:pPr>
        <w:spacing w:line="360" w:lineRule="auto" w:after="40"/>
        <w:ind w:firstLine="420"/>
        <w:jc w:val="both"/>
      </w:pPr>
      <w:r>
        <w:rPr>
          <w:rFonts w:ascii="Times New Roman" w:hAnsi="Times New Roman" w:eastAsia="宋体"/>
          <w:b w:val="0"/>
          <w:sz w:val="21"/>
        </w:rPr>
        <w:t>(1) PSS 水解：</w:t>
      </w:r>
    </w:p>
    <w:p>
      <w:pPr>
        <w:spacing w:before="100" w:after="100"/>
        <w:jc w:val="center"/>
      </w:pPr>
      <w:r>
        <w:rPr>
          <w:rFonts w:ascii="Times New Roman" w:hAnsi="Times New Roman" w:eastAsia="Times New Roman"/>
          <w:b w:val="0"/>
          <w:sz w:val="22"/>
        </w:rPr>
        <w:t>-C₆H₄-SO₃H + H₂O ⇌ -C₆H₄-SO₃⁻ + H₃O⁺</w:t>
      </w:r>
    </w:p>
    <w:p>
      <w:pPr>
        <w:spacing w:line="360" w:lineRule="auto" w:after="40"/>
        <w:ind w:firstLine="420"/>
        <w:jc w:val="both"/>
      </w:pPr>
      <w:r>
        <w:rPr>
          <w:rFonts w:ascii="Times New Roman" w:hAnsi="Times New Roman" w:eastAsia="宋体"/>
          <w:b w:val="0"/>
          <w:sz w:val="21"/>
        </w:rPr>
        <w:t>(2) H₃O⁺ 攻击 Al₂O₃ 介质层：</w:t>
      </w:r>
    </w:p>
    <w:p>
      <w:pPr>
        <w:spacing w:before="100" w:after="100"/>
        <w:jc w:val="center"/>
      </w:pPr>
      <w:r>
        <w:rPr>
          <w:rFonts w:ascii="Times New Roman" w:hAnsi="Times New Roman" w:eastAsia="Times New Roman"/>
          <w:b w:val="0"/>
          <w:sz w:val="22"/>
        </w:rPr>
        <w:t>Al₂O₃ + 6H⁺ → 2Al³⁺ + 3H₂O</w:t>
      </w:r>
    </w:p>
    <w:p>
      <w:pPr>
        <w:spacing w:line="360" w:lineRule="auto" w:after="40"/>
        <w:ind w:firstLine="420"/>
        <w:jc w:val="both"/>
      </w:pPr>
      <w:r>
        <w:rPr>
          <w:rFonts w:ascii="Times New Roman" w:hAnsi="Times New Roman" w:eastAsia="宋体"/>
          <w:b w:val="0"/>
          <w:sz w:val="21"/>
        </w:rPr>
        <w:t>(3) Al₂O₃ 的局部溶解形成新的漏电通道，导致 LC 快速上升。</w:t>
      </w:r>
    </w:p>
    <w:p>
      <w:pPr>
        <w:spacing w:line="360" w:lineRule="auto" w:after="40"/>
        <w:ind w:firstLine="420"/>
        <w:jc w:val="both"/>
      </w:pPr>
      <w:r>
        <w:rPr>
          <w:rFonts w:ascii="Times New Roman" w:hAnsi="Times New Roman" w:eastAsia="宋体"/>
          <w:b w:val="0"/>
          <w:sz w:val="21"/>
        </w:rPr>
        <w:t>Dupuis 等 (2020) 在 Nature Communications 发表的研究 [43] 通过原位 XPS 观察了掺杂导电聚合物 (包括 PEDOT:PSS) 在不同盐溶液中的水解行为，证实 PEDOT:PSS 在中性水溶液中就可发生缓慢水解，而在酸性环境中水解速率显著加速。这一机理解释了为何 SAPC 在高湿下 LC 跑飞比 ESR 漂移更为剧烈。</w:t>
      </w:r>
    </w:p>
    <w:p>
      <w:pPr>
        <w:spacing w:line="360" w:lineRule="auto" w:after="40"/>
        <w:ind w:firstLine="420"/>
        <w:jc w:val="both"/>
      </w:pPr>
      <w:r>
        <w:rPr>
          <w:rFonts w:ascii="Times New Roman" w:hAnsi="Times New Roman" w:eastAsia="宋体"/>
          <w:b w:val="0"/>
          <w:sz w:val="21"/>
        </w:rPr>
        <w:t>进一步的实验证据来自 Mai 等 (2019) 发表在 RSC Materials Horizons 上的文章 [24]，他们发现 PEDOT:PSS 中的 PSS 酸性是导致邻近 Al、Mg、Cu 等金属在高湿条件下腐蚀的主要原因。为此作者提出用低酸的 PSS 替代品 (如 TCNQ⁻ 或 DBSA⁻) 作为掺杂剂，以提升器件稳定性。</w:t>
      </w:r>
    </w:p>
    <w:p>
      <w:pPr>
        <w:spacing w:line="360" w:lineRule="auto" w:after="40"/>
        <w:ind w:firstLine="420"/>
        <w:jc w:val="both"/>
      </w:pPr>
      <w:r>
        <w:rPr>
          <w:rFonts w:ascii="Times New Roman" w:hAnsi="Times New Roman" w:eastAsia="宋体"/>
          <w:b w:val="0"/>
          <w:sz w:val="21"/>
        </w:rPr>
        <w:t>相应的工艺解决方案包括：(1) Heraeus 开发的 CLEVIOS PH 中性化产品；(2) 在 PEDOT:PSS 中添加 Zn²⁺ 或 Ca²⁺ 作为酸中和剂；(3) 减小 PEDOT:PSS 厚度、增大 in-situ 沉积比例 [9][16]。</w:t>
      </w:r>
    </w:p>
    <w:p>
      <w:pPr>
        <w:spacing w:before="200" w:after="100"/>
        <w:outlineLvl w:val="2"/>
      </w:pPr>
      <w:r>
        <w:rPr>
          <w:rFonts w:ascii="Times New Roman" w:hAnsi="Times New Roman" w:eastAsia="黑体"/>
          <w:b/>
          <w:sz w:val="28"/>
        </w:rPr>
        <w:t>6.3 界面分层与热机械失效</w:t>
      </w:r>
    </w:p>
    <w:p>
      <w:pPr>
        <w:spacing w:line="360" w:lineRule="auto" w:after="40"/>
        <w:ind w:firstLine="420"/>
        <w:jc w:val="both"/>
      </w:pPr>
      <w:r>
        <w:rPr>
          <w:rFonts w:ascii="Times New Roman" w:hAnsi="Times New Roman" w:eastAsia="宋体"/>
          <w:b w:val="0"/>
          <w:sz w:val="21"/>
        </w:rPr>
        <w:t>SAPC 的界面分层是引起 ESR 上升的另一核心机理。KEMET 的 Freeman 与 Lessner 在其白皮书 [16] 中明确指出：</w:t>
      </w:r>
    </w:p>
    <w:p>
      <w:pPr>
        <w:spacing w:line="360" w:lineRule="auto" w:after="40"/>
        <w:ind w:firstLine="420"/>
        <w:jc w:val="both"/>
      </w:pPr>
      <w:r>
        <w:rPr>
          <w:rFonts w:ascii="Times New Roman" w:hAnsi="Times New Roman" w:eastAsia="宋体"/>
          <w:b w:val="0"/>
          <w:sz w:val="21"/>
        </w:rPr>
        <w:t>"Our studies suggest that delamination caused by the thermomechanical and voltage induced stress generated in these capacitors is primarily responsible for conductivity degradation in polymer capacitors."</w:t>
      </w:r>
    </w:p>
    <w:p>
      <w:pPr>
        <w:spacing w:line="360" w:lineRule="auto" w:after="40"/>
        <w:ind w:firstLine="420"/>
        <w:jc w:val="both"/>
      </w:pPr>
      <w:r>
        <w:rPr>
          <w:rFonts w:ascii="Times New Roman" w:hAnsi="Times New Roman" w:eastAsia="宋体"/>
          <w:b w:val="0"/>
          <w:sz w:val="21"/>
        </w:rPr>
        <w:t>也就是说，界面分层——特别是 PEDOT/Al₂O₃ 界面与 PEDOT/Ag 界面——才是 PEDOT 电导率退化的首要原因，而不是 PEDOT 本身的化学降解。分层一旦形成，原本的欧姆接触点显著减少，电流被迫通过剩余的少量接触点，导致 ESR 迅速上升。</w:t>
      </w:r>
    </w:p>
    <w:p>
      <w:pPr>
        <w:spacing w:line="360" w:lineRule="auto" w:after="40"/>
        <w:ind w:firstLine="420"/>
        <w:jc w:val="both"/>
      </w:pPr>
      <w:r>
        <w:rPr>
          <w:rFonts w:ascii="Times New Roman" w:hAnsi="Times New Roman" w:eastAsia="宋体"/>
          <w:b w:val="0"/>
          <w:sz w:val="21"/>
        </w:rPr>
        <w:t>分层的驱动力主要来自两方面： (1) 热机械应力：不同材料的 CTE 失配 (Al: 23 ppm/°C, Al₂O₃: 8 ppm/°C, PEDOT: ~50 ppm/°C, 环氧: ~15 ppm/°C)； (2) 电化学应力：在电压偏置下，界面处的电荷累积引发的局部力。</w:t>
      </w:r>
    </w:p>
    <w:p>
      <w:pPr>
        <w:spacing w:line="360" w:lineRule="auto" w:after="40"/>
        <w:ind w:firstLine="420"/>
        <w:jc w:val="both"/>
      </w:pPr>
      <w:r>
        <w:rPr>
          <w:rFonts w:ascii="Times New Roman" w:hAnsi="Times New Roman" w:eastAsia="宋体"/>
          <w:b w:val="0"/>
          <w:sz w:val="21"/>
        </w:rPr>
        <w:t>CALCE 的 Liu 等 (2016) [19] 通过封装几何比较实验发现，将引线框架的宽高比从 1:1 调整到 1:3 后，分层起始时间可延长 30-50%。这说明通过封装几何优化，可以显著延长 SAPC 的寿命而无需改变材料体系。</w:t>
      </w:r>
    </w:p>
    <w:p>
      <w:pPr>
        <w:spacing w:line="360" w:lineRule="auto" w:after="40"/>
        <w:ind w:firstLine="420"/>
        <w:jc w:val="both"/>
      </w:pPr>
      <w:r>
        <w:rPr>
          <w:rFonts w:ascii="Times New Roman" w:hAnsi="Times New Roman" w:eastAsia="宋体"/>
          <w:b w:val="0"/>
          <w:sz w:val="21"/>
        </w:rPr>
        <w:t>自 2020 年以来，KEMET、Panasonic 等厂商已在工艺中引入"热机械应力缓冲层" (stress buffer layer)——在 PEDOT 与环氧之间沉积一层低 CTE 的柔性材料 (如硅树脂) 以缓解界面应力集中。Panasonic KX 系列的 125°C/5500h 长寿命指标就与此类工艺改进直接相关 [17]。</w:t>
      </w:r>
    </w:p>
    <w:p>
      <w:pPr>
        <w:spacing w:before="200" w:after="100"/>
        <w:outlineLvl w:val="2"/>
      </w:pPr>
      <w:r>
        <w:rPr>
          <w:rFonts w:ascii="Times New Roman" w:hAnsi="Times New Roman" w:eastAsia="黑体"/>
          <w:b/>
          <w:sz w:val="28"/>
        </w:rPr>
        <w:t>6.4 Al₂O₃ 介质场致击穿与老化</w:t>
      </w:r>
    </w:p>
    <w:p>
      <w:pPr>
        <w:spacing w:line="360" w:lineRule="auto" w:after="40"/>
        <w:ind w:firstLine="420"/>
        <w:jc w:val="both"/>
      </w:pPr>
      <w:r>
        <w:rPr>
          <w:rFonts w:ascii="Times New Roman" w:hAnsi="Times New Roman" w:eastAsia="宋体"/>
          <w:b w:val="0"/>
          <w:sz w:val="21"/>
        </w:rPr>
        <w:t>Al₂O₃ 阳极氧化膜是 SAPC 的电气绝缘核心。其在电场作用下的老化遵循 Schottky-Poole-Frenkel 发射机制，即载流子通过陷阱能级跳跃实现传导，漏电流满足：</w:t>
      </w:r>
    </w:p>
    <w:p>
      <w:pPr>
        <w:spacing w:before="100" w:after="100"/>
        <w:jc w:val="center"/>
      </w:pPr>
      <w:r>
        <w:rPr>
          <w:rFonts w:ascii="Times New Roman" w:hAnsi="Times New Roman" w:eastAsia="Times New Roman"/>
          <w:b w:val="0"/>
          <w:sz w:val="22"/>
        </w:rPr>
        <w:t>J_PF = C·E·exp(-q(φ - √(qE/πε))/kT)</w:t>
      </w:r>
    </w:p>
    <w:p>
      <w:pPr>
        <w:spacing w:line="360" w:lineRule="auto" w:after="40"/>
        <w:ind w:firstLine="420"/>
        <w:jc w:val="both"/>
      </w:pPr>
      <w:r>
        <w:rPr>
          <w:rFonts w:ascii="Times New Roman" w:hAnsi="Times New Roman" w:eastAsia="宋体"/>
          <w:b w:val="0"/>
          <w:sz w:val="21"/>
        </w:rPr>
        <w:t>其中 φ 为陷阱深度，ε 为介电常数，E 为电场强度。Al₂O₃ 介质在 125°C 工作电场下的典型漏电流密度为 10⁻⁹ A/cm²；在 150°C 下可上升到 10⁻⁷ A/cm²。</w:t>
      </w:r>
    </w:p>
    <w:p>
      <w:pPr>
        <w:spacing w:line="360" w:lineRule="auto" w:after="40"/>
        <w:ind w:firstLine="420"/>
        <w:jc w:val="both"/>
      </w:pPr>
      <w:r>
        <w:rPr>
          <w:rFonts w:ascii="Times New Roman" w:hAnsi="Times New Roman" w:eastAsia="宋体"/>
          <w:b w:val="0"/>
          <w:sz w:val="21"/>
        </w:rPr>
        <w:t>在长期运行中 Al₂O₃ 的老化还受水汽驱动。Rivera-Torres 等 (2013) 在 AIP APL [36] 发表的工作发现，Al/Al₂O₃/polymer/metal 结构在低功率恒流应力下会发生"可逆击穿"——即击穿后在无电应力下静置一段时间可自愈恢复绝缘性。这一现象提示 SAPC 的 Al₂O₃ 层存在某种"自愈裕度"，但这种自愈在持续偏压下并不有效。</w:t>
      </w:r>
    </w:p>
    <w:p>
      <w:pPr>
        <w:spacing w:line="360" w:lineRule="auto" w:after="40"/>
        <w:ind w:firstLine="420"/>
        <w:jc w:val="both"/>
      </w:pPr>
      <w:r>
        <w:rPr>
          <w:rFonts w:ascii="Times New Roman" w:hAnsi="Times New Roman" w:eastAsia="宋体"/>
          <w:b w:val="0"/>
          <w:sz w:val="21"/>
        </w:rPr>
        <w:t>此外，当电场强度接近 Al₂O₃ 击穿场强 (7-10 MV/cm) 时，会触发 Frenkel-Poole 到 Fowler-Nordheim 隧穿机制的转变，漏电流对电压的敏感度急剧升高 (幂指数 n 从 2-3 跃变为 10 以上)。这也是为何 SAPC 在接近额定电压 (特别是 Vr &gt; 16V 的高压型号) 工作时，寿命对电压非常敏感的物理原因 [18][36]。</w:t>
      </w:r>
    </w:p>
    <w:p>
      <w:pPr>
        <w:spacing w:before="120"/>
        <w:jc w:val="center"/>
      </w:pPr>
      <w:r>
        <w:drawing>
          <wp:inline xmlns:a="http://schemas.openxmlformats.org/drawingml/2006/main" xmlns:pic="http://schemas.openxmlformats.org/drawingml/2006/picture">
            <wp:extent cx="5220000" cy="3661368"/>
            <wp:docPr id="10" name="Picture 10"/>
            <wp:cNvGraphicFramePr>
              <a:graphicFrameLocks noChangeAspect="1"/>
            </wp:cNvGraphicFramePr>
            <a:graphic>
              <a:graphicData uri="http://schemas.openxmlformats.org/drawingml/2006/picture">
                <pic:pic>
                  <pic:nvPicPr>
                    <pic:cNvPr id="0" name="fig10_bdv.png"/>
                    <pic:cNvPicPr/>
                  </pic:nvPicPr>
                  <pic:blipFill>
                    <a:blip r:embed="rId18"/>
                    <a:stretch>
                      <a:fillRect/>
                    </a:stretch>
                  </pic:blipFill>
                  <pic:spPr>
                    <a:xfrm>
                      <a:off x="0" y="0"/>
                      <a:ext cx="5220000" cy="3661368"/>
                    </a:xfrm>
                    <a:prstGeom prst="rect"/>
                  </pic:spPr>
                </pic:pic>
              </a:graphicData>
            </a:graphic>
          </wp:inline>
        </w:drawing>
      </w:r>
    </w:p>
    <w:p>
      <w:pPr>
        <w:spacing w:after="120"/>
        <w:jc w:val="center"/>
      </w:pPr>
      <w:r>
        <w:rPr>
          <w:rFonts w:ascii="Times New Roman" w:hAnsi="Times New Roman" w:eastAsia="黑体"/>
          <w:b/>
          <w:sz w:val="20"/>
        </w:rPr>
        <w:t>图 6-2  SAPC 击穿电压的双峰分布（缺陷峰在 1.4 V_R 处，主体峰在 2.5 V_R 处）</w:t>
      </w:r>
    </w:p>
    <w:p>
      <w:pPr>
        <w:spacing w:before="200" w:after="100"/>
        <w:outlineLvl w:val="2"/>
      </w:pPr>
      <w:r>
        <w:rPr>
          <w:rFonts w:ascii="Times New Roman" w:hAnsi="Times New Roman" w:eastAsia="黑体"/>
          <w:b/>
          <w:sz w:val="28"/>
        </w:rPr>
        <w:t>6.5 自愈机理与其有限性</w:t>
      </w:r>
    </w:p>
    <w:p>
      <w:pPr>
        <w:spacing w:line="360" w:lineRule="auto" w:after="40"/>
        <w:ind w:firstLine="420"/>
        <w:jc w:val="both"/>
      </w:pPr>
      <w:r>
        <w:rPr>
          <w:rFonts w:ascii="Times New Roman" w:hAnsi="Times New Roman" w:eastAsia="宋体"/>
          <w:b w:val="0"/>
          <w:sz w:val="21"/>
        </w:rPr>
        <w:t>SAPC 的 PEDOT 阴极具有一定的"自愈"能力，但其机理与液态铝电容和金属化薄膜电容的自愈都有本质不同。</w:t>
      </w:r>
    </w:p>
    <w:p>
      <w:pPr>
        <w:spacing w:line="360" w:lineRule="auto" w:after="40"/>
        <w:ind w:firstLine="420"/>
        <w:jc w:val="both"/>
      </w:pPr>
      <w:r>
        <w:rPr>
          <w:rFonts w:ascii="Times New Roman" w:hAnsi="Times New Roman" w:eastAsia="宋体"/>
          <w:b w:val="0"/>
          <w:sz w:val="21"/>
        </w:rPr>
        <w:t>6.5.1 自愈三步机理 当 Al₂O₃ 介质在局部薄弱点发生击穿时，从 Al 阳极流入的电流会集中在这一点上，瞬时电流密度极高；PEDOT 阴极在局部焦耳热作用下升温至 200-300°C，此时 PEDOT 发生"去掺杂"反应 (即 Tos⁻ 或 PSS⁻ 从聚合物链中脱出)，PEDOT 从导电态转变为绝缘态；绝缘态 PEDOT 形成的高阻区覆盖了击穿点，阻断了漏电路径。</w:t>
      </w:r>
    </w:p>
    <w:p>
      <w:pPr>
        <w:spacing w:line="360" w:lineRule="auto" w:after="40"/>
        <w:ind w:firstLine="420"/>
        <w:jc w:val="both"/>
      </w:pPr>
      <w:r>
        <w:rPr>
          <w:rFonts w:ascii="Times New Roman" w:hAnsi="Times New Roman" w:eastAsia="宋体"/>
          <w:b w:val="0"/>
          <w:sz w:val="21"/>
        </w:rPr>
        <w:t>这一过程可概括为"局部击穿 → 焦耳热 → PEDOT 去掺杂 → 自愈"。</w:t>
      </w:r>
    </w:p>
    <w:p>
      <w:pPr>
        <w:spacing w:line="360" w:lineRule="auto" w:after="40"/>
        <w:ind w:firstLine="420"/>
        <w:jc w:val="both"/>
      </w:pPr>
      <w:r>
        <w:rPr>
          <w:rFonts w:ascii="Times New Roman" w:hAnsi="Times New Roman" w:eastAsia="宋体"/>
          <w:b w:val="0"/>
          <w:sz w:val="21"/>
        </w:rPr>
        <w:t>6.5.2 自愈与反向自愈 然而这种自愈并非无代价的，也并非总是成功的： (1) 每次自愈会消耗一定的有效 PEDOT 面积，长期积累会导致阴极电阻上升，即 ESR 逐步增大； (2) 在高湿环境下，去掺杂的 PEDOT 可能因吸水而重新恢复导电性——这被称为"反向自愈" (reverse self-healing)，此时先前隔离的击穿点重新漏电，LC 再次上升 [43][56]； (3) 如果击穿功率过大 (例如反向电压或浪涌)，焦耳热可能瞬时使 PEDOT 完全碳化为石墨态碳——碳化后形成永久性短路通道，失去自愈能力。</w:t>
      </w:r>
    </w:p>
    <w:p>
      <w:pPr>
        <w:spacing w:line="360" w:lineRule="auto" w:after="40"/>
        <w:ind w:firstLine="420"/>
        <w:jc w:val="both"/>
      </w:pPr>
      <w:r>
        <w:rPr>
          <w:rFonts w:ascii="Times New Roman" w:hAnsi="Times New Roman" w:eastAsia="宋体"/>
          <w:b w:val="0"/>
          <w:sz w:val="21"/>
        </w:rPr>
        <w:t>这些局限性意味着 SAPC 的自愈机制在设计上是"辅助性"而非"主导性"的。因此在器件设计中不应依赖自愈来应对过应力，必须通过电压降额、温度控制、湿度屏蔽等手段从根源降低击穿发生的概率 [16][18]。</w:t>
      </w:r>
    </w:p>
    <w:p>
      <w:pPr>
        <w:spacing w:before="120"/>
        <w:jc w:val="center"/>
      </w:pPr>
      <w:r>
        <w:drawing>
          <wp:inline xmlns:a="http://schemas.openxmlformats.org/drawingml/2006/main" xmlns:pic="http://schemas.openxmlformats.org/drawingml/2006/picture">
            <wp:extent cx="5220000" cy="1551989"/>
            <wp:docPr id="11" name="Picture 11"/>
            <wp:cNvGraphicFramePr>
              <a:graphicFrameLocks noChangeAspect="1"/>
            </wp:cNvGraphicFramePr>
            <a:graphic>
              <a:graphicData uri="http://schemas.openxmlformats.org/drawingml/2006/picture">
                <pic:pic>
                  <pic:nvPicPr>
                    <pic:cNvPr id="0" name="fig12_selfhealing.png"/>
                    <pic:cNvPicPr/>
                  </pic:nvPicPr>
                  <pic:blipFill>
                    <a:blip r:embed="rId19"/>
                    <a:stretch>
                      <a:fillRect/>
                    </a:stretch>
                  </pic:blipFill>
                  <pic:spPr>
                    <a:xfrm>
                      <a:off x="0" y="0"/>
                      <a:ext cx="5220000" cy="1551989"/>
                    </a:xfrm>
                    <a:prstGeom prst="rect"/>
                  </pic:spPr>
                </pic:pic>
              </a:graphicData>
            </a:graphic>
          </wp:inline>
        </w:drawing>
      </w:r>
    </w:p>
    <w:p>
      <w:pPr>
        <w:spacing w:after="120"/>
        <w:jc w:val="center"/>
      </w:pPr>
      <w:r>
        <w:rPr>
          <w:rFonts w:ascii="Times New Roman" w:hAnsi="Times New Roman" w:eastAsia="黑体"/>
          <w:b/>
          <w:sz w:val="20"/>
        </w:rPr>
        <w:t>图 6-3  SAPC 中 PEDOT 阴极自愈三步过程示意图</w:t>
      </w:r>
    </w:p>
    <w:p>
      <w:pPr>
        <w:spacing w:before="200" w:after="100"/>
        <w:outlineLvl w:val="2"/>
      </w:pPr>
      <w:r>
        <w:rPr>
          <w:rFonts w:ascii="Times New Roman" w:hAnsi="Times New Roman" w:eastAsia="黑体"/>
          <w:b/>
          <w:sz w:val="28"/>
        </w:rPr>
        <w:t>6.6 多应力耦合下的机理交互</w:t>
      </w:r>
    </w:p>
    <w:p>
      <w:pPr>
        <w:spacing w:line="360" w:lineRule="auto" w:after="40"/>
        <w:ind w:firstLine="420"/>
        <w:jc w:val="both"/>
      </w:pPr>
      <w:r>
        <w:rPr>
          <w:rFonts w:ascii="Times New Roman" w:hAnsi="Times New Roman" w:eastAsia="宋体"/>
          <w:b w:val="0"/>
          <w:sz w:val="21"/>
        </w:rPr>
        <w:t>在实际应用中，SAPC 同时承受温度、电压、湿度、纹波电流、机械振动等多种应力，各机理之间存在显著的耦合与交互。理解这些耦合对寿命预测和可靠性建模至关重要。</w:t>
      </w:r>
    </w:p>
    <w:p>
      <w:pPr>
        <w:spacing w:line="360" w:lineRule="auto" w:after="40"/>
        <w:ind w:firstLine="420"/>
        <w:jc w:val="both"/>
      </w:pPr>
      <w:r>
        <w:rPr>
          <w:rFonts w:ascii="Times New Roman" w:hAnsi="Times New Roman" w:eastAsia="宋体"/>
          <w:b w:val="0"/>
          <w:sz w:val="21"/>
        </w:rPr>
        <w:t>典型的耦合效应包括： (1) 温度 × 湿度 (T × H)：PEDOT 的水解速率在高温下显著加快 (反应速率 k ∝ exp(-E_a/kT))，因此同等湿度下 85°C/85%RH 比 60°C/85%RH 更具破坏力；但极高温度 (&gt; 100°C) 下水汽沉降减少，反而减缓水解——存在一个最恶劣温度窗口 (约 85-95°C)； (2) 温度 × 电压 (T × V)：Al₂O₃ 的漏电流对温度和电压都存在指数依赖，双应力作用下的激活能会有所降低； (3) 湿度 × 电压 (H × V)：界面处 H₂O 在电场下发生极化，部分分解为 H⁺ 和 OH⁻，加剧对介质层的侵蚀； (4) 机械振动 × 电化学：振动诱发的微位移会破坏已经愈合的 PEDOT 隔离区，导致反向自愈发生。</w:t>
      </w:r>
    </w:p>
    <w:p>
      <w:pPr>
        <w:spacing w:line="360" w:lineRule="auto" w:after="40"/>
        <w:ind w:firstLine="420"/>
        <w:jc w:val="both"/>
      </w:pPr>
      <w:r>
        <w:rPr>
          <w:rFonts w:ascii="Times New Roman" w:hAnsi="Times New Roman" w:eastAsia="宋体"/>
          <w:b w:val="0"/>
          <w:sz w:val="21"/>
        </w:rPr>
        <w:t>对这些耦合效应的定量建模是 SAPC 可靠性研究的前沿课题。传统的 Eyring 模型 t = A·exp(E_a/kT)·V^(-n)·H^(-m) 虽然可以在一定范围内拟合试验数据，但对耦合项的描述仍嫌粗糙。最新研究趋向于使用广义多元回归或物理信息神经网络 (PINN) 进行多应力寿命预测 [29][57]。</w:t>
      </w:r>
    </w:p>
    <w:p>
      <w:r>
        <w:br w:type="page"/>
      </w:r>
    </w:p>
    <w:p>
      <w:pPr>
        <w:spacing w:before="200" w:after="100"/>
        <w:outlineLvl w:val="1"/>
      </w:pPr>
      <w:r>
        <w:rPr>
          <w:rFonts w:ascii="Times New Roman" w:hAnsi="Times New Roman" w:eastAsia="黑体"/>
          <w:b/>
          <w:sz w:val="36"/>
        </w:rPr>
        <w:t>第七章 可靠性建模方法</w:t>
      </w:r>
    </w:p>
    <w:p>
      <w:pPr>
        <w:spacing w:line="360" w:lineRule="auto" w:after="40"/>
        <w:ind w:firstLine="420"/>
        <w:jc w:val="both"/>
      </w:pPr>
      <w:r>
        <w:rPr>
          <w:rFonts w:ascii="Times New Roman" w:hAnsi="Times New Roman" w:eastAsia="宋体"/>
          <w:b w:val="0"/>
          <w:sz w:val="21"/>
        </w:rPr>
        <w:t>SAPC 的可靠性建模在过去 10 年经历了从统计模型 → 物理失效模型 → 数据驱动模型的演进。本章按照这一脉络系统评述主要建模方法、各自适用范围、局限以及最新进展。</w:t>
      </w:r>
    </w:p>
    <w:p>
      <w:pPr>
        <w:spacing w:before="200" w:after="100"/>
        <w:outlineLvl w:val="2"/>
      </w:pPr>
      <w:r>
        <w:rPr>
          <w:rFonts w:ascii="Times New Roman" w:hAnsi="Times New Roman" w:eastAsia="黑体"/>
          <w:b/>
          <w:sz w:val="28"/>
        </w:rPr>
        <w:t>7.1 Weibull 与对数正态统计模型</w:t>
      </w:r>
    </w:p>
    <w:p>
      <w:pPr>
        <w:spacing w:line="360" w:lineRule="auto" w:after="40"/>
        <w:ind w:firstLine="420"/>
        <w:jc w:val="both"/>
      </w:pPr>
      <w:r>
        <w:rPr>
          <w:rFonts w:ascii="Times New Roman" w:hAnsi="Times New Roman" w:eastAsia="宋体"/>
          <w:b w:val="0"/>
          <w:sz w:val="21"/>
        </w:rPr>
        <w:t>Weibull 分布是电容器寿命数据分析的最主流工具。对 SAPC 的 THB 加速老化数据，两参数 Weibull 分布：</w:t>
      </w:r>
    </w:p>
    <w:p>
      <w:pPr>
        <w:spacing w:before="100" w:after="100"/>
        <w:jc w:val="center"/>
      </w:pPr>
      <w:r>
        <w:rPr>
          <w:rFonts w:ascii="Times New Roman" w:hAnsi="Times New Roman" w:eastAsia="Times New Roman"/>
          <w:b w:val="0"/>
          <w:sz w:val="22"/>
        </w:rPr>
        <w:t>F(t) = 1 - exp[-(t/η)^β]</w:t>
      </w:r>
    </w:p>
    <w:p>
      <w:pPr>
        <w:spacing w:line="360" w:lineRule="auto" w:after="40"/>
        <w:ind w:firstLine="420"/>
        <w:jc w:val="both"/>
      </w:pPr>
      <w:r>
        <w:rPr>
          <w:rFonts w:ascii="Times New Roman" w:hAnsi="Times New Roman" w:eastAsia="宋体"/>
          <w:b w:val="0"/>
          <w:sz w:val="21"/>
        </w:rPr>
        <w:t>中的形状参数 β 通常为 1.2-2.5，对应耗损型失效；尺度参数 η 为特征寿命 (63.2% 失效时间)。</w:t>
      </w:r>
    </w:p>
    <w:p>
      <w:pPr>
        <w:spacing w:line="360" w:lineRule="auto" w:after="40"/>
        <w:ind w:firstLine="420"/>
        <w:jc w:val="both"/>
      </w:pPr>
      <w:r>
        <w:rPr>
          <w:rFonts w:ascii="Times New Roman" w:hAnsi="Times New Roman" w:eastAsia="宋体"/>
          <w:b w:val="0"/>
          <w:sz w:val="21"/>
        </w:rPr>
        <w:t>CALCE 的 Liu 等 (2017) [14] 对 Nichicon 220μF/20V SAPC 在 85°C/85%RH/V_R 下的 Weibull 拟合给出 β = 2.1, η = 1800 h；对 Chemi-Con 同规格产品给出 β = 1.3, η = 650 h——两者的显著差异反映了制造工艺对寿命分布的根本性影响。图 7-1 展示了典型的 Weibull 概率图。</w:t>
      </w:r>
    </w:p>
    <w:p>
      <w:pPr>
        <w:spacing w:before="120"/>
        <w:jc w:val="center"/>
      </w:pPr>
      <w:r>
        <w:drawing>
          <wp:inline xmlns:a="http://schemas.openxmlformats.org/drawingml/2006/main" xmlns:pic="http://schemas.openxmlformats.org/drawingml/2006/picture">
            <wp:extent cx="5220000" cy="3920577"/>
            <wp:docPr id="12" name="Picture 12"/>
            <wp:cNvGraphicFramePr>
              <a:graphicFrameLocks noChangeAspect="1"/>
            </wp:cNvGraphicFramePr>
            <a:graphic>
              <a:graphicData uri="http://schemas.openxmlformats.org/drawingml/2006/picture">
                <pic:pic>
                  <pic:nvPicPr>
                    <pic:cNvPr id="0" name="fig07_weibull.png"/>
                    <pic:cNvPicPr/>
                  </pic:nvPicPr>
                  <pic:blipFill>
                    <a:blip r:embed="rId20"/>
                    <a:stretch>
                      <a:fillRect/>
                    </a:stretch>
                  </pic:blipFill>
                  <pic:spPr>
                    <a:xfrm>
                      <a:off x="0" y="0"/>
                      <a:ext cx="5220000" cy="3920577"/>
                    </a:xfrm>
                    <a:prstGeom prst="rect"/>
                  </pic:spPr>
                </pic:pic>
              </a:graphicData>
            </a:graphic>
          </wp:inline>
        </w:drawing>
      </w:r>
    </w:p>
    <w:p>
      <w:pPr>
        <w:spacing w:after="120"/>
        <w:jc w:val="center"/>
      </w:pPr>
      <w:r>
        <w:rPr>
          <w:rFonts w:ascii="Times New Roman" w:hAnsi="Times New Roman" w:eastAsia="黑体"/>
          <w:b/>
          <w:sz w:val="20"/>
        </w:rPr>
        <w:t>图 7-1  两厂商 SAPC 产品 THB 试验失效时间的 Weibull 概率图</w:t>
      </w:r>
    </w:p>
    <w:p>
      <w:pPr>
        <w:spacing w:line="360" w:lineRule="auto" w:after="40"/>
        <w:ind w:firstLine="420"/>
        <w:jc w:val="both"/>
      </w:pPr>
      <w:r>
        <w:rPr>
          <w:rFonts w:ascii="Times New Roman" w:hAnsi="Times New Roman" w:eastAsia="宋体"/>
          <w:b w:val="0"/>
          <w:sz w:val="21"/>
        </w:rPr>
        <w:t>除两参数 Weibull 外，对数正态分布 (lognormal) 也常用于 SAPC 寿命拟合，特别是当失效机理涉及多步扩散过程 (如水分扩散→PSS 水解→Al₂O₃ 腐蚀) 时。一般规律是：若 β &gt; 1.5 则 Weibull 更合适；若分布严重偏正则 lognormal 更合适。实用上常同时拟合两种分布并根据 K-S 检验或 Anderson-Darling 检验选择更合适的分布 [58]。</w:t>
      </w:r>
    </w:p>
    <w:p>
      <w:pPr>
        <w:spacing w:line="360" w:lineRule="auto" w:after="40"/>
        <w:ind w:firstLine="420"/>
        <w:jc w:val="both"/>
      </w:pPr>
      <w:r>
        <w:rPr>
          <w:rFonts w:ascii="Times New Roman" w:hAnsi="Times New Roman" w:eastAsia="宋体"/>
          <w:b w:val="0"/>
          <w:sz w:val="21"/>
        </w:rPr>
        <w:t>NASA NEPP 的 Teverovsky 进一步提出混合 Weibull 模型，即用两组 Weibull 参数分别描述"早期缺陷型失效"和"耗损型失效"，混合形式为：</w:t>
      </w:r>
    </w:p>
    <w:p>
      <w:pPr>
        <w:spacing w:before="100" w:after="100"/>
        <w:jc w:val="center"/>
      </w:pPr>
      <w:r>
        <w:rPr>
          <w:rFonts w:ascii="Times New Roman" w:hAnsi="Times New Roman" w:eastAsia="Times New Roman"/>
          <w:b w:val="0"/>
          <w:sz w:val="22"/>
        </w:rPr>
        <w:t>F(t) = p·F₁(t; β₁, η₁) + (1-p)·F₂(t; β₂, η₂)</w:t>
      </w:r>
    </w:p>
    <w:p>
      <w:pPr>
        <w:spacing w:line="360" w:lineRule="auto" w:after="40"/>
        <w:ind w:firstLine="420"/>
        <w:jc w:val="both"/>
      </w:pPr>
      <w:r>
        <w:rPr>
          <w:rFonts w:ascii="Times New Roman" w:hAnsi="Times New Roman" w:eastAsia="宋体"/>
          <w:b w:val="0"/>
          <w:sz w:val="21"/>
        </w:rPr>
        <w:t>其中 p 为早期失效占比。该模型对于经过老炼筛选的 SAPC 数据拟合尤其合适——p 通常在 1-5% 之间 [18]。</w:t>
      </w:r>
    </w:p>
    <w:p>
      <w:pPr>
        <w:spacing w:before="200" w:after="100"/>
        <w:outlineLvl w:val="2"/>
      </w:pPr>
      <w:r>
        <w:rPr>
          <w:rFonts w:ascii="Times New Roman" w:hAnsi="Times New Roman" w:eastAsia="黑体"/>
          <w:b/>
          <w:sz w:val="28"/>
        </w:rPr>
        <w:t>7.2 Arrhenius-逆幂律双应力模型</w:t>
      </w:r>
    </w:p>
    <w:p>
      <w:pPr>
        <w:spacing w:line="360" w:lineRule="auto" w:after="40"/>
        <w:ind w:firstLine="420"/>
        <w:jc w:val="both"/>
      </w:pPr>
      <w:r>
        <w:rPr>
          <w:rFonts w:ascii="Times New Roman" w:hAnsi="Times New Roman" w:eastAsia="宋体"/>
          <w:b w:val="0"/>
          <w:sz w:val="21"/>
        </w:rPr>
        <w:t>温度与电压是 SAPC 最主要的两个加速应力。对温度，加速因子 AF_T 遵循 Arrhenius 方程：</w:t>
      </w:r>
    </w:p>
    <w:p>
      <w:pPr>
        <w:spacing w:before="100" w:after="100"/>
        <w:jc w:val="center"/>
      </w:pPr>
      <w:r>
        <w:rPr>
          <w:rFonts w:ascii="Times New Roman" w:hAnsi="Times New Roman" w:eastAsia="Times New Roman"/>
          <w:b w:val="0"/>
          <w:sz w:val="22"/>
        </w:rPr>
        <w:t>AF_T = exp[(E_a/k)(1/T_use - 1/T_stress)]</w:t>
      </w:r>
    </w:p>
    <w:p>
      <w:pPr>
        <w:spacing w:line="360" w:lineRule="auto" w:after="40"/>
        <w:ind w:firstLine="420"/>
        <w:jc w:val="both"/>
      </w:pPr>
      <w:r>
        <w:rPr>
          <w:rFonts w:ascii="Times New Roman" w:hAnsi="Times New Roman" w:eastAsia="宋体"/>
          <w:b w:val="0"/>
          <w:sz w:val="21"/>
        </w:rPr>
        <w:t>其中 k = 8.617×10⁻⁵ eV/K 为玻尔兹曼常数。对 SAPC，PEDOT 降解的 E_a 经 Teverovsky 2024 [18] 的 HALT 数据拟合约为 0.73 eV。图 7-2 展示了基于此激活能的寿命外推：在 85°C 使用条件下外推的 t₆₃ 约为 10⁴ h；在 65°C 则延长至约 5×10⁴ h (约 5.7 年)。</w:t>
      </w:r>
    </w:p>
    <w:p>
      <w:pPr>
        <w:spacing w:before="120"/>
        <w:jc w:val="center"/>
      </w:pPr>
      <w:r>
        <w:drawing>
          <wp:inline xmlns:a="http://schemas.openxmlformats.org/drawingml/2006/main" xmlns:pic="http://schemas.openxmlformats.org/drawingml/2006/picture">
            <wp:extent cx="5220000" cy="3946004"/>
            <wp:docPr id="13" name="Picture 13"/>
            <wp:cNvGraphicFramePr>
              <a:graphicFrameLocks noChangeAspect="1"/>
            </wp:cNvGraphicFramePr>
            <a:graphic>
              <a:graphicData uri="http://schemas.openxmlformats.org/drawingml/2006/picture">
                <pic:pic>
                  <pic:nvPicPr>
                    <pic:cNvPr id="0" name="fig08_arrhenius.png"/>
                    <pic:cNvPicPr/>
                  </pic:nvPicPr>
                  <pic:blipFill>
                    <a:blip r:embed="rId21"/>
                    <a:stretch>
                      <a:fillRect/>
                    </a:stretch>
                  </pic:blipFill>
                  <pic:spPr>
                    <a:xfrm>
                      <a:off x="0" y="0"/>
                      <a:ext cx="5220000" cy="3946004"/>
                    </a:xfrm>
                    <a:prstGeom prst="rect"/>
                  </pic:spPr>
                </pic:pic>
              </a:graphicData>
            </a:graphic>
          </wp:inline>
        </w:drawing>
      </w:r>
    </w:p>
    <w:p>
      <w:pPr>
        <w:spacing w:after="120"/>
        <w:jc w:val="center"/>
      </w:pPr>
      <w:r>
        <w:rPr>
          <w:rFonts w:ascii="Times New Roman" w:hAnsi="Times New Roman" w:eastAsia="黑体"/>
          <w:b/>
          <w:sz w:val="20"/>
        </w:rPr>
        <w:t>图 7-2  基于 E_a = 0.73 eV 的 SAPC Arrhenius 寿命外推曲线</w:t>
      </w:r>
    </w:p>
    <w:p>
      <w:pPr>
        <w:spacing w:line="360" w:lineRule="auto" w:after="40"/>
        <w:ind w:firstLine="420"/>
        <w:jc w:val="both"/>
      </w:pPr>
      <w:r>
        <w:rPr>
          <w:rFonts w:ascii="Times New Roman" w:hAnsi="Times New Roman" w:eastAsia="宋体"/>
          <w:b w:val="0"/>
          <w:sz w:val="21"/>
        </w:rPr>
        <w:t>对电压，加速因子 AF_V 通常遵循逆幂律 (inverse power law)：</w:t>
      </w:r>
    </w:p>
    <w:p>
      <w:pPr>
        <w:spacing w:before="100" w:after="100"/>
        <w:jc w:val="center"/>
      </w:pPr>
      <w:r>
        <w:rPr>
          <w:rFonts w:ascii="Times New Roman" w:hAnsi="Times New Roman" w:eastAsia="Times New Roman"/>
          <w:b w:val="0"/>
          <w:sz w:val="22"/>
        </w:rPr>
        <w:t>AF_V = (V_stress/V_use)^n</w:t>
      </w:r>
    </w:p>
    <w:p>
      <w:pPr>
        <w:spacing w:line="360" w:lineRule="auto" w:after="40"/>
        <w:ind w:firstLine="420"/>
        <w:jc w:val="both"/>
      </w:pPr>
      <w:r>
        <w:rPr>
          <w:rFonts w:ascii="Times New Roman" w:hAnsi="Times New Roman" w:eastAsia="宋体"/>
          <w:b w:val="0"/>
          <w:sz w:val="21"/>
        </w:rPr>
        <w:t>对 SAPC，n 约为 3-5 [14][18]。对比：MLCC n ≈ 4-7，钽电容 n ≈ 15-40。SAPC 的 n 较低说明其寿命对电压相对不那么敏感，这是因为 SAPC 中 Al₂O₃ 介质层远低于本征击穿极限。</w:t>
      </w:r>
    </w:p>
    <w:p>
      <w:pPr>
        <w:spacing w:line="360" w:lineRule="auto" w:after="40"/>
        <w:ind w:firstLine="420"/>
        <w:jc w:val="both"/>
      </w:pPr>
      <w:r>
        <w:rPr>
          <w:rFonts w:ascii="Times New Roman" w:hAnsi="Times New Roman" w:eastAsia="宋体"/>
          <w:b w:val="0"/>
          <w:sz w:val="21"/>
        </w:rPr>
        <w:t>综合温度与电压的双应力加速因子为：</w:t>
      </w:r>
    </w:p>
    <w:p>
      <w:pPr>
        <w:spacing w:before="100" w:after="100"/>
        <w:jc w:val="center"/>
      </w:pPr>
      <w:r>
        <w:rPr>
          <w:rFonts w:ascii="Times New Roman" w:hAnsi="Times New Roman" w:eastAsia="Times New Roman"/>
          <w:b w:val="0"/>
          <w:sz w:val="22"/>
        </w:rPr>
        <w:t>AF = AF_T · AF_V = (V_s/V_u)^n · exp[(E_a/k)(1/T_u - 1/T_s)]</w:t>
      </w:r>
    </w:p>
    <w:p>
      <w:pPr>
        <w:spacing w:before="200" w:after="100"/>
        <w:outlineLvl w:val="2"/>
      </w:pPr>
      <w:r>
        <w:rPr>
          <w:rFonts w:ascii="Times New Roman" w:hAnsi="Times New Roman" w:eastAsia="黑体"/>
          <w:b/>
          <w:sz w:val="28"/>
        </w:rPr>
        <w:t>7.3 Prokopowicz-Vaskas 方程的局限性</w:t>
      </w:r>
    </w:p>
    <w:p>
      <w:pPr>
        <w:spacing w:line="360" w:lineRule="auto" w:after="40"/>
        <w:ind w:firstLine="420"/>
        <w:jc w:val="both"/>
      </w:pPr>
      <w:r>
        <w:rPr>
          <w:rFonts w:ascii="Times New Roman" w:hAnsi="Times New Roman" w:eastAsia="宋体"/>
          <w:b w:val="0"/>
          <w:sz w:val="21"/>
        </w:rPr>
        <w:t>Prokopowicz-Vaskas (PV) 方程是陶瓷电容器行业经典的双应力加速方程，已有 50 余年的应用历史：</w:t>
      </w:r>
    </w:p>
    <w:p>
      <w:pPr>
        <w:spacing w:before="100" w:after="100"/>
        <w:jc w:val="center"/>
      </w:pPr>
      <w:r>
        <w:rPr>
          <w:rFonts w:ascii="Times New Roman" w:hAnsi="Times New Roman" w:eastAsia="Times New Roman"/>
          <w:b w:val="0"/>
          <w:sz w:val="22"/>
        </w:rPr>
        <w:t>t₁/t₂ = (V₂/V₁)^n · exp[(E_a/k)(1/T₁ - 1/T₂)]</w:t>
      </w:r>
    </w:p>
    <w:p>
      <w:pPr>
        <w:spacing w:line="360" w:lineRule="auto" w:after="40"/>
        <w:ind w:firstLine="420"/>
        <w:jc w:val="both"/>
      </w:pPr>
      <w:r>
        <w:rPr>
          <w:rFonts w:ascii="Times New Roman" w:hAnsi="Times New Roman" w:eastAsia="宋体"/>
          <w:b w:val="0"/>
          <w:sz w:val="21"/>
        </w:rPr>
        <w:t>然而对 SAPC 而言，PV 方程的直接应用存在如下局限： (1) PV 方程假设失效机理在应力范围内不变，而 SAPC 在 &lt; 85°C 下主要为 PEDOT 降解、&gt; 125°C 则可能出现 Al₂O₃ 界面失稳，机理切换使 PV 方程外推失效； (2) PV 方程不含湿度项，而对 SAPC 湿度是一阶应力； (3) PV 方程的 n 值在不同电压区间可能不同——低电压 (&lt; V_R) 下 n 较小 (3-4)，高电压 (≥ 1.5 V_R) 下 n 变大 (5-8)； (4) PV 方程不能描述机械/振动应力。</w:t>
      </w:r>
    </w:p>
    <w:p>
      <w:pPr>
        <w:spacing w:line="360" w:lineRule="auto" w:after="40"/>
        <w:ind w:firstLine="420"/>
        <w:jc w:val="both"/>
      </w:pPr>
      <w:r>
        <w:rPr>
          <w:rFonts w:ascii="Times New Roman" w:hAnsi="Times New Roman" w:eastAsia="宋体"/>
          <w:b w:val="0"/>
          <w:sz w:val="21"/>
        </w:rPr>
        <w:t>因此对 SAPC 的准确外推，PV 方程只能作为温度-电压两应力下的第一近似，必须结合湿度 Eyring 项使用 [14][18]。</w:t>
      </w:r>
    </w:p>
    <w:p>
      <w:pPr>
        <w:spacing w:before="200" w:after="100"/>
        <w:outlineLvl w:val="2"/>
      </w:pPr>
      <w:r>
        <w:rPr>
          <w:rFonts w:ascii="Times New Roman" w:hAnsi="Times New Roman" w:eastAsia="黑体"/>
          <w:b/>
          <w:sz w:val="28"/>
        </w:rPr>
        <w:t>7.4 广义 Eyring 多应力模型</w:t>
      </w:r>
    </w:p>
    <w:p>
      <w:pPr>
        <w:spacing w:line="360" w:lineRule="auto" w:after="40"/>
        <w:ind w:firstLine="420"/>
        <w:jc w:val="both"/>
      </w:pPr>
      <w:r>
        <w:rPr>
          <w:rFonts w:ascii="Times New Roman" w:hAnsi="Times New Roman" w:eastAsia="宋体"/>
          <w:b w:val="0"/>
          <w:sz w:val="21"/>
        </w:rPr>
        <w:t>广义 Eyring 模型是 Arrhenius-逆幂律模型的推广形式，可同时容纳温度、电压、湿度、振动等多个应力：</w:t>
      </w:r>
    </w:p>
    <w:p>
      <w:pPr>
        <w:spacing w:before="100" w:after="100"/>
        <w:jc w:val="center"/>
      </w:pPr>
      <w:r>
        <w:rPr>
          <w:rFonts w:ascii="Times New Roman" w:hAnsi="Times New Roman" w:eastAsia="Times New Roman"/>
          <w:b w:val="0"/>
          <w:sz w:val="22"/>
        </w:rPr>
        <w:t>t_f = A · (V)^(-n) · exp(E_a/kT + b·RH + c·g)</w:t>
      </w:r>
    </w:p>
    <w:p>
      <w:pPr>
        <w:spacing w:line="360" w:lineRule="auto" w:after="40"/>
        <w:ind w:firstLine="420"/>
        <w:jc w:val="both"/>
      </w:pPr>
      <w:r>
        <w:rPr>
          <w:rFonts w:ascii="Times New Roman" w:hAnsi="Times New Roman" w:eastAsia="宋体"/>
          <w:b w:val="0"/>
          <w:sz w:val="21"/>
        </w:rPr>
        <w:t>其中 RH 为相对湿度 (%)，g 为振动加速度水平，b、c 为经验系数。</w:t>
      </w:r>
    </w:p>
    <w:p>
      <w:pPr>
        <w:spacing w:line="360" w:lineRule="auto" w:after="40"/>
        <w:ind w:firstLine="420"/>
        <w:jc w:val="both"/>
      </w:pPr>
      <w:r>
        <w:rPr>
          <w:rFonts w:ascii="Times New Roman" w:hAnsi="Times New Roman" w:eastAsia="宋体"/>
          <w:b w:val="0"/>
          <w:sz w:val="21"/>
        </w:rPr>
        <w:t>Liu 等在 CALCE (2017) [14] 与 Teverovsky 在 NASA NEPP (2024) [18] 的加速试验数据联合拟合给出 SAPC 的典型 Eyring 参数： - E_a ≈ 0.70-0.80 eV； - n ≈ 3-5； - b ≈ 0.02-0.04 (每 10% RH 使寿命下降 20-40%)； - c ≈ 0.05-0.10 (每 g 使寿命下降 50-100%)。</w:t>
      </w:r>
    </w:p>
    <w:p>
      <w:pPr>
        <w:spacing w:line="360" w:lineRule="auto" w:after="40"/>
        <w:ind w:firstLine="420"/>
        <w:jc w:val="both"/>
      </w:pPr>
      <w:r>
        <w:rPr>
          <w:rFonts w:ascii="Times New Roman" w:hAnsi="Times New Roman" w:eastAsia="宋体"/>
          <w:b w:val="0"/>
          <w:sz w:val="21"/>
        </w:rPr>
        <w:t>基于这些参数，可以对 SAPC 在任意给定工况下进行寿命外推。例如：对比 85°C/85%RH/V_R 与 65°C/40%RH/0.8V_R 的两种工况，后者的寿命约为前者的 50 倍。</w:t>
      </w:r>
    </w:p>
    <w:p>
      <w:pPr>
        <w:spacing w:line="360" w:lineRule="auto" w:after="40"/>
        <w:ind w:firstLine="420"/>
        <w:jc w:val="both"/>
      </w:pPr>
      <w:r>
        <w:rPr>
          <w:rFonts w:ascii="Times New Roman" w:hAnsi="Times New Roman" w:eastAsia="宋体"/>
          <w:b w:val="0"/>
          <w:sz w:val="21"/>
        </w:rPr>
        <w:t>然而广义 Eyring 模型的弱点是：系数 b、c 的拟合需要大量多应力组合试验，成本高昂；且对应力耦合项 (如 T × RH) 的描述仍嫌粗糙。文献中已有工作尝试引入二阶相互作用项，但实证数据尚不充分 [58]。</w:t>
      </w:r>
    </w:p>
    <w:p>
      <w:pPr>
        <w:spacing w:before="200" w:after="100"/>
        <w:outlineLvl w:val="2"/>
      </w:pPr>
      <w:r>
        <w:rPr>
          <w:rFonts w:ascii="Times New Roman" w:hAnsi="Times New Roman" w:eastAsia="黑体"/>
          <w:b/>
          <w:sz w:val="28"/>
        </w:rPr>
        <w:t>7.5 Physics-of-Failure 模型</w:t>
      </w:r>
    </w:p>
    <w:p>
      <w:pPr>
        <w:spacing w:line="360" w:lineRule="auto" w:after="40"/>
        <w:ind w:firstLine="420"/>
        <w:jc w:val="both"/>
      </w:pPr>
      <w:r>
        <w:rPr>
          <w:rFonts w:ascii="Times New Roman" w:hAnsi="Times New Roman" w:eastAsia="宋体"/>
          <w:b w:val="0"/>
          <w:sz w:val="21"/>
        </w:rPr>
        <w:t>Physics-of-Failure (PoF) 模型基于对失效微观机理的直接建模，而不依赖于加速因子经验拟合。其一般框架是：识别失效关键变量 (如 PEDOT 电导率 σ_PEDOT)，建立其演化方程，设定失效阈值，求解寿命分布。</w:t>
      </w:r>
    </w:p>
    <w:p>
      <w:pPr>
        <w:spacing w:line="360" w:lineRule="auto" w:after="40"/>
        <w:ind w:firstLine="420"/>
        <w:jc w:val="both"/>
      </w:pPr>
      <w:r>
        <w:rPr>
          <w:rFonts w:ascii="Times New Roman" w:hAnsi="Times New Roman" w:eastAsia="宋体"/>
          <w:b w:val="0"/>
          <w:sz w:val="21"/>
        </w:rPr>
        <w:t>对 SAPC 的 ESR 上升模式，PoF 模型可写作：</w:t>
      </w:r>
    </w:p>
    <w:p>
      <w:pPr>
        <w:spacing w:before="100" w:after="100"/>
        <w:jc w:val="center"/>
      </w:pPr>
      <w:r>
        <w:rPr>
          <w:rFonts w:ascii="Times New Roman" w:hAnsi="Times New Roman" w:eastAsia="Times New Roman"/>
          <w:b w:val="0"/>
          <w:sz w:val="22"/>
        </w:rPr>
        <w:t>dσ/dt = -k₁·σ·exp(-E_a/kT) - k₂·σ·f(RH)</w:t>
      </w:r>
    </w:p>
    <w:p>
      <w:pPr>
        <w:spacing w:line="360" w:lineRule="auto" w:after="40"/>
        <w:ind w:firstLine="420"/>
        <w:jc w:val="both"/>
      </w:pPr>
      <w:r>
        <w:rPr>
          <w:rFonts w:ascii="Times New Roman" w:hAnsi="Times New Roman" w:eastAsia="宋体"/>
          <w:b w:val="0"/>
          <w:sz w:val="21"/>
        </w:rPr>
        <w:t>其中第一项为 PEDOT 的 Arrhenius 热氧化，第二项为湿度驱动降解。对此微分方程求解可得 σ(t) 的解析表达式，结合失效阈值 σ_crit = σ_0 / 2 即可得到器件寿命。</w:t>
      </w:r>
    </w:p>
    <w:p>
      <w:pPr>
        <w:spacing w:line="360" w:lineRule="auto" w:after="40"/>
        <w:ind w:firstLine="420"/>
        <w:jc w:val="both"/>
      </w:pPr>
      <w:r>
        <w:rPr>
          <w:rFonts w:ascii="Times New Roman" w:hAnsi="Times New Roman" w:eastAsia="宋体"/>
          <w:b w:val="0"/>
          <w:sz w:val="21"/>
        </w:rPr>
        <w:t>对 LC 跑飞模式，PoF 模型需要考虑 Al₂O₃ 介质层的缺陷演化：</w:t>
      </w:r>
    </w:p>
    <w:p>
      <w:pPr>
        <w:spacing w:before="100" w:after="100"/>
        <w:jc w:val="center"/>
      </w:pPr>
      <w:r>
        <w:rPr>
          <w:rFonts w:ascii="Times New Roman" w:hAnsi="Times New Roman" w:eastAsia="Times New Roman"/>
          <w:b w:val="0"/>
          <w:sz w:val="22"/>
        </w:rPr>
        <w:t>dN_defect/dt = α · exp(β·E) · exp(-E_a/kT) · (1 + γ·RH)</w:t>
      </w:r>
    </w:p>
    <w:p>
      <w:pPr>
        <w:spacing w:line="360" w:lineRule="auto" w:after="40"/>
        <w:ind w:firstLine="420"/>
        <w:jc w:val="both"/>
      </w:pPr>
      <w:r>
        <w:rPr>
          <w:rFonts w:ascii="Times New Roman" w:hAnsi="Times New Roman" w:eastAsia="宋体"/>
          <w:b w:val="0"/>
          <w:sz w:val="21"/>
        </w:rPr>
        <w:t>其中 N_defect 为介质缺陷密度。当 N_defect 超过击穿阈值时 LC 跑飞发生。</w:t>
      </w:r>
    </w:p>
    <w:p>
      <w:pPr>
        <w:spacing w:line="360" w:lineRule="auto" w:after="40"/>
        <w:ind w:firstLine="420"/>
        <w:jc w:val="both"/>
      </w:pPr>
      <w:r>
        <w:rPr>
          <w:rFonts w:ascii="Times New Roman" w:hAnsi="Times New Roman" w:eastAsia="宋体"/>
          <w:b w:val="0"/>
          <w:sz w:val="21"/>
        </w:rPr>
        <w:t>PoF 模型的优点在于物理可解释性强，可以外推到 HALT 范围之外的工况；缺点是对各参数 (k₁、k₂、α、β、γ) 的物理意义识别与独立测量要求高。文献中针对 SAPC 的 PoF 模型仍处于探索阶段，尚未形成工业标准 [16][43][57]。</w:t>
      </w:r>
    </w:p>
    <w:p>
      <w:pPr>
        <w:spacing w:before="200" w:after="100"/>
        <w:outlineLvl w:val="2"/>
      </w:pPr>
      <w:r>
        <w:rPr>
          <w:rFonts w:ascii="Times New Roman" w:hAnsi="Times New Roman" w:eastAsia="黑体"/>
          <w:b/>
          <w:sz w:val="28"/>
        </w:rPr>
        <w:t>7.6 数据驱动与 PINN 混合模型</w:t>
      </w:r>
    </w:p>
    <w:p>
      <w:pPr>
        <w:spacing w:line="360" w:lineRule="auto" w:after="40"/>
        <w:ind w:firstLine="420"/>
        <w:jc w:val="both"/>
      </w:pPr>
      <w:r>
        <w:rPr>
          <w:rFonts w:ascii="Times New Roman" w:hAnsi="Times New Roman" w:eastAsia="宋体"/>
          <w:b w:val="0"/>
          <w:sz w:val="21"/>
        </w:rPr>
        <w:t>近年来，基于机器学习的 RUL 预测方法在电容器可靠性领域迅速发展。主要方法包括：</w:t>
      </w:r>
    </w:p>
    <w:p>
      <w:pPr>
        <w:spacing w:line="360" w:lineRule="auto" w:after="40"/>
        <w:ind w:firstLine="420"/>
        <w:jc w:val="both"/>
      </w:pPr>
      <w:r>
        <w:rPr>
          <w:rFonts w:ascii="Times New Roman" w:hAnsi="Times New Roman" w:eastAsia="宋体"/>
          <w:b w:val="0"/>
          <w:sz w:val="21"/>
        </w:rPr>
        <w:t>(1) LSTM 与 CNN-LSTM 网络：利用时间序列特性预测未来的 C、ESR、LC 走势。Soualhi 等 (2022) [59] 首次将 LSTM 应用于电解电容器 RUL 预测；Zhu 等 (2025) 发表于 MDPI Electronics [29] 的 CNN-LSTM 方法进一步考虑了参数离散度。</w:t>
      </w:r>
    </w:p>
    <w:p>
      <w:pPr>
        <w:spacing w:line="360" w:lineRule="auto" w:after="40"/>
        <w:ind w:firstLine="420"/>
        <w:jc w:val="both"/>
      </w:pPr>
      <w:r>
        <w:rPr>
          <w:rFonts w:ascii="Times New Roman" w:hAnsi="Times New Roman" w:eastAsia="宋体"/>
          <w:b w:val="0"/>
          <w:sz w:val="21"/>
        </w:rPr>
        <w:t>(2) 物理信息神经网络 (Physics-Informed Neural Network, PINN)：将 PoF 模型中的微分方程作为损失函数的正则化项，强制神经网络输出满足物理约束。这类方法对小样本具有显著优势。最新 (2025) 的一项工作提出了将 LSTM 骨架与物理约束结合的超级电容 RUL 预测模型，在 20% 训练数据条件下即可获得较好的预测精度 [60]。</w:t>
      </w:r>
    </w:p>
    <w:p>
      <w:pPr>
        <w:spacing w:line="360" w:lineRule="auto" w:after="40"/>
        <w:ind w:firstLine="420"/>
        <w:jc w:val="both"/>
      </w:pPr>
      <w:r>
        <w:rPr>
          <w:rFonts w:ascii="Times New Roman" w:hAnsi="Times New Roman" w:eastAsia="宋体"/>
          <w:b w:val="0"/>
          <w:sz w:val="21"/>
        </w:rPr>
        <w:t>(3) Transformer 与注意力机制：长依赖建模能力强，适合长时间跨度 (&gt; 1 年) 的 SAPC 寿命预测，但训练数据要求高。</w:t>
      </w:r>
    </w:p>
    <w:p>
      <w:pPr>
        <w:spacing w:line="360" w:lineRule="auto" w:after="40"/>
        <w:ind w:firstLine="420"/>
        <w:jc w:val="both"/>
      </w:pPr>
      <w:r>
        <w:rPr>
          <w:rFonts w:ascii="Times New Roman" w:hAnsi="Times New Roman" w:eastAsia="宋体"/>
          <w:b w:val="0"/>
          <w:sz w:val="21"/>
        </w:rPr>
        <w:t>图 7-3 展示了基于 CNN-LSTM 的 SAPC RUL 预测示例。前 60% 观测期为训练数据，后 40% 为预测段；95% 置信区间随时间扩大，反映不确定性累积。</w:t>
      </w:r>
    </w:p>
    <w:p>
      <w:pPr>
        <w:spacing w:before="120"/>
        <w:jc w:val="center"/>
      </w:pPr>
      <w:r>
        <w:drawing>
          <wp:inline xmlns:a="http://schemas.openxmlformats.org/drawingml/2006/main" xmlns:pic="http://schemas.openxmlformats.org/drawingml/2006/picture">
            <wp:extent cx="5220000" cy="3110812"/>
            <wp:docPr id="14" name="Picture 14"/>
            <wp:cNvGraphicFramePr>
              <a:graphicFrameLocks noChangeAspect="1"/>
            </wp:cNvGraphicFramePr>
            <a:graphic>
              <a:graphicData uri="http://schemas.openxmlformats.org/drawingml/2006/picture">
                <pic:pic>
                  <pic:nvPicPr>
                    <pic:cNvPr id="0" name="fig13_rul.png"/>
                    <pic:cNvPicPr/>
                  </pic:nvPicPr>
                  <pic:blipFill>
                    <a:blip r:embed="rId22"/>
                    <a:stretch>
                      <a:fillRect/>
                    </a:stretch>
                  </pic:blipFill>
                  <pic:spPr>
                    <a:xfrm>
                      <a:off x="0" y="0"/>
                      <a:ext cx="5220000" cy="3110812"/>
                    </a:xfrm>
                    <a:prstGeom prst="rect"/>
                  </pic:spPr>
                </pic:pic>
              </a:graphicData>
            </a:graphic>
          </wp:inline>
        </w:drawing>
      </w:r>
    </w:p>
    <w:p>
      <w:pPr>
        <w:spacing w:after="120"/>
        <w:jc w:val="center"/>
      </w:pPr>
      <w:r>
        <w:rPr>
          <w:rFonts w:ascii="Times New Roman" w:hAnsi="Times New Roman" w:eastAsia="黑体"/>
          <w:b/>
          <w:sz w:val="20"/>
        </w:rPr>
        <w:t>图 7-3  基于 CNN-LSTM 的 SAPC RUL 预测示例（实验数据 + 未来预测段）</w:t>
      </w:r>
    </w:p>
    <w:p>
      <w:pPr>
        <w:spacing w:line="360" w:lineRule="auto" w:after="40"/>
        <w:ind w:firstLine="420"/>
        <w:jc w:val="both"/>
      </w:pPr>
      <w:r>
        <w:rPr>
          <w:rFonts w:ascii="Times New Roman" w:hAnsi="Times New Roman" w:eastAsia="宋体"/>
          <w:b w:val="0"/>
          <w:sz w:val="21"/>
        </w:rPr>
        <w:t>数据驱动方法的关键挑战是"外推能力"——模型只能在训练数据的应力范围内给出可信预测；超出此范围则需物理模型辅助。因此混合建模 (physics-informed machine learning) 是当前的主流发展方向 [29][60]。</w:t>
      </w:r>
    </w:p>
    <w:p>
      <w:pPr>
        <w:spacing w:line="360" w:lineRule="auto" w:after="40"/>
        <w:ind w:firstLine="420"/>
        <w:jc w:val="both"/>
      </w:pPr>
      <w:r>
        <w:rPr>
          <w:rFonts w:ascii="Times New Roman" w:hAnsi="Times New Roman" w:eastAsia="宋体"/>
          <w:b w:val="0"/>
          <w:sz w:val="21"/>
        </w:rPr>
        <w:t>表 7-1 总结了 SAPC 可靠性建模方法的适用性对比。</w:t>
      </w:r>
    </w:p>
    <w:p>
      <w:pPr>
        <w:jc w:val="center"/>
      </w:pPr>
      <w:r>
        <w:rPr>
          <w:rFonts w:ascii="Times New Roman" w:hAnsi="Times New Roman" w:eastAsia="黑体"/>
          <w:b/>
          <w:sz w:val="20"/>
        </w:rPr>
        <w:t>表 7-1  SAPC 可靠性建模方法对比</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jc w:val="center"/>
            </w:pPr>
            <w:r/>
            <w:r>
              <w:rPr>
                <w:rFonts w:ascii="Times New Roman" w:hAnsi="Times New Roman" w:eastAsia="黑体"/>
                <w:b/>
                <w:sz w:val="19"/>
              </w:rPr>
              <w:t>方法类别</w:t>
            </w:r>
          </w:p>
        </w:tc>
        <w:tc>
          <w:tcPr>
            <w:tcW w:type="dxa" w:w="2183"/>
          </w:tcPr>
          <w:p>
            <w:pPr>
              <w:jc w:val="center"/>
            </w:pPr>
            <w:r/>
            <w:r>
              <w:rPr>
                <w:rFonts w:ascii="Times New Roman" w:hAnsi="Times New Roman" w:eastAsia="黑体"/>
                <w:b/>
                <w:sz w:val="19"/>
              </w:rPr>
              <w:t>优点</w:t>
            </w:r>
          </w:p>
        </w:tc>
        <w:tc>
          <w:tcPr>
            <w:tcW w:type="dxa" w:w="2183"/>
          </w:tcPr>
          <w:p>
            <w:pPr>
              <w:jc w:val="center"/>
            </w:pPr>
            <w:r/>
            <w:r>
              <w:rPr>
                <w:rFonts w:ascii="Times New Roman" w:hAnsi="Times New Roman" w:eastAsia="黑体"/>
                <w:b/>
                <w:sz w:val="19"/>
              </w:rPr>
              <w:t>局限</w:t>
            </w:r>
          </w:p>
        </w:tc>
        <w:tc>
          <w:tcPr>
            <w:tcW w:type="dxa" w:w="2183"/>
          </w:tcPr>
          <w:p>
            <w:pPr>
              <w:jc w:val="center"/>
            </w:pPr>
            <w:r/>
            <w:r>
              <w:rPr>
                <w:rFonts w:ascii="Times New Roman" w:hAnsi="Times New Roman" w:eastAsia="黑体"/>
                <w:b/>
                <w:sz w:val="19"/>
              </w:rPr>
              <w:t>最适合的场景</w:t>
            </w:r>
          </w:p>
        </w:tc>
      </w:tr>
      <w:tr>
        <w:tc>
          <w:tcPr>
            <w:tcW w:type="dxa" w:w="2183"/>
          </w:tcPr>
          <w:p>
            <w:pPr>
              <w:jc w:val="left"/>
            </w:pPr>
            <w:r/>
            <w:r>
              <w:rPr>
                <w:rFonts w:ascii="Times New Roman" w:hAnsi="Times New Roman" w:eastAsia="宋体"/>
                <w:b w:val="0"/>
                <w:sz w:val="19"/>
              </w:rPr>
              <w:t>Weibull/lognormal</w:t>
            </w:r>
          </w:p>
        </w:tc>
        <w:tc>
          <w:tcPr>
            <w:tcW w:type="dxa" w:w="2183"/>
          </w:tcPr>
          <w:p>
            <w:pPr>
              <w:jc w:val="left"/>
            </w:pPr>
            <w:r/>
            <w:r>
              <w:rPr>
                <w:rFonts w:ascii="Times New Roman" w:hAnsi="Times New Roman" w:eastAsia="宋体"/>
                <w:b w:val="0"/>
                <w:sz w:val="19"/>
              </w:rPr>
              <w:t>简单、易解释</w:t>
            </w:r>
          </w:p>
        </w:tc>
        <w:tc>
          <w:tcPr>
            <w:tcW w:type="dxa" w:w="2183"/>
          </w:tcPr>
          <w:p>
            <w:pPr>
              <w:jc w:val="left"/>
            </w:pPr>
            <w:r/>
            <w:r>
              <w:rPr>
                <w:rFonts w:ascii="Times New Roman" w:hAnsi="Times New Roman" w:eastAsia="宋体"/>
                <w:b w:val="0"/>
                <w:sz w:val="19"/>
              </w:rPr>
              <w:t>不反映物理机理</w:t>
            </w:r>
          </w:p>
        </w:tc>
        <w:tc>
          <w:tcPr>
            <w:tcW w:type="dxa" w:w="2183"/>
          </w:tcPr>
          <w:p>
            <w:pPr>
              <w:jc w:val="left"/>
            </w:pPr>
            <w:r/>
            <w:r>
              <w:rPr>
                <w:rFonts w:ascii="Times New Roman" w:hAnsi="Times New Roman" w:eastAsia="宋体"/>
                <w:b w:val="0"/>
                <w:sz w:val="19"/>
              </w:rPr>
              <w:t>寿命分布拟合</w:t>
            </w:r>
          </w:p>
        </w:tc>
      </w:tr>
      <w:tr>
        <w:tc>
          <w:tcPr>
            <w:tcW w:type="dxa" w:w="2183"/>
          </w:tcPr>
          <w:p>
            <w:pPr>
              <w:jc w:val="left"/>
            </w:pPr>
            <w:r/>
            <w:r>
              <w:rPr>
                <w:rFonts w:ascii="Times New Roman" w:hAnsi="Times New Roman" w:eastAsia="宋体"/>
                <w:b w:val="0"/>
                <w:sz w:val="19"/>
              </w:rPr>
              <w:t>Arrhenius-逆幂律</w:t>
            </w:r>
          </w:p>
        </w:tc>
        <w:tc>
          <w:tcPr>
            <w:tcW w:type="dxa" w:w="2183"/>
          </w:tcPr>
          <w:p>
            <w:pPr>
              <w:jc w:val="left"/>
            </w:pPr>
            <w:r/>
            <w:r>
              <w:rPr>
                <w:rFonts w:ascii="Times New Roman" w:hAnsi="Times New Roman" w:eastAsia="宋体"/>
                <w:b w:val="0"/>
                <w:sz w:val="19"/>
              </w:rPr>
              <w:t>直接外推</w:t>
            </w:r>
          </w:p>
        </w:tc>
        <w:tc>
          <w:tcPr>
            <w:tcW w:type="dxa" w:w="2183"/>
          </w:tcPr>
          <w:p>
            <w:pPr>
              <w:jc w:val="left"/>
            </w:pPr>
            <w:r/>
            <w:r>
              <w:rPr>
                <w:rFonts w:ascii="Times New Roman" w:hAnsi="Times New Roman" w:eastAsia="宋体"/>
                <w:b w:val="0"/>
                <w:sz w:val="19"/>
              </w:rPr>
              <w:t>忽略交互项</w:t>
            </w:r>
          </w:p>
        </w:tc>
        <w:tc>
          <w:tcPr>
            <w:tcW w:type="dxa" w:w="2183"/>
          </w:tcPr>
          <w:p>
            <w:pPr>
              <w:jc w:val="left"/>
            </w:pPr>
            <w:r/>
            <w:r>
              <w:rPr>
                <w:rFonts w:ascii="Times New Roman" w:hAnsi="Times New Roman" w:eastAsia="宋体"/>
                <w:b w:val="0"/>
                <w:sz w:val="19"/>
              </w:rPr>
              <w:t>双应力加速试验</w:t>
            </w:r>
          </w:p>
        </w:tc>
      </w:tr>
      <w:tr>
        <w:tc>
          <w:tcPr>
            <w:tcW w:type="dxa" w:w="2183"/>
          </w:tcPr>
          <w:p>
            <w:pPr>
              <w:jc w:val="left"/>
            </w:pPr>
            <w:r/>
            <w:r>
              <w:rPr>
                <w:rFonts w:ascii="Times New Roman" w:hAnsi="Times New Roman" w:eastAsia="宋体"/>
                <w:b w:val="0"/>
                <w:sz w:val="19"/>
              </w:rPr>
              <w:t>PV 方程</w:t>
            </w:r>
          </w:p>
        </w:tc>
        <w:tc>
          <w:tcPr>
            <w:tcW w:type="dxa" w:w="2183"/>
          </w:tcPr>
          <w:p>
            <w:pPr>
              <w:jc w:val="left"/>
            </w:pPr>
            <w:r/>
            <w:r>
              <w:rPr>
                <w:rFonts w:ascii="Times New Roman" w:hAnsi="Times New Roman" w:eastAsia="宋体"/>
                <w:b w:val="0"/>
                <w:sz w:val="19"/>
              </w:rPr>
              <w:t>工业接受度高</w:t>
            </w:r>
          </w:p>
        </w:tc>
        <w:tc>
          <w:tcPr>
            <w:tcW w:type="dxa" w:w="2183"/>
          </w:tcPr>
          <w:p>
            <w:pPr>
              <w:jc w:val="left"/>
            </w:pPr>
            <w:r/>
            <w:r>
              <w:rPr>
                <w:rFonts w:ascii="Times New Roman" w:hAnsi="Times New Roman" w:eastAsia="宋体"/>
                <w:b w:val="0"/>
                <w:sz w:val="19"/>
              </w:rPr>
              <w:t>不含湿度</w:t>
            </w:r>
          </w:p>
        </w:tc>
        <w:tc>
          <w:tcPr>
            <w:tcW w:type="dxa" w:w="2183"/>
          </w:tcPr>
          <w:p>
            <w:pPr>
              <w:jc w:val="left"/>
            </w:pPr>
            <w:r/>
            <w:r>
              <w:rPr>
                <w:rFonts w:ascii="Times New Roman" w:hAnsi="Times New Roman" w:eastAsia="宋体"/>
                <w:b w:val="0"/>
                <w:sz w:val="19"/>
              </w:rPr>
              <w:t>MLCC / 部分 SAPC</w:t>
            </w:r>
          </w:p>
        </w:tc>
      </w:tr>
      <w:tr>
        <w:tc>
          <w:tcPr>
            <w:tcW w:type="dxa" w:w="2183"/>
          </w:tcPr>
          <w:p>
            <w:pPr>
              <w:jc w:val="left"/>
            </w:pPr>
            <w:r/>
            <w:r>
              <w:rPr>
                <w:rFonts w:ascii="Times New Roman" w:hAnsi="Times New Roman" w:eastAsia="宋体"/>
                <w:b w:val="0"/>
                <w:sz w:val="19"/>
              </w:rPr>
              <w:t>广义 Eyring</w:t>
            </w:r>
          </w:p>
        </w:tc>
        <w:tc>
          <w:tcPr>
            <w:tcW w:type="dxa" w:w="2183"/>
          </w:tcPr>
          <w:p>
            <w:pPr>
              <w:jc w:val="left"/>
            </w:pPr>
            <w:r/>
            <w:r>
              <w:rPr>
                <w:rFonts w:ascii="Times New Roman" w:hAnsi="Times New Roman" w:eastAsia="宋体"/>
                <w:b w:val="0"/>
                <w:sz w:val="19"/>
              </w:rPr>
              <w:t>多应力同时</w:t>
            </w:r>
          </w:p>
        </w:tc>
        <w:tc>
          <w:tcPr>
            <w:tcW w:type="dxa" w:w="2183"/>
          </w:tcPr>
          <w:p>
            <w:pPr>
              <w:jc w:val="left"/>
            </w:pPr>
            <w:r/>
            <w:r>
              <w:rPr>
                <w:rFonts w:ascii="Times New Roman" w:hAnsi="Times New Roman" w:eastAsia="宋体"/>
                <w:b w:val="0"/>
                <w:sz w:val="19"/>
              </w:rPr>
              <w:t>参数多</w:t>
            </w:r>
          </w:p>
        </w:tc>
        <w:tc>
          <w:tcPr>
            <w:tcW w:type="dxa" w:w="2183"/>
          </w:tcPr>
          <w:p>
            <w:pPr>
              <w:jc w:val="left"/>
            </w:pPr>
            <w:r/>
            <w:r>
              <w:rPr>
                <w:rFonts w:ascii="Times New Roman" w:hAnsi="Times New Roman" w:eastAsia="宋体"/>
                <w:b w:val="0"/>
                <w:sz w:val="19"/>
              </w:rPr>
              <w:t>湿度主导工况</w:t>
            </w:r>
          </w:p>
        </w:tc>
      </w:tr>
      <w:tr>
        <w:tc>
          <w:tcPr>
            <w:tcW w:type="dxa" w:w="2183"/>
          </w:tcPr>
          <w:p>
            <w:pPr>
              <w:jc w:val="left"/>
            </w:pPr>
            <w:r/>
            <w:r>
              <w:rPr>
                <w:rFonts w:ascii="Times New Roman" w:hAnsi="Times New Roman" w:eastAsia="宋体"/>
                <w:b w:val="0"/>
                <w:sz w:val="19"/>
              </w:rPr>
              <w:t>PoF 微分方程</w:t>
            </w:r>
          </w:p>
        </w:tc>
        <w:tc>
          <w:tcPr>
            <w:tcW w:type="dxa" w:w="2183"/>
          </w:tcPr>
          <w:p>
            <w:pPr>
              <w:jc w:val="left"/>
            </w:pPr>
            <w:r/>
            <w:r>
              <w:rPr>
                <w:rFonts w:ascii="Times New Roman" w:hAnsi="Times New Roman" w:eastAsia="宋体"/>
                <w:b w:val="0"/>
                <w:sz w:val="19"/>
              </w:rPr>
              <w:t>机理明确、可外推</w:t>
            </w:r>
          </w:p>
        </w:tc>
        <w:tc>
          <w:tcPr>
            <w:tcW w:type="dxa" w:w="2183"/>
          </w:tcPr>
          <w:p>
            <w:pPr>
              <w:jc w:val="left"/>
            </w:pPr>
            <w:r/>
            <w:r>
              <w:rPr>
                <w:rFonts w:ascii="Times New Roman" w:hAnsi="Times New Roman" w:eastAsia="宋体"/>
                <w:b w:val="0"/>
                <w:sz w:val="19"/>
              </w:rPr>
              <w:t>参数识别困难</w:t>
            </w:r>
          </w:p>
        </w:tc>
        <w:tc>
          <w:tcPr>
            <w:tcW w:type="dxa" w:w="2183"/>
          </w:tcPr>
          <w:p>
            <w:pPr>
              <w:jc w:val="left"/>
            </w:pPr>
            <w:r/>
            <w:r>
              <w:rPr>
                <w:rFonts w:ascii="Times New Roman" w:hAnsi="Times New Roman" w:eastAsia="宋体"/>
                <w:b w:val="0"/>
                <w:sz w:val="19"/>
              </w:rPr>
              <w:t>基础研究</w:t>
            </w:r>
          </w:p>
        </w:tc>
      </w:tr>
      <w:tr>
        <w:tc>
          <w:tcPr>
            <w:tcW w:type="dxa" w:w="2183"/>
          </w:tcPr>
          <w:p>
            <w:pPr>
              <w:jc w:val="left"/>
            </w:pPr>
            <w:r/>
            <w:r>
              <w:rPr>
                <w:rFonts w:ascii="Times New Roman" w:hAnsi="Times New Roman" w:eastAsia="宋体"/>
                <w:b w:val="0"/>
                <w:sz w:val="19"/>
              </w:rPr>
              <w:t>LSTM / CNN-LSTM</w:t>
            </w:r>
          </w:p>
        </w:tc>
        <w:tc>
          <w:tcPr>
            <w:tcW w:type="dxa" w:w="2183"/>
          </w:tcPr>
          <w:p>
            <w:pPr>
              <w:jc w:val="left"/>
            </w:pPr>
            <w:r/>
            <w:r>
              <w:rPr>
                <w:rFonts w:ascii="Times New Roman" w:hAnsi="Times New Roman" w:eastAsia="宋体"/>
                <w:b w:val="0"/>
                <w:sz w:val="19"/>
              </w:rPr>
              <w:t>黑箱预测、精度高</w:t>
            </w:r>
          </w:p>
        </w:tc>
        <w:tc>
          <w:tcPr>
            <w:tcW w:type="dxa" w:w="2183"/>
          </w:tcPr>
          <w:p>
            <w:pPr>
              <w:jc w:val="left"/>
            </w:pPr>
            <w:r/>
            <w:r>
              <w:rPr>
                <w:rFonts w:ascii="Times New Roman" w:hAnsi="Times New Roman" w:eastAsia="宋体"/>
                <w:b w:val="0"/>
                <w:sz w:val="19"/>
              </w:rPr>
              <w:t>外推能力差</w:t>
            </w:r>
          </w:p>
        </w:tc>
        <w:tc>
          <w:tcPr>
            <w:tcW w:type="dxa" w:w="2183"/>
          </w:tcPr>
          <w:p>
            <w:pPr>
              <w:jc w:val="left"/>
            </w:pPr>
            <w:r/>
            <w:r>
              <w:rPr>
                <w:rFonts w:ascii="Times New Roman" w:hAnsi="Times New Roman" w:eastAsia="宋体"/>
                <w:b w:val="0"/>
                <w:sz w:val="19"/>
              </w:rPr>
              <w:t>在线 RUL 监测</w:t>
            </w:r>
          </w:p>
        </w:tc>
      </w:tr>
      <w:tr>
        <w:tc>
          <w:tcPr>
            <w:tcW w:type="dxa" w:w="2183"/>
          </w:tcPr>
          <w:p>
            <w:pPr>
              <w:jc w:val="left"/>
            </w:pPr>
            <w:r/>
            <w:r>
              <w:rPr>
                <w:rFonts w:ascii="Times New Roman" w:hAnsi="Times New Roman" w:eastAsia="宋体"/>
                <w:b w:val="0"/>
                <w:sz w:val="19"/>
              </w:rPr>
              <w:t>PINN</w:t>
            </w:r>
          </w:p>
        </w:tc>
        <w:tc>
          <w:tcPr>
            <w:tcW w:type="dxa" w:w="2183"/>
          </w:tcPr>
          <w:p>
            <w:pPr>
              <w:jc w:val="left"/>
            </w:pPr>
            <w:r/>
            <w:r>
              <w:rPr>
                <w:rFonts w:ascii="Times New Roman" w:hAnsi="Times New Roman" w:eastAsia="宋体"/>
                <w:b w:val="0"/>
                <w:sz w:val="19"/>
              </w:rPr>
              <w:t>小样本 + 物理</w:t>
            </w:r>
          </w:p>
        </w:tc>
        <w:tc>
          <w:tcPr>
            <w:tcW w:type="dxa" w:w="2183"/>
          </w:tcPr>
          <w:p>
            <w:pPr>
              <w:jc w:val="left"/>
            </w:pPr>
            <w:r/>
            <w:r>
              <w:rPr>
                <w:rFonts w:ascii="Times New Roman" w:hAnsi="Times New Roman" w:eastAsia="宋体"/>
                <w:b w:val="0"/>
                <w:sz w:val="19"/>
              </w:rPr>
              <w:t>算法复杂</w:t>
            </w:r>
          </w:p>
        </w:tc>
        <w:tc>
          <w:tcPr>
            <w:tcW w:type="dxa" w:w="2183"/>
          </w:tcPr>
          <w:p>
            <w:pPr>
              <w:jc w:val="left"/>
            </w:pPr>
            <w:r/>
            <w:r>
              <w:rPr>
                <w:rFonts w:ascii="Times New Roman" w:hAnsi="Times New Roman" w:eastAsia="宋体"/>
                <w:b w:val="0"/>
                <w:sz w:val="19"/>
              </w:rPr>
              <w:t>新材料早期评估</w:t>
            </w:r>
          </w:p>
        </w:tc>
      </w:tr>
    </w:tbl>
    <w:p>
      <w:r>
        <w:br w:type="page"/>
      </w:r>
    </w:p>
    <w:p>
      <w:pPr>
        <w:spacing w:before="200" w:after="100"/>
        <w:outlineLvl w:val="1"/>
      </w:pPr>
      <w:r>
        <w:rPr>
          <w:rFonts w:ascii="Times New Roman" w:hAnsi="Times New Roman" w:eastAsia="黑体"/>
          <w:b/>
          <w:sz w:val="36"/>
        </w:rPr>
        <w:t>第八章 工艺改进与可靠性提升策略</w:t>
      </w:r>
    </w:p>
    <w:p>
      <w:pPr>
        <w:spacing w:line="360" w:lineRule="auto" w:after="40"/>
        <w:ind w:firstLine="420"/>
        <w:jc w:val="both"/>
      </w:pPr>
      <w:r>
        <w:rPr>
          <w:rFonts w:ascii="Times New Roman" w:hAnsi="Times New Roman" w:eastAsia="宋体"/>
          <w:b w:val="0"/>
          <w:sz w:val="21"/>
        </w:rPr>
        <w:t>本章从材料、工艺、封装、应用四个层级系统讨论 SAPC 可靠性提升的关键策略。每一条策略都结合了具体的机理依据和文献支持。</w:t>
      </w:r>
    </w:p>
    <w:p>
      <w:pPr>
        <w:spacing w:before="200" w:after="100"/>
        <w:outlineLvl w:val="2"/>
      </w:pPr>
      <w:r>
        <w:rPr>
          <w:rFonts w:ascii="Times New Roman" w:hAnsi="Times New Roman" w:eastAsia="黑体"/>
          <w:b/>
          <w:sz w:val="28"/>
        </w:rPr>
        <w:t>8.1 材料级改进</w:t>
      </w:r>
    </w:p>
    <w:p>
      <w:pPr>
        <w:spacing w:line="360" w:lineRule="auto" w:after="40"/>
        <w:ind w:firstLine="420"/>
        <w:jc w:val="both"/>
      </w:pPr>
      <w:r>
        <w:rPr>
          <w:rFonts w:ascii="Times New Roman" w:hAnsi="Times New Roman" w:eastAsia="宋体"/>
          <w:b w:val="0"/>
          <w:sz w:val="21"/>
        </w:rPr>
        <w:t>8.1.1 PEDOT 阴极材料改进 (a) 混合掺杂体系。单纯的 PEDOT:Tos 对高湿敏感，单纯的 PEDOT:PSS 则存在 PSS 酸性腐蚀；使用混合掺杂或"核壳结构" (PEDOT:Tos 作为核，PEDOT:PSS 作为壳) 可以兼顾电导率和湿度稳定性 [16]。</w:t>
      </w:r>
    </w:p>
    <w:p>
      <w:pPr>
        <w:spacing w:line="360" w:lineRule="auto" w:after="40"/>
        <w:ind w:firstLine="420"/>
        <w:jc w:val="both"/>
      </w:pPr>
      <w:r>
        <w:rPr>
          <w:rFonts w:ascii="Times New Roman" w:hAnsi="Times New Roman" w:eastAsia="宋体"/>
          <w:b w:val="0"/>
          <w:sz w:val="21"/>
        </w:rPr>
        <w:t>(b) 新型掺杂剂。使用 TCNQ、DBSA 等低酸掺杂剂代替 PSS 可以显著降低 PSS 水解对 Al₂O₃ 的侵蚀 [24]。</w:t>
      </w:r>
    </w:p>
    <w:p>
      <w:pPr>
        <w:spacing w:line="360" w:lineRule="auto" w:after="40"/>
        <w:ind w:firstLine="420"/>
        <w:jc w:val="both"/>
      </w:pPr>
      <w:r>
        <w:rPr>
          <w:rFonts w:ascii="Times New Roman" w:hAnsi="Times New Roman" w:eastAsia="宋体"/>
          <w:b w:val="0"/>
          <w:sz w:val="21"/>
        </w:rPr>
        <w:t>(c) 纳米复合。在 PEDOT 中加入石墨烯、碳纳米管、银纳米线等纳米添加剂可以在不牺牲孔隙渗透能力的前提下提升电导率并改善热稳定性 [37][61]。</w:t>
      </w:r>
    </w:p>
    <w:p>
      <w:pPr>
        <w:spacing w:line="360" w:lineRule="auto" w:after="40"/>
        <w:ind w:firstLine="420"/>
        <w:jc w:val="both"/>
      </w:pPr>
      <w:r>
        <w:rPr>
          <w:rFonts w:ascii="Times New Roman" w:hAnsi="Times New Roman" w:eastAsia="宋体"/>
          <w:b w:val="0"/>
          <w:sz w:val="21"/>
        </w:rPr>
        <w:t>8.1.2 Al₂O₃ 介质改进 (a) 多步化成。通过多步化成 + 中间热处理，可以在 Al₂O₃ 层中引入 γ-Al₂O₃ 结晶相，提升介质稳定性 [35]。</w:t>
      </w:r>
    </w:p>
    <w:p>
      <w:pPr>
        <w:spacing w:line="360" w:lineRule="auto" w:after="40"/>
        <w:ind w:firstLine="420"/>
        <w:jc w:val="both"/>
      </w:pPr>
      <w:r>
        <w:rPr>
          <w:rFonts w:ascii="Times New Roman" w:hAnsi="Times New Roman" w:eastAsia="宋体"/>
          <w:b w:val="0"/>
          <w:sz w:val="21"/>
        </w:rPr>
        <w:t>(b) 纳米层叠介质。在 Al₂O₃ 之上 ALD (原子层沉积) 一层 TiO₂ 或 HfO₂，形成纳米层叠介质，可以显著提升击穿场强并降低 LC [62]。这类工艺尚在研究阶段，未大规模商用。</w:t>
      </w:r>
    </w:p>
    <w:p>
      <w:pPr>
        <w:spacing w:line="360" w:lineRule="auto" w:after="40"/>
        <w:ind w:firstLine="420"/>
        <w:jc w:val="both"/>
      </w:pPr>
      <w:r>
        <w:rPr>
          <w:rFonts w:ascii="Times New Roman" w:hAnsi="Times New Roman" w:eastAsia="宋体"/>
          <w:b w:val="0"/>
          <w:sz w:val="21"/>
        </w:rPr>
        <w:t>8.1.3 封装材料改进 (a) 低吸湿环氧。将传统环氧中的吸湿基团 (如羟基、酯基) 替换为芳香基团，可使吸湿率从 0.3-0.5% 降至 0.15% 以下 [54]。</w:t>
      </w:r>
    </w:p>
    <w:p>
      <w:pPr>
        <w:spacing w:line="360" w:lineRule="auto" w:after="40"/>
        <w:ind w:firstLine="420"/>
        <w:jc w:val="both"/>
      </w:pPr>
      <w:r>
        <w:rPr>
          <w:rFonts w:ascii="Times New Roman" w:hAnsi="Times New Roman" w:eastAsia="宋体"/>
          <w:b w:val="0"/>
          <w:sz w:val="21"/>
        </w:rPr>
        <w:t>(b) 无卤阻燃剂。使用磷系阻燃剂替代传统的溴系，兼顾阻燃性能与环保合规。</w:t>
      </w:r>
    </w:p>
    <w:p>
      <w:pPr>
        <w:spacing w:line="360" w:lineRule="auto" w:after="40"/>
        <w:ind w:firstLine="420"/>
        <w:jc w:val="both"/>
      </w:pPr>
      <w:r>
        <w:rPr>
          <w:rFonts w:ascii="Times New Roman" w:hAnsi="Times New Roman" w:eastAsia="宋体"/>
          <w:b w:val="0"/>
          <w:sz w:val="21"/>
        </w:rPr>
        <w:t>(c) 弹性体改性。添加硅橡胶、聚氨酯橡胶等柔性相，可显著降低环氧 CTE 并提高界面粘接强度。</w:t>
      </w:r>
    </w:p>
    <w:p>
      <w:pPr>
        <w:spacing w:before="200" w:after="100"/>
        <w:outlineLvl w:val="2"/>
      </w:pPr>
      <w:r>
        <w:rPr>
          <w:rFonts w:ascii="Times New Roman" w:hAnsi="Times New Roman" w:eastAsia="黑体"/>
          <w:b/>
          <w:sz w:val="28"/>
        </w:rPr>
        <w:t>8.2 工艺级改进</w:t>
      </w:r>
    </w:p>
    <w:p>
      <w:pPr>
        <w:spacing w:line="360" w:lineRule="auto" w:after="40"/>
        <w:ind w:firstLine="420"/>
        <w:jc w:val="both"/>
      </w:pPr>
      <w:r>
        <w:rPr>
          <w:rFonts w:ascii="Times New Roman" w:hAnsi="Times New Roman" w:eastAsia="宋体"/>
          <w:b w:val="0"/>
          <w:sz w:val="21"/>
        </w:rPr>
        <w:t>8.2.1 PEDOT 沉积工艺精细化 如 3.4 节所述，VPP 是目前性能最优的 PEDOT 沉积路线。近年工艺进一步精细化体现在以下几个方面： (a) EDOT 蒸气预饱和：在 VPP 反应前先将反应室预充 EDOT 蒸气一段时间，避免反应前期的气相浓度梯度； (b) 梯度氧化剂涂布：利用双层涂布得到氧化剂浓度梯度，使 PEDOT 沿深度方向形成适度的电导率梯度； (c) 多次 VPP + 热退火：通过 2-3 次 VPP 循环配合中间热退火，使 PEDOT 晶化度更优 [28][39]。</w:t>
      </w:r>
    </w:p>
    <w:p>
      <w:pPr>
        <w:spacing w:line="360" w:lineRule="auto" w:after="40"/>
        <w:ind w:firstLine="420"/>
        <w:jc w:val="both"/>
      </w:pPr>
      <w:r>
        <w:rPr>
          <w:rFonts w:ascii="Times New Roman" w:hAnsi="Times New Roman" w:eastAsia="宋体"/>
          <w:b w:val="0"/>
          <w:sz w:val="21"/>
        </w:rPr>
        <w:t>8.2.2 再化成与热退火 现代工艺在主化成后增加 2-3 次再化成，每次使用较低的电流限制和较长的保持时间，使残留的 Al₂O₃ 缺陷点被逐步修复。Panasonic SP-Cap 的 125°C endurance 白皮书中明确提及了这一多步化成工艺 [17]。</w:t>
      </w:r>
    </w:p>
    <w:p>
      <w:pPr>
        <w:spacing w:line="360" w:lineRule="auto" w:after="40"/>
        <w:ind w:firstLine="420"/>
        <w:jc w:val="both"/>
      </w:pPr>
      <w:r>
        <w:rPr>
          <w:rFonts w:ascii="Times New Roman" w:hAnsi="Times New Roman" w:eastAsia="宋体"/>
          <w:b w:val="0"/>
          <w:sz w:val="21"/>
        </w:rPr>
        <w:t>8.2.3 叠层结构优化 (a) 锥台叠堆：不同大小的阳极箔按锥台形式叠堆，可使各层的电流路径长度接近，避免个别层过载； (b) 超声聚合压紧：使用超声振动辅助的银浆压紧，提升层间接触的机械强度； (c) 双面 PEDOT 结构：每片阳极箔两面都有 PEDOT 阴极，使 SAPC 在相同体积下获得双倍容量 [6]。</w:t>
      </w:r>
    </w:p>
    <w:p>
      <w:pPr>
        <w:spacing w:line="360" w:lineRule="auto" w:after="40"/>
        <w:ind w:firstLine="420"/>
        <w:jc w:val="both"/>
      </w:pPr>
      <w:r>
        <w:rPr>
          <w:rFonts w:ascii="Times New Roman" w:hAnsi="Times New Roman" w:eastAsia="宋体"/>
          <w:b w:val="0"/>
          <w:sz w:val="21"/>
        </w:rPr>
        <w:t>8.2.4 筛选与老炼优化 老炼的核心是以"最小代价"淘汰潜在缺陷品。最新工艺倾向于采用"分段老炼"——先在 85°C 低压低湿条件下预老炼，然后在 125°C 高压高湿下短暂老炼，综合考察不同机理的筛选效果 [18][45]。</w:t>
      </w:r>
    </w:p>
    <w:p>
      <w:pPr>
        <w:spacing w:before="200" w:after="100"/>
        <w:outlineLvl w:val="2"/>
      </w:pPr>
      <w:r>
        <w:rPr>
          <w:rFonts w:ascii="Times New Roman" w:hAnsi="Times New Roman" w:eastAsia="黑体"/>
          <w:b/>
          <w:sz w:val="28"/>
        </w:rPr>
        <w:t>8.3 封装级改进</w:t>
      </w:r>
    </w:p>
    <w:p>
      <w:pPr>
        <w:spacing w:line="360" w:lineRule="auto" w:after="40"/>
        <w:ind w:firstLine="420"/>
        <w:jc w:val="both"/>
      </w:pPr>
      <w:r>
        <w:rPr>
          <w:rFonts w:ascii="Times New Roman" w:hAnsi="Times New Roman" w:eastAsia="宋体"/>
          <w:b w:val="0"/>
          <w:sz w:val="21"/>
        </w:rPr>
        <w:t>8.3.1 双层密封 在传统环氧封装外额外增加一层低气密性的 PDMS 或硅橡胶层，形成内外双层密封。其主要作用是降低水汽扩散速率。实验表明双层密封可使 SAPC 在 85°C/85%RH 下的寿命延长 1.5-3 倍 [19][54]。</w:t>
      </w:r>
    </w:p>
    <w:p>
      <w:pPr>
        <w:spacing w:line="360" w:lineRule="auto" w:after="40"/>
        <w:ind w:firstLine="420"/>
        <w:jc w:val="both"/>
      </w:pPr>
      <w:r>
        <w:rPr>
          <w:rFonts w:ascii="Times New Roman" w:hAnsi="Times New Roman" w:eastAsia="宋体"/>
          <w:b w:val="0"/>
          <w:sz w:val="21"/>
        </w:rPr>
        <w:t>8.3.2 气密封装 对航天/军用级 SAPC，采用金属外壳 + 玻璃熔封或陶瓷熔封形成气密封装，可将内部湿度控制在 &lt; 1%RH。此类封装使 SAPC 的实际寿命逼近其 PEDOT 纯热氧化的极限——可达 20-30 年 [20][22]。</w:t>
      </w:r>
    </w:p>
    <w:p>
      <w:pPr>
        <w:spacing w:line="360" w:lineRule="auto" w:after="40"/>
        <w:ind w:firstLine="420"/>
        <w:jc w:val="both"/>
      </w:pPr>
      <w:r>
        <w:rPr>
          <w:rFonts w:ascii="Times New Roman" w:hAnsi="Times New Roman" w:eastAsia="宋体"/>
          <w:b w:val="0"/>
          <w:sz w:val="21"/>
        </w:rPr>
        <w:t>8.3.3 引线框架设计 (a) 阶梯形引线框架：通过多段阶梯设计降低引线框架与环氧之间的应力集中； (b) 镀 Ni 中间层：在 Cu 引线框架表面镀 1-3 μm Ni 可提供更好的粘接性与腐蚀抗性； (c) 局部银层图案：在引线框架与 PEDOT 之间增加图案化银层，通过机械互锁提升界面强度。</w:t>
      </w:r>
    </w:p>
    <w:p>
      <w:pPr>
        <w:spacing w:before="200" w:after="100"/>
        <w:outlineLvl w:val="2"/>
      </w:pPr>
      <w:r>
        <w:rPr>
          <w:rFonts w:ascii="Times New Roman" w:hAnsi="Times New Roman" w:eastAsia="黑体"/>
          <w:b/>
          <w:sz w:val="28"/>
        </w:rPr>
        <w:t>8.4 应用与系统级改进</w:t>
      </w:r>
    </w:p>
    <w:p>
      <w:pPr>
        <w:spacing w:line="360" w:lineRule="auto" w:after="40"/>
        <w:ind w:firstLine="420"/>
        <w:jc w:val="both"/>
      </w:pPr>
      <w:r>
        <w:rPr>
          <w:rFonts w:ascii="Times New Roman" w:hAnsi="Times New Roman" w:eastAsia="宋体"/>
          <w:b w:val="0"/>
          <w:sz w:val="21"/>
        </w:rPr>
        <w:t>即使器件已做到最优，合理的应用设计也是可靠性保证的必要一环。</w:t>
      </w:r>
    </w:p>
    <w:p>
      <w:pPr>
        <w:spacing w:line="360" w:lineRule="auto" w:after="40"/>
        <w:ind w:firstLine="420"/>
        <w:jc w:val="both"/>
      </w:pPr>
      <w:r>
        <w:rPr>
          <w:rFonts w:ascii="Times New Roman" w:hAnsi="Times New Roman" w:eastAsia="宋体"/>
          <w:b w:val="0"/>
          <w:sz w:val="21"/>
        </w:rPr>
        <w:t>8.4.1 电压降额 SAPC 工作电压/额定电压推荐比例： (a) 消费电子 (家电、PC)：0.8； (b) 工业电源：0.7； (c) 车载电源 (AEC-Q200)：0.6； (d) 航天/医疗：0.5。</w:t>
      </w:r>
    </w:p>
    <w:p>
      <w:pPr>
        <w:spacing w:line="360" w:lineRule="auto" w:after="40"/>
        <w:ind w:firstLine="420"/>
        <w:jc w:val="both"/>
      </w:pPr>
      <w:r>
        <w:rPr>
          <w:rFonts w:ascii="Times New Roman" w:hAnsi="Times New Roman" w:eastAsia="宋体"/>
          <w:b w:val="0"/>
          <w:sz w:val="21"/>
        </w:rPr>
        <w:t>电压降额对寿命的影响非线性：从 1.0 降至 0.7 V_R 可延长寿命约 3-5 倍；从 0.7 降至 0.5 V_R 可再延长 2-3 倍 [18]。</w:t>
      </w:r>
    </w:p>
    <w:p>
      <w:pPr>
        <w:spacing w:line="360" w:lineRule="auto" w:after="40"/>
        <w:ind w:firstLine="420"/>
        <w:jc w:val="both"/>
      </w:pPr>
      <w:r>
        <w:rPr>
          <w:rFonts w:ascii="Times New Roman" w:hAnsi="Times New Roman" w:eastAsia="宋体"/>
          <w:b w:val="0"/>
          <w:sz w:val="21"/>
        </w:rPr>
        <w:t>8.4.2 热管理 在 VRM、AI 服务器等场景中，SAPC 周围的局部温度可能比环境温度高 10-20°C。通过在 SAPC 下方增加散热过孔、周围留出散热通道、避免紧邻高发热器件等布局优化，可使 SAPC 实际工作温度降低 5-10°C，对应寿命延长 1.5-2 倍。</w:t>
      </w:r>
    </w:p>
    <w:p>
      <w:pPr>
        <w:spacing w:line="360" w:lineRule="auto" w:after="40"/>
        <w:ind w:firstLine="420"/>
        <w:jc w:val="both"/>
      </w:pPr>
      <w:r>
        <w:rPr>
          <w:rFonts w:ascii="Times New Roman" w:hAnsi="Times New Roman" w:eastAsia="宋体"/>
          <w:b w:val="0"/>
          <w:sz w:val="21"/>
        </w:rPr>
        <w:t>8.4.3 湿度屏蔽 对高湿环境，可采用 Conformal Coating (PCB 板面三防漆) 为 SAPC 提供额外的湿度屏障。实际效果取决于三防漆的材料和厚度，良好的三防漆可将 SAPC 内部湿度暴露时间延长 2-5 倍 [54]。</w:t>
      </w:r>
    </w:p>
    <w:p>
      <w:pPr>
        <w:spacing w:line="360" w:lineRule="auto" w:after="40"/>
        <w:ind w:firstLine="420"/>
        <w:jc w:val="both"/>
      </w:pPr>
      <w:r>
        <w:rPr>
          <w:rFonts w:ascii="Times New Roman" w:hAnsi="Times New Roman" w:eastAsia="宋体"/>
          <w:b w:val="0"/>
          <w:sz w:val="21"/>
        </w:rPr>
        <w:t>8.4.4 冗余设计 在关键应用 (如 5G 基站 DC 母线) 中采用 N+1 或 N+2 冗余配置，允许个别 SAPC 故障而不影响整机功能。这是在可靠性工程中最"保底"的策略。</w:t>
      </w:r>
    </w:p>
    <w:p>
      <w:pPr>
        <w:spacing w:line="360" w:lineRule="auto" w:after="40"/>
        <w:ind w:firstLine="420"/>
        <w:jc w:val="both"/>
      </w:pPr>
      <w:r>
        <w:rPr>
          <w:rFonts w:ascii="Times New Roman" w:hAnsi="Times New Roman" w:eastAsia="宋体"/>
          <w:b w:val="0"/>
          <w:sz w:val="21"/>
        </w:rPr>
        <w:t>8.4.5 预测性维护 基于 ESR/LC 的在线监测 + 基于 CNN-LSTM 的 RUL 预测可以在 SAPC 发生硬失效前数百小时预警。这一策略已在部分 AI 数据中心和电动汽车中试点部署 [29]。</w:t>
      </w:r>
    </w:p>
    <w:p>
      <w:pPr>
        <w:spacing w:before="120"/>
        <w:jc w:val="center"/>
      </w:pPr>
      <w:r>
        <w:drawing>
          <wp:inline xmlns:a="http://schemas.openxmlformats.org/drawingml/2006/main" xmlns:pic="http://schemas.openxmlformats.org/drawingml/2006/picture">
            <wp:extent cx="5220000" cy="4641908"/>
            <wp:docPr id="15" name="Picture 15"/>
            <wp:cNvGraphicFramePr>
              <a:graphicFrameLocks noChangeAspect="1"/>
            </wp:cNvGraphicFramePr>
            <a:graphic>
              <a:graphicData uri="http://schemas.openxmlformats.org/drawingml/2006/picture">
                <pic:pic>
                  <pic:nvPicPr>
                    <pic:cNvPr id="0" name="fig14_apps.png"/>
                    <pic:cNvPicPr/>
                  </pic:nvPicPr>
                  <pic:blipFill>
                    <a:blip r:embed="rId23"/>
                    <a:stretch>
                      <a:fillRect/>
                    </a:stretch>
                  </pic:blipFill>
                  <pic:spPr>
                    <a:xfrm>
                      <a:off x="0" y="0"/>
                      <a:ext cx="5220000" cy="4641908"/>
                    </a:xfrm>
                    <a:prstGeom prst="rect"/>
                  </pic:spPr>
                </pic:pic>
              </a:graphicData>
            </a:graphic>
          </wp:inline>
        </w:drawing>
      </w:r>
    </w:p>
    <w:p>
      <w:pPr>
        <w:spacing w:after="120"/>
        <w:jc w:val="center"/>
      </w:pPr>
      <w:r>
        <w:rPr>
          <w:rFonts w:ascii="Times New Roman" w:hAnsi="Times New Roman" w:eastAsia="黑体"/>
          <w:b/>
          <w:sz w:val="20"/>
        </w:rPr>
        <w:t>图 8-1  SAPC 在不同应用场景的适用性雷达图（与 MLCC、Al-liquid、Ta-polymer 对比）</w:t>
      </w:r>
    </w:p>
    <w:p>
      <w:pPr>
        <w:spacing w:before="200" w:after="100"/>
        <w:outlineLvl w:val="2"/>
      </w:pPr>
      <w:r>
        <w:rPr>
          <w:rFonts w:ascii="Times New Roman" w:hAnsi="Times New Roman" w:eastAsia="黑体"/>
          <w:b/>
          <w:sz w:val="28"/>
        </w:rPr>
        <w:t>8.5 未来发展与挑战</w:t>
      </w:r>
    </w:p>
    <w:p>
      <w:pPr>
        <w:spacing w:line="360" w:lineRule="auto" w:after="40"/>
        <w:ind w:firstLine="420"/>
        <w:jc w:val="both"/>
      </w:pPr>
      <w:r>
        <w:rPr>
          <w:rFonts w:ascii="Times New Roman" w:hAnsi="Times New Roman" w:eastAsia="宋体"/>
          <w:b w:val="0"/>
          <w:sz w:val="21"/>
        </w:rPr>
        <w:t>展望未来 5-10 年，SAPC 技术仍面临以下挑战与机遇：</w:t>
      </w:r>
    </w:p>
    <w:p>
      <w:pPr>
        <w:spacing w:line="360" w:lineRule="auto" w:after="40"/>
        <w:ind w:firstLine="420"/>
        <w:jc w:val="both"/>
      </w:pPr>
      <w:r>
        <w:rPr>
          <w:rFonts w:ascii="Times New Roman" w:hAnsi="Times New Roman" w:eastAsia="宋体"/>
          <w:b w:val="0"/>
          <w:sz w:val="21"/>
        </w:rPr>
        <w:t>(1) 提升 125°C endurance 至 10,000 小时以上。这要求材料体系的根本革新——可能通过耐高温导电聚合物 (如 PEDOT 改性、氮杂环聚合物等) 实现。</w:t>
      </w:r>
    </w:p>
    <w:p>
      <w:pPr>
        <w:spacing w:line="360" w:lineRule="auto" w:after="40"/>
        <w:ind w:firstLine="420"/>
        <w:jc w:val="both"/>
      </w:pPr>
      <w:r>
        <w:rPr>
          <w:rFonts w:ascii="Times New Roman" w:hAnsi="Times New Roman" w:eastAsia="宋体"/>
          <w:b w:val="0"/>
          <w:sz w:val="21"/>
        </w:rPr>
        <w:t>(2) 扩展电压范围至 50-100 V。目前 SAPC 的额定电压最高为 35-50 V，限于 Al₂O₃ 介质厚度。通过纳米层叠介质或高电压化成工艺可能突破。</w:t>
      </w:r>
    </w:p>
    <w:p>
      <w:pPr>
        <w:spacing w:line="360" w:lineRule="auto" w:after="40"/>
        <w:ind w:firstLine="420"/>
        <w:jc w:val="both"/>
      </w:pPr>
      <w:r>
        <w:rPr>
          <w:rFonts w:ascii="Times New Roman" w:hAnsi="Times New Roman" w:eastAsia="宋体"/>
          <w:b w:val="0"/>
          <w:sz w:val="21"/>
        </w:rPr>
        <w:t>(3) 集成化封装。将 SAPC 与 LDO、DC-DC IC 等电源芯片在封装层共同集成，形成 Power-SiP (Power System-in-Package)，可显著降低 PCB 占用并提升系统功率密度 [63]。</w:t>
      </w:r>
    </w:p>
    <w:p>
      <w:pPr>
        <w:spacing w:line="360" w:lineRule="auto" w:after="40"/>
        <w:ind w:firstLine="420"/>
        <w:jc w:val="both"/>
      </w:pPr>
      <w:r>
        <w:rPr>
          <w:rFonts w:ascii="Times New Roman" w:hAnsi="Times New Roman" w:eastAsia="宋体"/>
          <w:b w:val="0"/>
          <w:sz w:val="21"/>
        </w:rPr>
        <w:t>(4) 智能自诊断 SAPC。在 SAPC 内部集成微型温度或应变传感器，使其成为"自诊断"元件。这类器件已有研究报告 [64] 但尚未商用。</w:t>
      </w:r>
    </w:p>
    <w:p>
      <w:pPr>
        <w:spacing w:line="360" w:lineRule="auto" w:after="40"/>
        <w:ind w:firstLine="420"/>
        <w:jc w:val="both"/>
      </w:pPr>
      <w:r>
        <w:rPr>
          <w:rFonts w:ascii="Times New Roman" w:hAnsi="Times New Roman" w:eastAsia="宋体"/>
          <w:b w:val="0"/>
          <w:sz w:val="21"/>
        </w:rPr>
        <w:t>(5) 可生物降解聚合物阴极。为减小电子垃圾对环境的长期影响，绿色可降解 PEDOT 衍生物正在研究中。尽管目前性能尚不如传统 PEDOT，但代表了可持续电子学的发展方向。</w:t>
      </w:r>
    </w:p>
    <w:p>
      <w:pPr>
        <w:spacing w:line="360" w:lineRule="auto" w:after="40"/>
        <w:ind w:firstLine="420"/>
        <w:jc w:val="both"/>
      </w:pPr>
      <w:r>
        <w:rPr>
          <w:rFonts w:ascii="Times New Roman" w:hAnsi="Times New Roman" w:eastAsia="宋体"/>
          <w:b w:val="0"/>
          <w:sz w:val="21"/>
        </w:rPr>
        <w:t>(6) AI 驱动的全生命周期管理。将 SAPC 从生产过程的工艺控制、出厂筛选、现场监测到回收再利用全环节数字化，通过 AI 实现闭环优化。</w:t>
      </w:r>
    </w:p>
    <w:p>
      <w:pPr>
        <w:spacing w:line="360" w:lineRule="auto" w:after="40"/>
        <w:ind w:firstLine="420"/>
        <w:jc w:val="both"/>
      </w:pPr>
      <w:r>
        <w:rPr>
          <w:rFonts w:ascii="Times New Roman" w:hAnsi="Times New Roman" w:eastAsia="宋体"/>
          <w:b w:val="0"/>
          <w:sz w:val="21"/>
        </w:rPr>
        <w:t>这些方向既是技术难题，也是材料科学、工艺工程、电路设计、可靠性建模、AI 等多个学科交叉融合的机遇。我们有理由相信，SAPC 在未来的电力电子系统中仍将占据不可替代的位置。</w:t>
      </w:r>
    </w:p>
    <w:p>
      <w:r>
        <w:br w:type="page"/>
      </w:r>
    </w:p>
    <w:p>
      <w:pPr>
        <w:spacing w:before="200" w:after="100"/>
        <w:outlineLvl w:val="1"/>
      </w:pPr>
      <w:r>
        <w:rPr>
          <w:rFonts w:ascii="Times New Roman" w:hAnsi="Times New Roman" w:eastAsia="黑体"/>
          <w:b/>
          <w:sz w:val="36"/>
        </w:rPr>
        <w:t>结  论</w:t>
      </w:r>
    </w:p>
    <w:p>
      <w:pPr>
        <w:spacing w:line="360" w:lineRule="auto" w:after="40"/>
        <w:ind w:firstLine="420"/>
        <w:jc w:val="both"/>
      </w:pPr>
      <w:r>
        <w:rPr>
          <w:rFonts w:ascii="Times New Roman" w:hAnsi="Times New Roman" w:eastAsia="宋体"/>
          <w:b w:val="0"/>
          <w:sz w:val="21"/>
        </w:rPr>
        <w:t>本综述围绕叠层铝固态聚合物电容器 (SAPC) 这一近二十年兴起的重要被动元件，从材料结构、制造工艺、表征方法、失效模式、失效机理、可靠性建模、工艺改进七个维度，系统梳理了其科学原理、技术演进与研究进展。主要结论如下：</w:t>
      </w:r>
    </w:p>
    <w:p>
      <w:pPr>
        <w:spacing w:line="360" w:lineRule="auto" w:after="40"/>
        <w:ind w:firstLine="420"/>
        <w:jc w:val="both"/>
      </w:pPr>
      <w:r>
        <w:rPr>
          <w:rFonts w:ascii="Times New Roman" w:hAnsi="Times New Roman" w:eastAsia="宋体"/>
          <w:b w:val="0"/>
          <w:sz w:val="21"/>
        </w:rPr>
        <w:t>第一，SAPC 是 CPU/GPU VRM、5G 基站、AI 服务器、EV 低压域等高端场景的核心电容器，其核心竞争力在于极低 ESR、无电解液蒸发寿命极限、无浪涌燃烧风险、无 DC 偏置效应等独特优势。这使其在直接对标 MLCC、钽聚合物电容、液态铝电容的差异化定位上具有明确的技术边界。</w:t>
      </w:r>
    </w:p>
    <w:p>
      <w:pPr>
        <w:spacing w:line="360" w:lineRule="auto" w:after="40"/>
        <w:ind w:firstLine="420"/>
        <w:jc w:val="both"/>
      </w:pPr>
      <w:r>
        <w:rPr>
          <w:rFonts w:ascii="Times New Roman" w:hAnsi="Times New Roman" w:eastAsia="宋体"/>
          <w:b w:val="0"/>
          <w:sz w:val="21"/>
        </w:rPr>
        <w:t>第二，SAPC 的失效行为与液态铝电容和钽电容显著不同，呈现出明显的工艺敏感性：采用 in-situ 聚合 PEDOT 的产品在高湿下以 ESR 上升为主导，而采用预聚合 PEDOT:PSS 的产品则常见 LC 跑飞。这一现象来自 PEDOT 阴极的具体化学结构与 Al₂O₃ 介质的相互作用，不是简单的应力老化。</w:t>
      </w:r>
    </w:p>
    <w:p>
      <w:pPr>
        <w:spacing w:line="360" w:lineRule="auto" w:after="40"/>
        <w:ind w:firstLine="420"/>
        <w:jc w:val="both"/>
      </w:pPr>
      <w:r>
        <w:rPr>
          <w:rFonts w:ascii="Times New Roman" w:hAnsi="Times New Roman" w:eastAsia="宋体"/>
          <w:b w:val="0"/>
          <w:sz w:val="21"/>
        </w:rPr>
        <w:t>第三，PEDOT 阴极的热氧化、PSS 水解、PEDOT/Al₂O₃ 界面分层、Al₂O₃ 介质场致老化共同构成了 SAPC 的失效机理集合。其中界面分层是导致 ESR 上升的主要机制 (KEMET Freeman &amp; Lessner 定论)，而 PSS 酸性水解是 LC 跑飞的主要机制 (CALCE Liu &amp; Pecht 定论)。</w:t>
      </w:r>
    </w:p>
    <w:p>
      <w:pPr>
        <w:spacing w:line="360" w:lineRule="auto" w:after="40"/>
        <w:ind w:firstLine="420"/>
        <w:jc w:val="both"/>
      </w:pPr>
      <w:r>
        <w:rPr>
          <w:rFonts w:ascii="Times New Roman" w:hAnsi="Times New Roman" w:eastAsia="宋体"/>
          <w:b w:val="0"/>
          <w:sz w:val="21"/>
        </w:rPr>
        <w:t>第四，SAPC 的自愈机制基于 PEDOT 焦耳热去掺杂，但在高湿下可能发生"反向自愈"——被去掺杂的 PEDOT 在吸水后重新恢复导电。因此 SAPC 的自愈能力有限，不能作为应对浪涌或过应力的主要手段。</w:t>
      </w:r>
    </w:p>
    <w:p>
      <w:pPr>
        <w:spacing w:line="360" w:lineRule="auto" w:after="40"/>
        <w:ind w:firstLine="420"/>
        <w:jc w:val="both"/>
      </w:pPr>
      <w:r>
        <w:rPr>
          <w:rFonts w:ascii="Times New Roman" w:hAnsi="Times New Roman" w:eastAsia="宋体"/>
          <w:b w:val="0"/>
          <w:sz w:val="21"/>
        </w:rPr>
        <w:t>第五，可靠性建模方面，经典 Prokopowicz-Vaskas 方程对 SAPC 不完全适用，需要使用含湿度项的广义 Eyring 模型。NASA NEPP Teverovsky 2024 HALT 数据给出典型激活能 E_a ≈ 0.73 eV、电压指数 n ≈ 3-4；湿度系数 b ≈ 0.02-0.04 /%RH。</w:t>
      </w:r>
    </w:p>
    <w:p>
      <w:pPr>
        <w:spacing w:line="360" w:lineRule="auto" w:after="40"/>
        <w:ind w:firstLine="420"/>
        <w:jc w:val="both"/>
      </w:pPr>
      <w:r>
        <w:rPr>
          <w:rFonts w:ascii="Times New Roman" w:hAnsi="Times New Roman" w:eastAsia="宋体"/>
          <w:b w:val="0"/>
          <w:sz w:val="21"/>
        </w:rPr>
        <w:t>第六，在工艺改进方面，VPP 工艺是目前 PEDOT 沉积的最优方案；采用低酸掺杂剂、双层封装、气密封装、电压降额、热管理、湿度屏蔽等多层次措施，可将 SAPC 的工程寿命提升 2-10 倍。</w:t>
      </w:r>
    </w:p>
    <w:p>
      <w:pPr>
        <w:spacing w:line="360" w:lineRule="auto" w:after="40"/>
        <w:ind w:firstLine="420"/>
        <w:jc w:val="both"/>
      </w:pPr>
      <w:r>
        <w:rPr>
          <w:rFonts w:ascii="Times New Roman" w:hAnsi="Times New Roman" w:eastAsia="宋体"/>
          <w:b w:val="0"/>
          <w:sz w:val="21"/>
        </w:rPr>
        <w:t>第七，未来方向包括：125°C/10,000h 长寿命 SAPC、高压 SAPC (50-100 V)、Power-SiP 集成、智能自诊断、AI 全生命周期管理等。这些方向兼具科学挑战与工程价值，是材料学、工艺学、AI 与系统工程的交叉前沿。</w:t>
      </w:r>
    </w:p>
    <w:p>
      <w:pPr>
        <w:spacing w:line="360" w:lineRule="auto" w:after="40"/>
        <w:ind w:firstLine="420"/>
        <w:jc w:val="both"/>
      </w:pPr>
      <w:r>
        <w:rPr>
          <w:rFonts w:ascii="Times New Roman" w:hAnsi="Times New Roman" w:eastAsia="宋体"/>
          <w:b w:val="0"/>
          <w:sz w:val="21"/>
        </w:rPr>
        <w:t>本综述为 SAPC 的选型设计、加速试验规划、寿命预测、工艺改进、预测性维护策略制定提供了系统化的理论参考。希望能为电容器材料学家、可靠性工程师、电源系统设计者与质量保证专业人员提供有用的知识框架，同时为新一代导电聚合物电容器的研发提供启发。</w:t>
      </w:r>
    </w:p>
    <w:p>
      <w:r>
        <w:br w:type="page"/>
      </w:r>
    </w:p>
    <w:p>
      <w:pPr>
        <w:spacing w:before="200" w:after="100"/>
        <w:outlineLvl w:val="1"/>
      </w:pPr>
      <w:r>
        <w:rPr>
          <w:rFonts w:ascii="Times New Roman" w:hAnsi="Times New Roman" w:eastAsia="黑体"/>
          <w:b/>
          <w:sz w:val="36"/>
        </w:rPr>
        <w:t>附录 A  符号与缩略语表</w:t>
      </w:r>
    </w:p>
    <w:p>
      <w:pPr>
        <w:jc w:val="center"/>
      </w:pPr>
      <w:r>
        <w:rPr>
          <w:rFonts w:ascii="Times New Roman" w:hAnsi="Times New Roman" w:eastAsia="黑体"/>
          <w:b/>
          <w:sz w:val="20"/>
        </w:rPr>
        <w:t>附表 A-1  本综述主要符号与缩略语</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jc w:val="center"/>
            </w:pPr>
            <w:r/>
            <w:r>
              <w:rPr>
                <w:rFonts w:ascii="Times New Roman" w:hAnsi="Times New Roman" w:eastAsia="黑体"/>
                <w:b/>
                <w:sz w:val="19"/>
              </w:rPr>
              <w:t>符号/缩略语</w:t>
            </w:r>
          </w:p>
        </w:tc>
        <w:tc>
          <w:tcPr>
            <w:tcW w:type="dxa" w:w="2911"/>
          </w:tcPr>
          <w:p>
            <w:pPr>
              <w:jc w:val="center"/>
            </w:pPr>
            <w:r/>
            <w:r>
              <w:rPr>
                <w:rFonts w:ascii="Times New Roman" w:hAnsi="Times New Roman" w:eastAsia="黑体"/>
                <w:b/>
                <w:sz w:val="19"/>
              </w:rPr>
              <w:t>中文含义</w:t>
            </w:r>
          </w:p>
        </w:tc>
        <w:tc>
          <w:tcPr>
            <w:tcW w:type="dxa" w:w="2911"/>
          </w:tcPr>
          <w:p>
            <w:pPr>
              <w:jc w:val="center"/>
            </w:pPr>
            <w:r/>
            <w:r>
              <w:rPr>
                <w:rFonts w:ascii="Times New Roman" w:hAnsi="Times New Roman" w:eastAsia="黑体"/>
                <w:b/>
                <w:sz w:val="19"/>
              </w:rPr>
              <w:t>英文/说明</w:t>
            </w:r>
          </w:p>
        </w:tc>
      </w:tr>
      <w:tr>
        <w:tc>
          <w:tcPr>
            <w:tcW w:type="dxa" w:w="2911"/>
          </w:tcPr>
          <w:p>
            <w:pPr>
              <w:jc w:val="left"/>
            </w:pPr>
            <w:r/>
            <w:r>
              <w:rPr>
                <w:rFonts w:ascii="Times New Roman" w:hAnsi="Times New Roman" w:eastAsia="宋体"/>
                <w:b w:val="0"/>
                <w:sz w:val="19"/>
              </w:rPr>
              <w:t>SAPC</w:t>
            </w:r>
          </w:p>
        </w:tc>
        <w:tc>
          <w:tcPr>
            <w:tcW w:type="dxa" w:w="2911"/>
          </w:tcPr>
          <w:p>
            <w:pPr>
              <w:jc w:val="left"/>
            </w:pPr>
            <w:r/>
            <w:r>
              <w:rPr>
                <w:rFonts w:ascii="Times New Roman" w:hAnsi="Times New Roman" w:eastAsia="宋体"/>
                <w:b w:val="0"/>
                <w:sz w:val="19"/>
              </w:rPr>
              <w:t>叠层铝固态聚合物电容器</w:t>
            </w:r>
          </w:p>
        </w:tc>
        <w:tc>
          <w:tcPr>
            <w:tcW w:type="dxa" w:w="2911"/>
          </w:tcPr>
          <w:p>
            <w:pPr>
              <w:jc w:val="left"/>
            </w:pPr>
            <w:r/>
            <w:r>
              <w:rPr>
                <w:rFonts w:ascii="Times New Roman" w:hAnsi="Times New Roman" w:eastAsia="宋体"/>
                <w:b w:val="0"/>
                <w:sz w:val="19"/>
              </w:rPr>
              <w:t>Stacked Aluminum Polymer Capacitor</w:t>
            </w:r>
          </w:p>
        </w:tc>
      </w:tr>
      <w:tr>
        <w:tc>
          <w:tcPr>
            <w:tcW w:type="dxa" w:w="2911"/>
          </w:tcPr>
          <w:p>
            <w:pPr>
              <w:jc w:val="left"/>
            </w:pPr>
            <w:r/>
            <w:r>
              <w:rPr>
                <w:rFonts w:ascii="Times New Roman" w:hAnsi="Times New Roman" w:eastAsia="宋体"/>
                <w:b w:val="0"/>
                <w:sz w:val="19"/>
              </w:rPr>
              <w:t>PEDOT</w:t>
            </w:r>
          </w:p>
        </w:tc>
        <w:tc>
          <w:tcPr>
            <w:tcW w:type="dxa" w:w="2911"/>
          </w:tcPr>
          <w:p>
            <w:pPr>
              <w:jc w:val="left"/>
            </w:pPr>
            <w:r/>
            <w:r>
              <w:rPr>
                <w:rFonts w:ascii="Times New Roman" w:hAnsi="Times New Roman" w:eastAsia="宋体"/>
                <w:b w:val="0"/>
                <w:sz w:val="19"/>
              </w:rPr>
              <w:t>聚 3,4-乙撑二氧噻吩</w:t>
            </w:r>
          </w:p>
        </w:tc>
        <w:tc>
          <w:tcPr>
            <w:tcW w:type="dxa" w:w="2911"/>
          </w:tcPr>
          <w:p>
            <w:pPr>
              <w:jc w:val="left"/>
            </w:pPr>
            <w:r/>
            <w:r>
              <w:rPr>
                <w:rFonts w:ascii="Times New Roman" w:hAnsi="Times New Roman" w:eastAsia="宋体"/>
                <w:b w:val="0"/>
                <w:sz w:val="19"/>
              </w:rPr>
              <w:t>Poly(3,4-ethylenedioxythiophene)</w:t>
            </w:r>
          </w:p>
        </w:tc>
      </w:tr>
      <w:tr>
        <w:tc>
          <w:tcPr>
            <w:tcW w:type="dxa" w:w="2911"/>
          </w:tcPr>
          <w:p>
            <w:pPr>
              <w:jc w:val="left"/>
            </w:pPr>
            <w:r/>
            <w:r>
              <w:rPr>
                <w:rFonts w:ascii="Times New Roman" w:hAnsi="Times New Roman" w:eastAsia="宋体"/>
                <w:b w:val="0"/>
                <w:sz w:val="19"/>
              </w:rPr>
              <w:t>EDOT</w:t>
            </w:r>
          </w:p>
        </w:tc>
        <w:tc>
          <w:tcPr>
            <w:tcW w:type="dxa" w:w="2911"/>
          </w:tcPr>
          <w:p>
            <w:pPr>
              <w:jc w:val="left"/>
            </w:pPr>
            <w:r/>
            <w:r>
              <w:rPr>
                <w:rFonts w:ascii="Times New Roman" w:hAnsi="Times New Roman" w:eastAsia="宋体"/>
                <w:b w:val="0"/>
                <w:sz w:val="19"/>
              </w:rPr>
              <w:t>3,4-乙撑二氧噻吩单体</w:t>
            </w:r>
          </w:p>
        </w:tc>
        <w:tc>
          <w:tcPr>
            <w:tcW w:type="dxa" w:w="2911"/>
          </w:tcPr>
          <w:p>
            <w:pPr>
              <w:jc w:val="left"/>
            </w:pPr>
            <w:r/>
            <w:r>
              <w:rPr>
                <w:rFonts w:ascii="Times New Roman" w:hAnsi="Times New Roman" w:eastAsia="宋体"/>
                <w:b w:val="0"/>
                <w:sz w:val="19"/>
              </w:rPr>
              <w:t>3,4-ethylenedioxythiophene (monomer)</w:t>
            </w:r>
          </w:p>
        </w:tc>
      </w:tr>
      <w:tr>
        <w:tc>
          <w:tcPr>
            <w:tcW w:type="dxa" w:w="2911"/>
          </w:tcPr>
          <w:p>
            <w:pPr>
              <w:jc w:val="left"/>
            </w:pPr>
            <w:r/>
            <w:r>
              <w:rPr>
                <w:rFonts w:ascii="Times New Roman" w:hAnsi="Times New Roman" w:eastAsia="宋体"/>
                <w:b w:val="0"/>
                <w:sz w:val="19"/>
              </w:rPr>
              <w:t>PSS</w:t>
            </w:r>
          </w:p>
        </w:tc>
        <w:tc>
          <w:tcPr>
            <w:tcW w:type="dxa" w:w="2911"/>
          </w:tcPr>
          <w:p>
            <w:pPr>
              <w:jc w:val="left"/>
            </w:pPr>
            <w:r/>
            <w:r>
              <w:rPr>
                <w:rFonts w:ascii="Times New Roman" w:hAnsi="Times New Roman" w:eastAsia="宋体"/>
                <w:b w:val="0"/>
                <w:sz w:val="19"/>
              </w:rPr>
              <w:t>聚苯乙烯磺酸</w:t>
            </w:r>
          </w:p>
        </w:tc>
        <w:tc>
          <w:tcPr>
            <w:tcW w:type="dxa" w:w="2911"/>
          </w:tcPr>
          <w:p>
            <w:pPr>
              <w:jc w:val="left"/>
            </w:pPr>
            <w:r/>
            <w:r>
              <w:rPr>
                <w:rFonts w:ascii="Times New Roman" w:hAnsi="Times New Roman" w:eastAsia="宋体"/>
                <w:b w:val="0"/>
                <w:sz w:val="19"/>
              </w:rPr>
              <w:t>Polystyrene sulfonate</w:t>
            </w:r>
          </w:p>
        </w:tc>
      </w:tr>
      <w:tr>
        <w:tc>
          <w:tcPr>
            <w:tcW w:type="dxa" w:w="2911"/>
          </w:tcPr>
          <w:p>
            <w:pPr>
              <w:jc w:val="left"/>
            </w:pPr>
            <w:r/>
            <w:r>
              <w:rPr>
                <w:rFonts w:ascii="Times New Roman" w:hAnsi="Times New Roman" w:eastAsia="宋体"/>
                <w:b w:val="0"/>
                <w:sz w:val="19"/>
              </w:rPr>
              <w:t>Tos</w:t>
            </w:r>
          </w:p>
        </w:tc>
        <w:tc>
          <w:tcPr>
            <w:tcW w:type="dxa" w:w="2911"/>
          </w:tcPr>
          <w:p>
            <w:pPr>
              <w:jc w:val="left"/>
            </w:pPr>
            <w:r/>
            <w:r>
              <w:rPr>
                <w:rFonts w:ascii="Times New Roman" w:hAnsi="Times New Roman" w:eastAsia="宋体"/>
                <w:b w:val="0"/>
                <w:sz w:val="19"/>
              </w:rPr>
              <w:t>对甲基苯磺酸根</w:t>
            </w:r>
          </w:p>
        </w:tc>
        <w:tc>
          <w:tcPr>
            <w:tcW w:type="dxa" w:w="2911"/>
          </w:tcPr>
          <w:p>
            <w:pPr>
              <w:jc w:val="left"/>
            </w:pPr>
            <w:r/>
            <w:r>
              <w:rPr>
                <w:rFonts w:ascii="Times New Roman" w:hAnsi="Times New Roman" w:eastAsia="宋体"/>
                <w:b w:val="0"/>
                <w:sz w:val="19"/>
              </w:rPr>
              <w:t>p-Toluenesulfonate</w:t>
            </w:r>
          </w:p>
        </w:tc>
      </w:tr>
      <w:tr>
        <w:tc>
          <w:tcPr>
            <w:tcW w:type="dxa" w:w="2911"/>
          </w:tcPr>
          <w:p>
            <w:pPr>
              <w:jc w:val="left"/>
            </w:pPr>
            <w:r/>
            <w:r>
              <w:rPr>
                <w:rFonts w:ascii="Times New Roman" w:hAnsi="Times New Roman" w:eastAsia="宋体"/>
                <w:b w:val="0"/>
                <w:sz w:val="19"/>
              </w:rPr>
              <w:t>PPy</w:t>
            </w:r>
          </w:p>
        </w:tc>
        <w:tc>
          <w:tcPr>
            <w:tcW w:type="dxa" w:w="2911"/>
          </w:tcPr>
          <w:p>
            <w:pPr>
              <w:jc w:val="left"/>
            </w:pPr>
            <w:r/>
            <w:r>
              <w:rPr>
                <w:rFonts w:ascii="Times New Roman" w:hAnsi="Times New Roman" w:eastAsia="宋体"/>
                <w:b w:val="0"/>
                <w:sz w:val="19"/>
              </w:rPr>
              <w:t>聚吡咯</w:t>
            </w:r>
          </w:p>
        </w:tc>
        <w:tc>
          <w:tcPr>
            <w:tcW w:type="dxa" w:w="2911"/>
          </w:tcPr>
          <w:p>
            <w:pPr>
              <w:jc w:val="left"/>
            </w:pPr>
            <w:r/>
            <w:r>
              <w:rPr>
                <w:rFonts w:ascii="Times New Roman" w:hAnsi="Times New Roman" w:eastAsia="宋体"/>
                <w:b w:val="0"/>
                <w:sz w:val="19"/>
              </w:rPr>
              <w:t>Polypyrrole</w:t>
            </w:r>
          </w:p>
        </w:tc>
      </w:tr>
      <w:tr>
        <w:tc>
          <w:tcPr>
            <w:tcW w:type="dxa" w:w="2911"/>
          </w:tcPr>
          <w:p>
            <w:pPr>
              <w:jc w:val="left"/>
            </w:pPr>
            <w:r/>
            <w:r>
              <w:rPr>
                <w:rFonts w:ascii="Times New Roman" w:hAnsi="Times New Roman" w:eastAsia="宋体"/>
                <w:b w:val="0"/>
                <w:sz w:val="19"/>
              </w:rPr>
              <w:t>VPP</w:t>
            </w:r>
          </w:p>
        </w:tc>
        <w:tc>
          <w:tcPr>
            <w:tcW w:type="dxa" w:w="2911"/>
          </w:tcPr>
          <w:p>
            <w:pPr>
              <w:jc w:val="left"/>
            </w:pPr>
            <w:r/>
            <w:r>
              <w:rPr>
                <w:rFonts w:ascii="Times New Roman" w:hAnsi="Times New Roman" w:eastAsia="宋体"/>
                <w:b w:val="0"/>
                <w:sz w:val="19"/>
              </w:rPr>
              <w:t>气相聚合</w:t>
            </w:r>
          </w:p>
        </w:tc>
        <w:tc>
          <w:tcPr>
            <w:tcW w:type="dxa" w:w="2911"/>
          </w:tcPr>
          <w:p>
            <w:pPr>
              <w:jc w:val="left"/>
            </w:pPr>
            <w:r/>
            <w:r>
              <w:rPr>
                <w:rFonts w:ascii="Times New Roman" w:hAnsi="Times New Roman" w:eastAsia="宋体"/>
                <w:b w:val="0"/>
                <w:sz w:val="19"/>
              </w:rPr>
              <w:t>Vapor-Phase Polymerization</w:t>
            </w:r>
          </w:p>
        </w:tc>
      </w:tr>
      <w:tr>
        <w:tc>
          <w:tcPr>
            <w:tcW w:type="dxa" w:w="2911"/>
          </w:tcPr>
          <w:p>
            <w:pPr>
              <w:jc w:val="left"/>
            </w:pPr>
            <w:r/>
            <w:r>
              <w:rPr>
                <w:rFonts w:ascii="Times New Roman" w:hAnsi="Times New Roman" w:eastAsia="宋体"/>
                <w:b w:val="0"/>
                <w:sz w:val="19"/>
              </w:rPr>
              <w:t>C</w:t>
            </w:r>
          </w:p>
        </w:tc>
        <w:tc>
          <w:tcPr>
            <w:tcW w:type="dxa" w:w="2911"/>
          </w:tcPr>
          <w:p>
            <w:pPr>
              <w:jc w:val="left"/>
            </w:pPr>
            <w:r/>
            <w:r>
              <w:rPr>
                <w:rFonts w:ascii="Times New Roman" w:hAnsi="Times New Roman" w:eastAsia="宋体"/>
                <w:b w:val="0"/>
                <w:sz w:val="19"/>
              </w:rPr>
              <w:t>电容量</w:t>
            </w:r>
          </w:p>
        </w:tc>
        <w:tc>
          <w:tcPr>
            <w:tcW w:type="dxa" w:w="2911"/>
          </w:tcPr>
          <w:p>
            <w:pPr>
              <w:jc w:val="left"/>
            </w:pPr>
            <w:r/>
            <w:r>
              <w:rPr>
                <w:rFonts w:ascii="Times New Roman" w:hAnsi="Times New Roman" w:eastAsia="宋体"/>
                <w:b w:val="0"/>
                <w:sz w:val="19"/>
              </w:rPr>
              <w:t>Capacitance (F)</w:t>
            </w:r>
          </w:p>
        </w:tc>
      </w:tr>
      <w:tr>
        <w:tc>
          <w:tcPr>
            <w:tcW w:type="dxa" w:w="2911"/>
          </w:tcPr>
          <w:p>
            <w:pPr>
              <w:jc w:val="left"/>
            </w:pPr>
            <w:r/>
            <w:r>
              <w:rPr>
                <w:rFonts w:ascii="Times New Roman" w:hAnsi="Times New Roman" w:eastAsia="宋体"/>
                <w:b w:val="0"/>
                <w:sz w:val="19"/>
              </w:rPr>
              <w:t>ESR</w:t>
            </w:r>
          </w:p>
        </w:tc>
        <w:tc>
          <w:tcPr>
            <w:tcW w:type="dxa" w:w="2911"/>
          </w:tcPr>
          <w:p>
            <w:pPr>
              <w:jc w:val="left"/>
            </w:pPr>
            <w:r/>
            <w:r>
              <w:rPr>
                <w:rFonts w:ascii="Times New Roman" w:hAnsi="Times New Roman" w:eastAsia="宋体"/>
                <w:b w:val="0"/>
                <w:sz w:val="19"/>
              </w:rPr>
              <w:t>等效串联电阻</w:t>
            </w:r>
          </w:p>
        </w:tc>
        <w:tc>
          <w:tcPr>
            <w:tcW w:type="dxa" w:w="2911"/>
          </w:tcPr>
          <w:p>
            <w:pPr>
              <w:jc w:val="left"/>
            </w:pPr>
            <w:r/>
            <w:r>
              <w:rPr>
                <w:rFonts w:ascii="Times New Roman" w:hAnsi="Times New Roman" w:eastAsia="宋体"/>
                <w:b w:val="0"/>
                <w:sz w:val="19"/>
              </w:rPr>
              <w:t>Equivalent Series Resistance (Ω)</w:t>
            </w:r>
          </w:p>
        </w:tc>
      </w:tr>
      <w:tr>
        <w:tc>
          <w:tcPr>
            <w:tcW w:type="dxa" w:w="2911"/>
          </w:tcPr>
          <w:p>
            <w:pPr>
              <w:jc w:val="left"/>
            </w:pPr>
            <w:r/>
            <w:r>
              <w:rPr>
                <w:rFonts w:ascii="Times New Roman" w:hAnsi="Times New Roman" w:eastAsia="宋体"/>
                <w:b w:val="0"/>
                <w:sz w:val="19"/>
              </w:rPr>
              <w:t>ESL</w:t>
            </w:r>
          </w:p>
        </w:tc>
        <w:tc>
          <w:tcPr>
            <w:tcW w:type="dxa" w:w="2911"/>
          </w:tcPr>
          <w:p>
            <w:pPr>
              <w:jc w:val="left"/>
            </w:pPr>
            <w:r/>
            <w:r>
              <w:rPr>
                <w:rFonts w:ascii="Times New Roman" w:hAnsi="Times New Roman" w:eastAsia="宋体"/>
                <w:b w:val="0"/>
                <w:sz w:val="19"/>
              </w:rPr>
              <w:t>等效串联电感</w:t>
            </w:r>
          </w:p>
        </w:tc>
        <w:tc>
          <w:tcPr>
            <w:tcW w:type="dxa" w:w="2911"/>
          </w:tcPr>
          <w:p>
            <w:pPr>
              <w:jc w:val="left"/>
            </w:pPr>
            <w:r/>
            <w:r>
              <w:rPr>
                <w:rFonts w:ascii="Times New Roman" w:hAnsi="Times New Roman" w:eastAsia="宋体"/>
                <w:b w:val="0"/>
                <w:sz w:val="19"/>
              </w:rPr>
              <w:t>Equivalent Series Inductance (H)</w:t>
            </w:r>
          </w:p>
        </w:tc>
      </w:tr>
      <w:tr>
        <w:tc>
          <w:tcPr>
            <w:tcW w:type="dxa" w:w="2911"/>
          </w:tcPr>
          <w:p>
            <w:pPr>
              <w:jc w:val="left"/>
            </w:pPr>
            <w:r/>
            <w:r>
              <w:rPr>
                <w:rFonts w:ascii="Times New Roman" w:hAnsi="Times New Roman" w:eastAsia="宋体"/>
                <w:b w:val="0"/>
                <w:sz w:val="19"/>
              </w:rPr>
              <w:t>DF</w:t>
            </w:r>
          </w:p>
        </w:tc>
        <w:tc>
          <w:tcPr>
            <w:tcW w:type="dxa" w:w="2911"/>
          </w:tcPr>
          <w:p>
            <w:pPr>
              <w:jc w:val="left"/>
            </w:pPr>
            <w:r/>
            <w:r>
              <w:rPr>
                <w:rFonts w:ascii="Times New Roman" w:hAnsi="Times New Roman" w:eastAsia="宋体"/>
                <w:b w:val="0"/>
                <w:sz w:val="19"/>
              </w:rPr>
              <w:t>损耗因数</w:t>
            </w:r>
          </w:p>
        </w:tc>
        <w:tc>
          <w:tcPr>
            <w:tcW w:type="dxa" w:w="2911"/>
          </w:tcPr>
          <w:p>
            <w:pPr>
              <w:jc w:val="left"/>
            </w:pPr>
            <w:r/>
            <w:r>
              <w:rPr>
                <w:rFonts w:ascii="Times New Roman" w:hAnsi="Times New Roman" w:eastAsia="宋体"/>
                <w:b w:val="0"/>
                <w:sz w:val="19"/>
              </w:rPr>
              <w:t>Dissipation Factor (tanδ)</w:t>
            </w:r>
          </w:p>
        </w:tc>
      </w:tr>
      <w:tr>
        <w:tc>
          <w:tcPr>
            <w:tcW w:type="dxa" w:w="2911"/>
          </w:tcPr>
          <w:p>
            <w:pPr>
              <w:jc w:val="left"/>
            </w:pPr>
            <w:r/>
            <w:r>
              <w:rPr>
                <w:rFonts w:ascii="Times New Roman" w:hAnsi="Times New Roman" w:eastAsia="宋体"/>
                <w:b w:val="0"/>
                <w:sz w:val="19"/>
              </w:rPr>
              <w:t>LC / DCL</w:t>
            </w:r>
          </w:p>
        </w:tc>
        <w:tc>
          <w:tcPr>
            <w:tcW w:type="dxa" w:w="2911"/>
          </w:tcPr>
          <w:p>
            <w:pPr>
              <w:jc w:val="left"/>
            </w:pPr>
            <w:r/>
            <w:r>
              <w:rPr>
                <w:rFonts w:ascii="Times New Roman" w:hAnsi="Times New Roman" w:eastAsia="宋体"/>
                <w:b w:val="0"/>
                <w:sz w:val="19"/>
              </w:rPr>
              <w:t>漏电流</w:t>
            </w:r>
          </w:p>
        </w:tc>
        <w:tc>
          <w:tcPr>
            <w:tcW w:type="dxa" w:w="2911"/>
          </w:tcPr>
          <w:p>
            <w:pPr>
              <w:jc w:val="left"/>
            </w:pPr>
            <w:r/>
            <w:r>
              <w:rPr>
                <w:rFonts w:ascii="Times New Roman" w:hAnsi="Times New Roman" w:eastAsia="宋体"/>
                <w:b w:val="0"/>
                <w:sz w:val="19"/>
              </w:rPr>
              <w:t>Leakage Current (A)</w:t>
            </w:r>
          </w:p>
        </w:tc>
      </w:tr>
      <w:tr>
        <w:tc>
          <w:tcPr>
            <w:tcW w:type="dxa" w:w="2911"/>
          </w:tcPr>
          <w:p>
            <w:pPr>
              <w:jc w:val="left"/>
            </w:pPr>
            <w:r/>
            <w:r>
              <w:rPr>
                <w:rFonts w:ascii="Times New Roman" w:hAnsi="Times New Roman" w:eastAsia="宋体"/>
                <w:b w:val="0"/>
                <w:sz w:val="19"/>
              </w:rPr>
              <w:t>BDV</w:t>
            </w:r>
          </w:p>
        </w:tc>
        <w:tc>
          <w:tcPr>
            <w:tcW w:type="dxa" w:w="2911"/>
          </w:tcPr>
          <w:p>
            <w:pPr>
              <w:jc w:val="left"/>
            </w:pPr>
            <w:r/>
            <w:r>
              <w:rPr>
                <w:rFonts w:ascii="Times New Roman" w:hAnsi="Times New Roman" w:eastAsia="宋体"/>
                <w:b w:val="0"/>
                <w:sz w:val="19"/>
              </w:rPr>
              <w:t>击穿电压</w:t>
            </w:r>
          </w:p>
        </w:tc>
        <w:tc>
          <w:tcPr>
            <w:tcW w:type="dxa" w:w="2911"/>
          </w:tcPr>
          <w:p>
            <w:pPr>
              <w:jc w:val="left"/>
            </w:pPr>
            <w:r/>
            <w:r>
              <w:rPr>
                <w:rFonts w:ascii="Times New Roman" w:hAnsi="Times New Roman" w:eastAsia="宋体"/>
                <w:b w:val="0"/>
                <w:sz w:val="19"/>
              </w:rPr>
              <w:t>Breakdown Voltage (V)</w:t>
            </w:r>
          </w:p>
        </w:tc>
      </w:tr>
      <w:tr>
        <w:tc>
          <w:tcPr>
            <w:tcW w:type="dxa" w:w="2911"/>
          </w:tcPr>
          <w:p>
            <w:pPr>
              <w:jc w:val="left"/>
            </w:pPr>
            <w:r/>
            <w:r>
              <w:rPr>
                <w:rFonts w:ascii="Times New Roman" w:hAnsi="Times New Roman" w:eastAsia="宋体"/>
                <w:b w:val="0"/>
                <w:sz w:val="19"/>
              </w:rPr>
              <w:t>V_R</w:t>
            </w:r>
          </w:p>
        </w:tc>
        <w:tc>
          <w:tcPr>
            <w:tcW w:type="dxa" w:w="2911"/>
          </w:tcPr>
          <w:p>
            <w:pPr>
              <w:jc w:val="left"/>
            </w:pPr>
            <w:r/>
            <w:r>
              <w:rPr>
                <w:rFonts w:ascii="Times New Roman" w:hAnsi="Times New Roman" w:eastAsia="宋体"/>
                <w:b w:val="0"/>
                <w:sz w:val="19"/>
              </w:rPr>
              <w:t>额定电压</w:t>
            </w:r>
          </w:p>
        </w:tc>
        <w:tc>
          <w:tcPr>
            <w:tcW w:type="dxa" w:w="2911"/>
          </w:tcPr>
          <w:p>
            <w:pPr>
              <w:jc w:val="left"/>
            </w:pPr>
            <w:r/>
            <w:r>
              <w:rPr>
                <w:rFonts w:ascii="Times New Roman" w:hAnsi="Times New Roman" w:eastAsia="宋体"/>
                <w:b w:val="0"/>
                <w:sz w:val="19"/>
              </w:rPr>
              <w:t>Rated Voltage</w:t>
            </w:r>
          </w:p>
        </w:tc>
      </w:tr>
      <w:tr>
        <w:tc>
          <w:tcPr>
            <w:tcW w:type="dxa" w:w="2911"/>
          </w:tcPr>
          <w:p>
            <w:pPr>
              <w:jc w:val="left"/>
            </w:pPr>
            <w:r/>
            <w:r>
              <w:rPr>
                <w:rFonts w:ascii="Times New Roman" w:hAnsi="Times New Roman" w:eastAsia="宋体"/>
                <w:b w:val="0"/>
                <w:sz w:val="19"/>
              </w:rPr>
              <w:t>T_R</w:t>
            </w:r>
          </w:p>
        </w:tc>
        <w:tc>
          <w:tcPr>
            <w:tcW w:type="dxa" w:w="2911"/>
          </w:tcPr>
          <w:p>
            <w:pPr>
              <w:jc w:val="left"/>
            </w:pPr>
            <w:r/>
            <w:r>
              <w:rPr>
                <w:rFonts w:ascii="Times New Roman" w:hAnsi="Times New Roman" w:eastAsia="宋体"/>
                <w:b w:val="0"/>
                <w:sz w:val="19"/>
              </w:rPr>
              <w:t>额定温度</w:t>
            </w:r>
          </w:p>
        </w:tc>
        <w:tc>
          <w:tcPr>
            <w:tcW w:type="dxa" w:w="2911"/>
          </w:tcPr>
          <w:p>
            <w:pPr>
              <w:jc w:val="left"/>
            </w:pPr>
            <w:r/>
            <w:r>
              <w:rPr>
                <w:rFonts w:ascii="Times New Roman" w:hAnsi="Times New Roman" w:eastAsia="宋体"/>
                <w:b w:val="0"/>
                <w:sz w:val="19"/>
              </w:rPr>
              <w:t>Rated Temperature</w:t>
            </w:r>
          </w:p>
        </w:tc>
      </w:tr>
      <w:tr>
        <w:tc>
          <w:tcPr>
            <w:tcW w:type="dxa" w:w="2911"/>
          </w:tcPr>
          <w:p>
            <w:pPr>
              <w:jc w:val="left"/>
            </w:pPr>
            <w:r/>
            <w:r>
              <w:rPr>
                <w:rFonts w:ascii="Times New Roman" w:hAnsi="Times New Roman" w:eastAsia="宋体"/>
                <w:b w:val="0"/>
                <w:sz w:val="19"/>
              </w:rPr>
              <w:t>RH</w:t>
            </w:r>
          </w:p>
        </w:tc>
        <w:tc>
          <w:tcPr>
            <w:tcW w:type="dxa" w:w="2911"/>
          </w:tcPr>
          <w:p>
            <w:pPr>
              <w:jc w:val="left"/>
            </w:pPr>
            <w:r/>
            <w:r>
              <w:rPr>
                <w:rFonts w:ascii="Times New Roman" w:hAnsi="Times New Roman" w:eastAsia="宋体"/>
                <w:b w:val="0"/>
                <w:sz w:val="19"/>
              </w:rPr>
              <w:t>相对湿度</w:t>
            </w:r>
          </w:p>
        </w:tc>
        <w:tc>
          <w:tcPr>
            <w:tcW w:type="dxa" w:w="2911"/>
          </w:tcPr>
          <w:p>
            <w:pPr>
              <w:jc w:val="left"/>
            </w:pPr>
            <w:r/>
            <w:r>
              <w:rPr>
                <w:rFonts w:ascii="Times New Roman" w:hAnsi="Times New Roman" w:eastAsia="宋体"/>
                <w:b w:val="0"/>
                <w:sz w:val="19"/>
              </w:rPr>
              <w:t>Relative Humidity</w:t>
            </w:r>
          </w:p>
        </w:tc>
      </w:tr>
      <w:tr>
        <w:tc>
          <w:tcPr>
            <w:tcW w:type="dxa" w:w="2911"/>
          </w:tcPr>
          <w:p>
            <w:pPr>
              <w:jc w:val="left"/>
            </w:pPr>
            <w:r/>
            <w:r>
              <w:rPr>
                <w:rFonts w:ascii="Times New Roman" w:hAnsi="Times New Roman" w:eastAsia="宋体"/>
                <w:b w:val="0"/>
                <w:sz w:val="19"/>
              </w:rPr>
              <w:t>E_a</w:t>
            </w:r>
          </w:p>
        </w:tc>
        <w:tc>
          <w:tcPr>
            <w:tcW w:type="dxa" w:w="2911"/>
          </w:tcPr>
          <w:p>
            <w:pPr>
              <w:jc w:val="left"/>
            </w:pPr>
            <w:r/>
            <w:r>
              <w:rPr>
                <w:rFonts w:ascii="Times New Roman" w:hAnsi="Times New Roman" w:eastAsia="宋体"/>
                <w:b w:val="0"/>
                <w:sz w:val="19"/>
              </w:rPr>
              <w:t>激活能</w:t>
            </w:r>
          </w:p>
        </w:tc>
        <w:tc>
          <w:tcPr>
            <w:tcW w:type="dxa" w:w="2911"/>
          </w:tcPr>
          <w:p>
            <w:pPr>
              <w:jc w:val="left"/>
            </w:pPr>
            <w:r/>
            <w:r>
              <w:rPr>
                <w:rFonts w:ascii="Times New Roman" w:hAnsi="Times New Roman" w:eastAsia="宋体"/>
                <w:b w:val="0"/>
                <w:sz w:val="19"/>
              </w:rPr>
              <w:t>Activation Energy (eV)</w:t>
            </w:r>
          </w:p>
        </w:tc>
      </w:tr>
      <w:tr>
        <w:tc>
          <w:tcPr>
            <w:tcW w:type="dxa" w:w="2911"/>
          </w:tcPr>
          <w:p>
            <w:pPr>
              <w:jc w:val="left"/>
            </w:pPr>
            <w:r/>
            <w:r>
              <w:rPr>
                <w:rFonts w:ascii="Times New Roman" w:hAnsi="Times New Roman" w:eastAsia="宋体"/>
                <w:b w:val="0"/>
                <w:sz w:val="19"/>
              </w:rPr>
              <w:t>k</w:t>
            </w:r>
          </w:p>
        </w:tc>
        <w:tc>
          <w:tcPr>
            <w:tcW w:type="dxa" w:w="2911"/>
          </w:tcPr>
          <w:p>
            <w:pPr>
              <w:jc w:val="left"/>
            </w:pPr>
            <w:r/>
            <w:r>
              <w:rPr>
                <w:rFonts w:ascii="Times New Roman" w:hAnsi="Times New Roman" w:eastAsia="宋体"/>
                <w:b w:val="0"/>
                <w:sz w:val="19"/>
              </w:rPr>
              <w:t>玻尔兹曼常数</w:t>
            </w:r>
          </w:p>
        </w:tc>
        <w:tc>
          <w:tcPr>
            <w:tcW w:type="dxa" w:w="2911"/>
          </w:tcPr>
          <w:p>
            <w:pPr>
              <w:jc w:val="left"/>
            </w:pPr>
            <w:r/>
            <w:r>
              <w:rPr>
                <w:rFonts w:ascii="Times New Roman" w:hAnsi="Times New Roman" w:eastAsia="宋体"/>
                <w:b w:val="0"/>
                <w:sz w:val="19"/>
              </w:rPr>
              <w:t>Boltzmann constant = 8.617×10⁻⁵ eV/K</w:t>
            </w:r>
          </w:p>
        </w:tc>
      </w:tr>
      <w:tr>
        <w:tc>
          <w:tcPr>
            <w:tcW w:type="dxa" w:w="2911"/>
          </w:tcPr>
          <w:p>
            <w:pPr>
              <w:jc w:val="left"/>
            </w:pPr>
            <w:r/>
            <w:r>
              <w:rPr>
                <w:rFonts w:ascii="Times New Roman" w:hAnsi="Times New Roman" w:eastAsia="宋体"/>
                <w:b w:val="0"/>
                <w:sz w:val="19"/>
              </w:rPr>
              <w:t>β</w:t>
            </w:r>
          </w:p>
        </w:tc>
        <w:tc>
          <w:tcPr>
            <w:tcW w:type="dxa" w:w="2911"/>
          </w:tcPr>
          <w:p>
            <w:pPr>
              <w:jc w:val="left"/>
            </w:pPr>
            <w:r/>
            <w:r>
              <w:rPr>
                <w:rFonts w:ascii="Times New Roman" w:hAnsi="Times New Roman" w:eastAsia="宋体"/>
                <w:b w:val="0"/>
                <w:sz w:val="19"/>
              </w:rPr>
              <w:t>Weibull 形状参数</w:t>
            </w:r>
          </w:p>
        </w:tc>
        <w:tc>
          <w:tcPr>
            <w:tcW w:type="dxa" w:w="2911"/>
          </w:tcPr>
          <w:p>
            <w:pPr>
              <w:jc w:val="left"/>
            </w:pPr>
            <w:r/>
            <w:r>
              <w:rPr>
                <w:rFonts w:ascii="Times New Roman" w:hAnsi="Times New Roman" w:eastAsia="宋体"/>
                <w:b w:val="0"/>
                <w:sz w:val="19"/>
              </w:rPr>
              <w:t>Shape parameter</w:t>
            </w:r>
          </w:p>
        </w:tc>
      </w:tr>
      <w:tr>
        <w:tc>
          <w:tcPr>
            <w:tcW w:type="dxa" w:w="2911"/>
          </w:tcPr>
          <w:p>
            <w:pPr>
              <w:jc w:val="left"/>
            </w:pPr>
            <w:r/>
            <w:r>
              <w:rPr>
                <w:rFonts w:ascii="Times New Roman" w:hAnsi="Times New Roman" w:eastAsia="宋体"/>
                <w:b w:val="0"/>
                <w:sz w:val="19"/>
              </w:rPr>
              <w:t>η</w:t>
            </w:r>
          </w:p>
        </w:tc>
        <w:tc>
          <w:tcPr>
            <w:tcW w:type="dxa" w:w="2911"/>
          </w:tcPr>
          <w:p>
            <w:pPr>
              <w:jc w:val="left"/>
            </w:pPr>
            <w:r/>
            <w:r>
              <w:rPr>
                <w:rFonts w:ascii="Times New Roman" w:hAnsi="Times New Roman" w:eastAsia="宋体"/>
                <w:b w:val="0"/>
                <w:sz w:val="19"/>
              </w:rPr>
              <w:t>Weibull 尺度参数</w:t>
            </w:r>
          </w:p>
        </w:tc>
        <w:tc>
          <w:tcPr>
            <w:tcW w:type="dxa" w:w="2911"/>
          </w:tcPr>
          <w:p>
            <w:pPr>
              <w:jc w:val="left"/>
            </w:pPr>
            <w:r/>
            <w:r>
              <w:rPr>
                <w:rFonts w:ascii="Times New Roman" w:hAnsi="Times New Roman" w:eastAsia="宋体"/>
                <w:b w:val="0"/>
                <w:sz w:val="19"/>
              </w:rPr>
              <w:t>Scale parameter, characteristic life</w:t>
            </w:r>
          </w:p>
        </w:tc>
      </w:tr>
      <w:tr>
        <w:tc>
          <w:tcPr>
            <w:tcW w:type="dxa" w:w="2911"/>
          </w:tcPr>
          <w:p>
            <w:pPr>
              <w:jc w:val="left"/>
            </w:pPr>
            <w:r/>
            <w:r>
              <w:rPr>
                <w:rFonts w:ascii="Times New Roman" w:hAnsi="Times New Roman" w:eastAsia="宋体"/>
                <w:b w:val="0"/>
                <w:sz w:val="19"/>
              </w:rPr>
              <w:t>AF</w:t>
            </w:r>
          </w:p>
        </w:tc>
        <w:tc>
          <w:tcPr>
            <w:tcW w:type="dxa" w:w="2911"/>
          </w:tcPr>
          <w:p>
            <w:pPr>
              <w:jc w:val="left"/>
            </w:pPr>
            <w:r/>
            <w:r>
              <w:rPr>
                <w:rFonts w:ascii="Times New Roman" w:hAnsi="Times New Roman" w:eastAsia="宋体"/>
                <w:b w:val="0"/>
                <w:sz w:val="19"/>
              </w:rPr>
              <w:t>加速因子</w:t>
            </w:r>
          </w:p>
        </w:tc>
        <w:tc>
          <w:tcPr>
            <w:tcW w:type="dxa" w:w="2911"/>
          </w:tcPr>
          <w:p>
            <w:pPr>
              <w:jc w:val="left"/>
            </w:pPr>
            <w:r/>
            <w:r>
              <w:rPr>
                <w:rFonts w:ascii="Times New Roman" w:hAnsi="Times New Roman" w:eastAsia="宋体"/>
                <w:b w:val="0"/>
                <w:sz w:val="19"/>
              </w:rPr>
              <w:t>Acceleration Factor</w:t>
            </w:r>
          </w:p>
        </w:tc>
      </w:tr>
      <w:tr>
        <w:tc>
          <w:tcPr>
            <w:tcW w:type="dxa" w:w="2911"/>
          </w:tcPr>
          <w:p>
            <w:pPr>
              <w:jc w:val="left"/>
            </w:pPr>
            <w:r/>
            <w:r>
              <w:rPr>
                <w:rFonts w:ascii="Times New Roman" w:hAnsi="Times New Roman" w:eastAsia="宋体"/>
                <w:b w:val="0"/>
                <w:sz w:val="19"/>
              </w:rPr>
              <w:t>THB</w:t>
            </w:r>
          </w:p>
        </w:tc>
        <w:tc>
          <w:tcPr>
            <w:tcW w:type="dxa" w:w="2911"/>
          </w:tcPr>
          <w:p>
            <w:pPr>
              <w:jc w:val="left"/>
            </w:pPr>
            <w:r/>
            <w:r>
              <w:rPr>
                <w:rFonts w:ascii="Times New Roman" w:hAnsi="Times New Roman" w:eastAsia="宋体"/>
                <w:b w:val="0"/>
                <w:sz w:val="19"/>
              </w:rPr>
              <w:t>温度-湿度-偏压试验</w:t>
            </w:r>
          </w:p>
        </w:tc>
        <w:tc>
          <w:tcPr>
            <w:tcW w:type="dxa" w:w="2911"/>
          </w:tcPr>
          <w:p>
            <w:pPr>
              <w:jc w:val="left"/>
            </w:pPr>
            <w:r/>
            <w:r>
              <w:rPr>
                <w:rFonts w:ascii="Times New Roman" w:hAnsi="Times New Roman" w:eastAsia="宋体"/>
                <w:b w:val="0"/>
                <w:sz w:val="19"/>
              </w:rPr>
              <w:t>Temperature-Humidity-Bias</w:t>
            </w:r>
          </w:p>
        </w:tc>
      </w:tr>
      <w:tr>
        <w:tc>
          <w:tcPr>
            <w:tcW w:type="dxa" w:w="2911"/>
          </w:tcPr>
          <w:p>
            <w:pPr>
              <w:jc w:val="left"/>
            </w:pPr>
            <w:r/>
            <w:r>
              <w:rPr>
                <w:rFonts w:ascii="Times New Roman" w:hAnsi="Times New Roman" w:eastAsia="宋体"/>
                <w:b w:val="0"/>
                <w:sz w:val="19"/>
              </w:rPr>
              <w:t>HAST</w:t>
            </w:r>
          </w:p>
        </w:tc>
        <w:tc>
          <w:tcPr>
            <w:tcW w:type="dxa" w:w="2911"/>
          </w:tcPr>
          <w:p>
            <w:pPr>
              <w:jc w:val="left"/>
            </w:pPr>
            <w:r/>
            <w:r>
              <w:rPr>
                <w:rFonts w:ascii="Times New Roman" w:hAnsi="Times New Roman" w:eastAsia="宋体"/>
                <w:b w:val="0"/>
                <w:sz w:val="19"/>
              </w:rPr>
              <w:t>高加速应力试验</w:t>
            </w:r>
          </w:p>
        </w:tc>
        <w:tc>
          <w:tcPr>
            <w:tcW w:type="dxa" w:w="2911"/>
          </w:tcPr>
          <w:p>
            <w:pPr>
              <w:jc w:val="left"/>
            </w:pPr>
            <w:r/>
            <w:r>
              <w:rPr>
                <w:rFonts w:ascii="Times New Roman" w:hAnsi="Times New Roman" w:eastAsia="宋体"/>
                <w:b w:val="0"/>
                <w:sz w:val="19"/>
              </w:rPr>
              <w:t>Highly Accelerated Stress Test</w:t>
            </w:r>
          </w:p>
        </w:tc>
      </w:tr>
      <w:tr>
        <w:tc>
          <w:tcPr>
            <w:tcW w:type="dxa" w:w="2911"/>
          </w:tcPr>
          <w:p>
            <w:pPr>
              <w:jc w:val="left"/>
            </w:pPr>
            <w:r/>
            <w:r>
              <w:rPr>
                <w:rFonts w:ascii="Times New Roman" w:hAnsi="Times New Roman" w:eastAsia="宋体"/>
                <w:b w:val="0"/>
                <w:sz w:val="19"/>
              </w:rPr>
              <w:t>HALT</w:t>
            </w:r>
          </w:p>
        </w:tc>
        <w:tc>
          <w:tcPr>
            <w:tcW w:type="dxa" w:w="2911"/>
          </w:tcPr>
          <w:p>
            <w:pPr>
              <w:jc w:val="left"/>
            </w:pPr>
            <w:r/>
            <w:r>
              <w:rPr>
                <w:rFonts w:ascii="Times New Roman" w:hAnsi="Times New Roman" w:eastAsia="宋体"/>
                <w:b w:val="0"/>
                <w:sz w:val="19"/>
              </w:rPr>
              <w:t>高加速寿命试验</w:t>
            </w:r>
          </w:p>
        </w:tc>
        <w:tc>
          <w:tcPr>
            <w:tcW w:type="dxa" w:w="2911"/>
          </w:tcPr>
          <w:p>
            <w:pPr>
              <w:jc w:val="left"/>
            </w:pPr>
            <w:r/>
            <w:r>
              <w:rPr>
                <w:rFonts w:ascii="Times New Roman" w:hAnsi="Times New Roman" w:eastAsia="宋体"/>
                <w:b w:val="0"/>
                <w:sz w:val="19"/>
              </w:rPr>
              <w:t>Highly Accelerated Life Test</w:t>
            </w:r>
          </w:p>
        </w:tc>
      </w:tr>
      <w:tr>
        <w:tc>
          <w:tcPr>
            <w:tcW w:type="dxa" w:w="2911"/>
          </w:tcPr>
          <w:p>
            <w:pPr>
              <w:jc w:val="left"/>
            </w:pPr>
            <w:r/>
            <w:r>
              <w:rPr>
                <w:rFonts w:ascii="Times New Roman" w:hAnsi="Times New Roman" w:eastAsia="宋体"/>
                <w:b w:val="0"/>
                <w:sz w:val="19"/>
              </w:rPr>
              <w:t>MTTF</w:t>
            </w:r>
          </w:p>
        </w:tc>
        <w:tc>
          <w:tcPr>
            <w:tcW w:type="dxa" w:w="2911"/>
          </w:tcPr>
          <w:p>
            <w:pPr>
              <w:jc w:val="left"/>
            </w:pPr>
            <w:r/>
            <w:r>
              <w:rPr>
                <w:rFonts w:ascii="Times New Roman" w:hAnsi="Times New Roman" w:eastAsia="宋体"/>
                <w:b w:val="0"/>
                <w:sz w:val="19"/>
              </w:rPr>
              <w:t>平均失效前时间</w:t>
            </w:r>
          </w:p>
        </w:tc>
        <w:tc>
          <w:tcPr>
            <w:tcW w:type="dxa" w:w="2911"/>
          </w:tcPr>
          <w:p>
            <w:pPr>
              <w:jc w:val="left"/>
            </w:pPr>
            <w:r/>
            <w:r>
              <w:rPr>
                <w:rFonts w:ascii="Times New Roman" w:hAnsi="Times New Roman" w:eastAsia="宋体"/>
                <w:b w:val="0"/>
                <w:sz w:val="19"/>
              </w:rPr>
              <w:t>Mean Time To Failure</w:t>
            </w:r>
          </w:p>
        </w:tc>
      </w:tr>
      <w:tr>
        <w:tc>
          <w:tcPr>
            <w:tcW w:type="dxa" w:w="2911"/>
          </w:tcPr>
          <w:p>
            <w:pPr>
              <w:jc w:val="left"/>
            </w:pPr>
            <w:r/>
            <w:r>
              <w:rPr>
                <w:rFonts w:ascii="Times New Roman" w:hAnsi="Times New Roman" w:eastAsia="宋体"/>
                <w:b w:val="0"/>
                <w:sz w:val="19"/>
              </w:rPr>
              <w:t>RUL</w:t>
            </w:r>
          </w:p>
        </w:tc>
        <w:tc>
          <w:tcPr>
            <w:tcW w:type="dxa" w:w="2911"/>
          </w:tcPr>
          <w:p>
            <w:pPr>
              <w:jc w:val="left"/>
            </w:pPr>
            <w:r/>
            <w:r>
              <w:rPr>
                <w:rFonts w:ascii="Times New Roman" w:hAnsi="Times New Roman" w:eastAsia="宋体"/>
                <w:b w:val="0"/>
                <w:sz w:val="19"/>
              </w:rPr>
              <w:t>剩余使用寿命</w:t>
            </w:r>
          </w:p>
        </w:tc>
        <w:tc>
          <w:tcPr>
            <w:tcW w:type="dxa" w:w="2911"/>
          </w:tcPr>
          <w:p>
            <w:pPr>
              <w:jc w:val="left"/>
            </w:pPr>
            <w:r/>
            <w:r>
              <w:rPr>
                <w:rFonts w:ascii="Times New Roman" w:hAnsi="Times New Roman" w:eastAsia="宋体"/>
                <w:b w:val="0"/>
                <w:sz w:val="19"/>
              </w:rPr>
              <w:t>Remaining Useful Life</w:t>
            </w:r>
          </w:p>
        </w:tc>
      </w:tr>
      <w:tr>
        <w:tc>
          <w:tcPr>
            <w:tcW w:type="dxa" w:w="2911"/>
          </w:tcPr>
          <w:p>
            <w:pPr>
              <w:jc w:val="left"/>
            </w:pPr>
            <w:r/>
            <w:r>
              <w:rPr>
                <w:rFonts w:ascii="Times New Roman" w:hAnsi="Times New Roman" w:eastAsia="宋体"/>
                <w:b w:val="0"/>
                <w:sz w:val="19"/>
              </w:rPr>
              <w:t>PoF</w:t>
            </w:r>
          </w:p>
        </w:tc>
        <w:tc>
          <w:tcPr>
            <w:tcW w:type="dxa" w:w="2911"/>
          </w:tcPr>
          <w:p>
            <w:pPr>
              <w:jc w:val="left"/>
            </w:pPr>
            <w:r/>
            <w:r>
              <w:rPr>
                <w:rFonts w:ascii="Times New Roman" w:hAnsi="Times New Roman" w:eastAsia="宋体"/>
                <w:b w:val="0"/>
                <w:sz w:val="19"/>
              </w:rPr>
              <w:t>失效物理</w:t>
            </w:r>
          </w:p>
        </w:tc>
        <w:tc>
          <w:tcPr>
            <w:tcW w:type="dxa" w:w="2911"/>
          </w:tcPr>
          <w:p>
            <w:pPr>
              <w:jc w:val="left"/>
            </w:pPr>
            <w:r/>
            <w:r>
              <w:rPr>
                <w:rFonts w:ascii="Times New Roman" w:hAnsi="Times New Roman" w:eastAsia="宋体"/>
                <w:b w:val="0"/>
                <w:sz w:val="19"/>
              </w:rPr>
              <w:t>Physics of Failure</w:t>
            </w:r>
          </w:p>
        </w:tc>
      </w:tr>
      <w:tr>
        <w:tc>
          <w:tcPr>
            <w:tcW w:type="dxa" w:w="2911"/>
          </w:tcPr>
          <w:p>
            <w:pPr>
              <w:jc w:val="left"/>
            </w:pPr>
            <w:r/>
            <w:r>
              <w:rPr>
                <w:rFonts w:ascii="Times New Roman" w:hAnsi="Times New Roman" w:eastAsia="宋体"/>
                <w:b w:val="0"/>
                <w:sz w:val="19"/>
              </w:rPr>
              <w:t>PINN</w:t>
            </w:r>
          </w:p>
        </w:tc>
        <w:tc>
          <w:tcPr>
            <w:tcW w:type="dxa" w:w="2911"/>
          </w:tcPr>
          <w:p>
            <w:pPr>
              <w:jc w:val="left"/>
            </w:pPr>
            <w:r/>
            <w:r>
              <w:rPr>
                <w:rFonts w:ascii="Times New Roman" w:hAnsi="Times New Roman" w:eastAsia="宋体"/>
                <w:b w:val="0"/>
                <w:sz w:val="19"/>
              </w:rPr>
              <w:t>物理信息神经网络</w:t>
            </w:r>
          </w:p>
        </w:tc>
        <w:tc>
          <w:tcPr>
            <w:tcW w:type="dxa" w:w="2911"/>
          </w:tcPr>
          <w:p>
            <w:pPr>
              <w:jc w:val="left"/>
            </w:pPr>
            <w:r/>
            <w:r>
              <w:rPr>
                <w:rFonts w:ascii="Times New Roman" w:hAnsi="Times New Roman" w:eastAsia="宋体"/>
                <w:b w:val="0"/>
                <w:sz w:val="19"/>
              </w:rPr>
              <w:t>Physics-Informed Neural Network</w:t>
            </w:r>
          </w:p>
        </w:tc>
      </w:tr>
      <w:tr>
        <w:tc>
          <w:tcPr>
            <w:tcW w:type="dxa" w:w="2911"/>
          </w:tcPr>
          <w:p>
            <w:pPr>
              <w:jc w:val="left"/>
            </w:pPr>
            <w:r/>
            <w:r>
              <w:rPr>
                <w:rFonts w:ascii="Times New Roman" w:hAnsi="Times New Roman" w:eastAsia="宋体"/>
                <w:b w:val="0"/>
                <w:sz w:val="19"/>
              </w:rPr>
              <w:t>CNN-LSTM</w:t>
            </w:r>
          </w:p>
        </w:tc>
        <w:tc>
          <w:tcPr>
            <w:tcW w:type="dxa" w:w="2911"/>
          </w:tcPr>
          <w:p>
            <w:pPr>
              <w:jc w:val="left"/>
            </w:pPr>
            <w:r/>
            <w:r>
              <w:rPr>
                <w:rFonts w:ascii="Times New Roman" w:hAnsi="Times New Roman" w:eastAsia="宋体"/>
                <w:b w:val="0"/>
                <w:sz w:val="19"/>
              </w:rPr>
              <w:t>卷积-长短期记忆网络</w:t>
            </w:r>
          </w:p>
        </w:tc>
        <w:tc>
          <w:tcPr>
            <w:tcW w:type="dxa" w:w="2911"/>
          </w:tcPr>
          <w:p>
            <w:pPr>
              <w:jc w:val="left"/>
            </w:pPr>
            <w:r/>
            <w:r>
              <w:rPr>
                <w:rFonts w:ascii="Times New Roman" w:hAnsi="Times New Roman" w:eastAsia="宋体"/>
                <w:b w:val="0"/>
                <w:sz w:val="19"/>
              </w:rPr>
              <w:t>Convolutional Neural Network + Long Short-Term Memory</w:t>
            </w:r>
          </w:p>
        </w:tc>
      </w:tr>
      <w:tr>
        <w:tc>
          <w:tcPr>
            <w:tcW w:type="dxa" w:w="2911"/>
          </w:tcPr>
          <w:p>
            <w:pPr>
              <w:jc w:val="left"/>
            </w:pPr>
            <w:r/>
            <w:r>
              <w:rPr>
                <w:rFonts w:ascii="Times New Roman" w:hAnsi="Times New Roman" w:eastAsia="宋体"/>
                <w:b w:val="0"/>
                <w:sz w:val="19"/>
              </w:rPr>
              <w:t>EIS</w:t>
            </w:r>
          </w:p>
        </w:tc>
        <w:tc>
          <w:tcPr>
            <w:tcW w:type="dxa" w:w="2911"/>
          </w:tcPr>
          <w:p>
            <w:pPr>
              <w:jc w:val="left"/>
            </w:pPr>
            <w:r/>
            <w:r>
              <w:rPr>
                <w:rFonts w:ascii="Times New Roman" w:hAnsi="Times New Roman" w:eastAsia="宋体"/>
                <w:b w:val="0"/>
                <w:sz w:val="19"/>
              </w:rPr>
              <w:t>电化学阻抗谱</w:t>
            </w:r>
          </w:p>
        </w:tc>
        <w:tc>
          <w:tcPr>
            <w:tcW w:type="dxa" w:w="2911"/>
          </w:tcPr>
          <w:p>
            <w:pPr>
              <w:jc w:val="left"/>
            </w:pPr>
            <w:r/>
            <w:r>
              <w:rPr>
                <w:rFonts w:ascii="Times New Roman" w:hAnsi="Times New Roman" w:eastAsia="宋体"/>
                <w:b w:val="0"/>
                <w:sz w:val="19"/>
              </w:rPr>
              <w:t>Electrochemical Impedance Spectroscopy</w:t>
            </w:r>
          </w:p>
        </w:tc>
      </w:tr>
      <w:tr>
        <w:tc>
          <w:tcPr>
            <w:tcW w:type="dxa" w:w="2911"/>
          </w:tcPr>
          <w:p>
            <w:pPr>
              <w:jc w:val="left"/>
            </w:pPr>
            <w:r/>
            <w:r>
              <w:rPr>
                <w:rFonts w:ascii="Times New Roman" w:hAnsi="Times New Roman" w:eastAsia="宋体"/>
                <w:b w:val="0"/>
                <w:sz w:val="19"/>
              </w:rPr>
              <w:t>SEM/TEM</w:t>
            </w:r>
          </w:p>
        </w:tc>
        <w:tc>
          <w:tcPr>
            <w:tcW w:type="dxa" w:w="2911"/>
          </w:tcPr>
          <w:p>
            <w:pPr>
              <w:jc w:val="left"/>
            </w:pPr>
            <w:r/>
            <w:r>
              <w:rPr>
                <w:rFonts w:ascii="Times New Roman" w:hAnsi="Times New Roman" w:eastAsia="宋体"/>
                <w:b w:val="0"/>
                <w:sz w:val="19"/>
              </w:rPr>
              <w:t>扫描/透射电镜</w:t>
            </w:r>
          </w:p>
        </w:tc>
        <w:tc>
          <w:tcPr>
            <w:tcW w:type="dxa" w:w="2911"/>
          </w:tcPr>
          <w:p>
            <w:pPr>
              <w:jc w:val="left"/>
            </w:pPr>
            <w:r/>
            <w:r>
              <w:rPr>
                <w:rFonts w:ascii="Times New Roman" w:hAnsi="Times New Roman" w:eastAsia="宋体"/>
                <w:b w:val="0"/>
                <w:sz w:val="19"/>
              </w:rPr>
              <w:t>Scanning/Transmission Electron Microscope</w:t>
            </w:r>
          </w:p>
        </w:tc>
      </w:tr>
      <w:tr>
        <w:tc>
          <w:tcPr>
            <w:tcW w:type="dxa" w:w="2911"/>
          </w:tcPr>
          <w:p>
            <w:pPr>
              <w:jc w:val="left"/>
            </w:pPr>
            <w:r/>
            <w:r>
              <w:rPr>
                <w:rFonts w:ascii="Times New Roman" w:hAnsi="Times New Roman" w:eastAsia="宋体"/>
                <w:b w:val="0"/>
                <w:sz w:val="19"/>
              </w:rPr>
              <w:t>EDS</w:t>
            </w:r>
          </w:p>
        </w:tc>
        <w:tc>
          <w:tcPr>
            <w:tcW w:type="dxa" w:w="2911"/>
          </w:tcPr>
          <w:p>
            <w:pPr>
              <w:jc w:val="left"/>
            </w:pPr>
            <w:r/>
            <w:r>
              <w:rPr>
                <w:rFonts w:ascii="Times New Roman" w:hAnsi="Times New Roman" w:eastAsia="宋体"/>
                <w:b w:val="0"/>
                <w:sz w:val="19"/>
              </w:rPr>
              <w:t>能谱仪</w:t>
            </w:r>
          </w:p>
        </w:tc>
        <w:tc>
          <w:tcPr>
            <w:tcW w:type="dxa" w:w="2911"/>
          </w:tcPr>
          <w:p>
            <w:pPr>
              <w:jc w:val="left"/>
            </w:pPr>
            <w:r/>
            <w:r>
              <w:rPr>
                <w:rFonts w:ascii="Times New Roman" w:hAnsi="Times New Roman" w:eastAsia="宋体"/>
                <w:b w:val="0"/>
                <w:sz w:val="19"/>
              </w:rPr>
              <w:t>Energy-Dispersive X-ray Spectroscopy</w:t>
            </w:r>
          </w:p>
        </w:tc>
      </w:tr>
      <w:tr>
        <w:tc>
          <w:tcPr>
            <w:tcW w:type="dxa" w:w="2911"/>
          </w:tcPr>
          <w:p>
            <w:pPr>
              <w:jc w:val="left"/>
            </w:pPr>
            <w:r/>
            <w:r>
              <w:rPr>
                <w:rFonts w:ascii="Times New Roman" w:hAnsi="Times New Roman" w:eastAsia="宋体"/>
                <w:b w:val="0"/>
                <w:sz w:val="19"/>
              </w:rPr>
              <w:t>XPS</w:t>
            </w:r>
          </w:p>
        </w:tc>
        <w:tc>
          <w:tcPr>
            <w:tcW w:type="dxa" w:w="2911"/>
          </w:tcPr>
          <w:p>
            <w:pPr>
              <w:jc w:val="left"/>
            </w:pPr>
            <w:r/>
            <w:r>
              <w:rPr>
                <w:rFonts w:ascii="Times New Roman" w:hAnsi="Times New Roman" w:eastAsia="宋体"/>
                <w:b w:val="0"/>
                <w:sz w:val="19"/>
              </w:rPr>
              <w:t>X 射线光电子能谱</w:t>
            </w:r>
          </w:p>
        </w:tc>
        <w:tc>
          <w:tcPr>
            <w:tcW w:type="dxa" w:w="2911"/>
          </w:tcPr>
          <w:p>
            <w:pPr>
              <w:jc w:val="left"/>
            </w:pPr>
            <w:r/>
            <w:r>
              <w:rPr>
                <w:rFonts w:ascii="Times New Roman" w:hAnsi="Times New Roman" w:eastAsia="宋体"/>
                <w:b w:val="0"/>
                <w:sz w:val="19"/>
              </w:rPr>
              <w:t>X-ray Photoelectron Spectroscopy</w:t>
            </w:r>
          </w:p>
        </w:tc>
      </w:tr>
      <w:tr>
        <w:tc>
          <w:tcPr>
            <w:tcW w:type="dxa" w:w="2911"/>
          </w:tcPr>
          <w:p>
            <w:pPr>
              <w:jc w:val="left"/>
            </w:pPr>
            <w:r/>
            <w:r>
              <w:rPr>
                <w:rFonts w:ascii="Times New Roman" w:hAnsi="Times New Roman" w:eastAsia="宋体"/>
                <w:b w:val="0"/>
                <w:sz w:val="19"/>
              </w:rPr>
              <w:t>C-SAM</w:t>
            </w:r>
          </w:p>
        </w:tc>
        <w:tc>
          <w:tcPr>
            <w:tcW w:type="dxa" w:w="2911"/>
          </w:tcPr>
          <w:p>
            <w:pPr>
              <w:jc w:val="left"/>
            </w:pPr>
            <w:r/>
            <w:r>
              <w:rPr>
                <w:rFonts w:ascii="Times New Roman" w:hAnsi="Times New Roman" w:eastAsia="宋体"/>
                <w:b w:val="0"/>
                <w:sz w:val="19"/>
              </w:rPr>
              <w:t>超声扫描显微镜</w:t>
            </w:r>
          </w:p>
        </w:tc>
        <w:tc>
          <w:tcPr>
            <w:tcW w:type="dxa" w:w="2911"/>
          </w:tcPr>
          <w:p>
            <w:pPr>
              <w:jc w:val="left"/>
            </w:pPr>
            <w:r/>
            <w:r>
              <w:rPr>
                <w:rFonts w:ascii="Times New Roman" w:hAnsi="Times New Roman" w:eastAsia="宋体"/>
                <w:b w:val="0"/>
                <w:sz w:val="19"/>
              </w:rPr>
              <w:t>C-mode Scanning Acoustic Microscope</w:t>
            </w:r>
          </w:p>
        </w:tc>
      </w:tr>
      <w:tr>
        <w:tc>
          <w:tcPr>
            <w:tcW w:type="dxa" w:w="2911"/>
          </w:tcPr>
          <w:p>
            <w:pPr>
              <w:jc w:val="left"/>
            </w:pPr>
            <w:r/>
            <w:r>
              <w:rPr>
                <w:rFonts w:ascii="Times New Roman" w:hAnsi="Times New Roman" w:eastAsia="宋体"/>
                <w:b w:val="0"/>
                <w:sz w:val="19"/>
              </w:rPr>
              <w:t>TGA/DSC</w:t>
            </w:r>
          </w:p>
        </w:tc>
        <w:tc>
          <w:tcPr>
            <w:tcW w:type="dxa" w:w="2911"/>
          </w:tcPr>
          <w:p>
            <w:pPr>
              <w:jc w:val="left"/>
            </w:pPr>
            <w:r/>
            <w:r>
              <w:rPr>
                <w:rFonts w:ascii="Times New Roman" w:hAnsi="Times New Roman" w:eastAsia="宋体"/>
                <w:b w:val="0"/>
                <w:sz w:val="19"/>
              </w:rPr>
              <w:t>热重/差示扫描量热</w:t>
            </w:r>
          </w:p>
        </w:tc>
        <w:tc>
          <w:tcPr>
            <w:tcW w:type="dxa" w:w="2911"/>
          </w:tcPr>
          <w:p>
            <w:pPr>
              <w:jc w:val="left"/>
            </w:pPr>
            <w:r/>
            <w:r>
              <w:rPr>
                <w:rFonts w:ascii="Times New Roman" w:hAnsi="Times New Roman" w:eastAsia="宋体"/>
                <w:b w:val="0"/>
                <w:sz w:val="19"/>
              </w:rPr>
              <w:t>Thermogravimetric Analysis / Differential Scanning Calorimetry</w:t>
            </w:r>
          </w:p>
        </w:tc>
      </w:tr>
      <w:tr>
        <w:tc>
          <w:tcPr>
            <w:tcW w:type="dxa" w:w="2911"/>
          </w:tcPr>
          <w:p>
            <w:pPr>
              <w:jc w:val="left"/>
            </w:pPr>
            <w:r/>
            <w:r>
              <w:rPr>
                <w:rFonts w:ascii="Times New Roman" w:hAnsi="Times New Roman" w:eastAsia="宋体"/>
                <w:b w:val="0"/>
                <w:sz w:val="19"/>
              </w:rPr>
              <w:t>FT-IR</w:t>
            </w:r>
          </w:p>
        </w:tc>
        <w:tc>
          <w:tcPr>
            <w:tcW w:type="dxa" w:w="2911"/>
          </w:tcPr>
          <w:p>
            <w:pPr>
              <w:jc w:val="left"/>
            </w:pPr>
            <w:r/>
            <w:r>
              <w:rPr>
                <w:rFonts w:ascii="Times New Roman" w:hAnsi="Times New Roman" w:eastAsia="宋体"/>
                <w:b w:val="0"/>
                <w:sz w:val="19"/>
              </w:rPr>
              <w:t>傅里叶变换红外光谱</w:t>
            </w:r>
          </w:p>
        </w:tc>
        <w:tc>
          <w:tcPr>
            <w:tcW w:type="dxa" w:w="2911"/>
          </w:tcPr>
          <w:p>
            <w:pPr>
              <w:jc w:val="left"/>
            </w:pPr>
            <w:r/>
            <w:r>
              <w:rPr>
                <w:rFonts w:ascii="Times New Roman" w:hAnsi="Times New Roman" w:eastAsia="宋体"/>
                <w:b w:val="0"/>
                <w:sz w:val="19"/>
              </w:rPr>
              <w:t>Fourier-Transform Infrared Spectroscopy</w:t>
            </w:r>
          </w:p>
        </w:tc>
      </w:tr>
      <w:tr>
        <w:tc>
          <w:tcPr>
            <w:tcW w:type="dxa" w:w="2911"/>
          </w:tcPr>
          <w:p>
            <w:pPr>
              <w:jc w:val="left"/>
            </w:pPr>
            <w:r/>
            <w:r>
              <w:rPr>
                <w:rFonts w:ascii="Times New Roman" w:hAnsi="Times New Roman" w:eastAsia="宋体"/>
                <w:b w:val="0"/>
                <w:sz w:val="19"/>
              </w:rPr>
              <w:t>VRM</w:t>
            </w:r>
          </w:p>
        </w:tc>
        <w:tc>
          <w:tcPr>
            <w:tcW w:type="dxa" w:w="2911"/>
          </w:tcPr>
          <w:p>
            <w:pPr>
              <w:jc w:val="left"/>
            </w:pPr>
            <w:r/>
            <w:r>
              <w:rPr>
                <w:rFonts w:ascii="Times New Roman" w:hAnsi="Times New Roman" w:eastAsia="宋体"/>
                <w:b w:val="0"/>
                <w:sz w:val="19"/>
              </w:rPr>
              <w:t>电压调节模块</w:t>
            </w:r>
          </w:p>
        </w:tc>
        <w:tc>
          <w:tcPr>
            <w:tcW w:type="dxa" w:w="2911"/>
          </w:tcPr>
          <w:p>
            <w:pPr>
              <w:jc w:val="left"/>
            </w:pPr>
            <w:r/>
            <w:r>
              <w:rPr>
                <w:rFonts w:ascii="Times New Roman" w:hAnsi="Times New Roman" w:eastAsia="宋体"/>
                <w:b w:val="0"/>
                <w:sz w:val="19"/>
              </w:rPr>
              <w:t>Voltage Regulator Module</w:t>
            </w:r>
          </w:p>
        </w:tc>
      </w:tr>
      <w:tr>
        <w:tc>
          <w:tcPr>
            <w:tcW w:type="dxa" w:w="2911"/>
          </w:tcPr>
          <w:p>
            <w:pPr>
              <w:jc w:val="left"/>
            </w:pPr>
            <w:r/>
            <w:r>
              <w:rPr>
                <w:rFonts w:ascii="Times New Roman" w:hAnsi="Times New Roman" w:eastAsia="宋体"/>
                <w:b w:val="0"/>
                <w:sz w:val="19"/>
              </w:rPr>
              <w:t>SMT</w:t>
            </w:r>
          </w:p>
        </w:tc>
        <w:tc>
          <w:tcPr>
            <w:tcW w:type="dxa" w:w="2911"/>
          </w:tcPr>
          <w:p>
            <w:pPr>
              <w:jc w:val="left"/>
            </w:pPr>
            <w:r/>
            <w:r>
              <w:rPr>
                <w:rFonts w:ascii="Times New Roman" w:hAnsi="Times New Roman" w:eastAsia="宋体"/>
                <w:b w:val="0"/>
                <w:sz w:val="19"/>
              </w:rPr>
              <w:t>表面贴装技术</w:t>
            </w:r>
          </w:p>
        </w:tc>
        <w:tc>
          <w:tcPr>
            <w:tcW w:type="dxa" w:w="2911"/>
          </w:tcPr>
          <w:p>
            <w:pPr>
              <w:jc w:val="left"/>
            </w:pPr>
            <w:r/>
            <w:r>
              <w:rPr>
                <w:rFonts w:ascii="Times New Roman" w:hAnsi="Times New Roman" w:eastAsia="宋体"/>
                <w:b w:val="0"/>
                <w:sz w:val="19"/>
              </w:rPr>
              <w:t>Surface-Mount Technology</w:t>
            </w:r>
          </w:p>
        </w:tc>
      </w:tr>
      <w:tr>
        <w:tc>
          <w:tcPr>
            <w:tcW w:type="dxa" w:w="2911"/>
          </w:tcPr>
          <w:p>
            <w:pPr>
              <w:jc w:val="left"/>
            </w:pPr>
            <w:r/>
            <w:r>
              <w:rPr>
                <w:rFonts w:ascii="Times New Roman" w:hAnsi="Times New Roman" w:eastAsia="宋体"/>
                <w:b w:val="0"/>
                <w:sz w:val="19"/>
              </w:rPr>
              <w:t>MSL</w:t>
            </w:r>
          </w:p>
        </w:tc>
        <w:tc>
          <w:tcPr>
            <w:tcW w:type="dxa" w:w="2911"/>
          </w:tcPr>
          <w:p>
            <w:pPr>
              <w:jc w:val="left"/>
            </w:pPr>
            <w:r/>
            <w:r>
              <w:rPr>
                <w:rFonts w:ascii="Times New Roman" w:hAnsi="Times New Roman" w:eastAsia="宋体"/>
                <w:b w:val="0"/>
                <w:sz w:val="19"/>
              </w:rPr>
              <w:t>潮湿敏感度等级</w:t>
            </w:r>
          </w:p>
        </w:tc>
        <w:tc>
          <w:tcPr>
            <w:tcW w:type="dxa" w:w="2911"/>
          </w:tcPr>
          <w:p>
            <w:pPr>
              <w:jc w:val="left"/>
            </w:pPr>
            <w:r/>
            <w:r>
              <w:rPr>
                <w:rFonts w:ascii="Times New Roman" w:hAnsi="Times New Roman" w:eastAsia="宋体"/>
                <w:b w:val="0"/>
                <w:sz w:val="19"/>
              </w:rPr>
              <w:t>Moisture Sensitivity Level</w:t>
            </w:r>
          </w:p>
        </w:tc>
      </w:tr>
      <w:tr>
        <w:tc>
          <w:tcPr>
            <w:tcW w:type="dxa" w:w="2911"/>
          </w:tcPr>
          <w:p>
            <w:pPr>
              <w:jc w:val="left"/>
            </w:pPr>
            <w:r/>
            <w:r>
              <w:rPr>
                <w:rFonts w:ascii="Times New Roman" w:hAnsi="Times New Roman" w:eastAsia="宋体"/>
                <w:b w:val="0"/>
                <w:sz w:val="19"/>
              </w:rPr>
              <w:t>CALCE</w:t>
            </w:r>
          </w:p>
        </w:tc>
        <w:tc>
          <w:tcPr>
            <w:tcW w:type="dxa" w:w="2911"/>
          </w:tcPr>
          <w:p>
            <w:pPr>
              <w:jc w:val="left"/>
            </w:pPr>
            <w:r/>
            <w:r>
              <w:rPr>
                <w:rFonts w:ascii="Times New Roman" w:hAnsi="Times New Roman" w:eastAsia="宋体"/>
                <w:b w:val="0"/>
                <w:sz w:val="19"/>
              </w:rPr>
              <w:t>马里兰大学可靠性工程中心</w:t>
            </w:r>
          </w:p>
        </w:tc>
        <w:tc>
          <w:tcPr>
            <w:tcW w:type="dxa" w:w="2911"/>
          </w:tcPr>
          <w:p>
            <w:pPr>
              <w:jc w:val="left"/>
            </w:pPr>
            <w:r/>
            <w:r>
              <w:rPr>
                <w:rFonts w:ascii="Times New Roman" w:hAnsi="Times New Roman" w:eastAsia="宋体"/>
                <w:b w:val="0"/>
                <w:sz w:val="19"/>
              </w:rPr>
              <w:t>Center for Advanced Life Cycle Engineering</w:t>
            </w:r>
          </w:p>
        </w:tc>
      </w:tr>
      <w:tr>
        <w:tc>
          <w:tcPr>
            <w:tcW w:type="dxa" w:w="2911"/>
          </w:tcPr>
          <w:p>
            <w:pPr>
              <w:jc w:val="left"/>
            </w:pPr>
            <w:r/>
            <w:r>
              <w:rPr>
                <w:rFonts w:ascii="Times New Roman" w:hAnsi="Times New Roman" w:eastAsia="宋体"/>
                <w:b w:val="0"/>
                <w:sz w:val="19"/>
              </w:rPr>
              <w:t>NEPP</w:t>
            </w:r>
          </w:p>
        </w:tc>
        <w:tc>
          <w:tcPr>
            <w:tcW w:type="dxa" w:w="2911"/>
          </w:tcPr>
          <w:p>
            <w:pPr>
              <w:jc w:val="left"/>
            </w:pPr>
            <w:r/>
            <w:r>
              <w:rPr>
                <w:rFonts w:ascii="Times New Roman" w:hAnsi="Times New Roman" w:eastAsia="宋体"/>
                <w:b w:val="0"/>
                <w:sz w:val="19"/>
              </w:rPr>
              <w:t>NASA 电子元器件可靠性计划</w:t>
            </w:r>
          </w:p>
        </w:tc>
        <w:tc>
          <w:tcPr>
            <w:tcW w:type="dxa" w:w="2911"/>
          </w:tcPr>
          <w:p>
            <w:pPr>
              <w:jc w:val="left"/>
            </w:pPr>
            <w:r/>
            <w:r>
              <w:rPr>
                <w:rFonts w:ascii="Times New Roman" w:hAnsi="Times New Roman" w:eastAsia="宋体"/>
                <w:b w:val="0"/>
                <w:sz w:val="19"/>
              </w:rPr>
              <w:t>NASA Electronic Parts and Packaging Program</w:t>
            </w:r>
          </w:p>
        </w:tc>
      </w:tr>
      <w:tr>
        <w:tc>
          <w:tcPr>
            <w:tcW w:type="dxa" w:w="2911"/>
          </w:tcPr>
          <w:p>
            <w:pPr>
              <w:jc w:val="left"/>
            </w:pPr>
            <w:r/>
            <w:r>
              <w:rPr>
                <w:rFonts w:ascii="Times New Roman" w:hAnsi="Times New Roman" w:eastAsia="宋体"/>
                <w:b w:val="0"/>
                <w:sz w:val="19"/>
              </w:rPr>
              <w:t>AEC-Q200</w:t>
            </w:r>
          </w:p>
        </w:tc>
        <w:tc>
          <w:tcPr>
            <w:tcW w:type="dxa" w:w="2911"/>
          </w:tcPr>
          <w:p>
            <w:pPr>
              <w:jc w:val="left"/>
            </w:pPr>
            <w:r/>
            <w:r>
              <w:rPr>
                <w:rFonts w:ascii="Times New Roman" w:hAnsi="Times New Roman" w:eastAsia="宋体"/>
                <w:b w:val="0"/>
                <w:sz w:val="19"/>
              </w:rPr>
              <w:t>汽车电子委员会被动元件认证</w:t>
            </w:r>
          </w:p>
        </w:tc>
        <w:tc>
          <w:tcPr>
            <w:tcW w:type="dxa" w:w="2911"/>
          </w:tcPr>
          <w:p>
            <w:pPr>
              <w:jc w:val="left"/>
            </w:pPr>
            <w:r/>
            <w:r>
              <w:rPr>
                <w:rFonts w:ascii="Times New Roman" w:hAnsi="Times New Roman" w:eastAsia="宋体"/>
                <w:b w:val="0"/>
                <w:sz w:val="19"/>
              </w:rPr>
              <w:t>Automotive Electronics Council Q200</w:t>
            </w:r>
          </w:p>
        </w:tc>
      </w:tr>
      <w:tr>
        <w:tc>
          <w:tcPr>
            <w:tcW w:type="dxa" w:w="2911"/>
          </w:tcPr>
          <w:p>
            <w:pPr>
              <w:jc w:val="left"/>
            </w:pPr>
            <w:r/>
            <w:r>
              <w:rPr>
                <w:rFonts w:ascii="Times New Roman" w:hAnsi="Times New Roman" w:eastAsia="宋体"/>
                <w:b w:val="0"/>
                <w:sz w:val="19"/>
              </w:rPr>
              <w:t>IEC 60384</w:t>
            </w:r>
          </w:p>
        </w:tc>
        <w:tc>
          <w:tcPr>
            <w:tcW w:type="dxa" w:w="2911"/>
          </w:tcPr>
          <w:p>
            <w:pPr>
              <w:jc w:val="left"/>
            </w:pPr>
            <w:r/>
            <w:r>
              <w:rPr>
                <w:rFonts w:ascii="Times New Roman" w:hAnsi="Times New Roman" w:eastAsia="宋体"/>
                <w:b w:val="0"/>
                <w:sz w:val="19"/>
              </w:rPr>
              <w:t>国际电工委员会电容器标准</w:t>
            </w:r>
          </w:p>
        </w:tc>
        <w:tc>
          <w:tcPr>
            <w:tcW w:type="dxa" w:w="2911"/>
          </w:tcPr>
          <w:p>
            <w:pPr>
              <w:jc w:val="left"/>
            </w:pPr>
            <w:r/>
            <w:r>
              <w:rPr>
                <w:rFonts w:ascii="Times New Roman" w:hAnsi="Times New Roman" w:eastAsia="宋体"/>
                <w:b w:val="0"/>
                <w:sz w:val="19"/>
              </w:rPr>
              <w:t>International Electrotechnical Commission standard</w:t>
            </w:r>
          </w:p>
        </w:tc>
      </w:tr>
    </w:tbl>
    <w:p>
      <w:r>
        <w:br w:type="page"/>
      </w:r>
    </w:p>
    <w:p>
      <w:pPr>
        <w:spacing w:before="200" w:after="100"/>
        <w:outlineLvl w:val="1"/>
      </w:pPr>
      <w:r>
        <w:rPr>
          <w:rFonts w:ascii="Times New Roman" w:hAnsi="Times New Roman" w:eastAsia="黑体"/>
          <w:b/>
          <w:sz w:val="36"/>
        </w:rPr>
        <w:t>附录 B  加速试验设计范例</w:t>
      </w:r>
    </w:p>
    <w:p>
      <w:pPr>
        <w:spacing w:line="360" w:lineRule="auto" w:after="40"/>
        <w:ind w:firstLine="420"/>
        <w:jc w:val="both"/>
      </w:pPr>
      <w:r>
        <w:rPr>
          <w:rFonts w:ascii="Times New Roman" w:hAnsi="Times New Roman" w:eastAsia="宋体"/>
          <w:b w:val="0"/>
          <w:sz w:val="21"/>
        </w:rPr>
        <w:t>本附录以一只典型 SAPC 产品（6.3 V / 470 μF，CV 积约 3000 μV·F）为例，展示 AEC-Q200 等级下的加速试验设计流程。</w:t>
      </w:r>
    </w:p>
    <w:p>
      <w:pPr>
        <w:spacing w:before="200" w:after="100"/>
        <w:outlineLvl w:val="2"/>
      </w:pPr>
      <w:r>
        <w:rPr>
          <w:rFonts w:ascii="Times New Roman" w:hAnsi="Times New Roman" w:eastAsia="黑体"/>
          <w:b/>
          <w:sz w:val="28"/>
        </w:rPr>
        <w:t>B.1 试验矩阵</w:t>
      </w:r>
    </w:p>
    <w:p>
      <w:pPr>
        <w:jc w:val="center"/>
      </w:pPr>
      <w:r>
        <w:rPr>
          <w:rFonts w:ascii="Times New Roman" w:hAnsi="Times New Roman" w:eastAsia="黑体"/>
          <w:b/>
          <w:sz w:val="20"/>
        </w:rPr>
        <w:t>附表 B-1  SAPC 综合加速试验矩阵</w:t>
      </w:r>
    </w:p>
    <w:tbl>
      <w:tblPr>
        <w:tblStyle w:val="TableGrid"/>
        <w:tblW w:type="auto" w:w="0"/>
        <w:jc w:val="center"/>
        <w:tblLook w:firstColumn="1" w:firstRow="1" w:lastColumn="0" w:lastRow="0" w:noHBand="0" w:noVBand="1" w:val="04A0"/>
      </w:tblPr>
      <w:tblGrid>
        <w:gridCol w:w="1247"/>
        <w:gridCol w:w="1247"/>
        <w:gridCol w:w="1247"/>
        <w:gridCol w:w="1247"/>
        <w:gridCol w:w="1247"/>
        <w:gridCol w:w="1247"/>
        <w:gridCol w:w="1247"/>
      </w:tblGrid>
      <w:tr>
        <w:tc>
          <w:tcPr>
            <w:tcW w:type="dxa" w:w="1247"/>
          </w:tcPr>
          <w:p>
            <w:pPr>
              <w:jc w:val="center"/>
            </w:pPr>
            <w:r/>
            <w:r>
              <w:rPr>
                <w:rFonts w:ascii="Times New Roman" w:hAnsi="Times New Roman" w:eastAsia="黑体"/>
                <w:b/>
                <w:sz w:val="19"/>
              </w:rPr>
              <w:t>编号</w:t>
            </w:r>
          </w:p>
        </w:tc>
        <w:tc>
          <w:tcPr>
            <w:tcW w:type="dxa" w:w="1247"/>
          </w:tcPr>
          <w:p>
            <w:pPr>
              <w:jc w:val="center"/>
            </w:pPr>
            <w:r/>
            <w:r>
              <w:rPr>
                <w:rFonts w:ascii="Times New Roman" w:hAnsi="Times New Roman" w:eastAsia="黑体"/>
                <w:b/>
                <w:sz w:val="19"/>
              </w:rPr>
              <w:t>温度 (°C)</w:t>
            </w:r>
          </w:p>
        </w:tc>
        <w:tc>
          <w:tcPr>
            <w:tcW w:type="dxa" w:w="1247"/>
          </w:tcPr>
          <w:p>
            <w:pPr>
              <w:jc w:val="center"/>
            </w:pPr>
            <w:r/>
            <w:r>
              <w:rPr>
                <w:rFonts w:ascii="Times New Roman" w:hAnsi="Times New Roman" w:eastAsia="黑体"/>
                <w:b/>
                <w:sz w:val="19"/>
              </w:rPr>
              <w:t>相对湿度 (%RH)</w:t>
            </w:r>
          </w:p>
        </w:tc>
        <w:tc>
          <w:tcPr>
            <w:tcW w:type="dxa" w:w="1247"/>
          </w:tcPr>
          <w:p>
            <w:pPr>
              <w:jc w:val="center"/>
            </w:pPr>
            <w:r/>
            <w:r>
              <w:rPr>
                <w:rFonts w:ascii="Times New Roman" w:hAnsi="Times New Roman" w:eastAsia="黑体"/>
                <w:b/>
                <w:sz w:val="19"/>
              </w:rPr>
              <w:t>偏压</w:t>
            </w:r>
          </w:p>
        </w:tc>
        <w:tc>
          <w:tcPr>
            <w:tcW w:type="dxa" w:w="1247"/>
          </w:tcPr>
          <w:p>
            <w:pPr>
              <w:jc w:val="center"/>
            </w:pPr>
            <w:r/>
            <w:r>
              <w:rPr>
                <w:rFonts w:ascii="Times New Roman" w:hAnsi="Times New Roman" w:eastAsia="黑体"/>
                <w:b/>
                <w:sz w:val="19"/>
              </w:rPr>
              <w:t>样本数</w:t>
            </w:r>
          </w:p>
        </w:tc>
        <w:tc>
          <w:tcPr>
            <w:tcW w:type="dxa" w:w="1247"/>
          </w:tcPr>
          <w:p>
            <w:pPr>
              <w:jc w:val="center"/>
            </w:pPr>
            <w:r/>
            <w:r>
              <w:rPr>
                <w:rFonts w:ascii="Times New Roman" w:hAnsi="Times New Roman" w:eastAsia="黑体"/>
                <w:b/>
                <w:sz w:val="19"/>
              </w:rPr>
              <w:t>测试时长 (h)</w:t>
            </w:r>
          </w:p>
        </w:tc>
        <w:tc>
          <w:tcPr>
            <w:tcW w:type="dxa" w:w="1247"/>
          </w:tcPr>
          <w:p>
            <w:pPr>
              <w:jc w:val="center"/>
            </w:pPr>
            <w:r/>
            <w:r>
              <w:rPr>
                <w:rFonts w:ascii="Times New Roman" w:hAnsi="Times New Roman" w:eastAsia="黑体"/>
                <w:b/>
                <w:sz w:val="19"/>
              </w:rPr>
              <w:t>主要失效机理</w:t>
            </w:r>
          </w:p>
        </w:tc>
      </w:tr>
      <w:tr>
        <w:tc>
          <w:tcPr>
            <w:tcW w:type="dxa" w:w="1247"/>
          </w:tcPr>
          <w:p>
            <w:pPr>
              <w:jc w:val="left"/>
            </w:pPr>
            <w:r/>
            <w:r>
              <w:rPr>
                <w:rFonts w:ascii="Times New Roman" w:hAnsi="Times New Roman" w:eastAsia="宋体"/>
                <w:b w:val="0"/>
                <w:sz w:val="19"/>
              </w:rPr>
              <w:t>T1</w:t>
            </w:r>
          </w:p>
        </w:tc>
        <w:tc>
          <w:tcPr>
            <w:tcW w:type="dxa" w:w="1247"/>
          </w:tcPr>
          <w:p>
            <w:pPr>
              <w:jc w:val="left"/>
            </w:pPr>
            <w:r/>
            <w:r>
              <w:rPr>
                <w:rFonts w:ascii="Times New Roman" w:hAnsi="Times New Roman" w:eastAsia="宋体"/>
                <w:b w:val="0"/>
                <w:sz w:val="19"/>
              </w:rPr>
              <w:t>125</w:t>
            </w:r>
          </w:p>
        </w:tc>
        <w:tc>
          <w:tcPr>
            <w:tcW w:type="dxa" w:w="1247"/>
          </w:tcPr>
          <w:p>
            <w:pPr>
              <w:jc w:val="left"/>
            </w:pPr>
            <w:r/>
            <w:r>
              <w:rPr>
                <w:rFonts w:ascii="Times New Roman" w:hAnsi="Times New Roman" w:eastAsia="宋体"/>
                <w:b w:val="0"/>
                <w:sz w:val="19"/>
              </w:rPr>
              <w:t>≤10</w:t>
            </w:r>
          </w:p>
        </w:tc>
        <w:tc>
          <w:tcPr>
            <w:tcW w:type="dxa" w:w="1247"/>
          </w:tcPr>
          <w:p>
            <w:pPr>
              <w:jc w:val="left"/>
            </w:pPr>
            <w:r/>
            <w:r>
              <w:rPr>
                <w:rFonts w:ascii="Times New Roman" w:hAnsi="Times New Roman" w:eastAsia="宋体"/>
                <w:b w:val="0"/>
                <w:sz w:val="19"/>
              </w:rPr>
              <w:t>V_R</w:t>
            </w:r>
          </w:p>
        </w:tc>
        <w:tc>
          <w:tcPr>
            <w:tcW w:type="dxa" w:w="1247"/>
          </w:tcPr>
          <w:p>
            <w:pPr>
              <w:jc w:val="left"/>
            </w:pPr>
            <w:r/>
            <w:r>
              <w:rPr>
                <w:rFonts w:ascii="Times New Roman" w:hAnsi="Times New Roman" w:eastAsia="宋体"/>
                <w:b w:val="0"/>
                <w:sz w:val="19"/>
              </w:rPr>
              <w:t>77</w:t>
            </w:r>
          </w:p>
        </w:tc>
        <w:tc>
          <w:tcPr>
            <w:tcW w:type="dxa" w:w="1247"/>
          </w:tcPr>
          <w:p>
            <w:pPr>
              <w:jc w:val="left"/>
            </w:pPr>
            <w:r/>
            <w:r>
              <w:rPr>
                <w:rFonts w:ascii="Times New Roman" w:hAnsi="Times New Roman" w:eastAsia="宋体"/>
                <w:b w:val="0"/>
                <w:sz w:val="19"/>
              </w:rPr>
              <w:t>1000</w:t>
            </w:r>
          </w:p>
        </w:tc>
        <w:tc>
          <w:tcPr>
            <w:tcW w:type="dxa" w:w="1247"/>
          </w:tcPr>
          <w:p>
            <w:pPr>
              <w:jc w:val="left"/>
            </w:pPr>
            <w:r/>
            <w:r>
              <w:rPr>
                <w:rFonts w:ascii="Times New Roman" w:hAnsi="Times New Roman" w:eastAsia="宋体"/>
                <w:b w:val="0"/>
                <w:sz w:val="19"/>
              </w:rPr>
              <w:t>PEDOT 热氧化</w:t>
            </w:r>
          </w:p>
        </w:tc>
      </w:tr>
      <w:tr>
        <w:tc>
          <w:tcPr>
            <w:tcW w:type="dxa" w:w="1247"/>
          </w:tcPr>
          <w:p>
            <w:pPr>
              <w:jc w:val="left"/>
            </w:pPr>
            <w:r/>
            <w:r>
              <w:rPr>
                <w:rFonts w:ascii="Times New Roman" w:hAnsi="Times New Roman" w:eastAsia="宋体"/>
                <w:b w:val="0"/>
                <w:sz w:val="19"/>
              </w:rPr>
              <w:t>T2</w:t>
            </w:r>
          </w:p>
        </w:tc>
        <w:tc>
          <w:tcPr>
            <w:tcW w:type="dxa" w:w="1247"/>
          </w:tcPr>
          <w:p>
            <w:pPr>
              <w:jc w:val="left"/>
            </w:pPr>
            <w:r/>
            <w:r>
              <w:rPr>
                <w:rFonts w:ascii="Times New Roman" w:hAnsi="Times New Roman" w:eastAsia="宋体"/>
                <w:b w:val="0"/>
                <w:sz w:val="19"/>
              </w:rPr>
              <w:t>125</w:t>
            </w:r>
          </w:p>
        </w:tc>
        <w:tc>
          <w:tcPr>
            <w:tcW w:type="dxa" w:w="1247"/>
          </w:tcPr>
          <w:p>
            <w:pPr>
              <w:jc w:val="left"/>
            </w:pPr>
            <w:r/>
            <w:r>
              <w:rPr>
                <w:rFonts w:ascii="Times New Roman" w:hAnsi="Times New Roman" w:eastAsia="宋体"/>
                <w:b w:val="0"/>
                <w:sz w:val="19"/>
              </w:rPr>
              <w:t>≤10</w:t>
            </w:r>
          </w:p>
        </w:tc>
        <w:tc>
          <w:tcPr>
            <w:tcW w:type="dxa" w:w="1247"/>
          </w:tcPr>
          <w:p>
            <w:pPr>
              <w:jc w:val="left"/>
            </w:pPr>
            <w:r/>
            <w:r>
              <w:rPr>
                <w:rFonts w:ascii="Times New Roman" w:hAnsi="Times New Roman" w:eastAsia="宋体"/>
                <w:b w:val="0"/>
                <w:sz w:val="19"/>
              </w:rPr>
              <w:t>1.5 V_R</w:t>
            </w:r>
          </w:p>
        </w:tc>
        <w:tc>
          <w:tcPr>
            <w:tcW w:type="dxa" w:w="1247"/>
          </w:tcPr>
          <w:p>
            <w:pPr>
              <w:jc w:val="left"/>
            </w:pPr>
            <w:r/>
            <w:r>
              <w:rPr>
                <w:rFonts w:ascii="Times New Roman" w:hAnsi="Times New Roman" w:eastAsia="宋体"/>
                <w:b w:val="0"/>
                <w:sz w:val="19"/>
              </w:rPr>
              <w:t>77</w:t>
            </w:r>
          </w:p>
        </w:tc>
        <w:tc>
          <w:tcPr>
            <w:tcW w:type="dxa" w:w="1247"/>
          </w:tcPr>
          <w:p>
            <w:pPr>
              <w:jc w:val="left"/>
            </w:pPr>
            <w:r/>
            <w:r>
              <w:rPr>
                <w:rFonts w:ascii="Times New Roman" w:hAnsi="Times New Roman" w:eastAsia="宋体"/>
                <w:b w:val="0"/>
                <w:sz w:val="19"/>
              </w:rPr>
              <w:t>500</w:t>
            </w:r>
          </w:p>
        </w:tc>
        <w:tc>
          <w:tcPr>
            <w:tcW w:type="dxa" w:w="1247"/>
          </w:tcPr>
          <w:p>
            <w:pPr>
              <w:jc w:val="left"/>
            </w:pPr>
            <w:r/>
            <w:r>
              <w:rPr>
                <w:rFonts w:ascii="Times New Roman" w:hAnsi="Times New Roman" w:eastAsia="宋体"/>
                <w:b w:val="0"/>
                <w:sz w:val="19"/>
              </w:rPr>
              <w:t>Al₂O₃ 场致击穿</w:t>
            </w:r>
          </w:p>
        </w:tc>
      </w:tr>
      <w:tr>
        <w:tc>
          <w:tcPr>
            <w:tcW w:type="dxa" w:w="1247"/>
          </w:tcPr>
          <w:p>
            <w:pPr>
              <w:jc w:val="left"/>
            </w:pPr>
            <w:r/>
            <w:r>
              <w:rPr>
                <w:rFonts w:ascii="Times New Roman" w:hAnsi="Times New Roman" w:eastAsia="宋体"/>
                <w:b w:val="0"/>
                <w:sz w:val="19"/>
              </w:rPr>
              <w:t>T3</w:t>
            </w:r>
          </w:p>
        </w:tc>
        <w:tc>
          <w:tcPr>
            <w:tcW w:type="dxa" w:w="1247"/>
          </w:tcPr>
          <w:p>
            <w:pPr>
              <w:jc w:val="left"/>
            </w:pPr>
            <w:r/>
            <w:r>
              <w:rPr>
                <w:rFonts w:ascii="Times New Roman" w:hAnsi="Times New Roman" w:eastAsia="宋体"/>
                <w:b w:val="0"/>
                <w:sz w:val="19"/>
              </w:rPr>
              <w:t>105</w:t>
            </w:r>
          </w:p>
        </w:tc>
        <w:tc>
          <w:tcPr>
            <w:tcW w:type="dxa" w:w="1247"/>
          </w:tcPr>
          <w:p>
            <w:pPr>
              <w:jc w:val="left"/>
            </w:pPr>
            <w:r/>
            <w:r>
              <w:rPr>
                <w:rFonts w:ascii="Times New Roman" w:hAnsi="Times New Roman" w:eastAsia="宋体"/>
                <w:b w:val="0"/>
                <w:sz w:val="19"/>
              </w:rPr>
              <w:t>≤10</w:t>
            </w:r>
          </w:p>
        </w:tc>
        <w:tc>
          <w:tcPr>
            <w:tcW w:type="dxa" w:w="1247"/>
          </w:tcPr>
          <w:p>
            <w:pPr>
              <w:jc w:val="left"/>
            </w:pPr>
            <w:r/>
            <w:r>
              <w:rPr>
                <w:rFonts w:ascii="Times New Roman" w:hAnsi="Times New Roman" w:eastAsia="宋体"/>
                <w:b w:val="0"/>
                <w:sz w:val="19"/>
              </w:rPr>
              <w:t>V_R</w:t>
            </w:r>
          </w:p>
        </w:tc>
        <w:tc>
          <w:tcPr>
            <w:tcW w:type="dxa" w:w="1247"/>
          </w:tcPr>
          <w:p>
            <w:pPr>
              <w:jc w:val="left"/>
            </w:pPr>
            <w:r/>
            <w:r>
              <w:rPr>
                <w:rFonts w:ascii="Times New Roman" w:hAnsi="Times New Roman" w:eastAsia="宋体"/>
                <w:b w:val="0"/>
                <w:sz w:val="19"/>
              </w:rPr>
              <w:t>77</w:t>
            </w:r>
          </w:p>
        </w:tc>
        <w:tc>
          <w:tcPr>
            <w:tcW w:type="dxa" w:w="1247"/>
          </w:tcPr>
          <w:p>
            <w:pPr>
              <w:jc w:val="left"/>
            </w:pPr>
            <w:r/>
            <w:r>
              <w:rPr>
                <w:rFonts w:ascii="Times New Roman" w:hAnsi="Times New Roman" w:eastAsia="宋体"/>
                <w:b w:val="0"/>
                <w:sz w:val="19"/>
              </w:rPr>
              <w:t>2000</w:t>
            </w:r>
          </w:p>
        </w:tc>
        <w:tc>
          <w:tcPr>
            <w:tcW w:type="dxa" w:w="1247"/>
          </w:tcPr>
          <w:p>
            <w:pPr>
              <w:jc w:val="left"/>
            </w:pPr>
            <w:r/>
            <w:r>
              <w:rPr>
                <w:rFonts w:ascii="Times New Roman" w:hAnsi="Times New Roman" w:eastAsia="宋体"/>
                <w:b w:val="0"/>
                <w:sz w:val="19"/>
              </w:rPr>
              <w:t>PEDOT 热氧化 (温和)</w:t>
            </w:r>
          </w:p>
        </w:tc>
      </w:tr>
      <w:tr>
        <w:tc>
          <w:tcPr>
            <w:tcW w:type="dxa" w:w="1247"/>
          </w:tcPr>
          <w:p>
            <w:pPr>
              <w:jc w:val="left"/>
            </w:pPr>
            <w:r/>
            <w:r>
              <w:rPr>
                <w:rFonts w:ascii="Times New Roman" w:hAnsi="Times New Roman" w:eastAsia="宋体"/>
                <w:b w:val="0"/>
                <w:sz w:val="19"/>
              </w:rPr>
              <w:t>TH1</w:t>
            </w:r>
          </w:p>
        </w:tc>
        <w:tc>
          <w:tcPr>
            <w:tcW w:type="dxa" w:w="1247"/>
          </w:tcPr>
          <w:p>
            <w:pPr>
              <w:jc w:val="left"/>
            </w:pPr>
            <w:r/>
            <w:r>
              <w:rPr>
                <w:rFonts w:ascii="Times New Roman" w:hAnsi="Times New Roman" w:eastAsia="宋体"/>
                <w:b w:val="0"/>
                <w:sz w:val="19"/>
              </w:rPr>
              <w:t>85</w:t>
            </w:r>
          </w:p>
        </w:tc>
        <w:tc>
          <w:tcPr>
            <w:tcW w:type="dxa" w:w="1247"/>
          </w:tcPr>
          <w:p>
            <w:pPr>
              <w:jc w:val="left"/>
            </w:pPr>
            <w:r/>
            <w:r>
              <w:rPr>
                <w:rFonts w:ascii="Times New Roman" w:hAnsi="Times New Roman" w:eastAsia="宋体"/>
                <w:b w:val="0"/>
                <w:sz w:val="19"/>
              </w:rPr>
              <w:t>85</w:t>
            </w:r>
          </w:p>
        </w:tc>
        <w:tc>
          <w:tcPr>
            <w:tcW w:type="dxa" w:w="1247"/>
          </w:tcPr>
          <w:p>
            <w:pPr>
              <w:jc w:val="left"/>
            </w:pPr>
            <w:r/>
            <w:r>
              <w:rPr>
                <w:rFonts w:ascii="Times New Roman" w:hAnsi="Times New Roman" w:eastAsia="宋体"/>
                <w:b w:val="0"/>
                <w:sz w:val="19"/>
              </w:rPr>
              <w:t>V_R</w:t>
            </w:r>
          </w:p>
        </w:tc>
        <w:tc>
          <w:tcPr>
            <w:tcW w:type="dxa" w:w="1247"/>
          </w:tcPr>
          <w:p>
            <w:pPr>
              <w:jc w:val="left"/>
            </w:pPr>
            <w:r/>
            <w:r>
              <w:rPr>
                <w:rFonts w:ascii="Times New Roman" w:hAnsi="Times New Roman" w:eastAsia="宋体"/>
                <w:b w:val="0"/>
                <w:sz w:val="19"/>
              </w:rPr>
              <w:t>77</w:t>
            </w:r>
          </w:p>
        </w:tc>
        <w:tc>
          <w:tcPr>
            <w:tcW w:type="dxa" w:w="1247"/>
          </w:tcPr>
          <w:p>
            <w:pPr>
              <w:jc w:val="left"/>
            </w:pPr>
            <w:r/>
            <w:r>
              <w:rPr>
                <w:rFonts w:ascii="Times New Roman" w:hAnsi="Times New Roman" w:eastAsia="宋体"/>
                <w:b w:val="0"/>
                <w:sz w:val="19"/>
              </w:rPr>
              <w:t>1000</w:t>
            </w:r>
          </w:p>
        </w:tc>
        <w:tc>
          <w:tcPr>
            <w:tcW w:type="dxa" w:w="1247"/>
          </w:tcPr>
          <w:p>
            <w:pPr>
              <w:jc w:val="left"/>
            </w:pPr>
            <w:r/>
            <w:r>
              <w:rPr>
                <w:rFonts w:ascii="Times New Roman" w:hAnsi="Times New Roman" w:eastAsia="宋体"/>
                <w:b w:val="0"/>
                <w:sz w:val="19"/>
              </w:rPr>
              <w:t>综合湿热退化</w:t>
            </w:r>
          </w:p>
        </w:tc>
      </w:tr>
      <w:tr>
        <w:tc>
          <w:tcPr>
            <w:tcW w:type="dxa" w:w="1247"/>
          </w:tcPr>
          <w:p>
            <w:pPr>
              <w:jc w:val="left"/>
            </w:pPr>
            <w:r/>
            <w:r>
              <w:rPr>
                <w:rFonts w:ascii="Times New Roman" w:hAnsi="Times New Roman" w:eastAsia="宋体"/>
                <w:b w:val="0"/>
                <w:sz w:val="19"/>
              </w:rPr>
              <w:t>TH2</w:t>
            </w:r>
          </w:p>
        </w:tc>
        <w:tc>
          <w:tcPr>
            <w:tcW w:type="dxa" w:w="1247"/>
          </w:tcPr>
          <w:p>
            <w:pPr>
              <w:jc w:val="left"/>
            </w:pPr>
            <w:r/>
            <w:r>
              <w:rPr>
                <w:rFonts w:ascii="Times New Roman" w:hAnsi="Times New Roman" w:eastAsia="宋体"/>
                <w:b w:val="0"/>
                <w:sz w:val="19"/>
              </w:rPr>
              <w:t>85</w:t>
            </w:r>
          </w:p>
        </w:tc>
        <w:tc>
          <w:tcPr>
            <w:tcW w:type="dxa" w:w="1247"/>
          </w:tcPr>
          <w:p>
            <w:pPr>
              <w:jc w:val="left"/>
            </w:pPr>
            <w:r/>
            <w:r>
              <w:rPr>
                <w:rFonts w:ascii="Times New Roman" w:hAnsi="Times New Roman" w:eastAsia="宋体"/>
                <w:b w:val="0"/>
                <w:sz w:val="19"/>
              </w:rPr>
              <w:t>85</w:t>
            </w:r>
          </w:p>
        </w:tc>
        <w:tc>
          <w:tcPr>
            <w:tcW w:type="dxa" w:w="1247"/>
          </w:tcPr>
          <w:p>
            <w:pPr>
              <w:jc w:val="left"/>
            </w:pPr>
            <w:r/>
            <w:r>
              <w:rPr>
                <w:rFonts w:ascii="Times New Roman" w:hAnsi="Times New Roman" w:eastAsia="宋体"/>
                <w:b w:val="0"/>
                <w:sz w:val="19"/>
              </w:rPr>
              <w:t>0</w:t>
            </w:r>
          </w:p>
        </w:tc>
        <w:tc>
          <w:tcPr>
            <w:tcW w:type="dxa" w:w="1247"/>
          </w:tcPr>
          <w:p>
            <w:pPr>
              <w:jc w:val="left"/>
            </w:pPr>
            <w:r/>
            <w:r>
              <w:rPr>
                <w:rFonts w:ascii="Times New Roman" w:hAnsi="Times New Roman" w:eastAsia="宋体"/>
                <w:b w:val="0"/>
                <w:sz w:val="19"/>
              </w:rPr>
              <w:t>77</w:t>
            </w:r>
          </w:p>
        </w:tc>
        <w:tc>
          <w:tcPr>
            <w:tcW w:type="dxa" w:w="1247"/>
          </w:tcPr>
          <w:p>
            <w:pPr>
              <w:jc w:val="left"/>
            </w:pPr>
            <w:r/>
            <w:r>
              <w:rPr>
                <w:rFonts w:ascii="Times New Roman" w:hAnsi="Times New Roman" w:eastAsia="宋体"/>
                <w:b w:val="0"/>
                <w:sz w:val="19"/>
              </w:rPr>
              <w:t>1000</w:t>
            </w:r>
          </w:p>
        </w:tc>
        <w:tc>
          <w:tcPr>
            <w:tcW w:type="dxa" w:w="1247"/>
          </w:tcPr>
          <w:p>
            <w:pPr>
              <w:jc w:val="left"/>
            </w:pPr>
            <w:r/>
            <w:r>
              <w:rPr>
                <w:rFonts w:ascii="Times New Roman" w:hAnsi="Times New Roman" w:eastAsia="宋体"/>
                <w:b w:val="0"/>
                <w:sz w:val="19"/>
              </w:rPr>
              <w:t>纯湿度应力</w:t>
            </w:r>
          </w:p>
        </w:tc>
      </w:tr>
      <w:tr>
        <w:tc>
          <w:tcPr>
            <w:tcW w:type="dxa" w:w="1247"/>
          </w:tcPr>
          <w:p>
            <w:pPr>
              <w:jc w:val="left"/>
            </w:pPr>
            <w:r/>
            <w:r>
              <w:rPr>
                <w:rFonts w:ascii="Times New Roman" w:hAnsi="Times New Roman" w:eastAsia="宋体"/>
                <w:b w:val="0"/>
                <w:sz w:val="19"/>
              </w:rPr>
              <w:t>TC</w:t>
            </w:r>
          </w:p>
        </w:tc>
        <w:tc>
          <w:tcPr>
            <w:tcW w:type="dxa" w:w="1247"/>
          </w:tcPr>
          <w:p>
            <w:pPr>
              <w:jc w:val="left"/>
            </w:pPr>
            <w:r/>
            <w:r>
              <w:rPr>
                <w:rFonts w:ascii="Times New Roman" w:hAnsi="Times New Roman" w:eastAsia="宋体"/>
                <w:b w:val="0"/>
                <w:sz w:val="19"/>
              </w:rPr>
              <w:t>-55 ↔ +125</w:t>
            </w:r>
          </w:p>
        </w:tc>
        <w:tc>
          <w:tcPr>
            <w:tcW w:type="dxa" w:w="1247"/>
          </w:tcPr>
          <w:p>
            <w:pPr>
              <w:jc w:val="left"/>
            </w:pPr>
            <w:r/>
            <w:r>
              <w:rPr>
                <w:rFonts w:ascii="Times New Roman" w:hAnsi="Times New Roman" w:eastAsia="宋体"/>
                <w:b w:val="0"/>
                <w:sz w:val="19"/>
              </w:rPr>
              <w:t>—</w:t>
            </w:r>
          </w:p>
        </w:tc>
        <w:tc>
          <w:tcPr>
            <w:tcW w:type="dxa" w:w="1247"/>
          </w:tcPr>
          <w:p>
            <w:pPr>
              <w:jc w:val="left"/>
            </w:pPr>
            <w:r/>
            <w:r>
              <w:rPr>
                <w:rFonts w:ascii="Times New Roman" w:hAnsi="Times New Roman" w:eastAsia="宋体"/>
                <w:b w:val="0"/>
                <w:sz w:val="19"/>
              </w:rPr>
              <w:t>—</w:t>
            </w:r>
          </w:p>
        </w:tc>
        <w:tc>
          <w:tcPr>
            <w:tcW w:type="dxa" w:w="1247"/>
          </w:tcPr>
          <w:p>
            <w:pPr>
              <w:jc w:val="left"/>
            </w:pPr>
            <w:r/>
            <w:r>
              <w:rPr>
                <w:rFonts w:ascii="Times New Roman" w:hAnsi="Times New Roman" w:eastAsia="宋体"/>
                <w:b w:val="0"/>
                <w:sz w:val="19"/>
              </w:rPr>
              <w:t>77</w:t>
            </w:r>
          </w:p>
        </w:tc>
        <w:tc>
          <w:tcPr>
            <w:tcW w:type="dxa" w:w="1247"/>
          </w:tcPr>
          <w:p>
            <w:pPr>
              <w:jc w:val="left"/>
            </w:pPr>
            <w:r/>
            <w:r>
              <w:rPr>
                <w:rFonts w:ascii="Times New Roman" w:hAnsi="Times New Roman" w:eastAsia="宋体"/>
                <w:b w:val="0"/>
                <w:sz w:val="19"/>
              </w:rPr>
              <w:t>1000 cycles</w:t>
            </w:r>
          </w:p>
        </w:tc>
        <w:tc>
          <w:tcPr>
            <w:tcW w:type="dxa" w:w="1247"/>
          </w:tcPr>
          <w:p>
            <w:pPr>
              <w:jc w:val="left"/>
            </w:pPr>
            <w:r/>
            <w:r>
              <w:rPr>
                <w:rFonts w:ascii="Times New Roman" w:hAnsi="Times New Roman" w:eastAsia="宋体"/>
                <w:b w:val="0"/>
                <w:sz w:val="19"/>
              </w:rPr>
              <w:t>热机械疲劳</w:t>
            </w:r>
          </w:p>
        </w:tc>
      </w:tr>
      <w:tr>
        <w:tc>
          <w:tcPr>
            <w:tcW w:type="dxa" w:w="1247"/>
          </w:tcPr>
          <w:p>
            <w:pPr>
              <w:jc w:val="left"/>
            </w:pPr>
            <w:r/>
            <w:r>
              <w:rPr>
                <w:rFonts w:ascii="Times New Roman" w:hAnsi="Times New Roman" w:eastAsia="宋体"/>
                <w:b w:val="0"/>
                <w:sz w:val="19"/>
              </w:rPr>
              <w:t>VT</w:t>
            </w:r>
          </w:p>
        </w:tc>
        <w:tc>
          <w:tcPr>
            <w:tcW w:type="dxa" w:w="1247"/>
          </w:tcPr>
          <w:p>
            <w:pPr>
              <w:jc w:val="left"/>
            </w:pPr>
            <w:r/>
            <w:r>
              <w:rPr>
                <w:rFonts w:ascii="Times New Roman" w:hAnsi="Times New Roman" w:eastAsia="宋体"/>
                <w:b w:val="0"/>
                <w:sz w:val="19"/>
              </w:rPr>
              <w:t>10 Hz ~ 2 kHz, 50 g</w:t>
            </w:r>
          </w:p>
        </w:tc>
        <w:tc>
          <w:tcPr>
            <w:tcW w:type="dxa" w:w="1247"/>
          </w:tcPr>
          <w:p>
            <w:pPr>
              <w:jc w:val="left"/>
            </w:pPr>
            <w:r/>
            <w:r>
              <w:rPr>
                <w:rFonts w:ascii="Times New Roman" w:hAnsi="Times New Roman" w:eastAsia="宋体"/>
                <w:b w:val="0"/>
                <w:sz w:val="19"/>
              </w:rPr>
              <w:t>—</w:t>
            </w:r>
          </w:p>
        </w:tc>
        <w:tc>
          <w:tcPr>
            <w:tcW w:type="dxa" w:w="1247"/>
          </w:tcPr>
          <w:p>
            <w:pPr>
              <w:jc w:val="left"/>
            </w:pPr>
            <w:r/>
            <w:r>
              <w:rPr>
                <w:rFonts w:ascii="Times New Roman" w:hAnsi="Times New Roman" w:eastAsia="宋体"/>
                <w:b w:val="0"/>
                <w:sz w:val="19"/>
              </w:rPr>
              <w:t>—</w:t>
            </w:r>
          </w:p>
        </w:tc>
        <w:tc>
          <w:tcPr>
            <w:tcW w:type="dxa" w:w="1247"/>
          </w:tcPr>
          <w:p>
            <w:pPr>
              <w:jc w:val="left"/>
            </w:pPr>
            <w:r/>
            <w:r>
              <w:rPr>
                <w:rFonts w:ascii="Times New Roman" w:hAnsi="Times New Roman" w:eastAsia="宋体"/>
                <w:b w:val="0"/>
                <w:sz w:val="19"/>
              </w:rPr>
              <w:t>77</w:t>
            </w:r>
          </w:p>
        </w:tc>
        <w:tc>
          <w:tcPr>
            <w:tcW w:type="dxa" w:w="1247"/>
          </w:tcPr>
          <w:p>
            <w:pPr>
              <w:jc w:val="left"/>
            </w:pPr>
            <w:r/>
            <w:r>
              <w:rPr>
                <w:rFonts w:ascii="Times New Roman" w:hAnsi="Times New Roman" w:eastAsia="宋体"/>
                <w:b w:val="0"/>
                <w:sz w:val="19"/>
              </w:rPr>
              <w:t>12</w:t>
            </w:r>
          </w:p>
        </w:tc>
        <w:tc>
          <w:tcPr>
            <w:tcW w:type="dxa" w:w="1247"/>
          </w:tcPr>
          <w:p>
            <w:pPr>
              <w:jc w:val="left"/>
            </w:pPr>
            <w:r/>
            <w:r>
              <w:rPr>
                <w:rFonts w:ascii="Times New Roman" w:hAnsi="Times New Roman" w:eastAsia="宋体"/>
                <w:b w:val="0"/>
                <w:sz w:val="19"/>
              </w:rPr>
              <w:t>机械振动</w:t>
            </w:r>
          </w:p>
        </w:tc>
      </w:tr>
    </w:tbl>
    <w:p>
      <w:pPr>
        <w:spacing w:before="200" w:after="100"/>
        <w:outlineLvl w:val="2"/>
      </w:pPr>
      <w:r>
        <w:rPr>
          <w:rFonts w:ascii="Times New Roman" w:hAnsi="Times New Roman" w:eastAsia="黑体"/>
          <w:b/>
          <w:sz w:val="28"/>
        </w:rPr>
        <w:t>B.2 监测参数与失效判据</w:t>
      </w:r>
    </w:p>
    <w:p>
      <w:pPr>
        <w:spacing w:line="360" w:lineRule="auto" w:after="40"/>
        <w:ind w:firstLine="420"/>
        <w:jc w:val="both"/>
      </w:pPr>
      <w:r>
        <w:rPr>
          <w:rFonts w:ascii="Times New Roman" w:hAnsi="Times New Roman" w:eastAsia="宋体"/>
          <w:b w:val="0"/>
          <w:sz w:val="21"/>
        </w:rPr>
        <w:t>在每个试验点，定期 (通常每 50 h 或每 100 h) 离线测量以下参数： - C @ 100 kHz - ESR @ 100 kHz - LC @ V_R (保持 5 分钟后读数) - 外观目视 (分层、裂纹、变色)</w:t>
      </w:r>
    </w:p>
    <w:p>
      <w:pPr>
        <w:spacing w:line="360" w:lineRule="auto" w:after="40"/>
        <w:ind w:firstLine="420"/>
        <w:jc w:val="both"/>
      </w:pPr>
      <w:r>
        <w:rPr>
          <w:rFonts w:ascii="Times New Roman" w:hAnsi="Times New Roman" w:eastAsia="宋体"/>
          <w:b w:val="0"/>
          <w:sz w:val="21"/>
        </w:rPr>
        <w:t>失效判据 (满足任一即判为失效)： (1) ΔC/C &lt; -20% 或 ΔC/C &gt; +5% (2) ΔESR/ESR &gt; +100% (软失效) 或 &gt; +300% (硬失效) (3) LC &gt; 10 × 初始 LC (4) 出现可目视的外观异常</w:t>
      </w:r>
    </w:p>
    <w:p>
      <w:pPr>
        <w:spacing w:line="360" w:lineRule="auto" w:after="40"/>
        <w:ind w:firstLine="420"/>
        <w:jc w:val="both"/>
      </w:pPr>
      <w:r>
        <w:rPr>
          <w:rFonts w:ascii="Times New Roman" w:hAnsi="Times New Roman" w:eastAsia="宋体"/>
          <w:b w:val="0"/>
          <w:sz w:val="21"/>
        </w:rPr>
        <w:t>对每个应力点的失效时间进行 Weibull 拟合，获得 (β, η)。然后用 Arrhenius-逆幂律模型反推常态工况下的寿命。</w:t>
      </w:r>
    </w:p>
    <w:p>
      <w:pPr>
        <w:spacing w:before="200" w:after="100"/>
        <w:outlineLvl w:val="2"/>
      </w:pPr>
      <w:r>
        <w:rPr>
          <w:rFonts w:ascii="Times New Roman" w:hAnsi="Times New Roman" w:eastAsia="黑体"/>
          <w:b/>
          <w:sz w:val="28"/>
        </w:rPr>
        <w:t>B.3 激活能与加速因子计算示例</w:t>
      </w:r>
    </w:p>
    <w:p>
      <w:pPr>
        <w:spacing w:line="360" w:lineRule="auto" w:after="40"/>
        <w:ind w:firstLine="420"/>
        <w:jc w:val="both"/>
      </w:pPr>
      <w:r>
        <w:rPr>
          <w:rFonts w:ascii="Times New Roman" w:hAnsi="Times New Roman" w:eastAsia="宋体"/>
          <w:b w:val="0"/>
          <w:sz w:val="21"/>
        </w:rPr>
        <w:t>假设试验得到以下 Weibull 特征寿命： - T1 (125°C, V_R): η₁ = 2400 h - T3 (105°C, V_R): η₃ = 7500 h</w:t>
      </w:r>
    </w:p>
    <w:p>
      <w:pPr>
        <w:spacing w:line="360" w:lineRule="auto" w:after="40"/>
        <w:ind w:firstLine="420"/>
        <w:jc w:val="both"/>
      </w:pPr>
      <w:r>
        <w:rPr>
          <w:rFonts w:ascii="Times New Roman" w:hAnsi="Times New Roman" w:eastAsia="宋体"/>
          <w:b w:val="0"/>
          <w:sz w:val="21"/>
        </w:rPr>
        <w:t>则激活能由 Arrhenius 方程：</w:t>
      </w:r>
    </w:p>
    <w:p>
      <w:pPr>
        <w:spacing w:before="100" w:after="100"/>
        <w:jc w:val="center"/>
      </w:pPr>
      <w:r>
        <w:rPr>
          <w:rFonts w:ascii="Times New Roman" w:hAnsi="Times New Roman" w:eastAsia="Times New Roman"/>
          <w:b w:val="0"/>
          <w:sz w:val="22"/>
        </w:rPr>
        <w:t>E_a = k · ln(η₃/η₁) / (1/T₁ - 1/T₃) = 0.725 eV</w:t>
      </w:r>
    </w:p>
    <w:p>
      <w:pPr>
        <w:spacing w:line="360" w:lineRule="auto" w:after="40"/>
        <w:ind w:firstLine="420"/>
        <w:jc w:val="both"/>
      </w:pPr>
      <w:r>
        <w:rPr>
          <w:rFonts w:ascii="Times New Roman" w:hAnsi="Times New Roman" w:eastAsia="宋体"/>
          <w:b w:val="0"/>
          <w:sz w:val="21"/>
        </w:rPr>
        <w:t>外推至常态工况 (85°C, 0.8 V_R)：</w:t>
      </w:r>
    </w:p>
    <w:p>
      <w:pPr>
        <w:spacing w:before="100" w:after="100"/>
        <w:jc w:val="center"/>
      </w:pPr>
      <w:r>
        <w:rPr>
          <w:rFonts w:ascii="Times New Roman" w:hAnsi="Times New Roman" w:eastAsia="Times New Roman"/>
          <w:b w:val="0"/>
          <w:sz w:val="22"/>
        </w:rPr>
        <w:t>η_use = η₁ · exp(E_a/k · (1/T_use - 1/T₁)) · (V_R/0.8V_R)³·⁵ = 65,000 h ≈ 7.4 年</w:t>
      </w:r>
    </w:p>
    <w:p>
      <w:pPr>
        <w:spacing w:line="360" w:lineRule="auto" w:after="40"/>
        <w:ind w:firstLine="420"/>
        <w:jc w:val="both"/>
      </w:pPr>
      <w:r>
        <w:rPr>
          <w:rFonts w:ascii="Times New Roman" w:hAnsi="Times New Roman" w:eastAsia="宋体"/>
          <w:b w:val="0"/>
          <w:sz w:val="21"/>
        </w:rPr>
        <w:t>若考虑失效率服从 Weibull (β = 2)，则 1% 失效时间 B1 life ≈ 0.1·η ≈ 6,500 h；10% 失效时间 B10 life ≈ 0.33·η ≈ 21,500 h。这为产品规格制定与客户承诺提供了定量依据。</w:t>
      </w:r>
    </w:p>
    <w:p>
      <w:r>
        <w:br w:type="page"/>
      </w:r>
    </w:p>
    <w:p>
      <w:pPr>
        <w:spacing w:before="200" w:after="100"/>
        <w:outlineLvl w:val="1"/>
      </w:pPr>
      <w:r>
        <w:rPr>
          <w:rFonts w:ascii="Times New Roman" w:hAnsi="Times New Roman" w:eastAsia="黑体"/>
          <w:b/>
          <w:sz w:val="36"/>
        </w:rPr>
        <w:t>附录 C  典型案例分析</w:t>
      </w:r>
    </w:p>
    <w:p>
      <w:pPr>
        <w:spacing w:before="200" w:after="100"/>
        <w:outlineLvl w:val="2"/>
      </w:pPr>
      <w:r>
        <w:rPr>
          <w:rFonts w:ascii="Times New Roman" w:hAnsi="Times New Roman" w:eastAsia="黑体"/>
          <w:b/>
          <w:sz w:val="28"/>
        </w:rPr>
        <w:t>C.1 案例一：服务器主板 CPU VRM 容量批量异常</w:t>
      </w:r>
    </w:p>
    <w:p>
      <w:pPr>
        <w:spacing w:line="360" w:lineRule="auto" w:after="40"/>
        <w:ind w:firstLine="420"/>
        <w:jc w:val="both"/>
      </w:pPr>
      <w:r>
        <w:rPr>
          <w:rFonts w:ascii="Times New Roman" w:hAnsi="Times New Roman" w:eastAsia="宋体"/>
          <w:b w:val="0"/>
          <w:sz w:val="21"/>
        </w:rPr>
        <w:t>背景：某数据中心 2019 年批量部署的 x86 服务器在运行 2-3 年后陆续出现 CPU 稳定性问题，表现为偶发重启和性能降频。故障率约 0.3%/年，集中在高负载的 AI 训练节点。</w:t>
      </w:r>
    </w:p>
    <w:p>
      <w:pPr>
        <w:spacing w:line="360" w:lineRule="auto" w:after="40"/>
        <w:ind w:firstLine="420"/>
        <w:jc w:val="both"/>
      </w:pPr>
      <w:r>
        <w:rPr>
          <w:rFonts w:ascii="Times New Roman" w:hAnsi="Times New Roman" w:eastAsia="宋体"/>
          <w:b w:val="0"/>
          <w:sz w:val="21"/>
        </w:rPr>
        <w:t>诊断过程： 1. 整机侧：通过硬件监控发现故障节点的 CPU VCORE 纹波从 15 mVpp 增至 60 mVpp； 2. 拆机分析：主板 VRM 输出端的 SAPC (470μF/2.5V) 共 6 只，通过 LCR 表逐只测量发现其中 1-2 只 ESR 从 7 mΩ 上升至 35 mΩ，而 C 基本保持不变； 3. X 射线 CT 发现 ESR 上升的 SAPC 内部没有明显裂纹或气泡； 4. 去除封装后 SEM/EDS 发现 PEDOT/Ag 层界面出现了 5-15 μm 宽的裂缝和轻微变色。</w:t>
      </w:r>
    </w:p>
    <w:p>
      <w:pPr>
        <w:spacing w:line="360" w:lineRule="auto" w:after="40"/>
        <w:ind w:firstLine="420"/>
        <w:jc w:val="both"/>
      </w:pPr>
      <w:r>
        <w:rPr>
          <w:rFonts w:ascii="Times New Roman" w:hAnsi="Times New Roman" w:eastAsia="宋体"/>
          <w:b w:val="0"/>
          <w:sz w:val="21"/>
        </w:rPr>
        <w:t>诊断结论：服务器机房相对湿度接近 60% (高于建议的 50%)，CPU VRM 长期在 80°C 工作，共同驱动了 PEDOT/Al₂O₃ 和 PEDOT/Ag 界面的热机械分层。失效模式为典型的 "ESR 漂移型"。</w:t>
      </w:r>
    </w:p>
    <w:p>
      <w:pPr>
        <w:spacing w:line="360" w:lineRule="auto" w:after="40"/>
        <w:ind w:firstLine="420"/>
        <w:jc w:val="both"/>
      </w:pPr>
      <w:r>
        <w:rPr>
          <w:rFonts w:ascii="Times New Roman" w:hAnsi="Times New Roman" w:eastAsia="宋体"/>
          <w:b w:val="0"/>
          <w:sz w:val="21"/>
        </w:rPr>
        <w:t>改进措施： 1. 机房加强湿度管理，RH &lt; 50%； 2. 下一代主板将 VRM 输出电容更换为 Panasonic KX 系列长寿命 SP-Cap (125°C/5500h)； 3. 关键节点部署 ESR 在线监测系统，预警阈值设为初值 × 2。</w:t>
      </w:r>
    </w:p>
    <w:p>
      <w:pPr>
        <w:spacing w:line="360" w:lineRule="auto" w:after="40"/>
        <w:ind w:firstLine="420"/>
        <w:jc w:val="both"/>
      </w:pPr>
      <w:r>
        <w:rPr>
          <w:rFonts w:ascii="Times New Roman" w:hAnsi="Times New Roman" w:eastAsia="宋体"/>
          <w:b w:val="0"/>
          <w:sz w:val="21"/>
        </w:rPr>
        <w:t>后续效果：改进后故障率降至 0.03%/年，验证了工艺改进与环境管理结合的有效性。</w:t>
      </w:r>
    </w:p>
    <w:p>
      <w:pPr>
        <w:spacing w:before="200" w:after="100"/>
        <w:outlineLvl w:val="2"/>
      </w:pPr>
      <w:r>
        <w:rPr>
          <w:rFonts w:ascii="Times New Roman" w:hAnsi="Times New Roman" w:eastAsia="黑体"/>
          <w:b/>
          <w:sz w:val="28"/>
        </w:rPr>
        <w:t>C.2 案例二：车载以太网控制器在高湿区域批量失效</w:t>
      </w:r>
    </w:p>
    <w:p>
      <w:pPr>
        <w:spacing w:line="360" w:lineRule="auto" w:after="40"/>
        <w:ind w:firstLine="420"/>
        <w:jc w:val="both"/>
      </w:pPr>
      <w:r>
        <w:rPr>
          <w:rFonts w:ascii="Times New Roman" w:hAnsi="Times New Roman" w:eastAsia="宋体"/>
          <w:b w:val="0"/>
          <w:sz w:val="21"/>
        </w:rPr>
        <w:t>背景：某电动汽车在东南亚湿热地区 (年平均 RH &gt; 80%) 运行 18 个月后，出现 CAN/以太网控制器通讯异常，Tier 1 返厂返修率达 0.5%。</w:t>
      </w:r>
    </w:p>
    <w:p>
      <w:pPr>
        <w:spacing w:line="360" w:lineRule="auto" w:after="40"/>
        <w:ind w:firstLine="420"/>
        <w:jc w:val="both"/>
      </w:pPr>
      <w:r>
        <w:rPr>
          <w:rFonts w:ascii="Times New Roman" w:hAnsi="Times New Roman" w:eastAsia="宋体"/>
          <w:b w:val="0"/>
          <w:sz w:val="21"/>
        </w:rPr>
        <w:t>诊断过程： 1. 整机 log 显示通讯 CRC 错误率提升，对应 48V 转 3.3V DC-DC 的输出稳定性下降； 2. 拆机发现 3.3 V 输出端的 2 只 SAPC (100μF/6.3V) LC 跑飞至初值的 100-500 倍； 3. 光学显微镜下 SAPC 表面轻微变色，环氧侧表现出水纹； 4. C-SAM 扫描证实环氧/引线框架界面出现 300-800 μm² 的分层； 5. FT-IR 分析 PEDOT 提取物显示 -SO₃H 峰强度下降 40%，提示 PSS 水解。</w:t>
      </w:r>
    </w:p>
    <w:p>
      <w:pPr>
        <w:spacing w:line="360" w:lineRule="auto" w:after="40"/>
        <w:ind w:firstLine="420"/>
        <w:jc w:val="both"/>
      </w:pPr>
      <w:r>
        <w:rPr>
          <w:rFonts w:ascii="Times New Roman" w:hAnsi="Times New Roman" w:eastAsia="宋体"/>
          <w:b w:val="0"/>
          <w:sz w:val="21"/>
        </w:rPr>
        <w:t>诊断结论：湿度通过环氧的缓慢扩散最终达到 PEDOT 阴极层，PSS 发生水解释放 H⁺ 腐蚀 Al₂O₃ 介质；同时水汽在界面处诱导了分层。典型的"LC 跑飞型" 失效。</w:t>
      </w:r>
    </w:p>
    <w:p>
      <w:pPr>
        <w:spacing w:line="360" w:lineRule="auto" w:after="40"/>
        <w:ind w:firstLine="420"/>
        <w:jc w:val="both"/>
      </w:pPr>
      <w:r>
        <w:rPr>
          <w:rFonts w:ascii="Times New Roman" w:hAnsi="Times New Roman" w:eastAsia="宋体"/>
          <w:b w:val="0"/>
          <w:sz w:val="21"/>
        </w:rPr>
        <w:t>改进措施： 1. 更换为低酸掺杂 SAPC (使用 DBSA 或 TCNQ 掺杂 PEDOT)； 2. PCB 三防漆加至 50 μm (原 20 μm)； 3. 产品规格从 AEC-Q200 Grade 2 升级至 Grade 1，并要求 1000h 85°C/85%RH 试验后 LC 不超过初值 2 倍； 4. 整车级增加 SAPC 温湿度暴露监测。</w:t>
      </w:r>
    </w:p>
    <w:p>
      <w:pPr>
        <w:spacing w:line="360" w:lineRule="auto" w:after="40"/>
        <w:ind w:firstLine="420"/>
        <w:jc w:val="both"/>
      </w:pPr>
      <w:r>
        <w:rPr>
          <w:rFonts w:ascii="Times New Roman" w:hAnsi="Times New Roman" w:eastAsia="宋体"/>
          <w:b w:val="0"/>
          <w:sz w:val="21"/>
        </w:rPr>
        <w:t>后续效果：改进后 2 年内湿热区域故障率降至 0.05%，满足整车质量目标。</w:t>
      </w:r>
    </w:p>
    <w:p>
      <w:pPr>
        <w:spacing w:before="200" w:after="100"/>
        <w:outlineLvl w:val="2"/>
      </w:pPr>
      <w:r>
        <w:rPr>
          <w:rFonts w:ascii="Times New Roman" w:hAnsi="Times New Roman" w:eastAsia="黑体"/>
          <w:b/>
          <w:sz w:val="28"/>
        </w:rPr>
        <w:t>C.3 案例三：航天卫星电源模块的 SAPC 长期稳定性验证</w:t>
      </w:r>
    </w:p>
    <w:p>
      <w:pPr>
        <w:spacing w:line="360" w:lineRule="auto" w:after="40"/>
        <w:ind w:firstLine="420"/>
        <w:jc w:val="both"/>
      </w:pPr>
      <w:r>
        <w:rPr>
          <w:rFonts w:ascii="Times New Roman" w:hAnsi="Times New Roman" w:eastAsia="宋体"/>
          <w:b w:val="0"/>
          <w:sz w:val="21"/>
        </w:rPr>
        <w:t>背景：某卫星电源模块拟采用 SAPC (16V/220μF) 作为 DC-DC 输入滤波电容，需验证 10 年在轨可靠性。</w:t>
      </w:r>
    </w:p>
    <w:p>
      <w:pPr>
        <w:spacing w:line="360" w:lineRule="auto" w:after="40"/>
        <w:ind w:firstLine="420"/>
        <w:jc w:val="both"/>
      </w:pPr>
      <w:r>
        <w:rPr>
          <w:rFonts w:ascii="Times New Roman" w:hAnsi="Times New Roman" w:eastAsia="宋体"/>
          <w:b w:val="0"/>
          <w:sz w:val="21"/>
        </w:rPr>
        <w:t>试验设计： 1. 选择 3 家供应商 (A/B/C) 的产品各 100 只进行对比； 2. 试验矩阵包括 85°C/85%RH×1000h、125°C/V_R×2000h、100 g/2000 Hz 随机振动×12h、-65°C ↔ +125°C×1000 次温度循环； 3. 所有样品进行破坏性物理分析 (DPA)。</w:t>
      </w:r>
    </w:p>
    <w:p>
      <w:pPr>
        <w:spacing w:line="360" w:lineRule="auto" w:after="40"/>
        <w:ind w:firstLine="420"/>
        <w:jc w:val="both"/>
      </w:pPr>
      <w:r>
        <w:rPr>
          <w:rFonts w:ascii="Times New Roman" w:hAnsi="Times New Roman" w:eastAsia="宋体"/>
          <w:b w:val="0"/>
          <w:sz w:val="21"/>
        </w:rPr>
        <w:t>主要发现： 1. 供应商 A (in-situ + pre-polymerized 混合工艺) 在 85°C/85%RH 下的 ESR 漂移最小 (中位数 +40%)；供应商 B、C 分别为 +120%、+180%； 2. 125°C/V_R HALT 下所有供应商 η 范围为 4500-8000 h，Weibull β 为 1.5-2.3； 3. DPA 发现供应商 B 内部 PEDOT 填充率明显低于 A/C (&lt; 70% vs &gt; 85%)； 4. 激活能拟合：供应商 A: 0.78 eV；B: 0.72 eV；C: 0.71 eV。</w:t>
      </w:r>
    </w:p>
    <w:p>
      <w:pPr>
        <w:spacing w:line="360" w:lineRule="auto" w:after="40"/>
        <w:ind w:firstLine="420"/>
        <w:jc w:val="both"/>
      </w:pPr>
      <w:r>
        <w:rPr>
          <w:rFonts w:ascii="Times New Roman" w:hAnsi="Times New Roman" w:eastAsia="宋体"/>
          <w:b w:val="0"/>
          <w:sz w:val="21"/>
        </w:rPr>
        <w:t>结论与决策：选择供应商 A 作为首选，采用 0.5 V_R 降额设计。基于广义 Eyring 模型，外推 10 年在轨工况下 (-20°C ~ +60°C，低湿真空) 预计失效率 &lt; 1 FIT，满足卫星寿命要求。</w:t>
      </w:r>
    </w:p>
    <w:p>
      <w:pPr>
        <w:spacing w:line="360" w:lineRule="auto" w:after="40"/>
        <w:ind w:firstLine="420"/>
        <w:jc w:val="both"/>
      </w:pPr>
      <w:r>
        <w:rPr>
          <w:rFonts w:ascii="Times New Roman" w:hAnsi="Times New Roman" w:eastAsia="宋体"/>
          <w:b w:val="0"/>
          <w:sz w:val="21"/>
        </w:rPr>
        <w:t>这一案例展示了如何通过系统的加速试验与可靠性建模，为关键应用的 SAPC 选型提供定量依据。</w:t>
      </w:r>
    </w:p>
    <w:p>
      <w:r>
        <w:br w:type="page"/>
      </w:r>
    </w:p>
    <w:p>
      <w:pPr>
        <w:spacing w:before="200" w:after="100"/>
        <w:outlineLvl w:val="1"/>
      </w:pPr>
      <w:r>
        <w:rPr>
          <w:rFonts w:ascii="Times New Roman" w:hAnsi="Times New Roman" w:eastAsia="黑体"/>
          <w:b/>
          <w:sz w:val="36"/>
        </w:rPr>
        <w:t>参 考 文 献</w:t>
      </w:r>
    </w:p>
    <w:p>
      <w:pPr>
        <w:spacing w:line="300" w:lineRule="auto" w:after="20"/>
        <w:ind w:hanging="420" w:left="420"/>
        <w:jc w:val="both"/>
      </w:pPr>
      <w:r>
        <w:rPr>
          <w:rFonts w:ascii="Times New Roman" w:hAnsi="Times New Roman" w:eastAsia="宋体"/>
          <w:b w:val="0"/>
          <w:sz w:val="19"/>
        </w:rPr>
        <w:t>[1] Pecht M. Reliability of liquid and polymer aluminum electrolytic capacitors. CALCE Annual Report, University of Maryland, 2015.</w:t>
      </w:r>
    </w:p>
    <w:p>
      <w:pPr>
        <w:spacing w:line="300" w:lineRule="auto" w:after="20"/>
        <w:ind w:hanging="420" w:left="420"/>
        <w:jc w:val="both"/>
      </w:pPr>
      <w:r>
        <w:rPr>
          <w:rFonts w:ascii="Times New Roman" w:hAnsi="Times New Roman" w:eastAsia="宋体"/>
          <w:b w:val="0"/>
          <w:sz w:val="19"/>
        </w:rPr>
        <w:t>[2] Kulkarni C., Biswas G., Saha B., et al. A model-based prognostics methodology for electrolytic capacitors based on electrical overstress accelerated aging. NASA Ames Research Center, 2012.</w:t>
      </w:r>
    </w:p>
    <w:p>
      <w:pPr>
        <w:spacing w:line="300" w:lineRule="auto" w:after="20"/>
        <w:ind w:hanging="420" w:left="420"/>
        <w:jc w:val="both"/>
      </w:pPr>
      <w:r>
        <w:rPr>
          <w:rFonts w:ascii="Times New Roman" w:hAnsi="Times New Roman" w:eastAsia="宋体"/>
          <w:b w:val="0"/>
          <w:sz w:val="19"/>
        </w:rPr>
        <w:t>[3] KEMET Corporation. Aluminum hybrid polymer capacitors application overview. KEMET Technical Publication, 2020.</w:t>
      </w:r>
    </w:p>
    <w:p>
      <w:pPr>
        <w:spacing w:line="300" w:lineRule="auto" w:after="20"/>
        <w:ind w:hanging="420" w:left="420"/>
        <w:jc w:val="both"/>
      </w:pPr>
      <w:r>
        <w:rPr>
          <w:rFonts w:ascii="Times New Roman" w:hAnsi="Times New Roman" w:eastAsia="宋体"/>
          <w:b w:val="0"/>
          <w:sz w:val="19"/>
        </w:rPr>
        <w:t>[4] Panasonic Corporation. SP-Cap™ Polymer Aluminum Capacitors: Product Lineup and Design Guide. Panasonic Industrial Devices, 2024.</w:t>
      </w:r>
    </w:p>
    <w:p>
      <w:pPr>
        <w:spacing w:line="300" w:lineRule="auto" w:after="20"/>
        <w:ind w:hanging="420" w:left="420"/>
        <w:jc w:val="both"/>
      </w:pPr>
      <w:r>
        <w:rPr>
          <w:rFonts w:ascii="Times New Roman" w:hAnsi="Times New Roman" w:eastAsia="宋体"/>
          <w:b w:val="0"/>
          <w:sz w:val="19"/>
        </w:rPr>
        <w:t>[5] Panasonic Corporation. POSCAP™ Tantalum-Polymer Capacitors: Features and Applications. Panasonic Industrial Devices, 2024.</w:t>
      </w:r>
    </w:p>
    <w:p>
      <w:pPr>
        <w:spacing w:line="300" w:lineRule="auto" w:after="20"/>
        <w:ind w:hanging="420" w:left="420"/>
        <w:jc w:val="both"/>
      </w:pPr>
      <w:r>
        <w:rPr>
          <w:rFonts w:ascii="Times New Roman" w:hAnsi="Times New Roman" w:eastAsia="宋体"/>
          <w:b w:val="0"/>
          <w:sz w:val="19"/>
        </w:rPr>
        <w:t>[6] Kyocera-AVX. APV-Series SMD Aluminum Conductive Polymer Electrolytic Capacitor Datasheet. KYOCERA AVX, 2023.</w:t>
      </w:r>
    </w:p>
    <w:p>
      <w:pPr>
        <w:spacing w:line="300" w:lineRule="auto" w:after="20"/>
        <w:ind w:hanging="420" w:left="420"/>
        <w:jc w:val="both"/>
      </w:pPr>
      <w:r>
        <w:rPr>
          <w:rFonts w:ascii="Times New Roman" w:hAnsi="Times New Roman" w:eastAsia="宋体"/>
          <w:b w:val="0"/>
          <w:sz w:val="19"/>
        </w:rPr>
        <w:t>[7] Chemi-Con (Nippon Chemi-Con). Polymer Aluminum Solid Capacitor PSG/PSF Series Technical Notes, 2020.</w:t>
      </w:r>
    </w:p>
    <w:p>
      <w:pPr>
        <w:spacing w:line="300" w:lineRule="auto" w:after="20"/>
        <w:ind w:hanging="420" w:left="420"/>
        <w:jc w:val="both"/>
      </w:pPr>
      <w:r>
        <w:rPr>
          <w:rFonts w:ascii="Times New Roman" w:hAnsi="Times New Roman" w:eastAsia="宋体"/>
          <w:b w:val="0"/>
          <w:sz w:val="19"/>
        </w:rPr>
        <w:t>[8] Aoki T., Sakai S., Kaneki N., et al. Electrolytic capacitors with a conducting polymer polypyrrole. In: Electronic Properties of Conjugated Polymers III, Springer, 1989: 515-519.</w:t>
      </w:r>
    </w:p>
    <w:p>
      <w:pPr>
        <w:spacing w:line="300" w:lineRule="auto" w:after="20"/>
        <w:ind w:hanging="420" w:left="420"/>
        <w:jc w:val="both"/>
      </w:pPr>
      <w:r>
        <w:rPr>
          <w:rFonts w:ascii="Times New Roman" w:hAnsi="Times New Roman" w:eastAsia="宋体"/>
          <w:b w:val="0"/>
          <w:sz w:val="19"/>
        </w:rPr>
        <w:t>[9] Groenendaal B.L., Jonas F., Freitag D., Pielartzik H., Reynolds J.R. Poly(3,4-ethylenedioxythiophene) and its derivatives: past, present, and future. Advanced Materials, 2000, 12(7): 481-494.</w:t>
      </w:r>
    </w:p>
    <w:p>
      <w:pPr>
        <w:spacing w:line="300" w:lineRule="auto" w:after="20"/>
        <w:ind w:hanging="420" w:left="420"/>
        <w:jc w:val="both"/>
      </w:pPr>
      <w:r>
        <w:rPr>
          <w:rFonts w:ascii="Times New Roman" w:hAnsi="Times New Roman" w:eastAsia="宋体"/>
          <w:b w:val="0"/>
          <w:sz w:val="19"/>
        </w:rPr>
        <w:t>[10] Heuer H.W., Wehrmann R., Kirchmeyer S. Electrochromic window based on conducting poly(3,4-ethylenedioxythiophene)-poly(styrenesulfonate). Advanced Functional Materials, 2002, 12(2): 89-94.</w:t>
      </w:r>
    </w:p>
    <w:p>
      <w:pPr>
        <w:spacing w:line="300" w:lineRule="auto" w:after="20"/>
        <w:ind w:hanging="420" w:left="420"/>
        <w:jc w:val="both"/>
      </w:pPr>
      <w:r>
        <w:rPr>
          <w:rFonts w:ascii="Times New Roman" w:hAnsi="Times New Roman" w:eastAsia="宋体"/>
          <w:b w:val="0"/>
          <w:sz w:val="19"/>
        </w:rPr>
        <w:t>[11] Yole Développement. Passive components market and technology trends. Yole Research Reports, 2022.</w:t>
      </w:r>
    </w:p>
    <w:p>
      <w:pPr>
        <w:spacing w:line="300" w:lineRule="auto" w:after="20"/>
        <w:ind w:hanging="420" w:left="420"/>
        <w:jc w:val="both"/>
      </w:pPr>
      <w:r>
        <w:rPr>
          <w:rFonts w:ascii="Times New Roman" w:hAnsi="Times New Roman" w:eastAsia="宋体"/>
          <w:b w:val="0"/>
          <w:sz w:val="19"/>
        </w:rPr>
        <w:t>[12] KEMET Corporation. A700 Series Aluminum Polymer Capacitors Technical Datasheet, 2019.</w:t>
      </w:r>
    </w:p>
    <w:p>
      <w:pPr>
        <w:spacing w:line="300" w:lineRule="auto" w:after="20"/>
        <w:ind w:hanging="420" w:left="420"/>
        <w:jc w:val="both"/>
      </w:pPr>
      <w:r>
        <w:rPr>
          <w:rFonts w:ascii="Times New Roman" w:hAnsi="Times New Roman" w:eastAsia="宋体"/>
          <w:b w:val="0"/>
          <w:sz w:val="19"/>
        </w:rPr>
        <w:t>[13] Liu Y. Reliability Evaluation of Liquid and Polymer Aluminum Electrolytic Capacitors. Ph.D. dissertation, University of Maryland, 2015.</w:t>
      </w:r>
    </w:p>
    <w:p>
      <w:pPr>
        <w:spacing w:line="300" w:lineRule="auto" w:after="20"/>
        <w:ind w:hanging="420" w:left="420"/>
        <w:jc w:val="both"/>
      </w:pPr>
      <w:r>
        <w:rPr>
          <w:rFonts w:ascii="Times New Roman" w:hAnsi="Times New Roman" w:eastAsia="宋体"/>
          <w:b w:val="0"/>
          <w:sz w:val="19"/>
        </w:rPr>
        <w:t>[14] Liu Y., Pecht M. Failure of polymer aluminum electrolytic capacitors under elevated temperature humidity environments. IEEE Transactions on Components, Packaging and Manufacturing Technology, 2017, 7(6): 920-926.</w:t>
      </w:r>
    </w:p>
    <w:p>
      <w:pPr>
        <w:spacing w:line="300" w:lineRule="auto" w:after="20"/>
        <w:ind w:hanging="420" w:left="420"/>
        <w:jc w:val="both"/>
      </w:pPr>
      <w:r>
        <w:rPr>
          <w:rFonts w:ascii="Times New Roman" w:hAnsi="Times New Roman" w:eastAsia="宋体"/>
          <w:b w:val="0"/>
          <w:sz w:val="19"/>
        </w:rPr>
        <w:t>[15] Liu Y., Azarian M., Pecht M. Reliability of multilayer polymer aluminum electrolytic capacitors. CALCE Capacitor Workshop Seminar (CWS), 2020.</w:t>
      </w:r>
    </w:p>
    <w:p>
      <w:pPr>
        <w:spacing w:line="300" w:lineRule="auto" w:after="20"/>
        <w:ind w:hanging="420" w:left="420"/>
        <w:jc w:val="both"/>
      </w:pPr>
      <w:r>
        <w:rPr>
          <w:rFonts w:ascii="Times New Roman" w:hAnsi="Times New Roman" w:eastAsia="宋体"/>
          <w:b w:val="0"/>
          <w:sz w:val="19"/>
        </w:rPr>
        <w:t>[16] Freeman Y., Lessner P. Advances in reliability of conducting polymer based capacitors in high humidity environment. KEMET Technical Publication, 2020.</w:t>
      </w:r>
    </w:p>
    <w:p>
      <w:pPr>
        <w:spacing w:line="300" w:lineRule="auto" w:after="20"/>
        <w:ind w:hanging="420" w:left="420"/>
        <w:jc w:val="both"/>
      </w:pPr>
      <w:r>
        <w:rPr>
          <w:rFonts w:ascii="Times New Roman" w:hAnsi="Times New Roman" w:eastAsia="宋体"/>
          <w:b w:val="0"/>
          <w:sz w:val="19"/>
        </w:rPr>
        <w:t>[17] Panasonic Corporation. KX Series SP-Cap Conductive Polymer Aluminum Electrolytic Capacitors with 125°C/5,500 h Endurance. Press Release, Feb. 28, 2022.</w:t>
      </w:r>
    </w:p>
    <w:p>
      <w:pPr>
        <w:spacing w:line="300" w:lineRule="auto" w:after="20"/>
        <w:ind w:hanging="420" w:left="420"/>
        <w:jc w:val="both"/>
      </w:pPr>
      <w:r>
        <w:rPr>
          <w:rFonts w:ascii="Times New Roman" w:hAnsi="Times New Roman" w:eastAsia="宋体"/>
          <w:b w:val="0"/>
          <w:sz w:val="19"/>
        </w:rPr>
        <w:t>[18] Teverovsky A. Stress Testing of Chip Aluminum Polymer Capacitors. NASA NEPP Technical Report, 2024.</w:t>
      </w:r>
    </w:p>
    <w:p>
      <w:pPr>
        <w:spacing w:line="300" w:lineRule="auto" w:after="20"/>
        <w:ind w:hanging="420" w:left="420"/>
        <w:jc w:val="both"/>
      </w:pPr>
      <w:r>
        <w:rPr>
          <w:rFonts w:ascii="Times New Roman" w:hAnsi="Times New Roman" w:eastAsia="宋体"/>
          <w:b w:val="0"/>
          <w:sz w:val="19"/>
        </w:rPr>
        <w:t>[19] Liu Y., Azarian M., Pecht M. The effect of package geometry on moisture driven degradation of polymer aluminum capacitors. CALCE Technical Report, 2016.</w:t>
      </w:r>
    </w:p>
    <w:p>
      <w:pPr>
        <w:spacing w:line="300" w:lineRule="auto" w:after="20"/>
        <w:ind w:hanging="420" w:left="420"/>
        <w:jc w:val="both"/>
      </w:pPr>
      <w:r>
        <w:rPr>
          <w:rFonts w:ascii="Times New Roman" w:hAnsi="Times New Roman" w:eastAsia="宋体"/>
          <w:b w:val="0"/>
          <w:sz w:val="19"/>
        </w:rPr>
        <w:t>[20] Teverovsky A. Evaluation of 10V chip polymer tantalum capacitors for space applications. NASA NEPP Technical Report 20160010399, 2016.</w:t>
      </w:r>
    </w:p>
    <w:p>
      <w:pPr>
        <w:spacing w:line="300" w:lineRule="auto" w:after="20"/>
        <w:ind w:hanging="420" w:left="420"/>
        <w:jc w:val="both"/>
      </w:pPr>
      <w:r>
        <w:rPr>
          <w:rFonts w:ascii="Times New Roman" w:hAnsi="Times New Roman" w:eastAsia="宋体"/>
          <w:b w:val="0"/>
          <w:sz w:val="19"/>
        </w:rPr>
        <w:t>[21] Teverovsky A. Anomalous transients in chip polymer tantalum capacitors. NASA NEPP Technical Report 20180007085, 2018.</w:t>
      </w:r>
    </w:p>
    <w:p>
      <w:pPr>
        <w:spacing w:line="300" w:lineRule="auto" w:after="20"/>
        <w:ind w:hanging="420" w:left="420"/>
        <w:jc w:val="both"/>
      </w:pPr>
      <w:r>
        <w:rPr>
          <w:rFonts w:ascii="Times New Roman" w:hAnsi="Times New Roman" w:eastAsia="宋体"/>
          <w:b w:val="0"/>
          <w:sz w:val="19"/>
        </w:rPr>
        <w:t>[22] Teverovsky A. Reliability assurance for COTS capacitors. NASA NEPP ETW Presentation, 2022.</w:t>
      </w:r>
    </w:p>
    <w:p>
      <w:pPr>
        <w:spacing w:line="300" w:lineRule="auto" w:after="20"/>
        <w:ind w:hanging="420" w:left="420"/>
        <w:jc w:val="both"/>
      </w:pPr>
      <w:r>
        <w:rPr>
          <w:rFonts w:ascii="Times New Roman" w:hAnsi="Times New Roman" w:eastAsia="宋体"/>
          <w:b w:val="0"/>
          <w:sz w:val="19"/>
        </w:rPr>
        <w:t>[23] Marciniak S., Crispin X., Uvdal K., et al. Light induced damage in poly(3,4-ethylenedioxythiophene) and its derivatives studied by photoelectron spectroscopy. Synthetic Metals, 2004, 141(1-2): 67-73.</w:t>
      </w:r>
    </w:p>
    <w:p>
      <w:pPr>
        <w:spacing w:line="300" w:lineRule="auto" w:after="20"/>
        <w:ind w:hanging="420" w:left="420"/>
        <w:jc w:val="both"/>
      </w:pPr>
      <w:r>
        <w:rPr>
          <w:rFonts w:ascii="Times New Roman" w:hAnsi="Times New Roman" w:eastAsia="宋体"/>
          <w:b w:val="0"/>
          <w:sz w:val="19"/>
        </w:rPr>
        <w:t>[24] Mai C.K., Arai T., Liu X., et al. Damaging effects of the acidity in PEDOT:PSS on semiconductor device performance. RSC Materials Horizons, 2020, 7: 1272-1294.</w:t>
      </w:r>
    </w:p>
    <w:p>
      <w:pPr>
        <w:spacing w:line="300" w:lineRule="auto" w:after="20"/>
        <w:ind w:hanging="420" w:left="420"/>
        <w:jc w:val="both"/>
      </w:pPr>
      <w:r>
        <w:rPr>
          <w:rFonts w:ascii="Times New Roman" w:hAnsi="Times New Roman" w:eastAsia="宋体"/>
          <w:b w:val="0"/>
          <w:sz w:val="19"/>
        </w:rPr>
        <w:t>[25] Takano T., Masunaga H., Fujiwara A., et al. PEDOT nanocrystal in highly conductive PEDOT:PSS polymer films. Macromolecules, 2012, 45(9): 3859-3865.</w:t>
      </w:r>
    </w:p>
    <w:p>
      <w:pPr>
        <w:spacing w:line="300" w:lineRule="auto" w:after="20"/>
        <w:ind w:hanging="420" w:left="420"/>
        <w:jc w:val="both"/>
      </w:pPr>
      <w:r>
        <w:rPr>
          <w:rFonts w:ascii="Times New Roman" w:hAnsi="Times New Roman" w:eastAsia="宋体"/>
          <w:b w:val="0"/>
          <w:sz w:val="19"/>
        </w:rPr>
        <w:t>[26] Kim G., Kim D., Hwang J., et al. Monitoring the swelling behavior of PEDOT:PSS electrodes under high humidity conditions. ACS Applied Materials &amp; Interfaces, 2018, 10(11): 9473-9482.</w:t>
      </w:r>
    </w:p>
    <w:p>
      <w:pPr>
        <w:spacing w:line="300" w:lineRule="auto" w:after="20"/>
        <w:ind w:hanging="420" w:left="420"/>
        <w:jc w:val="both"/>
      </w:pPr>
      <w:r>
        <w:rPr>
          <w:rFonts w:ascii="Times New Roman" w:hAnsi="Times New Roman" w:eastAsia="宋体"/>
          <w:b w:val="0"/>
          <w:sz w:val="19"/>
        </w:rPr>
        <w:t>[27] Wang J., Cai W., Mei S., et al. Insight into the degradation mechanisms of highly conductive poly(3,4-ethylenedioxythiophene) thin films. ACS Applied Polymer Materials, 2020, 2(7): 3169-3178.</w:t>
      </w:r>
    </w:p>
    <w:p>
      <w:pPr>
        <w:spacing w:line="300" w:lineRule="auto" w:after="20"/>
        <w:ind w:hanging="420" w:left="420"/>
        <w:jc w:val="both"/>
      </w:pPr>
      <w:r>
        <w:rPr>
          <w:rFonts w:ascii="Times New Roman" w:hAnsi="Times New Roman" w:eastAsia="宋体"/>
          <w:b w:val="0"/>
          <w:sz w:val="19"/>
        </w:rPr>
        <w:t>[28] Shi L., Zhou J., Fu C., et al. High-performance solid capacitor using vapor phase polymerized PEDOT film. Journal of Materials Science: Materials in Electronics, 2021, 32: 10128-10139.</w:t>
      </w:r>
    </w:p>
    <w:p>
      <w:pPr>
        <w:spacing w:line="300" w:lineRule="auto" w:after="20"/>
        <w:ind w:hanging="420" w:left="420"/>
        <w:jc w:val="both"/>
      </w:pPr>
      <w:r>
        <w:rPr>
          <w:rFonts w:ascii="Times New Roman" w:hAnsi="Times New Roman" w:eastAsia="宋体"/>
          <w:b w:val="0"/>
          <w:sz w:val="19"/>
        </w:rPr>
        <w:t>[29] Zhu X., Wang Y., Li H., et al. Capacitor aging state evaluation and a remaining-useful-life prediction method based on a CNN-LSTM network considering the impact of parameter dispersion. Electronics (MDPI), 2025, 14(22): 4452.</w:t>
      </w:r>
    </w:p>
    <w:p>
      <w:pPr>
        <w:spacing w:line="300" w:lineRule="auto" w:after="20"/>
        <w:ind w:hanging="420" w:left="420"/>
        <w:jc w:val="both"/>
      </w:pPr>
      <w:r>
        <w:rPr>
          <w:rFonts w:ascii="Times New Roman" w:hAnsi="Times New Roman" w:eastAsia="宋体"/>
          <w:b w:val="0"/>
          <w:sz w:val="19"/>
        </w:rPr>
        <w:t>[30] Patel S.R., Choudhary Y.S., Vani A. Role of passivation and facet dissolution on pit initiation and growth during electrochemical etching in high-purity aluminum foils with trace elements. Corrosion and Materials Degradation, 2025, 6(1): 10.</w:t>
      </w:r>
    </w:p>
    <w:p>
      <w:pPr>
        <w:spacing w:line="300" w:lineRule="auto" w:after="20"/>
        <w:ind w:hanging="420" w:left="420"/>
        <w:jc w:val="both"/>
      </w:pPr>
      <w:r>
        <w:rPr>
          <w:rFonts w:ascii="Times New Roman" w:hAnsi="Times New Roman" w:eastAsia="宋体"/>
          <w:b w:val="0"/>
          <w:sz w:val="19"/>
        </w:rPr>
        <w:t>[31] Du X., Xu Y., Zhang W. Formation and effect of the branched layer during the tunnel etching of aluminum foil. Journal of Materials Science, 2019, 54(21): 13709-13721.</w:t>
      </w:r>
    </w:p>
    <w:p>
      <w:pPr>
        <w:spacing w:line="300" w:lineRule="auto" w:after="20"/>
        <w:ind w:hanging="420" w:left="420"/>
        <w:jc w:val="both"/>
      </w:pPr>
      <w:r>
        <w:rPr>
          <w:rFonts w:ascii="Times New Roman" w:hAnsi="Times New Roman" w:eastAsia="宋体"/>
          <w:b w:val="0"/>
          <w:sz w:val="19"/>
        </w:rPr>
        <w:t>[32] Li X., Wang Y. 3-Mercaptopropyltriethoxysilane templated etching of aluminum foil for high-capacitance electrolytic capacitors. Journal of Materials Science: Materials in Electronics, 2025, 36: 15773.</w:t>
      </w:r>
    </w:p>
    <w:p>
      <w:pPr>
        <w:spacing w:line="300" w:lineRule="auto" w:after="20"/>
        <w:ind w:hanging="420" w:left="420"/>
        <w:jc w:val="both"/>
      </w:pPr>
      <w:r>
        <w:rPr>
          <w:rFonts w:ascii="Times New Roman" w:hAnsi="Times New Roman" w:eastAsia="宋体"/>
          <w:b w:val="0"/>
          <w:sz w:val="19"/>
        </w:rPr>
        <w:t>[33] Ji X., Sun L., Liu M. Formation and mechanistic analysis of self-etched tunnels on the surface of aluminum foil by the electrodeposition of trace Cu to form an electrolytic capacitor. Journal of Materials Science: Materials in Electronics, 2020, 31: 7829-7840.</w:t>
      </w:r>
    </w:p>
    <w:p>
      <w:pPr>
        <w:spacing w:line="300" w:lineRule="auto" w:after="20"/>
        <w:ind w:hanging="420" w:left="420"/>
        <w:jc w:val="both"/>
      </w:pPr>
      <w:r>
        <w:rPr>
          <w:rFonts w:ascii="Times New Roman" w:hAnsi="Times New Roman" w:eastAsia="宋体"/>
          <w:b w:val="0"/>
          <w:sz w:val="19"/>
        </w:rPr>
        <w:t>[34] Kang M., Lim J., Kim D. The CV product of etched aluminum anode foil. Journal of the Electrochemical Society, 1982, 129(10): 2183-2187.</w:t>
      </w:r>
    </w:p>
    <w:p>
      <w:pPr>
        <w:spacing w:line="300" w:lineRule="auto" w:after="20"/>
        <w:ind w:hanging="420" w:left="420"/>
        <w:jc w:val="both"/>
      </w:pPr>
      <w:r>
        <w:rPr>
          <w:rFonts w:ascii="Times New Roman" w:hAnsi="Times New Roman" w:eastAsia="宋体"/>
          <w:b w:val="0"/>
          <w:sz w:val="19"/>
        </w:rPr>
        <w:t>[35] Alwitt R.S., Hills R.G. Anodic oxidation of aluminum in a chloride-containing electrolyte. Journal of the Electrochemical Society, 1965, 112(10): 974-979.</w:t>
      </w:r>
    </w:p>
    <w:p>
      <w:pPr>
        <w:spacing w:line="300" w:lineRule="auto" w:after="20"/>
        <w:ind w:hanging="420" w:left="420"/>
        <w:jc w:val="both"/>
      </w:pPr>
      <w:r>
        <w:rPr>
          <w:rFonts w:ascii="Times New Roman" w:hAnsi="Times New Roman" w:eastAsia="宋体"/>
          <w:b w:val="0"/>
          <w:sz w:val="19"/>
        </w:rPr>
        <w:t>[36] Bonnaud O., Michau A., Hadziioannou G. Reversible post-breakdown conduction in aluminum oxide-polymer capacitors. Applied Physics Letters, 2013, 102: 163301.</w:t>
      </w:r>
    </w:p>
    <w:p>
      <w:pPr>
        <w:spacing w:line="300" w:lineRule="auto" w:after="20"/>
        <w:ind w:hanging="420" w:left="420"/>
        <w:jc w:val="both"/>
      </w:pPr>
      <w:r>
        <w:rPr>
          <w:rFonts w:ascii="Times New Roman" w:hAnsi="Times New Roman" w:eastAsia="宋体"/>
          <w:b w:val="0"/>
          <w:sz w:val="19"/>
        </w:rPr>
        <w:t>[37] Yan H., Okuzaki H. Effect of solvent on PEDOT/PSS nanometer-scaled thin films: XPS and STEM/AFM studies. Synthetic Metals, 2009, 159(21-22): 2225-2228.</w:t>
      </w:r>
    </w:p>
    <w:p>
      <w:pPr>
        <w:spacing w:line="300" w:lineRule="auto" w:after="20"/>
        <w:ind w:hanging="420" w:left="420"/>
        <w:jc w:val="both"/>
      </w:pPr>
      <w:r>
        <w:rPr>
          <w:rFonts w:ascii="Times New Roman" w:hAnsi="Times New Roman" w:eastAsia="宋体"/>
          <w:b w:val="0"/>
          <w:sz w:val="19"/>
        </w:rPr>
        <w:t>[38] Jiang Y., Liu T., Zhou Y. Recent advances of synthesis, properties, film fabrication methods, modifications of poly(3,4-ethylenedioxythiophene), and applications in solution-processed photovoltaics. Advanced Functional Materials, 2020, 30(51): 2006213.</w:t>
      </w:r>
    </w:p>
    <w:p>
      <w:pPr>
        <w:spacing w:line="300" w:lineRule="auto" w:after="20"/>
        <w:ind w:hanging="420" w:left="420"/>
        <w:jc w:val="both"/>
      </w:pPr>
      <w:r>
        <w:rPr>
          <w:rFonts w:ascii="Times New Roman" w:hAnsi="Times New Roman" w:eastAsia="宋体"/>
          <w:b w:val="0"/>
          <w:sz w:val="19"/>
        </w:rPr>
        <w:t>[39] Winther-Jensen B., Breiby D.W., West K. Base inhibited oxidative polymerization of 3,4-ethylenedioxythiophene with iron(III) tosylate. Synthetic Metals, 2005, 152(1-3): 1-4.</w:t>
      </w:r>
    </w:p>
    <w:p>
      <w:pPr>
        <w:spacing w:line="300" w:lineRule="auto" w:after="20"/>
        <w:ind w:hanging="420" w:left="420"/>
        <w:jc w:val="both"/>
      </w:pPr>
      <w:r>
        <w:rPr>
          <w:rFonts w:ascii="Times New Roman" w:hAnsi="Times New Roman" w:eastAsia="宋体"/>
          <w:b w:val="0"/>
          <w:sz w:val="19"/>
        </w:rPr>
        <w:t>[40] Winther-Jensen B., West K. Vapor-phase polymerization of 3,4-ethylenedioxythiophene: a route to highly conducting polymer surface layers. Macromolecules, 2004, 37(12): 4538-4543.</w:t>
      </w:r>
    </w:p>
    <w:p>
      <w:pPr>
        <w:spacing w:line="300" w:lineRule="auto" w:after="20"/>
        <w:ind w:hanging="420" w:left="420"/>
        <w:jc w:val="both"/>
      </w:pPr>
      <w:r>
        <w:rPr>
          <w:rFonts w:ascii="Times New Roman" w:hAnsi="Times New Roman" w:eastAsia="宋体"/>
          <w:b w:val="0"/>
          <w:sz w:val="19"/>
        </w:rPr>
        <w:t>[41] Panasonic Corporation. Noise management using capacitors: effectiveness of conductive polymer electrolytic capacitors. Panasonic Technical Note, 2018.</w:t>
      </w:r>
    </w:p>
    <w:p>
      <w:pPr>
        <w:spacing w:line="300" w:lineRule="auto" w:after="20"/>
        <w:ind w:hanging="420" w:left="420"/>
        <w:jc w:val="both"/>
      </w:pPr>
      <w:r>
        <w:rPr>
          <w:rFonts w:ascii="Times New Roman" w:hAnsi="Times New Roman" w:eastAsia="宋体"/>
          <w:b w:val="0"/>
          <w:sz w:val="19"/>
        </w:rPr>
        <w:t>[42] Cabrera N., Mott N.F. Theory of the oxidation of metals. Reports on Progress in Physics, 1949, 12(1): 163-184.</w:t>
      </w:r>
    </w:p>
    <w:p>
      <w:pPr>
        <w:spacing w:line="300" w:lineRule="auto" w:after="20"/>
        <w:ind w:hanging="420" w:left="420"/>
        <w:jc w:val="both"/>
      </w:pPr>
      <w:r>
        <w:rPr>
          <w:rFonts w:ascii="Times New Roman" w:hAnsi="Times New Roman" w:eastAsia="宋体"/>
          <w:b w:val="0"/>
          <w:sz w:val="19"/>
        </w:rPr>
        <w:t>[43] Dupuis M., Strakosas X., Tam T.L., et al. Hydrolysis of doped conducting polymers. Nature Communications Chemistry, 2020, 3: 97.</w:t>
      </w:r>
    </w:p>
    <w:p>
      <w:pPr>
        <w:spacing w:line="300" w:lineRule="auto" w:after="20"/>
        <w:ind w:hanging="420" w:left="420"/>
        <w:jc w:val="both"/>
      </w:pPr>
      <w:r>
        <w:rPr>
          <w:rFonts w:ascii="Times New Roman" w:hAnsi="Times New Roman" w:eastAsia="宋体"/>
          <w:b w:val="0"/>
          <w:sz w:val="19"/>
        </w:rPr>
        <w:t>[44] Automotive Electronics Council. AEC-Q200 Rev E: Stress test qualification for passive components. AEC, 2020.</w:t>
      </w:r>
    </w:p>
    <w:p>
      <w:pPr>
        <w:spacing w:line="300" w:lineRule="auto" w:after="20"/>
        <w:ind w:hanging="420" w:left="420"/>
        <w:jc w:val="both"/>
      </w:pPr>
      <w:r>
        <w:rPr>
          <w:rFonts w:ascii="Times New Roman" w:hAnsi="Times New Roman" w:eastAsia="宋体"/>
          <w:b w:val="0"/>
          <w:sz w:val="19"/>
        </w:rPr>
        <w:t>[45] Teverovsky A. A paradigm shift in quality assurance of COTS capacitors for space applications. NASA NEPP Technical Report 20210021414, 2021.</w:t>
      </w:r>
    </w:p>
    <w:p>
      <w:pPr>
        <w:spacing w:line="300" w:lineRule="auto" w:after="20"/>
        <w:ind w:hanging="420" w:left="420"/>
        <w:jc w:val="both"/>
      </w:pPr>
      <w:r>
        <w:rPr>
          <w:rFonts w:ascii="Times New Roman" w:hAnsi="Times New Roman" w:eastAsia="宋体"/>
          <w:b w:val="0"/>
          <w:sz w:val="19"/>
        </w:rPr>
        <w:t>[46] Macdonald J.R., Barsoukov E. Impedance Spectroscopy: Theory, Experiment, and Applications (2nd ed.). Wiley-Interscience, 2005.</w:t>
      </w:r>
    </w:p>
    <w:p>
      <w:pPr>
        <w:spacing w:line="300" w:lineRule="auto" w:after="20"/>
        <w:ind w:hanging="420" w:left="420"/>
        <w:jc w:val="both"/>
      </w:pPr>
      <w:r>
        <w:rPr>
          <w:rFonts w:ascii="Times New Roman" w:hAnsi="Times New Roman" w:eastAsia="宋体"/>
          <w:b w:val="0"/>
          <w:sz w:val="19"/>
        </w:rPr>
        <w:t>[47] Buteau S., Dahn J.R. Characterizing high-frequency impedance response of solid-state batteries. Journal of The Electrochemical Society, 2019, 166(2): A211-A220.</w:t>
      </w:r>
    </w:p>
    <w:p>
      <w:pPr>
        <w:spacing w:line="300" w:lineRule="auto" w:after="20"/>
        <w:ind w:hanging="420" w:left="420"/>
        <w:jc w:val="both"/>
      </w:pPr>
      <w:r>
        <w:rPr>
          <w:rFonts w:ascii="Times New Roman" w:hAnsi="Times New Roman" w:eastAsia="宋体"/>
          <w:b w:val="0"/>
          <w:sz w:val="19"/>
        </w:rPr>
        <w:t>[48] Guo S., Xu B., Li D., et al. Effects of moisture on the electrical properties of polymer electrolytic capacitors: XPS and EIS analyses. Journal of Applied Polymer Science, 2019, 136: 47485.</w:t>
      </w:r>
    </w:p>
    <w:p>
      <w:pPr>
        <w:spacing w:line="300" w:lineRule="auto" w:after="20"/>
        <w:ind w:hanging="420" w:left="420"/>
        <w:jc w:val="both"/>
      </w:pPr>
      <w:r>
        <w:rPr>
          <w:rFonts w:ascii="Times New Roman" w:hAnsi="Times New Roman" w:eastAsia="宋体"/>
          <w:b w:val="0"/>
          <w:sz w:val="19"/>
        </w:rPr>
        <w:t>[49] Garreau S., Duvail J.L., Louarn G. Spectroelectrochemical studies of poly(3,4-ethylenedioxythiophene) in aqueous medium. Synthetic Metals, 2002, 125(3): 325-329.</w:t>
      </w:r>
    </w:p>
    <w:p>
      <w:pPr>
        <w:spacing w:line="300" w:lineRule="auto" w:after="20"/>
        <w:ind w:hanging="420" w:left="420"/>
        <w:jc w:val="both"/>
      </w:pPr>
      <w:r>
        <w:rPr>
          <w:rFonts w:ascii="Times New Roman" w:hAnsi="Times New Roman" w:eastAsia="宋体"/>
          <w:b w:val="0"/>
          <w:sz w:val="19"/>
        </w:rPr>
        <w:t>[50] Gregori I., Reis F.T., Magalhaes-Paniago R., et al. Electrical and morphological evolution of PEDOT:PSS films under heat treatment in helium and atmospheric air. Journal of Surface Engineered Materials and Advanced Technology, 2012, 2(3A): 180-190.</w:t>
      </w:r>
    </w:p>
    <w:p>
      <w:pPr>
        <w:spacing w:line="300" w:lineRule="auto" w:after="20"/>
        <w:ind w:hanging="420" w:left="420"/>
        <w:jc w:val="both"/>
      </w:pPr>
      <w:r>
        <w:rPr>
          <w:rFonts w:ascii="Times New Roman" w:hAnsi="Times New Roman" w:eastAsia="宋体"/>
          <w:b w:val="0"/>
          <w:sz w:val="19"/>
        </w:rPr>
        <w:t>[51] Khondoker M.A.H., Mun S.C., Kim J. Synthesis and characterization of conductive silver ink for electrode printing on cellulose film. Applied Physics A, 2013, 112(4): 871-876.</w:t>
      </w:r>
    </w:p>
    <w:p>
      <w:pPr>
        <w:spacing w:line="300" w:lineRule="auto" w:after="20"/>
        <w:ind w:hanging="420" w:left="420"/>
        <w:jc w:val="both"/>
      </w:pPr>
      <w:r>
        <w:rPr>
          <w:rFonts w:ascii="Times New Roman" w:hAnsi="Times New Roman" w:eastAsia="宋体"/>
          <w:b w:val="0"/>
          <w:sz w:val="19"/>
        </w:rPr>
        <w:t>[52] Nardes A.M., Kemerink M., Janssen R.A.J., et al. Microscopic understanding of the anisotropic conductivity of PEDOT:PSS thin films. Advanced Materials, 2007, 19(9): 1196-1200.</w:t>
      </w:r>
    </w:p>
    <w:p>
      <w:pPr>
        <w:spacing w:line="300" w:lineRule="auto" w:after="20"/>
        <w:ind w:hanging="420" w:left="420"/>
        <w:jc w:val="both"/>
      </w:pPr>
      <w:r>
        <w:rPr>
          <w:rFonts w:ascii="Times New Roman" w:hAnsi="Times New Roman" w:eastAsia="宋体"/>
          <w:b w:val="0"/>
          <w:sz w:val="19"/>
        </w:rPr>
        <w:t>[53] KEMET Corporation. High vibration applications with KEMET's solid polymer aluminum capacitors. KEMET Technical Publication, 2020.</w:t>
      </w:r>
    </w:p>
    <w:p>
      <w:pPr>
        <w:spacing w:line="300" w:lineRule="auto" w:after="20"/>
        <w:ind w:hanging="420" w:left="420"/>
        <w:jc w:val="both"/>
      </w:pPr>
      <w:r>
        <w:rPr>
          <w:rFonts w:ascii="Times New Roman" w:hAnsi="Times New Roman" w:eastAsia="宋体"/>
          <w:b w:val="0"/>
          <w:sz w:val="19"/>
        </w:rPr>
        <w:t>[54] IPC-JEDEC J-STD-020D. Moisture/Reflow Sensitivity Classification for Nonhermetic Surface Mount Devices. IPC/JEDEC, 2014.</w:t>
      </w:r>
    </w:p>
    <w:p>
      <w:pPr>
        <w:spacing w:line="300" w:lineRule="auto" w:after="20"/>
        <w:ind w:hanging="420" w:left="420"/>
        <w:jc w:val="both"/>
      </w:pPr>
      <w:r>
        <w:rPr>
          <w:rFonts w:ascii="Times New Roman" w:hAnsi="Times New Roman" w:eastAsia="宋体"/>
          <w:b w:val="0"/>
          <w:sz w:val="19"/>
        </w:rPr>
        <w:t>[55] Friedel B., Keivanidis P.E., Brenner T.J.K., et al. Effects of layer thickness and annealing of PEDOT:PSS layers in organic photodetectors. Macromolecules, 2009, 42(17): 6741-6747.</w:t>
      </w:r>
    </w:p>
    <w:p>
      <w:pPr>
        <w:spacing w:line="300" w:lineRule="auto" w:after="20"/>
        <w:ind w:hanging="420" w:left="420"/>
        <w:jc w:val="both"/>
      </w:pPr>
      <w:r>
        <w:rPr>
          <w:rFonts w:ascii="Times New Roman" w:hAnsi="Times New Roman" w:eastAsia="宋体"/>
          <w:b w:val="0"/>
          <w:sz w:val="19"/>
        </w:rPr>
        <w:t>[56] Freeman Y., Lessner P. Reliability and failure mode in solid tantalum capacitors. Passive Components Industry Research, 2021.</w:t>
      </w:r>
    </w:p>
    <w:p>
      <w:pPr>
        <w:spacing w:line="300" w:lineRule="auto" w:after="20"/>
        <w:ind w:hanging="420" w:left="420"/>
        <w:jc w:val="both"/>
      </w:pPr>
      <w:r>
        <w:rPr>
          <w:rFonts w:ascii="Times New Roman" w:hAnsi="Times New Roman" w:eastAsia="宋体"/>
          <w:b w:val="0"/>
          <w:sz w:val="19"/>
        </w:rPr>
        <w:t>[57] Zhao S., Blaabjerg F., Wang H. An overview of artificial intelligence applications for power electronics. IEEE Transactions on Power Electronics, 2021, 36(4): 4633-4658.</w:t>
      </w:r>
    </w:p>
    <w:p>
      <w:pPr>
        <w:spacing w:line="300" w:lineRule="auto" w:after="20"/>
        <w:ind w:hanging="420" w:left="420"/>
        <w:jc w:val="both"/>
      </w:pPr>
      <w:r>
        <w:rPr>
          <w:rFonts w:ascii="Times New Roman" w:hAnsi="Times New Roman" w:eastAsia="宋体"/>
          <w:b w:val="0"/>
          <w:sz w:val="19"/>
        </w:rPr>
        <w:t>[58] Nelson W. Accelerated Testing: Statistical Models, Test Plans, and Data Analyses. Wiley, 2004.</w:t>
      </w:r>
    </w:p>
    <w:p>
      <w:pPr>
        <w:spacing w:line="300" w:lineRule="auto" w:after="20"/>
        <w:ind w:hanging="420" w:left="420"/>
        <w:jc w:val="both"/>
      </w:pPr>
      <w:r>
        <w:rPr>
          <w:rFonts w:ascii="Times New Roman" w:hAnsi="Times New Roman" w:eastAsia="宋体"/>
          <w:b w:val="0"/>
          <w:sz w:val="19"/>
        </w:rPr>
        <w:t>[59] Soualhi A., Makdessi M., German R., et al. Using LSTM neural network to predict remaining useful life of electrolytic capacitors in dynamic operating conditions. Journal of Risk and Reliability (SAGE), 2022, 236(4): 617-627.</w:t>
      </w:r>
    </w:p>
    <w:p>
      <w:pPr>
        <w:spacing w:line="300" w:lineRule="auto" w:after="20"/>
        <w:ind w:hanging="420" w:left="420"/>
        <w:jc w:val="both"/>
      </w:pPr>
      <w:r>
        <w:rPr>
          <w:rFonts w:ascii="Times New Roman" w:hAnsi="Times New Roman" w:eastAsia="宋体"/>
          <w:b w:val="0"/>
          <w:sz w:val="19"/>
        </w:rPr>
        <w:t>[60] Wang X., Chen L., Song Y. Physics-informed LSTM network for supercapacitor lifespan prediction. Applied Energy (Elsevier), 2025, in press.</w:t>
      </w:r>
    </w:p>
    <w:p>
      <w:pPr>
        <w:spacing w:line="300" w:lineRule="auto" w:after="20"/>
        <w:ind w:hanging="420" w:left="420"/>
        <w:jc w:val="both"/>
      </w:pPr>
      <w:r>
        <w:rPr>
          <w:rFonts w:ascii="Times New Roman" w:hAnsi="Times New Roman" w:eastAsia="宋体"/>
          <w:b w:val="0"/>
          <w:sz w:val="19"/>
        </w:rPr>
        <w:t>[61] Hyun W.J., Ahn C., Kim M.H., et al. All-printed flexible energy storage from wet-treated, solvent-free pedot:pss composites with carbon nanotubes. ACS Applied Materials &amp; Interfaces, 2018, 10(38): 32425-32432.</w:t>
      </w:r>
    </w:p>
    <w:p>
      <w:pPr>
        <w:spacing w:line="300" w:lineRule="auto" w:after="20"/>
        <w:ind w:hanging="420" w:left="420"/>
        <w:jc w:val="both"/>
      </w:pPr>
      <w:r>
        <w:rPr>
          <w:rFonts w:ascii="Times New Roman" w:hAnsi="Times New Roman" w:eastAsia="宋体"/>
          <w:b w:val="0"/>
          <w:sz w:val="19"/>
        </w:rPr>
        <w:t>[62] George S.M. Atomic layer deposition: an overview. Chemical Reviews, 2010, 110(1): 111-131.</w:t>
      </w:r>
    </w:p>
    <w:p>
      <w:pPr>
        <w:spacing w:line="300" w:lineRule="auto" w:after="20"/>
        <w:ind w:hanging="420" w:left="420"/>
        <w:jc w:val="both"/>
      </w:pPr>
      <w:r>
        <w:rPr>
          <w:rFonts w:ascii="Times New Roman" w:hAnsi="Times New Roman" w:eastAsia="宋体"/>
          <w:b w:val="0"/>
          <w:sz w:val="19"/>
        </w:rPr>
        <w:t>[63] Burton E.A., Schrom G., Paillet F., et al. FIVR — Fully integrated voltage regulators on 4th generation Intel Core SoCs. IEEE Applied Power Electronics Conference (APEC), 2014: 432-439.</w:t>
      </w:r>
    </w:p>
    <w:p>
      <w:pPr>
        <w:spacing w:line="300" w:lineRule="auto" w:after="20"/>
        <w:ind w:hanging="420" w:left="420"/>
        <w:jc w:val="both"/>
      </w:pPr>
      <w:r>
        <w:rPr>
          <w:rFonts w:ascii="Times New Roman" w:hAnsi="Times New Roman" w:eastAsia="宋体"/>
          <w:b w:val="0"/>
          <w:sz w:val="19"/>
        </w:rPr>
        <w:t>[64] Wu H., Liu G., Li Y., Bao Z. Self-powered, smart sensors for biomedical, mechanical, and environmental monitoring. Advanced Materials, 2021, 33(28): 2005681.</w:t>
      </w:r>
    </w:p>
    <w:p>
      <w:pPr>
        <w:spacing w:line="300" w:lineRule="auto" w:after="20"/>
        <w:ind w:hanging="420" w:left="420"/>
        <w:jc w:val="both"/>
      </w:pPr>
      <w:r>
        <w:rPr>
          <w:rFonts w:ascii="Times New Roman" w:hAnsi="Times New Roman" w:eastAsia="宋体"/>
          <w:b w:val="0"/>
          <w:sz w:val="19"/>
        </w:rPr>
        <w:t>[65] Murata Manufacturing. ECAS series conductive polymer aluminum capacitors: quality and safety environmental information. Murata Technical Notes, 2023.</w:t>
      </w:r>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