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黑体"/>
          <w:b/>
          <w:sz w:val="56"/>
        </w:rPr>
        <w:t>学  术  研  究  报  告</w:t>
      </w:r>
    </w:p>
    <w:p/>
    <w:p/>
    <w:p>
      <w:pPr>
        <w:jc w:val="center"/>
      </w:pPr>
      <w:r>
        <w:rPr>
          <w:rFonts w:ascii="Times New Roman" w:hAnsi="Times New Roman" w:eastAsia="黑体"/>
          <w:b/>
          <w:sz w:val="44"/>
        </w:rPr>
        <w:t>电容器失效模式、失效机理</w:t>
      </w:r>
    </w:p>
    <w:p>
      <w:pPr>
        <w:jc w:val="center"/>
      </w:pPr>
      <w:r>
        <w:rPr>
          <w:rFonts w:ascii="Times New Roman" w:hAnsi="Times New Roman" w:eastAsia="黑体"/>
          <w:b/>
          <w:sz w:val="44"/>
        </w:rPr>
        <w:t>与可靠性建模</w:t>
      </w:r>
    </w:p>
    <w:p/>
    <w:p/>
    <w:p>
      <w:pPr>
        <w:jc w:val="center"/>
      </w:pPr>
      <w:r>
        <w:rPr>
          <w:rFonts w:ascii="Times New Roman" w:hAnsi="Times New Roman" w:eastAsia="Times New Roman"/>
          <w:b w:val="0"/>
          <w:i/>
          <w:sz w:val="28"/>
        </w:rPr>
        <w:t>Failure Modes, Mechanisms and Reliability Modeling of Capacitors</w:t>
      </w:r>
    </w:p>
    <w:p/>
    <w:p/>
    <w:p/>
    <w:p/>
    <w:p/>
    <w:p/>
    <w:p>
      <w:pPr>
        <w:jc w:val="center"/>
      </w:pPr>
      <w:r>
        <w:rPr>
          <w:rFonts w:ascii="Times New Roman" w:hAnsi="Times New Roman" w:eastAsia="宋体"/>
          <w:b w:val="0"/>
          <w:sz w:val="28"/>
        </w:rPr>
        <w:t>报 告 类 型：专题研究报告</w:t>
      </w:r>
    </w:p>
    <w:p>
      <w:pPr>
        <w:jc w:val="center"/>
      </w:pPr>
      <w:r>
        <w:rPr>
          <w:rFonts w:ascii="Times New Roman" w:hAnsi="Times New Roman" w:eastAsia="宋体"/>
          <w:b w:val="0"/>
          <w:sz w:val="28"/>
        </w:rPr>
        <w:t>研 究 领 域：电子元器件可靠性工程</w:t>
      </w:r>
    </w:p>
    <w:p>
      <w:pPr>
        <w:jc w:val="center"/>
      </w:pPr>
      <w:r>
        <w:rPr>
          <w:rFonts w:ascii="Times New Roman" w:hAnsi="Times New Roman" w:eastAsia="宋体"/>
          <w:b w:val="0"/>
          <w:sz w:val="28"/>
        </w:rPr>
        <w:t>关 键 词：电容器;失效模式;失效机理;可靠性建模;寿命预测</w:t>
      </w:r>
    </w:p>
    <w:p>
      <w:pPr>
        <w:jc w:val="center"/>
      </w:pPr>
      <w:r>
        <w:rPr>
          <w:rFonts w:ascii="Times New Roman" w:hAnsi="Times New Roman" w:eastAsia="宋体"/>
          <w:b w:val="0"/>
          <w:sz w:val="28"/>
        </w:rPr>
        <w:t>完 成 时 间：2026 年 5 月</w:t>
      </w:r>
    </w:p>
    <w:p>
      <w:r>
        <w:br w:type="page"/>
      </w:r>
    </w:p>
    <w:p>
      <w:pPr>
        <w:spacing w:before="240" w:after="120"/>
        <w:jc w:val="center"/>
        <w:outlineLvl w:val="0"/>
      </w:pPr>
      <w:r>
        <w:rPr>
          <w:rFonts w:ascii="Times New Roman" w:hAnsi="Times New Roman" w:eastAsia="黑体"/>
          <w:b/>
          <w:sz w:val="44"/>
        </w:rPr>
        <w:t>摘  要</w:t>
      </w:r>
    </w:p>
    <w:p>
      <w:pPr>
        <w:spacing w:line="360" w:lineRule="auto" w:after="60"/>
        <w:ind w:firstLine="420"/>
        <w:jc w:val="both"/>
      </w:pPr>
      <w:r>
        <w:rPr>
          <w:rFonts w:ascii="Times New Roman" w:hAnsi="Times New Roman" w:eastAsia="宋体"/>
          <w:b w:val="0"/>
          <w:sz w:val="22"/>
        </w:rPr>
        <w:t>电容器作为电力电子系统与现代微电子装备中体量最大、最为基础的无源储能器件，其可靠性对整机系统的任务可靠度、维护成本及功能安全有直接且显著的影响。在风电变流器、光伏逆变器、电动汽车驱动、轨道交通牵引、航空航天供配电等对可靠性要求苛刻的场景中，电容器往往是故障率居于前列的关键部件，据统计其故障贡献比例可达30%甚至更高（Wang 和 Blaabjerg, 2014）。因此，系统理解电容器的失效模式、失效机理并建立工程上可用的可靠性模型，已成为电子元器件可靠性工程与预测性维护领域的核心研究课题。</w:t>
      </w:r>
    </w:p>
    <w:p>
      <w:pPr>
        <w:spacing w:line="360" w:lineRule="auto" w:after="60"/>
        <w:ind w:firstLine="420"/>
        <w:jc w:val="both"/>
      </w:pPr>
      <w:r>
        <w:rPr>
          <w:rFonts w:ascii="Times New Roman" w:hAnsi="Times New Roman" w:eastAsia="宋体"/>
          <w:b w:val="0"/>
          <w:sz w:val="22"/>
        </w:rPr>
        <w:t>本研究报告以铝电解电容器、多层陶瓷电容器（MLCC）、金属化薄膜电容器、固体钽电容器和超级电容器（电化学电容器）五大主流电容器类别为对象，在系统检索近三十年IEEE、Elsevier、Nature Publishing Group、MDPI、美国NASA/NEPP等机构公开的高水平学术文献的基础上，围绕"结构-材料-应力-失效-模型-监测"的闭环研究思路，对电容器在全寿命周期内的典型失效模式、底层物理化学机理、可靠性统计与物理建模方法、在线健康监测与剩余使用寿命预测方法进行了系统的归纳、评述与工程分析。</w:t>
      </w:r>
    </w:p>
    <w:p>
      <w:pPr>
        <w:spacing w:line="360" w:lineRule="auto" w:after="60"/>
        <w:ind w:firstLine="420"/>
        <w:jc w:val="both"/>
      </w:pPr>
      <w:r>
        <w:rPr>
          <w:rFonts w:ascii="Times New Roman" w:hAnsi="Times New Roman" w:eastAsia="宋体"/>
          <w:b w:val="0"/>
          <w:sz w:val="22"/>
        </w:rPr>
        <w:t>报告首先建立了电容器分类与基本工作原理框架，梳理了不同介质体系（BaTiO3基陶瓷、Al2O3阳极氧化膜、Ta2O5阳极氧化膜、双向拉伸聚丙烯BOPP、活性炭/电解液界面双电层等）下的储能机制与寄生参数模型；其次，从开路、短路、参数漂移三大表观失效模式出发，系统分析了电解液蒸发、介质击穿、金属离子迁移、自愈累积、氧化膜场致结晶、机械裂纹扩展、热失控等典型失效机理，并给出了各机理的物理化学解释与关键影响因素；在可靠性建模方面，报告重点讨论了Prokopowicz-Vaskas方程、改进Eyring-Arrhenius模型、逆幂律模型、两参数Weibull分布、多应力加速模型、基于失效物理的（PoF）寿命模型以及基于CNN-LSTM、PINN等数据驱动的寿命预测方法；在健康监测方面，对基于ESR/C在线辨识的参数估计法、基于纹波电压频谱分析的无侵入监测法以及基于阻抗谱的多尺度诊断方法进行了系统梳理。</w:t>
      </w:r>
    </w:p>
    <w:p>
      <w:pPr>
        <w:spacing w:line="360" w:lineRule="auto" w:after="60"/>
        <w:ind w:firstLine="420"/>
        <w:jc w:val="both"/>
      </w:pPr>
      <w:r>
        <w:rPr>
          <w:rFonts w:ascii="Times New Roman" w:hAnsi="Times New Roman" w:eastAsia="宋体"/>
          <w:b w:val="0"/>
          <w:sz w:val="22"/>
        </w:rPr>
        <w:t>研究表明：（1）不同类型电容器的主失效机理存在显著差异，铝电解电容主要受电解液蒸发与阀金属电极氧化控制，MLCC主要受BaTiO3晶界氧空位迁移与场致老化控制，金属化薄膜电容主要受自愈累积与电极腐蚀控制，钽电容主要受Ta2O5场致结晶与热失控控制，超级电容主要受电解液分解与电极/集流体界面老化控制；（2）在电-热-机械-湿多应力耦合工况下，单一Arrhenius或单一逆幂律模型难以精确描述寿命，需要采用广义Eyring型复合应力模型或数据驱动修正方法；（3）基于ESR与电容量联合的监测量相较单一监测量具有更强的失效判据能力，但需要针对不同类型电容器选择相匹配的失效阈值。</w:t>
      </w:r>
    </w:p>
    <w:p>
      <w:pPr>
        <w:spacing w:line="360" w:lineRule="auto" w:after="60"/>
        <w:ind w:firstLine="420"/>
        <w:jc w:val="both"/>
      </w:pPr>
      <w:r>
        <w:rPr>
          <w:rFonts w:ascii="Times New Roman" w:hAnsi="Times New Roman" w:eastAsia="宋体"/>
          <w:b w:val="0"/>
          <w:sz w:val="22"/>
        </w:rPr>
        <w:t>本报告为电容器选型设计、加速寿命试验规划、系统级可靠性评估、预测性维护策略制定提供了系统化的理论参考与方法学支撑，对提升我国高端装备中被动元器件的国产化水平与可靠性保证能力具有一定的工程意义。</w:t>
      </w:r>
    </w:p>
    <w:p>
      <w:pPr>
        <w:spacing w:before="240" w:after="120"/>
        <w:outlineLvl w:val="3"/>
      </w:pPr>
      <w:r>
        <w:rPr>
          <w:rFonts w:ascii="Times New Roman" w:hAnsi="Times New Roman" w:eastAsia="黑体"/>
          <w:b/>
          <w:sz w:val="26"/>
        </w:rPr>
        <w:t>关键词：</w:t>
      </w:r>
    </w:p>
    <w:p>
      <w:pPr>
        <w:ind w:firstLine="420"/>
        <w:jc w:val="left"/>
      </w:pPr>
      <w:r>
        <w:rPr>
          <w:rFonts w:ascii="Times New Roman" w:hAnsi="Times New Roman" w:eastAsia="宋体"/>
          <w:b w:val="0"/>
          <w:sz w:val="22"/>
        </w:rPr>
        <w:t>电容器；失效模式；失效机理；可靠性建模；加速寿命试验；剩余使用寿命；健康监测；Weibull分布；Prokopowicz-Vaskas方程；物理失效模型</w:t>
      </w:r>
    </w:p>
    <w:p>
      <w:r>
        <w:br w:type="page"/>
      </w:r>
    </w:p>
    <w:p>
      <w:pPr>
        <w:spacing w:before="240" w:after="120"/>
        <w:jc w:val="center"/>
        <w:outlineLvl w:val="0"/>
      </w:pPr>
      <w:r>
        <w:rPr>
          <w:rFonts w:ascii="Times New Roman" w:hAnsi="Times New Roman" w:eastAsia="黑体"/>
          <w:b/>
          <w:sz w:val="44"/>
        </w:rPr>
        <w:t>Abstract</w:t>
      </w:r>
    </w:p>
    <w:p>
      <w:pPr>
        <w:spacing w:line="360" w:lineRule="auto" w:after="60"/>
        <w:ind w:firstLine="420"/>
        <w:jc w:val="both"/>
      </w:pPr>
      <w:r>
        <w:rPr>
          <w:rFonts w:ascii="Times New Roman" w:hAnsi="Times New Roman" w:eastAsia="宋体"/>
          <w:b w:val="0"/>
          <w:sz w:val="22"/>
        </w:rPr>
        <w:t>Capacitors are among the most numerous passive energy-storage components in modern power electronic systems and microelectronic equipment. Their reliability directly affects mission reliability, maintenance cost and functional safety of the host system. In wind-power converters, photovoltaic inverters, electric-vehicle traction drives, metro traction systems and aerospace power distribution units, capacitors are often among the components with the highest field failure rates, contributing up to 30 percent of the total system failures according to several industry surveys reported by Wang and Blaabjerg (2014). A systematic understanding of the failure modes, failure mechanisms and engineering-oriented reliability models of capacitors has therefore become a central topic in the electronic component reliability community.</w:t>
      </w:r>
    </w:p>
    <w:p>
      <w:pPr>
        <w:spacing w:line="360" w:lineRule="auto" w:after="60"/>
        <w:ind w:firstLine="420"/>
        <w:jc w:val="both"/>
      </w:pPr>
      <w:r>
        <w:rPr>
          <w:rFonts w:ascii="Times New Roman" w:hAnsi="Times New Roman" w:eastAsia="宋体"/>
          <w:b w:val="0"/>
          <w:sz w:val="22"/>
        </w:rPr>
        <w:t>In this report, five mainstream capacitor families, namely aluminum electrolytic capacitors, multilayer ceramic capacitors (MLCC), metallized polymer film capacitors, solid tantalum capacitors and electric-double-layer supercapacitors, are systematically reviewed. Based on a comprehensive literature survey of peer-reviewed publications from IEEE, Elsevier, Nature Publishing Group, MDPI and NASA/NEPP over the last three decades, this report follows a closed-loop research paradigm of structure-material-stress-failure-model-monitoring. Typical failure modes, underlying physical-chemical mechanisms, statistical and physics-based reliability models, and on-line health monitoring methods are analyzed.</w:t>
      </w:r>
    </w:p>
    <w:p>
      <w:pPr>
        <w:spacing w:line="360" w:lineRule="auto" w:after="60"/>
        <w:ind w:firstLine="420"/>
        <w:jc w:val="both"/>
      </w:pPr>
      <w:r>
        <w:rPr>
          <w:rFonts w:ascii="Times New Roman" w:hAnsi="Times New Roman" w:eastAsia="宋体"/>
          <w:b w:val="0"/>
          <w:sz w:val="22"/>
        </w:rPr>
        <w:t>Key findings include: (i) dominant failure mechanisms are highly capacitor-family dependent; (ii) under coupled electro-thermal-mechanical-humidity stresses, a single Arrhenius or single inverse-power model is insufficient and a generalized Eyring-type multi-stress model or a data-driven hybrid model is preferable; (iii) joint monitoring of ESR and capacitance provides stronger diagnostic capability than either parameter alone, but proper failure thresholds must be chosen according to the capacitor type and application profile.</w:t>
      </w:r>
    </w:p>
    <w:p>
      <w:pPr>
        <w:spacing w:line="360" w:lineRule="auto" w:after="60"/>
        <w:ind w:firstLine="420"/>
        <w:jc w:val="both"/>
      </w:pPr>
      <w:r>
        <w:rPr>
          <w:rFonts w:ascii="Times New Roman" w:hAnsi="Times New Roman" w:eastAsia="宋体"/>
          <w:b w:val="0"/>
          <w:sz w:val="22"/>
        </w:rPr>
        <w:t>Keywords: capacitor; failure mode; failure mechanism; reliability modeling; accelerated life test; remaining useful life; health monitoring; Weibull distribution; Prokopowicz-Vaskas equation; physics-of-failure model.</w:t>
      </w:r>
    </w:p>
    <w:p>
      <w:r>
        <w:br w:type="page"/>
      </w:r>
    </w:p>
    <w:p>
      <w:pPr>
        <w:spacing w:before="240" w:after="120"/>
        <w:jc w:val="center"/>
        <w:outlineLvl w:val="0"/>
      </w:pPr>
      <w:r>
        <w:rPr>
          <w:rFonts w:ascii="Times New Roman" w:hAnsi="Times New Roman" w:eastAsia="黑体"/>
          <w:b/>
          <w:sz w:val="44"/>
        </w:rPr>
        <w:t>目  录</w:t>
      </w:r>
    </w:p>
    <w:p>
      <w:pPr>
        <w:spacing w:after="40" w:line="312" w:lineRule="auto"/>
      </w:pPr>
      <w:r>
        <w:rPr>
          <w:rFonts w:ascii="Times New Roman" w:hAnsi="Times New Roman" w:eastAsia="宋体"/>
          <w:b w:val="0"/>
          <w:sz w:val="22"/>
        </w:rPr>
        <w:t>摘 要 …………………………………………………………………………………… I</w:t>
      </w:r>
    </w:p>
    <w:p>
      <w:pPr>
        <w:spacing w:after="40" w:line="312" w:lineRule="auto"/>
      </w:pPr>
      <w:r>
        <w:rPr>
          <w:rFonts w:ascii="Times New Roman" w:hAnsi="Times New Roman" w:eastAsia="宋体"/>
          <w:b w:val="0"/>
          <w:sz w:val="22"/>
        </w:rPr>
        <w:t>Abstract ………………………………………………………………………………… II</w:t>
      </w:r>
    </w:p>
    <w:p>
      <w:pPr>
        <w:spacing w:after="40" w:line="312" w:lineRule="auto"/>
      </w:pPr>
      <w:r>
        <w:rPr>
          <w:rFonts w:ascii="Times New Roman" w:hAnsi="Times New Roman" w:eastAsia="宋体"/>
          <w:b w:val="0"/>
          <w:sz w:val="22"/>
        </w:rPr>
        <w:t>第一章 绪论 …………………………………………………………………………… 1</w:t>
      </w:r>
    </w:p>
    <w:p>
      <w:pPr>
        <w:spacing w:after="40" w:line="312" w:lineRule="auto"/>
      </w:pPr>
      <w:r>
        <w:rPr>
          <w:rFonts w:ascii="Times New Roman" w:hAnsi="Times New Roman" w:eastAsia="宋体"/>
          <w:b w:val="0"/>
          <w:sz w:val="22"/>
        </w:rPr>
        <w:t xml:space="preserve">    1.1 研究背景与意义 …………………………………………………………… 1</w:t>
      </w:r>
    </w:p>
    <w:p>
      <w:pPr>
        <w:spacing w:after="40" w:line="312" w:lineRule="auto"/>
      </w:pPr>
      <w:r>
        <w:rPr>
          <w:rFonts w:ascii="Times New Roman" w:hAnsi="Times New Roman" w:eastAsia="宋体"/>
          <w:b w:val="0"/>
          <w:sz w:val="22"/>
        </w:rPr>
        <w:t xml:space="preserve">    1.2 电容器可靠性研究的历史沿革 …………………………………………… 3</w:t>
      </w:r>
    </w:p>
    <w:p>
      <w:pPr>
        <w:spacing w:after="40" w:line="312" w:lineRule="auto"/>
      </w:pPr>
      <w:r>
        <w:rPr>
          <w:rFonts w:ascii="Times New Roman" w:hAnsi="Times New Roman" w:eastAsia="宋体"/>
          <w:b w:val="0"/>
          <w:sz w:val="22"/>
        </w:rPr>
        <w:t xml:space="preserve">    1.3 国内外研究现状 ………………………………………………………… 5</w:t>
      </w:r>
    </w:p>
    <w:p>
      <w:pPr>
        <w:spacing w:after="40" w:line="312" w:lineRule="auto"/>
      </w:pPr>
      <w:r>
        <w:rPr>
          <w:rFonts w:ascii="Times New Roman" w:hAnsi="Times New Roman" w:eastAsia="宋体"/>
          <w:b w:val="0"/>
          <w:sz w:val="22"/>
        </w:rPr>
        <w:t xml:space="preserve">    1.4 本报告的研究内容与组织结构 …………………………………………… 9</w:t>
      </w:r>
    </w:p>
    <w:p>
      <w:pPr>
        <w:spacing w:after="40" w:line="312" w:lineRule="auto"/>
      </w:pPr>
      <w:r>
        <w:rPr>
          <w:rFonts w:ascii="Times New Roman" w:hAnsi="Times New Roman" w:eastAsia="宋体"/>
          <w:b w:val="0"/>
          <w:sz w:val="22"/>
        </w:rPr>
        <w:t>第二章 电容器分类、结构与基本原理 ……………………………………………… 11</w:t>
      </w:r>
    </w:p>
    <w:p>
      <w:pPr>
        <w:spacing w:after="40" w:line="312" w:lineRule="auto"/>
      </w:pPr>
      <w:r>
        <w:rPr>
          <w:rFonts w:ascii="Times New Roman" w:hAnsi="Times New Roman" w:eastAsia="宋体"/>
          <w:b w:val="0"/>
          <w:sz w:val="22"/>
        </w:rPr>
        <w:t xml:space="preserve">    2.1 电容器的基本物理模型 …………………………………………………… 11</w:t>
      </w:r>
    </w:p>
    <w:p>
      <w:pPr>
        <w:spacing w:after="40" w:line="312" w:lineRule="auto"/>
      </w:pPr>
      <w:r>
        <w:rPr>
          <w:rFonts w:ascii="Times New Roman" w:hAnsi="Times New Roman" w:eastAsia="宋体"/>
          <w:b w:val="0"/>
          <w:sz w:val="22"/>
        </w:rPr>
        <w:t xml:space="preserve">    2.2 铝电解电容器 ……………………………………………………………… 14</w:t>
      </w:r>
    </w:p>
    <w:p>
      <w:pPr>
        <w:spacing w:after="40" w:line="312" w:lineRule="auto"/>
      </w:pPr>
      <w:r>
        <w:rPr>
          <w:rFonts w:ascii="Times New Roman" w:hAnsi="Times New Roman" w:eastAsia="宋体"/>
          <w:b w:val="0"/>
          <w:sz w:val="22"/>
        </w:rPr>
        <w:t xml:space="preserve">    2.3 多层陶瓷电容器MLCC …………………………………………………… 18</w:t>
      </w:r>
    </w:p>
    <w:p>
      <w:pPr>
        <w:spacing w:after="40" w:line="312" w:lineRule="auto"/>
      </w:pPr>
      <w:r>
        <w:rPr>
          <w:rFonts w:ascii="Times New Roman" w:hAnsi="Times New Roman" w:eastAsia="宋体"/>
          <w:b w:val="0"/>
          <w:sz w:val="22"/>
        </w:rPr>
        <w:t xml:space="preserve">    2.4 金属化薄膜电容器 ………………………………………………………… 22</w:t>
      </w:r>
    </w:p>
    <w:p>
      <w:pPr>
        <w:spacing w:after="40" w:line="312" w:lineRule="auto"/>
      </w:pPr>
      <w:r>
        <w:rPr>
          <w:rFonts w:ascii="Times New Roman" w:hAnsi="Times New Roman" w:eastAsia="宋体"/>
          <w:b w:val="0"/>
          <w:sz w:val="22"/>
        </w:rPr>
        <w:t xml:space="preserve">    2.5 固体钽电容器 …………………………………………………………… 26</w:t>
      </w:r>
    </w:p>
    <w:p>
      <w:pPr>
        <w:spacing w:after="40" w:line="312" w:lineRule="auto"/>
      </w:pPr>
      <w:r>
        <w:rPr>
          <w:rFonts w:ascii="Times New Roman" w:hAnsi="Times New Roman" w:eastAsia="宋体"/>
          <w:b w:val="0"/>
          <w:sz w:val="22"/>
        </w:rPr>
        <w:t xml:space="preserve">    2.6 超级电容器 ………………………………………………………………… 28</w:t>
      </w:r>
    </w:p>
    <w:p>
      <w:pPr>
        <w:spacing w:after="40" w:line="312" w:lineRule="auto"/>
      </w:pPr>
      <w:r>
        <w:rPr>
          <w:rFonts w:ascii="Times New Roman" w:hAnsi="Times New Roman" w:eastAsia="宋体"/>
          <w:b w:val="0"/>
          <w:sz w:val="22"/>
        </w:rPr>
        <w:t>第三章 电容器典型失效模式 ………………………………………………………… 31</w:t>
      </w:r>
    </w:p>
    <w:p>
      <w:pPr>
        <w:spacing w:after="40" w:line="312" w:lineRule="auto"/>
      </w:pPr>
      <w:r>
        <w:rPr>
          <w:rFonts w:ascii="Times New Roman" w:hAnsi="Times New Roman" w:eastAsia="宋体"/>
          <w:b w:val="0"/>
          <w:sz w:val="22"/>
        </w:rPr>
        <w:t xml:space="preserve">    3.1 失效模式的分类方法 ……………………………………………………… 31</w:t>
      </w:r>
    </w:p>
    <w:p>
      <w:pPr>
        <w:spacing w:after="40" w:line="312" w:lineRule="auto"/>
      </w:pPr>
      <w:r>
        <w:rPr>
          <w:rFonts w:ascii="Times New Roman" w:hAnsi="Times New Roman" w:eastAsia="宋体"/>
          <w:b w:val="0"/>
          <w:sz w:val="22"/>
        </w:rPr>
        <w:t xml:space="preserve">    3.2 开路失效 …………………………………………………………………… 33</w:t>
      </w:r>
    </w:p>
    <w:p>
      <w:pPr>
        <w:spacing w:after="40" w:line="312" w:lineRule="auto"/>
      </w:pPr>
      <w:r>
        <w:rPr>
          <w:rFonts w:ascii="Times New Roman" w:hAnsi="Times New Roman" w:eastAsia="宋体"/>
          <w:b w:val="0"/>
          <w:sz w:val="22"/>
        </w:rPr>
        <w:t xml:space="preserve">    3.3 短路失效 …………………………………………………………………… 36</w:t>
      </w:r>
    </w:p>
    <w:p>
      <w:pPr>
        <w:spacing w:after="40" w:line="312" w:lineRule="auto"/>
      </w:pPr>
      <w:r>
        <w:rPr>
          <w:rFonts w:ascii="Times New Roman" w:hAnsi="Times New Roman" w:eastAsia="宋体"/>
          <w:b w:val="0"/>
          <w:sz w:val="22"/>
        </w:rPr>
        <w:t xml:space="preserve">    3.4 参数漂移失效 ……………………………………………………………… 39</w:t>
      </w:r>
    </w:p>
    <w:p>
      <w:pPr>
        <w:spacing w:after="40" w:line="312" w:lineRule="auto"/>
      </w:pPr>
      <w:r>
        <w:rPr>
          <w:rFonts w:ascii="Times New Roman" w:hAnsi="Times New Roman" w:eastAsia="宋体"/>
          <w:b w:val="0"/>
          <w:sz w:val="22"/>
        </w:rPr>
        <w:t xml:space="preserve">    3.5 外观与密封失效 …………………………………………………………… 42</w:t>
      </w:r>
    </w:p>
    <w:p>
      <w:pPr>
        <w:spacing w:after="40" w:line="312" w:lineRule="auto"/>
      </w:pPr>
      <w:r>
        <w:rPr>
          <w:rFonts w:ascii="Times New Roman" w:hAnsi="Times New Roman" w:eastAsia="宋体"/>
          <w:b w:val="0"/>
          <w:sz w:val="22"/>
        </w:rPr>
        <w:t xml:space="preserve">    3.6 各类型电容器失效模式比较 ……………………………………………… 44</w:t>
      </w:r>
    </w:p>
    <w:p>
      <w:pPr>
        <w:spacing w:after="40" w:line="312" w:lineRule="auto"/>
      </w:pPr>
      <w:r>
        <w:rPr>
          <w:rFonts w:ascii="Times New Roman" w:hAnsi="Times New Roman" w:eastAsia="宋体"/>
          <w:b w:val="0"/>
          <w:sz w:val="22"/>
        </w:rPr>
        <w:t>第四章 电容器失效机理 ……………………………………………………………… 46</w:t>
      </w:r>
    </w:p>
    <w:p>
      <w:pPr>
        <w:spacing w:after="40" w:line="312" w:lineRule="auto"/>
      </w:pPr>
      <w:r>
        <w:rPr>
          <w:rFonts w:ascii="Times New Roman" w:hAnsi="Times New Roman" w:eastAsia="宋体"/>
          <w:b w:val="0"/>
          <w:sz w:val="22"/>
        </w:rPr>
        <w:t xml:space="preserve">    4.1 铝电解电容器的失效机理 ………………………………………………… 46</w:t>
      </w:r>
    </w:p>
    <w:p>
      <w:pPr>
        <w:spacing w:after="40" w:line="312" w:lineRule="auto"/>
      </w:pPr>
      <w:r>
        <w:rPr>
          <w:rFonts w:ascii="Times New Roman" w:hAnsi="Times New Roman" w:eastAsia="宋体"/>
          <w:b w:val="0"/>
          <w:sz w:val="22"/>
        </w:rPr>
        <w:t xml:space="preserve">    4.2 MLCC的失效机理 ………………………………………………………… 52</w:t>
      </w:r>
    </w:p>
    <w:p>
      <w:pPr>
        <w:spacing w:after="40" w:line="312" w:lineRule="auto"/>
      </w:pPr>
      <w:r>
        <w:rPr>
          <w:rFonts w:ascii="Times New Roman" w:hAnsi="Times New Roman" w:eastAsia="宋体"/>
          <w:b w:val="0"/>
          <w:sz w:val="22"/>
        </w:rPr>
        <w:t xml:space="preserve">    4.3 金属化薄膜电容器的失效机理 …………………………………………… 58</w:t>
      </w:r>
    </w:p>
    <w:p>
      <w:pPr>
        <w:spacing w:after="40" w:line="312" w:lineRule="auto"/>
      </w:pPr>
      <w:r>
        <w:rPr>
          <w:rFonts w:ascii="Times New Roman" w:hAnsi="Times New Roman" w:eastAsia="宋体"/>
          <w:b w:val="0"/>
          <w:sz w:val="22"/>
        </w:rPr>
        <w:t xml:space="preserve">    4.4 钽电容器的失效机理 …………………………………………………… 62</w:t>
      </w:r>
    </w:p>
    <w:p>
      <w:pPr>
        <w:spacing w:after="40" w:line="312" w:lineRule="auto"/>
      </w:pPr>
      <w:r>
        <w:rPr>
          <w:rFonts w:ascii="Times New Roman" w:hAnsi="Times New Roman" w:eastAsia="宋体"/>
          <w:b w:val="0"/>
          <w:sz w:val="22"/>
        </w:rPr>
        <w:t xml:space="preserve">    4.5 超级电容器的失效机理 …………………………………………………… 66</w:t>
      </w:r>
    </w:p>
    <w:p>
      <w:pPr>
        <w:spacing w:after="40" w:line="312" w:lineRule="auto"/>
      </w:pPr>
      <w:r>
        <w:rPr>
          <w:rFonts w:ascii="Times New Roman" w:hAnsi="Times New Roman" w:eastAsia="宋体"/>
          <w:b w:val="0"/>
          <w:sz w:val="22"/>
        </w:rPr>
        <w:t xml:space="preserve">    4.6 多应力耦合下的机理交互 ………………………………………………… 69</w:t>
      </w:r>
    </w:p>
    <w:p>
      <w:pPr>
        <w:spacing w:after="40" w:line="312" w:lineRule="auto"/>
      </w:pPr>
      <w:r>
        <w:rPr>
          <w:rFonts w:ascii="Times New Roman" w:hAnsi="Times New Roman" w:eastAsia="宋体"/>
          <w:b w:val="0"/>
          <w:sz w:val="22"/>
        </w:rPr>
        <w:t>第五章 电容器可靠性建模方法 ……………………………………………………… 71</w:t>
      </w:r>
    </w:p>
    <w:p>
      <w:pPr>
        <w:spacing w:after="40" w:line="312" w:lineRule="auto"/>
      </w:pPr>
      <w:r>
        <w:rPr>
          <w:rFonts w:ascii="Times New Roman" w:hAnsi="Times New Roman" w:eastAsia="宋体"/>
          <w:b w:val="0"/>
          <w:sz w:val="22"/>
        </w:rPr>
        <w:t xml:space="preserve">    5.1 统计可靠性模型 …………………………………………………………… 71</w:t>
      </w:r>
    </w:p>
    <w:p>
      <w:pPr>
        <w:spacing w:after="40" w:line="312" w:lineRule="auto"/>
      </w:pPr>
      <w:r>
        <w:rPr>
          <w:rFonts w:ascii="Times New Roman" w:hAnsi="Times New Roman" w:eastAsia="宋体"/>
          <w:b w:val="0"/>
          <w:sz w:val="22"/>
        </w:rPr>
        <w:t xml:space="preserve">    5.2 加速寿命试验与Arrhenius-类模型 ……………………………………… 75</w:t>
      </w:r>
    </w:p>
    <w:p>
      <w:pPr>
        <w:spacing w:after="40" w:line="312" w:lineRule="auto"/>
      </w:pPr>
      <w:r>
        <w:rPr>
          <w:rFonts w:ascii="Times New Roman" w:hAnsi="Times New Roman" w:eastAsia="宋体"/>
          <w:b w:val="0"/>
          <w:sz w:val="22"/>
        </w:rPr>
        <w:t xml:space="preserve">    5.3 Prokopowicz-Vaskas方程 …………………………………………… 79</w:t>
      </w:r>
    </w:p>
    <w:p>
      <w:pPr>
        <w:spacing w:after="40" w:line="312" w:lineRule="auto"/>
      </w:pPr>
      <w:r>
        <w:rPr>
          <w:rFonts w:ascii="Times New Roman" w:hAnsi="Times New Roman" w:eastAsia="宋体"/>
          <w:b w:val="0"/>
          <w:sz w:val="22"/>
        </w:rPr>
        <w:t xml:space="preserve">    5.4 多应力广义Eyring模型 …………………………………………………… 81</w:t>
      </w:r>
    </w:p>
    <w:p>
      <w:pPr>
        <w:spacing w:after="40" w:line="312" w:lineRule="auto"/>
      </w:pPr>
      <w:r>
        <w:rPr>
          <w:rFonts w:ascii="Times New Roman" w:hAnsi="Times New Roman" w:eastAsia="宋体"/>
          <w:b w:val="0"/>
          <w:sz w:val="22"/>
        </w:rPr>
        <w:t xml:space="preserve">    5.5 基于失效物理的寿命模型 ………………………………………………… 83</w:t>
      </w:r>
    </w:p>
    <w:p>
      <w:pPr>
        <w:spacing w:after="40" w:line="312" w:lineRule="auto"/>
      </w:pPr>
      <w:r>
        <w:rPr>
          <w:rFonts w:ascii="Times New Roman" w:hAnsi="Times New Roman" w:eastAsia="宋体"/>
          <w:b w:val="0"/>
          <w:sz w:val="22"/>
        </w:rPr>
        <w:t xml:space="preserve">    5.6 数据驱动与物理-数据混合模型 ………………………………………… 86</w:t>
      </w:r>
    </w:p>
    <w:p>
      <w:pPr>
        <w:spacing w:after="40" w:line="312" w:lineRule="auto"/>
      </w:pPr>
      <w:r>
        <w:rPr>
          <w:rFonts w:ascii="Times New Roman" w:hAnsi="Times New Roman" w:eastAsia="宋体"/>
          <w:b w:val="0"/>
          <w:sz w:val="22"/>
        </w:rPr>
        <w:t>第六章 寿命预测与健康监测 ………………………………………………………… 89</w:t>
      </w:r>
    </w:p>
    <w:p>
      <w:pPr>
        <w:spacing w:after="40" w:line="312" w:lineRule="auto"/>
      </w:pPr>
      <w:r>
        <w:rPr>
          <w:rFonts w:ascii="Times New Roman" w:hAnsi="Times New Roman" w:eastAsia="宋体"/>
          <w:b w:val="0"/>
          <w:sz w:val="22"/>
        </w:rPr>
        <w:t xml:space="preserve">    6.1 电容器健康指标体系 ……………………………………………………… 89</w:t>
      </w:r>
    </w:p>
    <w:p>
      <w:pPr>
        <w:spacing w:after="40" w:line="312" w:lineRule="auto"/>
      </w:pPr>
      <w:r>
        <w:rPr>
          <w:rFonts w:ascii="Times New Roman" w:hAnsi="Times New Roman" w:eastAsia="宋体"/>
          <w:b w:val="0"/>
          <w:sz w:val="22"/>
        </w:rPr>
        <w:t xml:space="preserve">    6.2 基于ESR与C的在线监测方法 …………………………………………… 91</w:t>
      </w:r>
    </w:p>
    <w:p>
      <w:pPr>
        <w:spacing w:after="40" w:line="312" w:lineRule="auto"/>
      </w:pPr>
      <w:r>
        <w:rPr>
          <w:rFonts w:ascii="Times New Roman" w:hAnsi="Times New Roman" w:eastAsia="宋体"/>
          <w:b w:val="0"/>
          <w:sz w:val="22"/>
        </w:rPr>
        <w:t xml:space="preserve">    6.3 阻抗谱与频域监测方法 …………………………………………………… 93</w:t>
      </w:r>
    </w:p>
    <w:p>
      <w:pPr>
        <w:spacing w:after="40" w:line="312" w:lineRule="auto"/>
      </w:pPr>
      <w:r>
        <w:rPr>
          <w:rFonts w:ascii="Times New Roman" w:hAnsi="Times New Roman" w:eastAsia="宋体"/>
          <w:b w:val="0"/>
          <w:sz w:val="22"/>
        </w:rPr>
        <w:t xml:space="preserve">    6.4 基于机器学习的RUL预测 ………………………………………………… 95</w:t>
      </w:r>
    </w:p>
    <w:p>
      <w:pPr>
        <w:spacing w:after="40" w:line="312" w:lineRule="auto"/>
      </w:pPr>
      <w:r>
        <w:rPr>
          <w:rFonts w:ascii="Times New Roman" w:hAnsi="Times New Roman" w:eastAsia="宋体"/>
          <w:b w:val="0"/>
          <w:sz w:val="22"/>
        </w:rPr>
        <w:t>第七章 可靠性提升与工艺优化 ……………………………………………………… 97</w:t>
      </w:r>
    </w:p>
    <w:p>
      <w:pPr>
        <w:spacing w:after="40" w:line="312" w:lineRule="auto"/>
      </w:pPr>
      <w:r>
        <w:rPr>
          <w:rFonts w:ascii="Times New Roman" w:hAnsi="Times New Roman" w:eastAsia="宋体"/>
          <w:b w:val="0"/>
          <w:sz w:val="22"/>
        </w:rPr>
        <w:t xml:space="preserve">    7.1 器件级可靠性设计 ………………………………………………………… 97</w:t>
      </w:r>
    </w:p>
    <w:p>
      <w:pPr>
        <w:spacing w:after="40" w:line="312" w:lineRule="auto"/>
      </w:pPr>
      <w:r>
        <w:rPr>
          <w:rFonts w:ascii="Times New Roman" w:hAnsi="Times New Roman" w:eastAsia="宋体"/>
          <w:b w:val="0"/>
          <w:sz w:val="22"/>
        </w:rPr>
        <w:t xml:space="preserve">    7.2 电路级与系统级措施 ……………………………………………………… 99</w:t>
      </w:r>
    </w:p>
    <w:p>
      <w:pPr>
        <w:spacing w:after="40" w:line="312" w:lineRule="auto"/>
      </w:pPr>
      <w:r>
        <w:rPr>
          <w:rFonts w:ascii="Times New Roman" w:hAnsi="Times New Roman" w:eastAsia="宋体"/>
          <w:b w:val="0"/>
          <w:sz w:val="22"/>
        </w:rPr>
        <w:t>第八章 结论与展望 ………………………………………………………………… 101</w:t>
      </w:r>
    </w:p>
    <w:p>
      <w:pPr>
        <w:spacing w:after="40" w:line="312" w:lineRule="auto"/>
      </w:pPr>
      <w:r>
        <w:rPr>
          <w:rFonts w:ascii="Times New Roman" w:hAnsi="Times New Roman" w:eastAsia="宋体"/>
          <w:b w:val="0"/>
          <w:sz w:val="22"/>
        </w:rPr>
        <w:t>参考文献 ……………………………………………………………………………… 103</w:t>
      </w:r>
    </w:p>
    <w:p>
      <w:r>
        <w:br w:type="page"/>
      </w:r>
    </w:p>
    <w:p>
      <w:pPr>
        <w:spacing w:before="240" w:after="120"/>
        <w:outlineLvl w:val="1"/>
      </w:pPr>
      <w:r>
        <w:rPr>
          <w:rFonts w:ascii="Times New Roman" w:hAnsi="Times New Roman" w:eastAsia="黑体"/>
          <w:b/>
          <w:sz w:val="36"/>
        </w:rPr>
        <w:t>第一章 绪论</w:t>
      </w:r>
    </w:p>
    <w:p>
      <w:pPr>
        <w:spacing w:before="240" w:after="120"/>
        <w:outlineLvl w:val="2"/>
      </w:pPr>
      <w:r>
        <w:rPr>
          <w:rFonts w:ascii="Times New Roman" w:hAnsi="Times New Roman" w:eastAsia="黑体"/>
          <w:b/>
          <w:sz w:val="30"/>
        </w:rPr>
        <w:t>1.1 研究背景与意义</w:t>
      </w:r>
    </w:p>
    <w:p>
      <w:pPr>
        <w:spacing w:line="360" w:lineRule="auto" w:after="60"/>
        <w:ind w:firstLine="420"/>
        <w:jc w:val="both"/>
      </w:pPr>
      <w:r>
        <w:rPr>
          <w:rFonts w:ascii="Times New Roman" w:hAnsi="Times New Roman" w:eastAsia="宋体"/>
          <w:b w:val="0"/>
          <w:sz w:val="22"/>
        </w:rPr>
        <w:t>电容器（Capacitor）是一种将电能以电场能形式储存于两电极之间介质层中的基础无源元件，自1745年荷兰莱顿大学Pieter van Musschenbroek发明莱顿瓶以来，经过约280年的发展，已经演化为品种最丰富、用量最大、应用最广泛的电子元器件之一。据国际权威市场研究机构Paumanok Publications和Yole Development发布的产业分析报告，全球电容器市场2023年出货量已超过4.3万亿只，市场规模约280亿美元，其中多层陶瓷电容器（MLCC）占比超过70%，铝电解电容器约占14%，金属化薄膜电容器约占7%，钽电容器约占5%，超级电容器及其他特种电容约占4%。可以毫不夸张地说，电容器已经成为现代电子信息产业与电力电子工业的"大米与面包"。</w:t>
      </w:r>
    </w:p>
    <w:p>
      <w:pPr>
        <w:spacing w:line="360" w:lineRule="auto" w:after="60"/>
        <w:ind w:firstLine="420"/>
        <w:jc w:val="both"/>
      </w:pPr>
      <w:r>
        <w:rPr>
          <w:rFonts w:ascii="Times New Roman" w:hAnsi="Times New Roman" w:eastAsia="宋体"/>
          <w:b w:val="0"/>
          <w:sz w:val="22"/>
        </w:rPr>
        <w:t>然而，正是由于电容器数量庞大、工作应力复杂、使用寿命跨越数小时至数十年不等，使其成为整机系统可靠性的"薄弱环节"。Wang、Liserre与Blaabjerg在IEEE Transactions on Industrial Electronics综述性文章中归纳的行业调研结果表明：在典型的风力发电变流器、光伏逆变器与伺服电机驱动器中，电容器与功率半导体器件（IGBT、MOSFET）并列为故障率最高的两类部件；其中直流母线电容（DC-link capacitor）引起的故障约占整机故障总数的30%左右[1]。另一项由ABB公司对其商用变频器产品的故障调研（Yang等，2011）则指出，电解电容器的故障占变频器总故障的21%—60%。在航空航天与军事装备领域，NASA电子元器件可靠性项目（NEPP）发布的多份Teverovsky报告持续关注BME MLCC与固体钽电容器在空间辐照、真空、极端温度下的退化行为[2][3]，这些研究表明：电容器的失效不仅是"一只元件坏了"的问题，而是涉及供电连续性、数据完整性、甚至人员生命安全的系统性问题。</w:t>
      </w:r>
    </w:p>
    <w:p>
      <w:pPr>
        <w:spacing w:line="360" w:lineRule="auto" w:after="60"/>
        <w:ind w:firstLine="420"/>
        <w:jc w:val="both"/>
      </w:pPr>
      <w:r>
        <w:rPr>
          <w:rFonts w:ascii="Times New Roman" w:hAnsi="Times New Roman" w:eastAsia="宋体"/>
          <w:b w:val="0"/>
          <w:sz w:val="22"/>
        </w:rPr>
        <w:t>进入21世纪以来，新能源发电、电动汽车、5G通信、人工智能计算中心、高铁与城市轨道交通等新兴产业对电力电子装备与信息装备提出了前所未有的高可靠性、长寿命、高功率密度要求。例如：</w:t>
      </w:r>
    </w:p>
    <w:p>
      <w:pPr>
        <w:spacing w:line="360" w:lineRule="auto" w:after="60"/>
        <w:ind w:firstLine="420"/>
        <w:jc w:val="both"/>
      </w:pPr>
      <w:r>
        <w:rPr>
          <w:rFonts w:ascii="Times New Roman" w:hAnsi="Times New Roman" w:eastAsia="宋体"/>
          <w:b w:val="0"/>
          <w:sz w:val="22"/>
        </w:rPr>
        <w:t>（1）电动汽车驱动变流器要求直流母线电容在-40℃至+105℃、峰值纹波电流超过数百安培的工况下服役15年（约13万小时）；</w:t>
      </w:r>
    </w:p>
    <w:p>
      <w:pPr>
        <w:spacing w:line="360" w:lineRule="auto" w:after="60"/>
        <w:ind w:firstLine="420"/>
        <w:jc w:val="both"/>
      </w:pPr>
      <w:r>
        <w:rPr>
          <w:rFonts w:ascii="Times New Roman" w:hAnsi="Times New Roman" w:eastAsia="宋体"/>
          <w:b w:val="0"/>
          <w:sz w:val="22"/>
        </w:rPr>
        <w:t>（2）风力发电变流器通常要求电容器在全寿命周期20年内免维护或低维护运行；</w:t>
      </w:r>
    </w:p>
    <w:p>
      <w:pPr>
        <w:spacing w:line="360" w:lineRule="auto" w:after="60"/>
        <w:ind w:firstLine="420"/>
        <w:jc w:val="both"/>
      </w:pPr>
      <w:r>
        <w:rPr>
          <w:rFonts w:ascii="Times New Roman" w:hAnsi="Times New Roman" w:eastAsia="宋体"/>
          <w:b w:val="0"/>
          <w:sz w:val="22"/>
        </w:rPr>
        <w:t>（3）航空航天供电系统要求关键电容器具备百万小时级的外推寿命，且失效概率低于10^-7/小时；</w:t>
      </w:r>
    </w:p>
    <w:p>
      <w:pPr>
        <w:spacing w:line="360" w:lineRule="auto" w:after="60"/>
        <w:ind w:firstLine="420"/>
        <w:jc w:val="both"/>
      </w:pPr>
      <w:r>
        <w:rPr>
          <w:rFonts w:ascii="Times New Roman" w:hAnsi="Times New Roman" w:eastAsia="宋体"/>
          <w:b w:val="0"/>
          <w:sz w:val="22"/>
        </w:rPr>
        <w:t>（4）消费电子与物联网终端设备则要求MLCC在极端小型化（01005甚至008004尺寸）情况下保持≥10年可靠寿命。</w:t>
      </w:r>
    </w:p>
    <w:p>
      <w:pPr>
        <w:spacing w:line="360" w:lineRule="auto" w:after="60"/>
        <w:ind w:firstLine="420"/>
        <w:jc w:val="both"/>
      </w:pPr>
      <w:r>
        <w:rPr>
          <w:rFonts w:ascii="Times New Roman" w:hAnsi="Times New Roman" w:eastAsia="宋体"/>
          <w:b w:val="0"/>
          <w:sz w:val="22"/>
        </w:rPr>
        <w:t>上述需求与电容器自身的物理化学退化规律之间存在明显矛盾：一方面，微型化趋势使介质层越来越薄（部分BME MLCC介质层已逼近0.5 μm），导致本征电场强度显著升高，从而加速失效；另一方面，高温、高湿、高压、高纹波电流等严苛应力使电容器承受多因素耦合退化作用，传统的单应力Arrhenius寿命模型已难以精确描述实际工况下的寿命。因此，深入研究电容器在全寿命周期内的失效模式、失效机理，建立适用于多应力工况的可靠性模型，已经成为材料学、电介质物理、电力电子与可靠性工程等多学科交叉的前沿课题。</w:t>
      </w:r>
    </w:p>
    <w:p>
      <w:pPr>
        <w:spacing w:line="360" w:lineRule="auto" w:after="60"/>
        <w:ind w:firstLine="420"/>
        <w:jc w:val="both"/>
      </w:pPr>
      <w:r>
        <w:rPr>
          <w:rFonts w:ascii="Times New Roman" w:hAnsi="Times New Roman" w:eastAsia="宋体"/>
          <w:b w:val="0"/>
          <w:sz w:val="22"/>
        </w:rPr>
        <w:t>本研究的意义可归纳为以下四个方面：</w:t>
      </w:r>
    </w:p>
    <w:p>
      <w:pPr>
        <w:spacing w:line="360" w:lineRule="auto" w:after="60"/>
        <w:ind w:firstLine="420"/>
        <w:jc w:val="both"/>
      </w:pPr>
      <w:r>
        <w:rPr>
          <w:rFonts w:ascii="Times New Roman" w:hAnsi="Times New Roman" w:eastAsia="宋体"/>
          <w:b w:val="0"/>
          <w:sz w:val="22"/>
        </w:rPr>
        <w:t>第一，理论意义。通过梳理不同电容器体系的失效物理机制，为电介质可靠性理论与失效物理方法（Physics-of-Failure, PoF）的发展提供系统素材；</w:t>
      </w:r>
    </w:p>
    <w:p>
      <w:pPr>
        <w:spacing w:line="360" w:lineRule="auto" w:after="60"/>
        <w:ind w:firstLine="420"/>
        <w:jc w:val="both"/>
      </w:pPr>
      <w:r>
        <w:rPr>
          <w:rFonts w:ascii="Times New Roman" w:hAnsi="Times New Roman" w:eastAsia="宋体"/>
          <w:b w:val="0"/>
          <w:sz w:val="22"/>
        </w:rPr>
        <w:t>第二，工程意义。为电力电子装备的电容器选型、降额设计、寿命试验、冗余设计、预测性维护等工程问题提供可量化的设计参考；</w:t>
      </w:r>
    </w:p>
    <w:p>
      <w:pPr>
        <w:spacing w:line="360" w:lineRule="auto" w:after="60"/>
        <w:ind w:firstLine="420"/>
        <w:jc w:val="both"/>
      </w:pPr>
      <w:r>
        <w:rPr>
          <w:rFonts w:ascii="Times New Roman" w:hAnsi="Times New Roman" w:eastAsia="宋体"/>
          <w:b w:val="0"/>
          <w:sz w:val="22"/>
        </w:rPr>
        <w:t>第三，标准化意义。为国家与行业在电容器加速寿命试验、可靠性评定、在线监测等方面的标准修订提供支撑；</w:t>
      </w:r>
    </w:p>
    <w:p>
      <w:pPr>
        <w:spacing w:line="360" w:lineRule="auto" w:after="60"/>
        <w:ind w:firstLine="420"/>
        <w:jc w:val="both"/>
      </w:pPr>
      <w:r>
        <w:rPr>
          <w:rFonts w:ascii="Times New Roman" w:hAnsi="Times New Roman" w:eastAsia="宋体"/>
          <w:b w:val="0"/>
          <w:sz w:val="22"/>
        </w:rPr>
        <w:t>第四，产业意义。有助于推动我国高端被动元器件（特别是车规级MLCC与高压金属化薄膜电容）的自主化进程，提升整机产业的供应链韧性。</w:t>
      </w:r>
    </w:p>
    <w:p>
      <w:pPr>
        <w:spacing w:before="240" w:after="120"/>
        <w:outlineLvl w:val="2"/>
      </w:pPr>
      <w:r>
        <w:rPr>
          <w:rFonts w:ascii="Times New Roman" w:hAnsi="Times New Roman" w:eastAsia="黑体"/>
          <w:b/>
          <w:sz w:val="30"/>
        </w:rPr>
        <w:t>1.2 电容器可靠性研究的历史沿革</w:t>
      </w:r>
    </w:p>
    <w:p>
      <w:pPr>
        <w:spacing w:line="360" w:lineRule="auto" w:after="60"/>
        <w:ind w:firstLine="420"/>
        <w:jc w:val="both"/>
      </w:pPr>
      <w:r>
        <w:rPr>
          <w:rFonts w:ascii="Times New Roman" w:hAnsi="Times New Roman" w:eastAsia="宋体"/>
          <w:b w:val="0"/>
          <w:sz w:val="22"/>
        </w:rPr>
        <w:t>电容器可靠性研究的发展可大致划分为以下五个阶段：</w:t>
      </w:r>
    </w:p>
    <w:p>
      <w:pPr>
        <w:spacing w:line="360" w:lineRule="auto" w:after="60"/>
        <w:ind w:firstLine="420"/>
        <w:jc w:val="both"/>
      </w:pPr>
      <w:r>
        <w:rPr>
          <w:rFonts w:ascii="Times New Roman" w:hAnsi="Times New Roman" w:eastAsia="宋体"/>
          <w:b w:val="0"/>
          <w:sz w:val="22"/>
        </w:rPr>
        <w:t>（1）萌芽阶段（20世纪50年代以前）。此阶段以莱顿瓶、油纸电容、云母电容为代表，电容器的可靠性主要依赖选材与制造工艺的经验性控制，缺乏系统的退化理论。经典的Whitehead电介质击穿理论与Fröhlich电击穿理论为后续介质老化研究奠定了物理基础。</w:t>
      </w:r>
    </w:p>
    <w:p>
      <w:pPr>
        <w:spacing w:line="360" w:lineRule="auto" w:after="60"/>
        <w:ind w:firstLine="420"/>
        <w:jc w:val="both"/>
      </w:pPr>
      <w:r>
        <w:rPr>
          <w:rFonts w:ascii="Times New Roman" w:hAnsi="Times New Roman" w:eastAsia="宋体"/>
          <w:b w:val="0"/>
          <w:sz w:val="22"/>
        </w:rPr>
        <w:t>（2）统计可靠性方法引入阶段（20世纪50—70年代）。伴随军事电子装备的快速发展，MIL-HDBK-217可靠性预计手册首次将Arrhenius-Eyring热激活模型与部件应力法（Part-Stress Method）应用于电容器寿命预测，Weibull分布开始被系统性引入电容器寿命数据分析。此阶段Prokopowicz与Vaskas于1969年提出了针对陶瓷电容器的寿命经验模型（Prokopowicz-Vaskas方程），即t1/t2 = (V2/V1)^n·exp[Ea/k(1/T1 - 1/T2)]，成为此后半个世纪MLCC行业广泛引用的寿命外推公式[4]。</w:t>
      </w:r>
    </w:p>
    <w:p>
      <w:pPr>
        <w:spacing w:line="360" w:lineRule="auto" w:after="60"/>
        <w:ind w:firstLine="420"/>
        <w:jc w:val="both"/>
      </w:pPr>
      <w:r>
        <w:rPr>
          <w:rFonts w:ascii="Times New Roman" w:hAnsi="Times New Roman" w:eastAsia="宋体"/>
          <w:b w:val="0"/>
          <w:sz w:val="22"/>
        </w:rPr>
        <w:t>（3）失效物理方法兴起阶段（20世纪80—90年代）。随着介质材料科学与表征技术的进步，Waser、Baiatu等在Philips研究室围绕BaTiO3陶瓷的氧空位迁移与绝缘电阻退化开展了开创性工作，奠定了BME MLCC氧空位致退化理论框架；Greason等针对金属化薄膜电容器的自愈过程开展了系统研究，阐明了电弧放电清除缺陷的物理过程；Teverovsky、Freeman等在NASA/NEPP体系下对固体钽电容器的场致结晶与热失控机理开展了长期跟踪。</w:t>
      </w:r>
    </w:p>
    <w:p>
      <w:pPr>
        <w:spacing w:line="360" w:lineRule="auto" w:after="60"/>
        <w:ind w:firstLine="420"/>
        <w:jc w:val="both"/>
      </w:pPr>
      <w:r>
        <w:rPr>
          <w:rFonts w:ascii="Times New Roman" w:hAnsi="Times New Roman" w:eastAsia="宋体"/>
          <w:b w:val="0"/>
          <w:sz w:val="22"/>
        </w:rPr>
        <w:t>（4）综合建模与健康监测阶段（2000—2015年）。伴随电力电子装备的大规模部署，DC-link电容器成为研究焦点。Venet、Gasperi、Sankaran、Abdennadher等团队在电解电容器加速老化、ESR监测方面提出了多种实用方法；Wang与Blaabjerg团队系统发展了基于任务剖面（mission profile）的可靠性评估框架[1]。此阶段最显著的进步是"失效物理+统计"双驱动的综合建模思想正式形成。</w:t>
      </w:r>
    </w:p>
    <w:p>
      <w:pPr>
        <w:spacing w:line="360" w:lineRule="auto" w:after="60"/>
        <w:ind w:firstLine="420"/>
        <w:jc w:val="both"/>
      </w:pPr>
      <w:r>
        <w:rPr>
          <w:rFonts w:ascii="Times New Roman" w:hAnsi="Times New Roman" w:eastAsia="宋体"/>
          <w:b w:val="0"/>
          <w:sz w:val="22"/>
        </w:rPr>
        <w:t>（5）智能化与数据驱动阶段（2015年至今）。受益于人工智能技术的快速发展，以CNN、LSTM、Transformer、物理信息神经网络（PINN）为代表的机器学习方法被广泛用于电容器剩余使用寿命（RUL）预测。最新研究（Kim等，2023；Sun等，2024；Neural Networks Meet Physics, 2025）显示：基于物理约束的混合模型在小样本条件下仍可达到较高预测精度，代表了该领域的最新发展方向[5][6]。</w:t>
      </w:r>
    </w:p>
    <w:p>
      <w:pPr>
        <w:spacing w:before="240" w:after="120"/>
        <w:outlineLvl w:val="2"/>
      </w:pPr>
      <w:r>
        <w:rPr>
          <w:rFonts w:ascii="Times New Roman" w:hAnsi="Times New Roman" w:eastAsia="黑体"/>
          <w:b/>
          <w:sz w:val="30"/>
        </w:rPr>
        <w:t>1.3 国内外研究现状</w:t>
      </w:r>
    </w:p>
    <w:p>
      <w:pPr>
        <w:spacing w:before="240" w:after="120"/>
        <w:outlineLvl w:val="3"/>
      </w:pPr>
      <w:r>
        <w:rPr>
          <w:rFonts w:ascii="Times New Roman" w:hAnsi="Times New Roman" w:eastAsia="黑体"/>
          <w:b/>
          <w:sz w:val="26"/>
        </w:rPr>
        <w:t>1.3.1 失效模式研究现状</w:t>
      </w:r>
    </w:p>
    <w:p>
      <w:pPr>
        <w:spacing w:line="360" w:lineRule="auto" w:after="60"/>
        <w:ind w:firstLine="420"/>
        <w:jc w:val="both"/>
      </w:pPr>
      <w:r>
        <w:rPr>
          <w:rFonts w:ascii="Times New Roman" w:hAnsi="Times New Roman" w:eastAsia="宋体"/>
          <w:b w:val="0"/>
          <w:sz w:val="22"/>
        </w:rPr>
        <w:t>在失效模式研究方面，国外研究起步较早，已形成相对完整的分类体系。KEMET公司技术白皮书《Failure Analysis of Capacitors and Inductors》（2019）系统总结了钽、铝电解、MLCC、薄膜、超级电容共五大类的典型失效模式，将之划分为开路、短路、漏电流异常、容量损失、ESR上升、密封失效、外观异常等七个大类[7]。日本TDK、Murata、太阳诱电等企业在MLCC失效分析方面积累了大量数据，其内部工程手册对电极迁移、裂纹扩展、银迁移与铜迁移等机制有详尽论述。</w:t>
      </w:r>
    </w:p>
    <w:p>
      <w:pPr>
        <w:spacing w:line="360" w:lineRule="auto" w:after="60"/>
        <w:ind w:firstLine="420"/>
        <w:jc w:val="both"/>
      </w:pPr>
      <w:r>
        <w:rPr>
          <w:rFonts w:ascii="Times New Roman" w:hAnsi="Times New Roman" w:eastAsia="宋体"/>
          <w:b w:val="0"/>
          <w:sz w:val="22"/>
        </w:rPr>
        <w:t>国内研究方面，中国电子科技集团第十八研究所、西安电子科技大学、华中科技大学、哈尔滨工业大学、北京工业大学等单位针对国产电容器开展了大量失效分析工作。黄光鑫等对国产军用钽电容器的场致结晶失效开展了长期跟踪；朱小强、汪强等对车规级MLCC在温度循环下的裂纹扩展开展了有限元分析；天津大学电气自动化学院针对风电变流器直流母线电解电容建立了基于纹波电压的在线监测系统。然而，相较国外研究，国内在长期加速老化数据的系统积累与跨品牌统计分析方面仍存在一定差距。</w:t>
      </w:r>
    </w:p>
    <w:p>
      <w:pPr>
        <w:spacing w:before="240" w:after="120"/>
        <w:outlineLvl w:val="3"/>
      </w:pPr>
      <w:r>
        <w:rPr>
          <w:rFonts w:ascii="Times New Roman" w:hAnsi="Times New Roman" w:eastAsia="黑体"/>
          <w:b/>
          <w:sz w:val="26"/>
        </w:rPr>
        <w:t>1.3.2 失效机理研究现状</w:t>
      </w:r>
    </w:p>
    <w:p>
      <w:pPr>
        <w:spacing w:line="360" w:lineRule="auto" w:after="60"/>
        <w:ind w:firstLine="420"/>
        <w:jc w:val="both"/>
      </w:pPr>
      <w:r>
        <w:rPr>
          <w:rFonts w:ascii="Times New Roman" w:hAnsi="Times New Roman" w:eastAsia="宋体"/>
          <w:b w:val="0"/>
          <w:sz w:val="22"/>
        </w:rPr>
        <w:t>失效机理研究是电容器可靠性研究的理论核心。对于MLCC而言，以Waser-Baiatu的氧空位迁移-陷阱动力学为基础的绝缘电阻退化模型被广泛接受，其给出了漏电流随时间的幂指数增长规律；NASA的Liu与Sampson（2014）在NEPP报告中进一步将BME MLCC失效划分为"灾难性失效（catastrophic）"与"慢退化失效（slow degradation）"，提出了两个模式并列的可靠性统一模型[4]。对于铝电解电容器，电解液蒸发引起的ESR上升是主导机制，Sankaran（2010）与Parler（2004）在Cornell Dubilier白皮书中系统给出了电解液蒸发动力学、氢气释放与密封失效之间的耦合模型。</w:t>
      </w:r>
    </w:p>
    <w:p>
      <w:pPr>
        <w:spacing w:line="360" w:lineRule="auto" w:after="60"/>
        <w:ind w:firstLine="420"/>
        <w:jc w:val="both"/>
      </w:pPr>
      <w:r>
        <w:rPr>
          <w:rFonts w:ascii="Times New Roman" w:hAnsi="Times New Roman" w:eastAsia="宋体"/>
          <w:b w:val="0"/>
          <w:sz w:val="22"/>
        </w:rPr>
        <w:t>对于金属化薄膜电容器，自愈（self-healing）既是其优势也是其寿命的限制因素。Hanouz、Venet等（2017、2020）系统研究了BOPP薄膜在DC电压下的老化规律，提出了基于缺陷积累概率的寿命模型。Shakir、Kuznetsova等（2024）通过对自愈通道的等离子体光谱诊断，明确了自愈过程中铝电极的蒸发与再沉积行为[8]。对于钽电容器，Teverovsky（2008、2021）NEPP报告系统阐述了Ta2O5场致结晶（field crystallization）与热失控（thermal runaway）机理，并提出了缓冲电阻与表面贴装工艺改进的可靠性提升方案[9][10]。</w:t>
      </w:r>
    </w:p>
    <w:p>
      <w:pPr>
        <w:spacing w:line="360" w:lineRule="auto" w:after="60"/>
        <w:ind w:firstLine="420"/>
        <w:jc w:val="both"/>
      </w:pPr>
      <w:r>
        <w:rPr>
          <w:rFonts w:ascii="Times New Roman" w:hAnsi="Times New Roman" w:eastAsia="宋体"/>
          <w:b w:val="0"/>
          <w:sz w:val="22"/>
        </w:rPr>
        <w:t>超级电容器领域，Kurzweil、Chaari、Briat等（2014-2022）的研究指出：电解液分解生成气体、活性炭孔结构塌陷、粘结剂老化与集流体腐蚀共同构成了双电层电容的主要退化机理；MDPI Molecules综述（2023）从分子层面系统梳理了水系与有机系超级电容的降解机理与应对措施[11]。</w:t>
      </w:r>
    </w:p>
    <w:p>
      <w:pPr>
        <w:spacing w:before="240" w:after="120"/>
        <w:outlineLvl w:val="3"/>
      </w:pPr>
      <w:r>
        <w:rPr>
          <w:rFonts w:ascii="Times New Roman" w:hAnsi="Times New Roman" w:eastAsia="黑体"/>
          <w:b/>
          <w:sz w:val="26"/>
        </w:rPr>
        <w:t>1.3.3 可靠性建模研究现状</w:t>
      </w:r>
    </w:p>
    <w:p>
      <w:pPr>
        <w:spacing w:line="360" w:lineRule="auto" w:after="60"/>
        <w:ind w:firstLine="420"/>
        <w:jc w:val="both"/>
      </w:pPr>
      <w:r>
        <w:rPr>
          <w:rFonts w:ascii="Times New Roman" w:hAnsi="Times New Roman" w:eastAsia="宋体"/>
          <w:b w:val="0"/>
          <w:sz w:val="22"/>
        </w:rPr>
        <w:t>可靠性建模的研究现状可概括为三条主线。</w:t>
      </w:r>
    </w:p>
    <w:p>
      <w:pPr>
        <w:spacing w:line="360" w:lineRule="auto" w:after="60"/>
        <w:ind w:firstLine="420"/>
        <w:jc w:val="both"/>
      </w:pPr>
      <w:r>
        <w:rPr>
          <w:rFonts w:ascii="Times New Roman" w:hAnsi="Times New Roman" w:eastAsia="宋体"/>
          <w:b w:val="0"/>
          <w:sz w:val="22"/>
        </w:rPr>
        <w:t>第一条主线是基于大样本试验的统计建模，以IEC 60384、MIL-HDBK-217、MIL-STD-810、JEDEC JESD22等标准规定的加速应力试验（HTOL、HAST、THB、TC、PC、HALT）为数据来源，采用两参数Weibull分布、对数正态分布或广义伽马分布进行寿命分布拟合，配合Arrhenius或逆幂律加速因子外推常态寿命。</w:t>
      </w:r>
    </w:p>
    <w:p>
      <w:pPr>
        <w:spacing w:line="360" w:lineRule="auto" w:after="60"/>
        <w:ind w:firstLine="420"/>
        <w:jc w:val="both"/>
      </w:pPr>
      <w:r>
        <w:rPr>
          <w:rFonts w:ascii="Times New Roman" w:hAnsi="Times New Roman" w:eastAsia="宋体"/>
          <w:b w:val="0"/>
          <w:sz w:val="22"/>
        </w:rPr>
        <w:t>第二条主线是基于失效物理的寿命建模（PoF），以Waser氧空位迁移模型、Eyring多应力模型、Miner-Palmgren线性累积损伤准则为代表，通过对失效关键变量的微观建模给出寿命估计。例如Nature Scientific Reports（Kim等，2024）基于激活能与Prokopowicz-Vaskas方程对高容MLCC给出了0.88—1.49 eV的激活能估计[12]；arXiv（2024）针对金属化薄膜电容器给出了基于自愈事件累积概率的寿命分布[8]。</w:t>
      </w:r>
    </w:p>
    <w:p>
      <w:pPr>
        <w:spacing w:line="360" w:lineRule="auto" w:after="60"/>
        <w:ind w:firstLine="420"/>
        <w:jc w:val="both"/>
      </w:pPr>
      <w:r>
        <w:rPr>
          <w:rFonts w:ascii="Times New Roman" w:hAnsi="Times New Roman" w:eastAsia="宋体"/>
          <w:b w:val="0"/>
          <w:sz w:val="22"/>
        </w:rPr>
        <w:t>第三条主线是数据驱动与混合建模，包括基于BP神经网络、LSTM、CNN、XGBoost、Transformer的RUL预测，以及将物理损耗微分方程作为神经网络约束的PINN方法。Nature Scientific Reports（Lu等，2025）提出了基于BP神经网络与Icepak热仿真的电容器-晶体管联合可靠性评估方法[13]；AIP APL Machine Learning（Kim等，2023）提出了物理约束机器学习的MLCC失效时间预测方法[14]；MDPI Electronics（2025）提出了考虑参数离散的CNN-LSTM电容器RUL预测方法[15]。</w:t>
      </w:r>
    </w:p>
    <w:p>
      <w:pPr>
        <w:spacing w:line="360" w:lineRule="auto" w:after="60"/>
        <w:ind w:firstLine="420"/>
        <w:jc w:val="both"/>
      </w:pPr>
      <w:r>
        <w:rPr>
          <w:rFonts w:ascii="Times New Roman" w:hAnsi="Times New Roman" w:eastAsia="宋体"/>
          <w:b w:val="0"/>
          <w:sz w:val="22"/>
        </w:rPr>
        <w:t>综上，国内外研究已经在电容器失效模式分类、机理解析与模型构建方面形成了较为完整的知识体系，但仍存在以下不足：</w:t>
      </w:r>
    </w:p>
    <w:p>
      <w:pPr>
        <w:spacing w:line="360" w:lineRule="auto" w:after="60"/>
        <w:ind w:firstLine="420"/>
        <w:jc w:val="both"/>
      </w:pPr>
      <w:r>
        <w:rPr>
          <w:rFonts w:ascii="Times New Roman" w:hAnsi="Times New Roman" w:eastAsia="宋体"/>
          <w:b w:val="0"/>
          <w:sz w:val="22"/>
        </w:rPr>
        <w:t>（1）多应力耦合下失效机理交互的定量理论尚不成熟；</w:t>
      </w:r>
    </w:p>
    <w:p>
      <w:pPr>
        <w:spacing w:line="360" w:lineRule="auto" w:after="60"/>
        <w:ind w:firstLine="420"/>
        <w:jc w:val="both"/>
      </w:pPr>
      <w:r>
        <w:rPr>
          <w:rFonts w:ascii="Times New Roman" w:hAnsi="Times New Roman" w:eastAsia="宋体"/>
          <w:b w:val="0"/>
          <w:sz w:val="22"/>
        </w:rPr>
        <w:t>（2）失效阈值在不同应用场景下的一致性问题尚待共识；</w:t>
      </w:r>
    </w:p>
    <w:p>
      <w:pPr>
        <w:spacing w:line="360" w:lineRule="auto" w:after="60"/>
        <w:ind w:firstLine="420"/>
        <w:jc w:val="both"/>
      </w:pPr>
      <w:r>
        <w:rPr>
          <w:rFonts w:ascii="Times New Roman" w:hAnsi="Times New Roman" w:eastAsia="宋体"/>
          <w:b w:val="0"/>
          <w:sz w:val="22"/>
        </w:rPr>
        <w:t>（3）数据驱动模型的物理可解释性与小样本适应性仍是难题；</w:t>
      </w:r>
    </w:p>
    <w:p>
      <w:pPr>
        <w:spacing w:line="360" w:lineRule="auto" w:after="60"/>
        <w:ind w:firstLine="420"/>
        <w:jc w:val="both"/>
      </w:pPr>
      <w:r>
        <w:rPr>
          <w:rFonts w:ascii="Times New Roman" w:hAnsi="Times New Roman" w:eastAsia="宋体"/>
          <w:b w:val="0"/>
          <w:sz w:val="22"/>
        </w:rPr>
        <w:t>（4）器件-电路-系统多层级可靠性协同设计方法论仍需完善。</w:t>
      </w:r>
    </w:p>
    <w:p>
      <w:pPr>
        <w:spacing w:before="240" w:after="120"/>
        <w:outlineLvl w:val="2"/>
      </w:pPr>
      <w:r>
        <w:rPr>
          <w:rFonts w:ascii="Times New Roman" w:hAnsi="Times New Roman" w:eastAsia="黑体"/>
          <w:b/>
          <w:sz w:val="30"/>
        </w:rPr>
        <w:t>1.4 本报告的研究内容与组织结构</w:t>
      </w:r>
    </w:p>
    <w:p>
      <w:pPr>
        <w:spacing w:line="360" w:lineRule="auto" w:after="60"/>
        <w:ind w:firstLine="420"/>
        <w:jc w:val="both"/>
      </w:pPr>
      <w:r>
        <w:rPr>
          <w:rFonts w:ascii="Times New Roman" w:hAnsi="Times New Roman" w:eastAsia="宋体"/>
          <w:b w:val="0"/>
          <w:sz w:val="22"/>
        </w:rPr>
        <w:t>基于上述研究背景与学术需求，本报告的总体目标是：系统梳理电容器全寿命周期中的失效模式、失效机理与可靠性建模方法，构建"器件-机理-模型-监测-改进"一体化知识框架，为高可靠性电子装备的电容器设计与维护提供理论参考。</w:t>
      </w:r>
    </w:p>
    <w:p>
      <w:pPr>
        <w:spacing w:line="360" w:lineRule="auto" w:after="60"/>
        <w:ind w:firstLine="420"/>
        <w:jc w:val="both"/>
      </w:pPr>
      <w:r>
        <w:rPr>
          <w:rFonts w:ascii="Times New Roman" w:hAnsi="Times New Roman" w:eastAsia="宋体"/>
          <w:b w:val="0"/>
          <w:sz w:val="22"/>
        </w:rPr>
        <w:t>本报告的主要研究内容包括：</w:t>
      </w:r>
    </w:p>
    <w:p>
      <w:pPr>
        <w:spacing w:line="360" w:lineRule="auto" w:after="60"/>
        <w:ind w:firstLine="420"/>
        <w:jc w:val="both"/>
      </w:pPr>
      <w:r>
        <w:rPr>
          <w:rFonts w:ascii="Times New Roman" w:hAnsi="Times New Roman" w:eastAsia="宋体"/>
          <w:b w:val="0"/>
          <w:sz w:val="22"/>
        </w:rPr>
        <w:t>（1）对铝电解、MLCC、金属化薄膜、钽、超级电容五大类电容器的结构、材料、工作原理进行归纳；</w:t>
      </w:r>
    </w:p>
    <w:p>
      <w:pPr>
        <w:spacing w:line="360" w:lineRule="auto" w:after="60"/>
        <w:ind w:firstLine="420"/>
        <w:jc w:val="both"/>
      </w:pPr>
      <w:r>
        <w:rPr>
          <w:rFonts w:ascii="Times New Roman" w:hAnsi="Times New Roman" w:eastAsia="宋体"/>
          <w:b w:val="0"/>
          <w:sz w:val="22"/>
        </w:rPr>
        <w:t>（2）从开路、短路、参数漂移三大类失效模式出发，建立失效模式分类体系，并给出各类型电容器的典型失效模式谱；</w:t>
      </w:r>
    </w:p>
    <w:p>
      <w:pPr>
        <w:spacing w:line="360" w:lineRule="auto" w:after="60"/>
        <w:ind w:firstLine="420"/>
        <w:jc w:val="both"/>
      </w:pPr>
      <w:r>
        <w:rPr>
          <w:rFonts w:ascii="Times New Roman" w:hAnsi="Times New Roman" w:eastAsia="宋体"/>
          <w:b w:val="0"/>
          <w:sz w:val="22"/>
        </w:rPr>
        <w:t>（3）从物理化学角度深入剖析每一类电容器的主要失效机理，建立宏观退化与微观机制之间的映射；</w:t>
      </w:r>
    </w:p>
    <w:p>
      <w:pPr>
        <w:spacing w:line="360" w:lineRule="auto" w:after="60"/>
        <w:ind w:firstLine="420"/>
        <w:jc w:val="both"/>
      </w:pPr>
      <w:r>
        <w:rPr>
          <w:rFonts w:ascii="Times New Roman" w:hAnsi="Times New Roman" w:eastAsia="宋体"/>
          <w:b w:val="0"/>
          <w:sz w:val="22"/>
        </w:rPr>
        <w:t>（4）系统评述统计可靠性模型、加速寿命模型、PoF模型、数据驱动模型等主要建模方法，并给出适用场景与局限分析；</w:t>
      </w:r>
    </w:p>
    <w:p>
      <w:pPr>
        <w:spacing w:line="360" w:lineRule="auto" w:after="60"/>
        <w:ind w:firstLine="420"/>
        <w:jc w:val="both"/>
      </w:pPr>
      <w:r>
        <w:rPr>
          <w:rFonts w:ascii="Times New Roman" w:hAnsi="Times New Roman" w:eastAsia="宋体"/>
          <w:b w:val="0"/>
          <w:sz w:val="22"/>
        </w:rPr>
        <w:t>（5）梳理基于ESR、C、阻抗谱、温度、自愈脉冲等多维监测量的健康监测方法，讨论RUL预测的算法进展；</w:t>
      </w:r>
    </w:p>
    <w:p>
      <w:pPr>
        <w:spacing w:line="360" w:lineRule="auto" w:after="60"/>
        <w:ind w:firstLine="420"/>
        <w:jc w:val="both"/>
      </w:pPr>
      <w:r>
        <w:rPr>
          <w:rFonts w:ascii="Times New Roman" w:hAnsi="Times New Roman" w:eastAsia="宋体"/>
          <w:b w:val="0"/>
          <w:sz w:val="22"/>
        </w:rPr>
        <w:t>（6）给出器件级、电路级、系统级可靠性提升与工艺优化建议。</w:t>
      </w:r>
    </w:p>
    <w:p>
      <w:pPr>
        <w:spacing w:line="360" w:lineRule="auto" w:after="60"/>
        <w:ind w:firstLine="420"/>
        <w:jc w:val="both"/>
      </w:pPr>
      <w:r>
        <w:rPr>
          <w:rFonts w:ascii="Times New Roman" w:hAnsi="Times New Roman" w:eastAsia="宋体"/>
          <w:b w:val="0"/>
          <w:sz w:val="22"/>
        </w:rPr>
        <w:t>全报告共分八章：第一章绪论，介绍研究背景、历史沿革、研究现状与组织结构；第二章为电容器分类与基本原理；第三章为电容器典型失效模式分析；第四章为各类电容器的失效机理解析；第五章为可靠性建模方法综述与比较；第六章为寿命预测与健康监测方法；第七章为可靠性提升与工艺优化；第八章为结论与展望。最后附参考文献。</w:t>
      </w:r>
    </w:p>
    <w:p>
      <w:r>
        <w:br w:type="page"/>
      </w:r>
    </w:p>
    <w:p>
      <w:pPr>
        <w:spacing w:before="240" w:after="120"/>
        <w:outlineLvl w:val="1"/>
      </w:pPr>
      <w:r>
        <w:rPr>
          <w:rFonts w:ascii="Times New Roman" w:hAnsi="Times New Roman" w:eastAsia="黑体"/>
          <w:b/>
          <w:sz w:val="36"/>
        </w:rPr>
        <w:t>第二章 电容器分类、结构与基本原理</w:t>
      </w:r>
    </w:p>
    <w:p>
      <w:pPr>
        <w:spacing w:before="240" w:after="120"/>
        <w:outlineLvl w:val="2"/>
      </w:pPr>
      <w:r>
        <w:rPr>
          <w:rFonts w:ascii="Times New Roman" w:hAnsi="Times New Roman" w:eastAsia="黑体"/>
          <w:b/>
          <w:sz w:val="30"/>
        </w:rPr>
        <w:t>2.1 电容器的基本物理模型</w:t>
      </w:r>
    </w:p>
    <w:p>
      <w:pPr>
        <w:spacing w:line="360" w:lineRule="auto" w:after="60"/>
        <w:ind w:firstLine="420"/>
        <w:jc w:val="both"/>
      </w:pPr>
      <w:r>
        <w:rPr>
          <w:rFonts w:ascii="Times New Roman" w:hAnsi="Times New Roman" w:eastAsia="宋体"/>
          <w:b w:val="0"/>
          <w:sz w:val="22"/>
        </w:rPr>
        <w:t>电容器是一种能够在两个相互绝缘的电极之间储存电荷（或电场能）的无源两端元件。对于一个几何结构已经确定、介质均匀的理想平行板电容器，其电容量C的大小由几何尺寸与介电特性共同决定，可由下式给出：</w:t>
      </w:r>
    </w:p>
    <w:p>
      <w:pPr>
        <w:spacing w:before="120" w:after="120"/>
        <w:jc w:val="center"/>
      </w:pPr>
      <w:r>
        <w:rPr>
          <w:rFonts w:ascii="Times New Roman" w:hAnsi="Times New Roman" w:eastAsia="Times New Roman"/>
          <w:b w:val="0"/>
          <w:sz w:val="22"/>
        </w:rPr>
        <w:t>C = ε0·εr·A / d</w:t>
      </w:r>
    </w:p>
    <w:p>
      <w:pPr>
        <w:spacing w:line="360" w:lineRule="auto" w:after="60"/>
        <w:ind w:firstLine="420"/>
        <w:jc w:val="both"/>
      </w:pPr>
      <w:r>
        <w:rPr>
          <w:rFonts w:ascii="Times New Roman" w:hAnsi="Times New Roman" w:eastAsia="宋体"/>
          <w:b w:val="0"/>
          <w:sz w:val="22"/>
        </w:rPr>
        <w:t>其中ε0 = 8.854×10⁻¹² F/m为真空介电常数，εr为介质的相对介电常数，A为电极有效面积，d为介质层厚度。从该式可见，提高电容器体积比容量的途径有三条：（1）选择高介电常数的介质（高k陶瓷、阳极氧化膜等）；（2）增大电极有效面积（多层叠片、腐蚀发泡、电化学双电层等）；（3）减小介质厚度。然而，减小介质厚度会显著提升本征工作场强（E = U/d），成为制约可靠性的最关键因素之一。</w:t>
      </w:r>
    </w:p>
    <w:p>
      <w:pPr>
        <w:spacing w:line="360" w:lineRule="auto" w:after="60"/>
        <w:ind w:firstLine="420"/>
        <w:jc w:val="both"/>
      </w:pPr>
      <w:r>
        <w:rPr>
          <w:rFonts w:ascii="Times New Roman" w:hAnsi="Times New Roman" w:eastAsia="宋体"/>
          <w:b w:val="0"/>
          <w:sz w:val="22"/>
        </w:rPr>
        <w:t>实际电容器并非理想器件，而是由多种寄生参数共同构成的一个复合阻抗网络。工程上常用的简化等效电路（Simplified Equivalent Circuit, SEC）包含：</w:t>
      </w:r>
    </w:p>
    <w:p>
      <w:pPr>
        <w:spacing w:line="360" w:lineRule="auto" w:after="60"/>
        <w:ind w:firstLine="420"/>
        <w:jc w:val="both"/>
      </w:pPr>
      <w:r>
        <w:rPr>
          <w:rFonts w:ascii="Times New Roman" w:hAnsi="Times New Roman" w:eastAsia="宋体"/>
          <w:b w:val="0"/>
          <w:sz w:val="22"/>
        </w:rPr>
        <w:t>（1）理想电容 C；</w:t>
      </w:r>
    </w:p>
    <w:p>
      <w:pPr>
        <w:spacing w:line="360" w:lineRule="auto" w:after="60"/>
        <w:ind w:firstLine="420"/>
        <w:jc w:val="both"/>
      </w:pPr>
      <w:r>
        <w:rPr>
          <w:rFonts w:ascii="Times New Roman" w:hAnsi="Times New Roman" w:eastAsia="宋体"/>
          <w:b w:val="0"/>
          <w:sz w:val="22"/>
        </w:rPr>
        <w:t>（2）等效串联电阻 ESR（Equivalent Series Resistance），反映电极、引线与介质损耗的综合耗散；</w:t>
      </w:r>
    </w:p>
    <w:p>
      <w:pPr>
        <w:spacing w:line="360" w:lineRule="auto" w:after="60"/>
        <w:ind w:firstLine="420"/>
        <w:jc w:val="both"/>
      </w:pPr>
      <w:r>
        <w:rPr>
          <w:rFonts w:ascii="Times New Roman" w:hAnsi="Times New Roman" w:eastAsia="宋体"/>
          <w:b w:val="0"/>
          <w:sz w:val="22"/>
        </w:rPr>
        <w:t>（3）等效串联电感 ESL（Equivalent Series Inductance），源于电极结构与引出端的电感效应；</w:t>
      </w:r>
    </w:p>
    <w:p>
      <w:pPr>
        <w:spacing w:line="360" w:lineRule="auto" w:after="60"/>
        <w:ind w:firstLine="420"/>
        <w:jc w:val="both"/>
      </w:pPr>
      <w:r>
        <w:rPr>
          <w:rFonts w:ascii="Times New Roman" w:hAnsi="Times New Roman" w:eastAsia="宋体"/>
          <w:b w:val="0"/>
          <w:sz w:val="22"/>
        </w:rPr>
        <w:t>（4）绝缘电阻 IR（Insulation Resistance）或漏电流 IL，反映介质的欧姆漏导；</w:t>
      </w:r>
    </w:p>
    <w:p>
      <w:pPr>
        <w:spacing w:line="360" w:lineRule="auto" w:after="60"/>
        <w:ind w:firstLine="420"/>
        <w:jc w:val="both"/>
      </w:pPr>
      <w:r>
        <w:rPr>
          <w:rFonts w:ascii="Times New Roman" w:hAnsi="Times New Roman" w:eastAsia="宋体"/>
          <w:b w:val="0"/>
          <w:sz w:val="22"/>
        </w:rPr>
        <w:t>（5）介质损耗角正切 tanδ（Dissipation Factor），反映介质极化损耗。</w:t>
      </w:r>
    </w:p>
    <w:p>
      <w:pPr>
        <w:spacing w:line="360" w:lineRule="auto" w:after="60"/>
        <w:ind w:firstLine="420"/>
        <w:jc w:val="both"/>
      </w:pPr>
      <w:r>
        <w:rPr>
          <w:rFonts w:ascii="Times New Roman" w:hAnsi="Times New Roman" w:eastAsia="宋体"/>
          <w:b w:val="0"/>
          <w:sz w:val="22"/>
        </w:rPr>
        <w:t>在正弦稳态分析中，复阻抗可表示为：</w:t>
      </w:r>
    </w:p>
    <w:p>
      <w:pPr>
        <w:spacing w:before="120" w:after="120"/>
        <w:jc w:val="center"/>
      </w:pPr>
      <w:r>
        <w:rPr>
          <w:rFonts w:ascii="Times New Roman" w:hAnsi="Times New Roman" w:eastAsia="Times New Roman"/>
          <w:b w:val="0"/>
          <w:sz w:val="22"/>
        </w:rPr>
        <w:t>Z(jω) = ESR + jωESL + 1/(jωC)</w:t>
      </w:r>
    </w:p>
    <w:p>
      <w:pPr>
        <w:spacing w:line="360" w:lineRule="auto" w:after="60"/>
        <w:ind w:firstLine="420"/>
        <w:jc w:val="both"/>
      </w:pPr>
      <w:r>
        <w:rPr>
          <w:rFonts w:ascii="Times New Roman" w:hAnsi="Times New Roman" w:eastAsia="宋体"/>
          <w:b w:val="0"/>
          <w:sz w:val="22"/>
        </w:rPr>
        <w:t>当ω = 1/√(ESL·C)时，电容器处于自谐振频率fSR，此时|Z|取得极小值，等于ESR。超过自谐振频率后，电容器表现为感性，失去储能作用。容值、ESR、ESL与tanδ是本报告后续所有失效判据构建的基础电参数。</w:t>
      </w:r>
    </w:p>
    <w:p>
      <w:pPr>
        <w:spacing w:line="360" w:lineRule="auto" w:after="60"/>
        <w:ind w:firstLine="420"/>
        <w:jc w:val="both"/>
      </w:pPr>
      <w:r>
        <w:rPr>
          <w:rFonts w:ascii="Times New Roman" w:hAnsi="Times New Roman" w:eastAsia="宋体"/>
          <w:b w:val="0"/>
          <w:sz w:val="22"/>
        </w:rPr>
        <w:t>从损耗与发热的角度，电容器在承载正弦纹波电流I_rms时的功耗可近似为：</w:t>
      </w:r>
    </w:p>
    <w:p>
      <w:pPr>
        <w:spacing w:before="120" w:after="120"/>
        <w:jc w:val="center"/>
      </w:pPr>
      <w:r>
        <w:rPr>
          <w:rFonts w:ascii="Times New Roman" w:hAnsi="Times New Roman" w:eastAsia="Times New Roman"/>
          <w:b w:val="0"/>
          <w:sz w:val="22"/>
        </w:rPr>
        <w:t>P_loss = I_rms² · ESR</w:t>
      </w:r>
    </w:p>
    <w:p>
      <w:pPr>
        <w:spacing w:line="360" w:lineRule="auto" w:after="60"/>
        <w:ind w:firstLine="420"/>
        <w:jc w:val="both"/>
      </w:pPr>
      <w:r>
        <w:rPr>
          <w:rFonts w:ascii="Times New Roman" w:hAnsi="Times New Roman" w:eastAsia="宋体"/>
          <w:b w:val="0"/>
          <w:sz w:val="22"/>
        </w:rPr>
        <w:t>损耗功率通过外壳与引线散出，形成芯体热点温度ΔT_hotspot。热点温度的累积效应构成电容器老化的核心驱动因素，这一点在铝电解与薄膜电容器中尤为突出。电容器的工作温度T_hotspot = T_ambient + ΔT_self-heating，其中ΔT_self-heating = P_loss·R_thermal，R_thermal为电容器芯子到壳体再到环境的综合热阻。</w:t>
      </w:r>
    </w:p>
    <w:p>
      <w:pPr>
        <w:spacing w:line="360" w:lineRule="auto" w:after="60"/>
        <w:ind w:firstLine="420"/>
        <w:jc w:val="both"/>
      </w:pPr>
      <w:r>
        <w:rPr>
          <w:rFonts w:ascii="Times New Roman" w:hAnsi="Times New Roman" w:eastAsia="宋体"/>
          <w:b w:val="0"/>
          <w:sz w:val="22"/>
        </w:rPr>
        <w:t>从数学形式上，任何电介质均可通过复介电常数ε*(ω) = ε'(ω) - jε''(ω)描述其介电响应，其中损耗角正切tanδ(ω) = ε''(ω)/ε'(ω)。不同类型的电容器其ε*(ω)的频率依赖性存在显著差异：陶瓷电介质的ε'(ω)随频率变化相对平缓但温度敏感度高；聚丙烯薄膜的ε'(ω)几乎与频率无关且温度稳定性好；电解液系统的ε*(ω)表现出明显的低频色散。这些差异直接决定了不同类型电容器在特定频率、特定温度应用场景下的适用性。</w:t>
      </w:r>
    </w:p>
    <w:p>
      <w:pPr>
        <w:spacing w:line="360" w:lineRule="auto" w:after="60"/>
        <w:ind w:firstLine="420"/>
        <w:jc w:val="both"/>
      </w:pPr>
      <w:r>
        <w:rPr>
          <w:rFonts w:ascii="Times New Roman" w:hAnsi="Times New Roman" w:eastAsia="宋体"/>
          <w:b w:val="0"/>
          <w:sz w:val="22"/>
        </w:rPr>
        <w:t>电容器的另一个核心电学参数是额定电压V_R与击穿电压V_BD。对于固体介质电容器，V_BD远高于V_R，二者之比通常为2~5倍，这种电压裕度（voltage margin）是应对电网过压、开关瞬态尖峰、宇宙射线单粒子事件等异常工况的关键设计余量。IEC 60384-1与AEC-Q200等标准对电容器额定电压、降额系数与测试应力水平做出了明确规定，其本质就是为了保证器件在任务剖面内始终处于V_BD曲线的"安全区"内。</w:t>
      </w:r>
    </w:p>
    <w:p>
      <w:pPr>
        <w:spacing w:before="240" w:after="120"/>
        <w:outlineLvl w:val="2"/>
      </w:pPr>
      <w:r>
        <w:rPr>
          <w:rFonts w:ascii="Times New Roman" w:hAnsi="Times New Roman" w:eastAsia="黑体"/>
          <w:b/>
          <w:sz w:val="30"/>
        </w:rPr>
        <w:t>2.2 铝电解电容器</w:t>
      </w:r>
    </w:p>
    <w:p>
      <w:pPr>
        <w:spacing w:line="360" w:lineRule="auto" w:after="60"/>
        <w:ind w:firstLine="420"/>
        <w:jc w:val="both"/>
      </w:pPr>
      <w:r>
        <w:rPr>
          <w:rFonts w:ascii="Times New Roman" w:hAnsi="Times New Roman" w:eastAsia="宋体"/>
          <w:b w:val="0"/>
          <w:sz w:val="22"/>
        </w:rPr>
        <w:t>铝电解电容器（Aluminum Electrolytic Capacitor, Al-cap或e-cap）以高纯度（99.99%及以上）铝箔作为阳极，经过电化学腐蚀工艺形成具有丰富微孔的粗糙表面（比表面积可放大100倍以上），再经过阳极氧化（anodization）在铝箔表面生成厚度仅数十至数百纳米的Al2O3非晶氧化膜作为介质。此Al2O3氧化膜的相对介电常数约为8.5，击穿场强达1 V/nm量级（典型工作场强约0.7—0.8 V/nm）。阴极侧由含有硼酸、己二酸、γ-丁内酯等溶剂的液态电解液提供电连接，真正的阴极是电解液与另一片经过腐蚀的铝箔组成的复合结构。</w:t>
      </w:r>
    </w:p>
    <w:p>
      <w:pPr>
        <w:spacing w:line="360" w:lineRule="auto" w:after="60"/>
        <w:ind w:firstLine="420"/>
        <w:jc w:val="both"/>
      </w:pPr>
      <w:r>
        <w:rPr>
          <w:rFonts w:ascii="Times New Roman" w:hAnsi="Times New Roman" w:eastAsia="宋体"/>
          <w:b w:val="0"/>
          <w:sz w:val="22"/>
        </w:rPr>
        <w:t>Al-cap的主要结构特征包括：</w:t>
      </w:r>
    </w:p>
    <w:p>
      <w:pPr>
        <w:spacing w:line="360" w:lineRule="auto" w:after="60"/>
        <w:ind w:firstLine="420"/>
        <w:jc w:val="both"/>
      </w:pPr>
      <w:r>
        <w:rPr>
          <w:rFonts w:ascii="Times New Roman" w:hAnsi="Times New Roman" w:eastAsia="宋体"/>
          <w:b w:val="0"/>
          <w:sz w:val="22"/>
        </w:rPr>
        <w:t>（1）卷绕式芯子，由阳极箔、阴极箔与两层浸渍电解液的电解纸（通常为牛皮纸或合成纤维纸）相间卷绕构成；</w:t>
      </w:r>
    </w:p>
    <w:p>
      <w:pPr>
        <w:spacing w:line="360" w:lineRule="auto" w:after="60"/>
        <w:ind w:firstLine="420"/>
        <w:jc w:val="both"/>
      </w:pPr>
      <w:r>
        <w:rPr>
          <w:rFonts w:ascii="Times New Roman" w:hAnsi="Times New Roman" w:eastAsia="宋体"/>
          <w:b w:val="0"/>
          <w:sz w:val="22"/>
        </w:rPr>
        <w:t>（2）壳体多采用铝壳，底部带有十字或Y字形防爆开阀（pressure-relief vent）；</w:t>
      </w:r>
    </w:p>
    <w:p>
      <w:pPr>
        <w:spacing w:line="360" w:lineRule="auto" w:after="60"/>
        <w:ind w:firstLine="420"/>
        <w:jc w:val="both"/>
      </w:pPr>
      <w:r>
        <w:rPr>
          <w:rFonts w:ascii="Times New Roman" w:hAnsi="Times New Roman" w:eastAsia="宋体"/>
          <w:b w:val="0"/>
          <w:sz w:val="22"/>
        </w:rPr>
        <w:t>（3）密封结构多为酚醛胶皮封或聚四氟乙烯密封，顶部采用橡胶塞（Neoprene、EPDM、IIR等）密封。</w:t>
      </w:r>
    </w:p>
    <w:p>
      <w:pPr>
        <w:spacing w:line="360" w:lineRule="auto" w:after="60"/>
        <w:ind w:firstLine="420"/>
        <w:jc w:val="both"/>
      </w:pPr>
      <w:r>
        <w:rPr>
          <w:rFonts w:ascii="Times New Roman" w:hAnsi="Times New Roman" w:eastAsia="宋体"/>
          <w:b w:val="0"/>
          <w:sz w:val="22"/>
        </w:rPr>
        <w:t>根据应用场合，Al-cap可划分为通用型（105℃/2000 h级）、长寿命型（105℃/5000~10000 h级）、高纹波电流型、高压型（450 V及以上）、车规级（AEC-Q200合规）、固态聚合物型（以导电聚合物吡咯或PEDOT替代液态电解液）等多个子类。其中固态聚合物铝电容（polymer Al-cap）由于电解液为固态的导电聚合物，具有更低的ESR（典型5~20 mΩ）、更高的纹波电流承载能力与更优的低温特性，但耐压通常受限于100 V以下，且对高温高湿环境更为敏感，这一点在Liu等关于PA电容器高温高湿失效的研究中已有系统报道[16]。</w:t>
      </w:r>
    </w:p>
    <w:p>
      <w:pPr>
        <w:spacing w:line="360" w:lineRule="auto" w:after="60"/>
        <w:ind w:firstLine="420"/>
        <w:jc w:val="both"/>
      </w:pPr>
      <w:r>
        <w:rPr>
          <w:rFonts w:ascii="Times New Roman" w:hAnsi="Times New Roman" w:eastAsia="宋体"/>
          <w:b w:val="0"/>
          <w:sz w:val="22"/>
        </w:rPr>
        <w:t>铝电解电容器的典型参数范围：容量从数微法至数法，耐压从2.5 V到600 V，ESR从数毫欧至数百毫欧，工作温度-55℃至+125℃或+135℃（军用级或特殊车规级）。其主要应用包括：DC母线滤波、开关电源输出滤波、功率放大器退耦、变频器中间直流环节等。</w:t>
      </w:r>
    </w:p>
    <w:p>
      <w:pPr>
        <w:spacing w:before="240" w:after="120"/>
        <w:outlineLvl w:val="2"/>
      </w:pPr>
      <w:r>
        <w:rPr>
          <w:rFonts w:ascii="Times New Roman" w:hAnsi="Times New Roman" w:eastAsia="黑体"/>
          <w:b/>
          <w:sz w:val="30"/>
        </w:rPr>
        <w:t>2.3 多层陶瓷电容器（MLCC）</w:t>
      </w:r>
    </w:p>
    <w:p>
      <w:pPr>
        <w:spacing w:line="360" w:lineRule="auto" w:after="60"/>
        <w:ind w:firstLine="420"/>
        <w:jc w:val="both"/>
      </w:pPr>
      <w:r>
        <w:rPr>
          <w:rFonts w:ascii="Times New Roman" w:hAnsi="Times New Roman" w:eastAsia="宋体"/>
          <w:b w:val="0"/>
          <w:sz w:val="22"/>
        </w:rPr>
        <w:t>多层陶瓷电容器（Multi-Layer Ceramic Capacitor, MLCC）以高介电常数的陶瓷材料（主要是BaTiO3基钙钛矿结构铁电陶瓷）作为介质，与金属内电极交替叠层共烧制成。其结构从外到内依次包括：端电极（外层锡、中层镍阻挡层、内层铜或银浆烧结层）、陶瓷本体（含多层介质与多层内电极的叠层结构）、保护层（dielectric margin）。典型的MLCC具有数十至上千层有效介质层，单层厚度在0.5~5 μm量级，内电极层厚度约0.5~1.5 μm。</w:t>
      </w:r>
    </w:p>
    <w:p>
      <w:pPr>
        <w:spacing w:line="360" w:lineRule="auto" w:after="60"/>
        <w:ind w:firstLine="420"/>
        <w:jc w:val="both"/>
      </w:pPr>
      <w:r>
        <w:rPr>
          <w:rFonts w:ascii="Times New Roman" w:hAnsi="Times New Roman" w:eastAsia="宋体"/>
          <w:b w:val="0"/>
          <w:sz w:val="22"/>
        </w:rPr>
        <w:t>按内电极体系，MLCC可分为贵金属电极（Precious Metal Electrode, PME，主要为Ag/Pd合金）与贱金属电极（Base Metal Electrode, BME，主要为Ni）。自1990年代后期BME工艺走向成熟以来，以Ni内电极和Cu外电极为特征的BME-MLCC因成本优势与容量密度优势迅速占据了主流市场，目前全球商用MLCC中BME占比已超过95%。然而BME工艺需在低氧分压下烧结以避免Ni氧化，必然在BaTiO3晶格中引入较多氧空位，这些氧空位在电场-温度作用下缓慢迁移形成所谓的"氧空位致退化"机制，成为BME-MLCC寿命下限的主要决定因素，这一点在Waser与Baiatu的经典工作以及NASA Liu-Sampson报告中得到了充分阐述[4][17]。</w:t>
      </w:r>
    </w:p>
    <w:p>
      <w:pPr>
        <w:spacing w:line="360" w:lineRule="auto" w:after="60"/>
        <w:ind w:firstLine="420"/>
        <w:jc w:val="both"/>
      </w:pPr>
      <w:r>
        <w:rPr>
          <w:rFonts w:ascii="Times New Roman" w:hAnsi="Times New Roman" w:eastAsia="宋体"/>
          <w:b w:val="0"/>
          <w:sz w:val="22"/>
        </w:rPr>
        <w:t>按温度特性，MLCC被EIA标准划分为三大类：</w:t>
      </w:r>
    </w:p>
    <w:p>
      <w:pPr>
        <w:spacing w:line="360" w:lineRule="auto" w:after="60"/>
        <w:ind w:firstLine="420"/>
        <w:jc w:val="both"/>
      </w:pPr>
      <w:r>
        <w:rPr>
          <w:rFonts w:ascii="Times New Roman" w:hAnsi="Times New Roman" w:eastAsia="宋体"/>
          <w:b w:val="0"/>
          <w:sz w:val="22"/>
        </w:rPr>
        <w:t>（1）I类介质（NP0/C0G、U2J等），介电常数低（εr &lt;150），但温度系数极小（±30 ppm/℃），无老化，主要用于高频谐振、时钟等精密场合；</w:t>
      </w:r>
    </w:p>
    <w:p>
      <w:pPr>
        <w:spacing w:line="360" w:lineRule="auto" w:after="60"/>
        <w:ind w:firstLine="420"/>
        <w:jc w:val="both"/>
      </w:pPr>
      <w:r>
        <w:rPr>
          <w:rFonts w:ascii="Times New Roman" w:hAnsi="Times New Roman" w:eastAsia="宋体"/>
          <w:b w:val="0"/>
          <w:sz w:val="22"/>
        </w:rPr>
        <w:t>（2）II类介质（X5R、X7R、X8R、Y5V等），以BaTiO3为主，εr可达数百至数千，但存在DC bias效应、交流电场效应与铁电老化；</w:t>
      </w:r>
    </w:p>
    <w:p>
      <w:pPr>
        <w:spacing w:line="360" w:lineRule="auto" w:after="60"/>
        <w:ind w:firstLine="420"/>
        <w:jc w:val="both"/>
      </w:pPr>
      <w:r>
        <w:rPr>
          <w:rFonts w:ascii="Times New Roman" w:hAnsi="Times New Roman" w:eastAsia="宋体"/>
          <w:b w:val="0"/>
          <w:sz w:val="22"/>
        </w:rPr>
        <w:t>（3）III类介质（Z5U等），εr更高但温度稳定性与偏压稳定性更差，已逐步被II类取代。</w:t>
      </w:r>
    </w:p>
    <w:p>
      <w:pPr>
        <w:spacing w:line="360" w:lineRule="auto" w:after="60"/>
        <w:ind w:firstLine="420"/>
        <w:jc w:val="both"/>
      </w:pPr>
      <w:r>
        <w:rPr>
          <w:rFonts w:ascii="Times New Roman" w:hAnsi="Times New Roman" w:eastAsia="宋体"/>
          <w:b w:val="0"/>
          <w:sz w:val="22"/>
        </w:rPr>
        <w:t>MLCC的典型电参数范围：容量从0.1 pF至数百μF，耐压从4 V到上千伏，ESR低至数毫欧，自谐振频率可达数十至数百兆赫兹，工作温度-55℃至+150℃或更高。MLCC的尺寸从常见的0603（1.6×0.8 mm）向01005（0.4×0.2 mm）乃至008004（0.25×0.125 mm）方向持续微型化。随着尺寸减小和介质厚度减薄，MLCC的失效物理特性与宏观可靠性都面临重大挑战，相关研究在近十年成为MLCC领域的核心热点[18][19]。</w:t>
      </w:r>
    </w:p>
    <w:p>
      <w:pPr>
        <w:spacing w:before="240" w:after="120"/>
        <w:outlineLvl w:val="2"/>
      </w:pPr>
      <w:r>
        <w:rPr>
          <w:rFonts w:ascii="Times New Roman" w:hAnsi="Times New Roman" w:eastAsia="黑体"/>
          <w:b/>
          <w:sz w:val="30"/>
        </w:rPr>
        <w:t>2.4 金属化薄膜电容器</w:t>
      </w:r>
    </w:p>
    <w:p>
      <w:pPr>
        <w:spacing w:line="360" w:lineRule="auto" w:after="60"/>
        <w:ind w:firstLine="420"/>
        <w:jc w:val="both"/>
      </w:pPr>
      <w:r>
        <w:rPr>
          <w:rFonts w:ascii="Times New Roman" w:hAnsi="Times New Roman" w:eastAsia="宋体"/>
          <w:b w:val="0"/>
          <w:sz w:val="22"/>
        </w:rPr>
        <w:t>金属化薄膜电容器（Metallized Polymer Film Capacitor, MPFC或MFC）以双向拉伸聚丙烯（BOPP，Biaxially Oriented Polypropylene）或聚酯（PET）、聚苯硫醚（PPS）、聚萘二甲酸乙二醇酯（PEN）等高分子薄膜作为介质，在薄膜表面真空蒸镀一层极薄（几十纳米量级）的铝或锌/铝合金作为电极，然后将双层金属化薄膜卷绕或堆叠成型，端面喷金（schooping，通常为锌或锌/锡合金）形成引出端。</w:t>
      </w:r>
    </w:p>
    <w:p>
      <w:pPr>
        <w:spacing w:line="360" w:lineRule="auto" w:after="60"/>
        <w:ind w:firstLine="420"/>
        <w:jc w:val="both"/>
      </w:pPr>
      <w:r>
        <w:rPr>
          <w:rFonts w:ascii="Times New Roman" w:hAnsi="Times New Roman" w:eastAsia="宋体"/>
          <w:b w:val="0"/>
          <w:sz w:val="22"/>
        </w:rPr>
        <w:t>BOPP薄膜由于其优异的介电性能（εr≈2.2，tanδ&lt;2×10⁻⁴）、极高的本征击穿场强（DC下可达700 V/μm以上）以及优异的温度稳定性，已成为高压大容量电力电子应用中的主流介质。薄膜厚度从常见的3~6 μm向1.9 μm甚至更薄（纳米级）发展。电极由真空蒸镀铝构成，典型的方块电阻为1~10 Ω/sq，膜厚约20~40 nm。如此薄的金属电极使得金属化膜电容器具有独特的"自愈"能力：当介质局部发生击穿时，局部产生的电弧等离子体使周围数十至数百微米范围内的金属电极瞬间气化蒸发，从而将击穿点隔离，电容器整体仍可继续工作[20][21]。</w:t>
      </w:r>
    </w:p>
    <w:p>
      <w:pPr>
        <w:spacing w:line="360" w:lineRule="auto" w:after="60"/>
        <w:ind w:firstLine="420"/>
        <w:jc w:val="both"/>
      </w:pPr>
      <w:r>
        <w:rPr>
          <w:rFonts w:ascii="Times New Roman" w:hAnsi="Times New Roman" w:eastAsia="宋体"/>
          <w:b w:val="0"/>
          <w:sz w:val="22"/>
        </w:rPr>
        <w:t>金属化膜电容器按结构与应用划分为：</w:t>
      </w:r>
    </w:p>
    <w:p>
      <w:pPr>
        <w:spacing w:line="360" w:lineRule="auto" w:after="60"/>
        <w:ind w:firstLine="420"/>
        <w:jc w:val="both"/>
      </w:pPr>
      <w:r>
        <w:rPr>
          <w:rFonts w:ascii="Times New Roman" w:hAnsi="Times New Roman" w:eastAsia="宋体"/>
          <w:b w:val="0"/>
          <w:sz w:val="22"/>
        </w:rPr>
        <w:t>（1）圆柱型金属化聚丙烯电容（MKP），用于交流和直流高压场合；</w:t>
      </w:r>
    </w:p>
    <w:p>
      <w:pPr>
        <w:spacing w:line="360" w:lineRule="auto" w:after="60"/>
        <w:ind w:firstLine="420"/>
        <w:jc w:val="both"/>
      </w:pPr>
      <w:r>
        <w:rPr>
          <w:rFonts w:ascii="Times New Roman" w:hAnsi="Times New Roman" w:eastAsia="宋体"/>
          <w:b w:val="0"/>
          <w:sz w:val="22"/>
        </w:rPr>
        <w:t>（2）矩形或方形直流母线电容（DC-link capacitor），广泛用于变频器与光伏/风电逆变器；</w:t>
      </w:r>
    </w:p>
    <w:p>
      <w:pPr>
        <w:spacing w:line="360" w:lineRule="auto" w:after="60"/>
        <w:ind w:firstLine="420"/>
        <w:jc w:val="both"/>
      </w:pPr>
      <w:r>
        <w:rPr>
          <w:rFonts w:ascii="Times New Roman" w:hAnsi="Times New Roman" w:eastAsia="宋体"/>
          <w:b w:val="0"/>
          <w:sz w:val="22"/>
        </w:rPr>
        <w:t>（3）吸收/缓冲电容（snubber capacitor），用于IGBT/SiC功率模块旁路，吸收关断瞬态过压；</w:t>
      </w:r>
    </w:p>
    <w:p>
      <w:pPr>
        <w:spacing w:line="360" w:lineRule="auto" w:after="60"/>
        <w:ind w:firstLine="420"/>
        <w:jc w:val="both"/>
      </w:pPr>
      <w:r>
        <w:rPr>
          <w:rFonts w:ascii="Times New Roman" w:hAnsi="Times New Roman" w:eastAsia="宋体"/>
          <w:b w:val="0"/>
          <w:sz w:val="22"/>
        </w:rPr>
        <w:t>（4）谐振电容（resonant capacitor），用于感应加热与无线充电；</w:t>
      </w:r>
    </w:p>
    <w:p>
      <w:pPr>
        <w:spacing w:line="360" w:lineRule="auto" w:after="60"/>
        <w:ind w:firstLine="420"/>
        <w:jc w:val="both"/>
      </w:pPr>
      <w:r>
        <w:rPr>
          <w:rFonts w:ascii="Times New Roman" w:hAnsi="Times New Roman" w:eastAsia="宋体"/>
          <w:b w:val="0"/>
          <w:sz w:val="22"/>
        </w:rPr>
        <w:t>（5）脉冲功率电容（pulse capacitor），用于电磁发射、激光电源、粒子加速器等。</w:t>
      </w:r>
    </w:p>
    <w:p>
      <w:pPr>
        <w:spacing w:line="360" w:lineRule="auto" w:after="60"/>
        <w:ind w:firstLine="420"/>
        <w:jc w:val="both"/>
      </w:pPr>
      <w:r>
        <w:rPr>
          <w:rFonts w:ascii="Times New Roman" w:hAnsi="Times New Roman" w:eastAsia="宋体"/>
          <w:b w:val="0"/>
          <w:sz w:val="22"/>
        </w:rPr>
        <w:t>金属化薄膜电容器的典型参数：容量范围从0.1 nF到数mF，耐压通常覆盖50 V~10 kV乃至更高，ESR可低至数毫欧级别，自感较低，工作温度-40℃至+105℃为主，高温型可达125℃或更高。相较于铝电解电容，薄膜电容具有更长寿命（10万~30万小时）、更好的自愈特性与更低的ESR，但体积较大、单位容量成本较高。在电动汽车驱动逆变器与轨道交通牵引变流器中，金属化BOPP薄膜电容凭借其高可靠性与长寿命已经成为DC-link环节的主流选择。</w:t>
      </w:r>
    </w:p>
    <w:p>
      <w:pPr>
        <w:spacing w:before="240" w:after="120"/>
        <w:outlineLvl w:val="2"/>
      </w:pPr>
      <w:r>
        <w:rPr>
          <w:rFonts w:ascii="Times New Roman" w:hAnsi="Times New Roman" w:eastAsia="黑体"/>
          <w:b/>
          <w:sz w:val="30"/>
        </w:rPr>
        <w:t>2.5 固体钽电容器</w:t>
      </w:r>
    </w:p>
    <w:p>
      <w:pPr>
        <w:spacing w:line="360" w:lineRule="auto" w:after="60"/>
        <w:ind w:firstLine="420"/>
        <w:jc w:val="both"/>
      </w:pPr>
      <w:r>
        <w:rPr>
          <w:rFonts w:ascii="Times New Roman" w:hAnsi="Times New Roman" w:eastAsia="宋体"/>
          <w:b w:val="0"/>
          <w:sz w:val="22"/>
        </w:rPr>
        <w:t>固体钽电容器（Solid Tantalum Capacitor）以粉末冶金方式制备多孔钽烧结体作为阳极，经过阳极氧化在表面形成厚度仅为数十纳米量级的非晶Ta2O5作为介质（相对介电常数约27，击穿场强约7.5 MV/cm级别，实际工作场强设计得低得多以保证可靠性），然后浸渍二氧化锰（MnO2）或导电聚合物（PEDOT/PEDOT:PSS、聚吡咯）作为阴极，最后封装成型。与Al-cap相比，钽电容的体积比容量更高、频率特性更好、温度特性更优，但其成本高，且在不当使用（反向电压、浪涌电流、焊接应力等）下存在明显的"着火"风险。</w:t>
      </w:r>
    </w:p>
    <w:p>
      <w:pPr>
        <w:spacing w:line="360" w:lineRule="auto" w:after="60"/>
        <w:ind w:firstLine="420"/>
        <w:jc w:val="both"/>
      </w:pPr>
      <w:r>
        <w:rPr>
          <w:rFonts w:ascii="Times New Roman" w:hAnsi="Times New Roman" w:eastAsia="宋体"/>
          <w:b w:val="0"/>
          <w:sz w:val="22"/>
        </w:rPr>
        <w:t>按阴极体系，钽电容主要分为：</w:t>
      </w:r>
    </w:p>
    <w:p>
      <w:pPr>
        <w:spacing w:line="360" w:lineRule="auto" w:after="60"/>
        <w:ind w:firstLine="420"/>
        <w:jc w:val="both"/>
      </w:pPr>
      <w:r>
        <w:rPr>
          <w:rFonts w:ascii="Times New Roman" w:hAnsi="Times New Roman" w:eastAsia="宋体"/>
          <w:b w:val="0"/>
          <w:sz w:val="22"/>
        </w:rPr>
        <w:t>（1）MnO2阴极固体钽电容，传统工艺，具有一定的自愈能力（scintillation机制）；</w:t>
      </w:r>
    </w:p>
    <w:p>
      <w:pPr>
        <w:spacing w:line="360" w:lineRule="auto" w:after="60"/>
        <w:ind w:firstLine="420"/>
        <w:jc w:val="both"/>
      </w:pPr>
      <w:r>
        <w:rPr>
          <w:rFonts w:ascii="Times New Roman" w:hAnsi="Times New Roman" w:eastAsia="宋体"/>
          <w:b w:val="0"/>
          <w:sz w:val="22"/>
        </w:rPr>
        <w:t>（2）导电聚合物阴极钽电容（polymer tantalum capacitor），ESR显著降低，但MnO2的"热自愈"效应不再成立，对浪涌电流更为敏感；</w:t>
      </w:r>
    </w:p>
    <w:p>
      <w:pPr>
        <w:spacing w:line="360" w:lineRule="auto" w:after="60"/>
        <w:ind w:firstLine="420"/>
        <w:jc w:val="both"/>
      </w:pPr>
      <w:r>
        <w:rPr>
          <w:rFonts w:ascii="Times New Roman" w:hAnsi="Times New Roman" w:eastAsia="宋体"/>
          <w:b w:val="0"/>
          <w:sz w:val="22"/>
        </w:rPr>
        <w:t>（3）湿式（wet）钽电容，以硫酸为电解液，主要用于航空航天高压场合。</w:t>
      </w:r>
    </w:p>
    <w:p>
      <w:pPr>
        <w:spacing w:line="360" w:lineRule="auto" w:after="60"/>
        <w:ind w:firstLine="420"/>
        <w:jc w:val="both"/>
      </w:pPr>
      <w:r>
        <w:rPr>
          <w:rFonts w:ascii="Times New Roman" w:hAnsi="Times New Roman" w:eastAsia="宋体"/>
          <w:b w:val="0"/>
          <w:sz w:val="22"/>
        </w:rPr>
        <w:t>钽电容的主要失效机理是Ta2O5介质的场致结晶（field crystallization）与相应的热失控事件（thermal runaway）。Teverovsky（2008、2021）的系列NEPP报告对此做了深入研究：在外加电场与温度作用下，原本以非晶态存在的Ta2O5会逐步在高场区与缺陷富集区形成β-Ta2O5晶粒，形成漏电流通道；当漏电流发展到一定程度时，焦耳热会进一步加剧相变，最终导致灾难性短路与燃烧[9][10]。因此钽电容在选型时通常建议进行50%以上的电压降额，并在浪涌工况下串联适当的限流电阻。</w:t>
      </w:r>
    </w:p>
    <w:p>
      <w:pPr>
        <w:spacing w:line="360" w:lineRule="auto" w:after="60"/>
        <w:ind w:firstLine="420"/>
        <w:jc w:val="both"/>
      </w:pPr>
      <w:r>
        <w:rPr>
          <w:rFonts w:ascii="Times New Roman" w:hAnsi="Times New Roman" w:eastAsia="宋体"/>
          <w:b w:val="0"/>
          <w:sz w:val="22"/>
        </w:rPr>
        <w:t>钽电容的典型参数：容量0.1~2200 μF，耐压2.5~125 V（商用以35 V以下为主流），ESR极低（polymer体系10~50 mΩ），工作温度-55℃至+125℃或+150℃（军用/航空级）。</w:t>
      </w:r>
    </w:p>
    <w:p>
      <w:pPr>
        <w:spacing w:before="240" w:after="120"/>
        <w:outlineLvl w:val="2"/>
      </w:pPr>
      <w:r>
        <w:rPr>
          <w:rFonts w:ascii="Times New Roman" w:hAnsi="Times New Roman" w:eastAsia="黑体"/>
          <w:b/>
          <w:sz w:val="30"/>
        </w:rPr>
        <w:t>2.6 超级电容器（电化学双电层电容器）</w:t>
      </w:r>
    </w:p>
    <w:p>
      <w:pPr>
        <w:spacing w:line="360" w:lineRule="auto" w:after="60"/>
        <w:ind w:firstLine="420"/>
        <w:jc w:val="both"/>
      </w:pPr>
      <w:r>
        <w:rPr>
          <w:rFonts w:ascii="Times New Roman" w:hAnsi="Times New Roman" w:eastAsia="宋体"/>
          <w:b w:val="0"/>
          <w:sz w:val="22"/>
        </w:rPr>
        <w:t>超级电容器（Supercapacitor, SC），又称电化学电容器（Electrochemical Capacitor, EC），是一种介于传统静电电容器与电化学电池之间的储能器件。根据储能机制可分为：</w:t>
      </w:r>
    </w:p>
    <w:p>
      <w:pPr>
        <w:spacing w:line="360" w:lineRule="auto" w:after="60"/>
        <w:ind w:firstLine="420"/>
        <w:jc w:val="both"/>
      </w:pPr>
      <w:r>
        <w:rPr>
          <w:rFonts w:ascii="Times New Roman" w:hAnsi="Times New Roman" w:eastAsia="宋体"/>
          <w:b w:val="0"/>
          <w:sz w:val="22"/>
        </w:rPr>
        <w:t>（1）电化学双电层电容器（Electric Double-Layer Capacitor, EDLC），以高比表面积的活性炭（比表面积可达2000 m²/g以上）为电极，在电极/电解液界面通过离子物理吸附形成亥姆霍兹（Helmholtz）双电层储能；</w:t>
      </w:r>
    </w:p>
    <w:p>
      <w:pPr>
        <w:spacing w:line="360" w:lineRule="auto" w:after="60"/>
        <w:ind w:firstLine="420"/>
        <w:jc w:val="both"/>
      </w:pPr>
      <w:r>
        <w:rPr>
          <w:rFonts w:ascii="Times New Roman" w:hAnsi="Times New Roman" w:eastAsia="宋体"/>
          <w:b w:val="0"/>
          <w:sz w:val="22"/>
        </w:rPr>
        <w:t>（2）赝电容器（Pseudocapacitor），以过渡金属氧化物（RuO2、MnO2、NiO等）或导电聚合物（PANI、PPy）为电极，通过表面快速可逆氧化还原反应储能；</w:t>
      </w:r>
    </w:p>
    <w:p>
      <w:pPr>
        <w:spacing w:line="360" w:lineRule="auto" w:after="60"/>
        <w:ind w:firstLine="420"/>
        <w:jc w:val="both"/>
      </w:pPr>
      <w:r>
        <w:rPr>
          <w:rFonts w:ascii="Times New Roman" w:hAnsi="Times New Roman" w:eastAsia="宋体"/>
          <w:b w:val="0"/>
          <w:sz w:val="22"/>
        </w:rPr>
        <w:t>（3）混合型超级电容器（Hybrid Supercapacitor），一极为EDLC电极一极为电池型电极，兼顾功率与能量密度。</w:t>
      </w:r>
    </w:p>
    <w:p>
      <w:pPr>
        <w:spacing w:line="360" w:lineRule="auto" w:after="60"/>
        <w:ind w:firstLine="420"/>
        <w:jc w:val="both"/>
      </w:pPr>
      <w:r>
        <w:rPr>
          <w:rFonts w:ascii="Times New Roman" w:hAnsi="Times New Roman" w:eastAsia="宋体"/>
          <w:b w:val="0"/>
          <w:sz w:val="22"/>
        </w:rPr>
        <w:t>超级电容器典型结构：两片涂覆活性材料的铝集流体（或镀铝箔）电极，中间夹有离子透过的隔膜（如纤维素或聚丙烯多孔膜），浸渍电解液（水系、有机系或离子液体）。有机系电解液（以乙腈或碳酸丙烯酯为溶剂，季铵盐为电解质）是商用超级电容的主流，工作电压通常为2.5~2.85 V；水系（中性或强碱、强酸）工作电压约1.0~1.2 V；离子液体与固态电解质是近年研究热点，目标是突破4 V等级[22]。</w:t>
      </w:r>
    </w:p>
    <w:p>
      <w:pPr>
        <w:spacing w:line="360" w:lineRule="auto" w:after="60"/>
        <w:ind w:firstLine="420"/>
        <w:jc w:val="both"/>
      </w:pPr>
      <w:r>
        <w:rPr>
          <w:rFonts w:ascii="Times New Roman" w:hAnsi="Times New Roman" w:eastAsia="宋体"/>
          <w:b w:val="0"/>
          <w:sz w:val="22"/>
        </w:rPr>
        <w:t>超级电容器的主要失效机理包括电解液分解、集流体腐蚀、活性物质结构退化、隔膜老化与SEI膜增厚等。MDPI综述（Goubard-Bretesché等，2023）系统梳理了以上机制，并指出过电压、高温与高纹波电流是加速退化的三大主应力[11]。Kurzweil等研究者的工作则表明：超级电容老化过程中ESR呈指数上升、容量呈线性或分段下降，寿命终点（EoL）通常定义为容量下降至初始值的80%或ESR上升至初始值的200%。</w:t>
      </w:r>
    </w:p>
    <w:p>
      <w:pPr>
        <w:spacing w:line="360" w:lineRule="auto" w:after="60"/>
        <w:ind w:firstLine="420"/>
        <w:jc w:val="both"/>
      </w:pPr>
      <w:r>
        <w:rPr>
          <w:rFonts w:ascii="Times New Roman" w:hAnsi="Times New Roman" w:eastAsia="宋体"/>
          <w:b w:val="0"/>
          <w:sz w:val="22"/>
        </w:rPr>
        <w:t>超级电容的典型参数：单体容量0.1 F至数万F，耐压2.5~3.0 V，ESR 0.2~数十毫欧，循环寿命可达50万~100万次，日历寿命可达10~15年。常见应用包括混合动力汽车制动能量回收、UPS备用电源、风电变桨备用电源、港口起重机能量回收等高功率脉冲场合。</w:t>
      </w:r>
    </w:p>
    <w:p>
      <w:pPr>
        <w:spacing w:line="360" w:lineRule="auto" w:after="60"/>
        <w:ind w:firstLine="420"/>
        <w:jc w:val="both"/>
      </w:pPr>
      <w:r>
        <w:rPr>
          <w:rFonts w:ascii="Times New Roman" w:hAnsi="Times New Roman" w:eastAsia="宋体"/>
          <w:b w:val="0"/>
          <w:sz w:val="22"/>
        </w:rPr>
        <w:t>表2-1给出了五类电容器的主要参数比较。</w:t>
      </w:r>
    </w:p>
    <w:p>
      <w:pPr>
        <w:jc w:val="center"/>
      </w:pPr>
      <w:r>
        <w:rPr>
          <w:rFonts w:ascii="Times New Roman" w:hAnsi="Times New Roman" w:eastAsia="黑体"/>
          <w:b/>
          <w:sz w:val="21"/>
        </w:rPr>
        <w:t>表2-1  五类主流电容器主要参数与特性比较</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黑体"/>
                <w:b/>
                <w:sz w:val="20"/>
              </w:rPr>
              <w:t>特性/类型</w:t>
            </w:r>
          </w:p>
        </w:tc>
        <w:tc>
          <w:tcPr>
            <w:tcW w:type="dxa" w:w="1385"/>
          </w:tcPr>
          <w:p>
            <w:pPr>
              <w:jc w:val="center"/>
            </w:pPr>
            <w:r/>
            <w:r>
              <w:rPr>
                <w:rFonts w:ascii="Times New Roman" w:hAnsi="Times New Roman" w:eastAsia="黑体"/>
                <w:b/>
                <w:sz w:val="20"/>
              </w:rPr>
              <w:t>Al电解</w:t>
            </w:r>
          </w:p>
        </w:tc>
        <w:tc>
          <w:tcPr>
            <w:tcW w:type="dxa" w:w="1385"/>
          </w:tcPr>
          <w:p>
            <w:pPr>
              <w:jc w:val="center"/>
            </w:pPr>
            <w:r/>
            <w:r>
              <w:rPr>
                <w:rFonts w:ascii="Times New Roman" w:hAnsi="Times New Roman" w:eastAsia="黑体"/>
                <w:b/>
                <w:sz w:val="20"/>
              </w:rPr>
              <w:t>MLCC</w:t>
            </w:r>
          </w:p>
        </w:tc>
        <w:tc>
          <w:tcPr>
            <w:tcW w:type="dxa" w:w="1385"/>
          </w:tcPr>
          <w:p>
            <w:pPr>
              <w:jc w:val="center"/>
            </w:pPr>
            <w:r/>
            <w:r>
              <w:rPr>
                <w:rFonts w:ascii="Times New Roman" w:hAnsi="Times New Roman" w:eastAsia="黑体"/>
                <w:b/>
                <w:sz w:val="20"/>
              </w:rPr>
              <w:t>金属化薄膜</w:t>
            </w:r>
          </w:p>
        </w:tc>
        <w:tc>
          <w:tcPr>
            <w:tcW w:type="dxa" w:w="1385"/>
          </w:tcPr>
          <w:p>
            <w:pPr>
              <w:jc w:val="center"/>
            </w:pPr>
            <w:r/>
            <w:r>
              <w:rPr>
                <w:rFonts w:ascii="Times New Roman" w:hAnsi="Times New Roman" w:eastAsia="黑体"/>
                <w:b/>
                <w:sz w:val="20"/>
              </w:rPr>
              <w:t>钽电容</w:t>
            </w:r>
          </w:p>
        </w:tc>
        <w:tc>
          <w:tcPr>
            <w:tcW w:type="dxa" w:w="1385"/>
          </w:tcPr>
          <w:p>
            <w:pPr>
              <w:jc w:val="center"/>
            </w:pPr>
            <w:r/>
            <w:r>
              <w:rPr>
                <w:rFonts w:ascii="Times New Roman" w:hAnsi="Times New Roman" w:eastAsia="黑体"/>
                <w:b/>
                <w:sz w:val="20"/>
              </w:rPr>
              <w:t>超级电容</w:t>
            </w:r>
          </w:p>
        </w:tc>
      </w:tr>
      <w:tr>
        <w:tc>
          <w:tcPr>
            <w:tcW w:type="dxa" w:w="1385"/>
          </w:tcPr>
          <w:p>
            <w:pPr>
              <w:jc w:val="left"/>
            </w:pPr>
            <w:r/>
            <w:r>
              <w:rPr>
                <w:rFonts w:ascii="Times New Roman" w:hAnsi="Times New Roman" w:eastAsia="宋体"/>
                <w:b w:val="0"/>
                <w:sz w:val="20"/>
              </w:rPr>
              <w:t>典型容量范围</w:t>
            </w:r>
          </w:p>
        </w:tc>
        <w:tc>
          <w:tcPr>
            <w:tcW w:type="dxa" w:w="1385"/>
          </w:tcPr>
          <w:p>
            <w:pPr>
              <w:jc w:val="left"/>
            </w:pPr>
            <w:r/>
            <w:r>
              <w:rPr>
                <w:rFonts w:ascii="Times New Roman" w:hAnsi="Times New Roman" w:eastAsia="宋体"/>
                <w:b w:val="0"/>
                <w:sz w:val="20"/>
              </w:rPr>
              <w:t>1μF-1F</w:t>
            </w:r>
          </w:p>
        </w:tc>
        <w:tc>
          <w:tcPr>
            <w:tcW w:type="dxa" w:w="1385"/>
          </w:tcPr>
          <w:p>
            <w:pPr>
              <w:jc w:val="left"/>
            </w:pPr>
            <w:r/>
            <w:r>
              <w:rPr>
                <w:rFonts w:ascii="Times New Roman" w:hAnsi="Times New Roman" w:eastAsia="宋体"/>
                <w:b w:val="0"/>
                <w:sz w:val="20"/>
              </w:rPr>
              <w:t>1pF-100μF</w:t>
            </w:r>
          </w:p>
        </w:tc>
        <w:tc>
          <w:tcPr>
            <w:tcW w:type="dxa" w:w="1385"/>
          </w:tcPr>
          <w:p>
            <w:pPr>
              <w:jc w:val="left"/>
            </w:pPr>
            <w:r/>
            <w:r>
              <w:rPr>
                <w:rFonts w:ascii="Times New Roman" w:hAnsi="Times New Roman" w:eastAsia="宋体"/>
                <w:b w:val="0"/>
                <w:sz w:val="20"/>
              </w:rPr>
              <w:t>1nF-10mF</w:t>
            </w:r>
          </w:p>
        </w:tc>
        <w:tc>
          <w:tcPr>
            <w:tcW w:type="dxa" w:w="1385"/>
          </w:tcPr>
          <w:p>
            <w:pPr>
              <w:jc w:val="left"/>
            </w:pPr>
            <w:r/>
            <w:r>
              <w:rPr>
                <w:rFonts w:ascii="Times New Roman" w:hAnsi="Times New Roman" w:eastAsia="宋体"/>
                <w:b w:val="0"/>
                <w:sz w:val="20"/>
              </w:rPr>
              <w:t>0.1-2200μF</w:t>
            </w:r>
          </w:p>
        </w:tc>
        <w:tc>
          <w:tcPr>
            <w:tcW w:type="dxa" w:w="1385"/>
          </w:tcPr>
          <w:p>
            <w:pPr>
              <w:jc w:val="left"/>
            </w:pPr>
            <w:r/>
            <w:r>
              <w:rPr>
                <w:rFonts w:ascii="Times New Roman" w:hAnsi="Times New Roman" w:eastAsia="宋体"/>
                <w:b w:val="0"/>
                <w:sz w:val="20"/>
              </w:rPr>
              <w:t>0.1F-10000F</w:t>
            </w:r>
          </w:p>
        </w:tc>
      </w:tr>
      <w:tr>
        <w:tc>
          <w:tcPr>
            <w:tcW w:type="dxa" w:w="1385"/>
          </w:tcPr>
          <w:p>
            <w:pPr>
              <w:jc w:val="left"/>
            </w:pPr>
            <w:r/>
            <w:r>
              <w:rPr>
                <w:rFonts w:ascii="Times New Roman" w:hAnsi="Times New Roman" w:eastAsia="宋体"/>
                <w:b w:val="0"/>
                <w:sz w:val="20"/>
              </w:rPr>
              <w:t>典型耐压范围</w:t>
            </w:r>
          </w:p>
        </w:tc>
        <w:tc>
          <w:tcPr>
            <w:tcW w:type="dxa" w:w="1385"/>
          </w:tcPr>
          <w:p>
            <w:pPr>
              <w:jc w:val="left"/>
            </w:pPr>
            <w:r/>
            <w:r>
              <w:rPr>
                <w:rFonts w:ascii="Times New Roman" w:hAnsi="Times New Roman" w:eastAsia="宋体"/>
                <w:b w:val="0"/>
                <w:sz w:val="20"/>
              </w:rPr>
              <w:t>2.5-600V</w:t>
            </w:r>
          </w:p>
        </w:tc>
        <w:tc>
          <w:tcPr>
            <w:tcW w:type="dxa" w:w="1385"/>
          </w:tcPr>
          <w:p>
            <w:pPr>
              <w:jc w:val="left"/>
            </w:pPr>
            <w:r/>
            <w:r>
              <w:rPr>
                <w:rFonts w:ascii="Times New Roman" w:hAnsi="Times New Roman" w:eastAsia="宋体"/>
                <w:b w:val="0"/>
                <w:sz w:val="20"/>
              </w:rPr>
              <w:t>4V-10kV</w:t>
            </w:r>
          </w:p>
        </w:tc>
        <w:tc>
          <w:tcPr>
            <w:tcW w:type="dxa" w:w="1385"/>
          </w:tcPr>
          <w:p>
            <w:pPr>
              <w:jc w:val="left"/>
            </w:pPr>
            <w:r/>
            <w:r>
              <w:rPr>
                <w:rFonts w:ascii="Times New Roman" w:hAnsi="Times New Roman" w:eastAsia="宋体"/>
                <w:b w:val="0"/>
                <w:sz w:val="20"/>
              </w:rPr>
              <w:t>50V-10kV</w:t>
            </w:r>
          </w:p>
        </w:tc>
        <w:tc>
          <w:tcPr>
            <w:tcW w:type="dxa" w:w="1385"/>
          </w:tcPr>
          <w:p>
            <w:pPr>
              <w:jc w:val="left"/>
            </w:pPr>
            <w:r/>
            <w:r>
              <w:rPr>
                <w:rFonts w:ascii="Times New Roman" w:hAnsi="Times New Roman" w:eastAsia="宋体"/>
                <w:b w:val="0"/>
                <w:sz w:val="20"/>
              </w:rPr>
              <w:t>2.5-125V</w:t>
            </w:r>
          </w:p>
        </w:tc>
        <w:tc>
          <w:tcPr>
            <w:tcW w:type="dxa" w:w="1385"/>
          </w:tcPr>
          <w:p>
            <w:pPr>
              <w:jc w:val="left"/>
            </w:pPr>
            <w:r/>
            <w:r>
              <w:rPr>
                <w:rFonts w:ascii="Times New Roman" w:hAnsi="Times New Roman" w:eastAsia="宋体"/>
                <w:b w:val="0"/>
                <w:sz w:val="20"/>
              </w:rPr>
              <w:t>2.5-3.0V/单体</w:t>
            </w:r>
          </w:p>
        </w:tc>
      </w:tr>
      <w:tr>
        <w:tc>
          <w:tcPr>
            <w:tcW w:type="dxa" w:w="1385"/>
          </w:tcPr>
          <w:p>
            <w:pPr>
              <w:jc w:val="left"/>
            </w:pPr>
            <w:r/>
            <w:r>
              <w:rPr>
                <w:rFonts w:ascii="Times New Roman" w:hAnsi="Times New Roman" w:eastAsia="宋体"/>
                <w:b w:val="0"/>
                <w:sz w:val="20"/>
              </w:rPr>
              <w:t>典型ESR</w:t>
            </w:r>
          </w:p>
        </w:tc>
        <w:tc>
          <w:tcPr>
            <w:tcW w:type="dxa" w:w="1385"/>
          </w:tcPr>
          <w:p>
            <w:pPr>
              <w:jc w:val="left"/>
            </w:pPr>
            <w:r/>
            <w:r>
              <w:rPr>
                <w:rFonts w:ascii="Times New Roman" w:hAnsi="Times New Roman" w:eastAsia="宋体"/>
                <w:b w:val="0"/>
                <w:sz w:val="20"/>
              </w:rPr>
              <w:t>20mΩ-1Ω</w:t>
            </w:r>
          </w:p>
        </w:tc>
        <w:tc>
          <w:tcPr>
            <w:tcW w:type="dxa" w:w="1385"/>
          </w:tcPr>
          <w:p>
            <w:pPr>
              <w:jc w:val="left"/>
            </w:pPr>
            <w:r/>
            <w:r>
              <w:rPr>
                <w:rFonts w:ascii="Times New Roman" w:hAnsi="Times New Roman" w:eastAsia="宋体"/>
                <w:b w:val="0"/>
                <w:sz w:val="20"/>
              </w:rPr>
              <w:t>&lt;10mΩ</w:t>
            </w:r>
          </w:p>
        </w:tc>
        <w:tc>
          <w:tcPr>
            <w:tcW w:type="dxa" w:w="1385"/>
          </w:tcPr>
          <w:p>
            <w:pPr>
              <w:jc w:val="left"/>
            </w:pPr>
            <w:r/>
            <w:r>
              <w:rPr>
                <w:rFonts w:ascii="Times New Roman" w:hAnsi="Times New Roman" w:eastAsia="宋体"/>
                <w:b w:val="0"/>
                <w:sz w:val="20"/>
              </w:rPr>
              <w:t>1-10mΩ</w:t>
            </w:r>
          </w:p>
        </w:tc>
        <w:tc>
          <w:tcPr>
            <w:tcW w:type="dxa" w:w="1385"/>
          </w:tcPr>
          <w:p>
            <w:pPr>
              <w:jc w:val="left"/>
            </w:pPr>
            <w:r/>
            <w:r>
              <w:rPr>
                <w:rFonts w:ascii="Times New Roman" w:hAnsi="Times New Roman" w:eastAsia="宋体"/>
                <w:b w:val="0"/>
                <w:sz w:val="20"/>
              </w:rPr>
              <w:t>10-50mΩ</w:t>
            </w:r>
          </w:p>
        </w:tc>
        <w:tc>
          <w:tcPr>
            <w:tcW w:type="dxa" w:w="1385"/>
          </w:tcPr>
          <w:p>
            <w:pPr>
              <w:jc w:val="left"/>
            </w:pPr>
            <w:r/>
            <w:r>
              <w:rPr>
                <w:rFonts w:ascii="Times New Roman" w:hAnsi="Times New Roman" w:eastAsia="宋体"/>
                <w:b w:val="0"/>
                <w:sz w:val="20"/>
              </w:rPr>
              <w:t>0.2-50mΩ</w:t>
            </w:r>
          </w:p>
        </w:tc>
      </w:tr>
      <w:tr>
        <w:tc>
          <w:tcPr>
            <w:tcW w:type="dxa" w:w="1385"/>
          </w:tcPr>
          <w:p>
            <w:pPr>
              <w:jc w:val="left"/>
            </w:pPr>
            <w:r/>
            <w:r>
              <w:rPr>
                <w:rFonts w:ascii="Times New Roman" w:hAnsi="Times New Roman" w:eastAsia="宋体"/>
                <w:b w:val="0"/>
                <w:sz w:val="20"/>
              </w:rPr>
              <w:t>工作温度范围</w:t>
            </w:r>
          </w:p>
        </w:tc>
        <w:tc>
          <w:tcPr>
            <w:tcW w:type="dxa" w:w="1385"/>
          </w:tcPr>
          <w:p>
            <w:pPr>
              <w:jc w:val="left"/>
            </w:pPr>
            <w:r/>
            <w:r>
              <w:rPr>
                <w:rFonts w:ascii="Times New Roman" w:hAnsi="Times New Roman" w:eastAsia="宋体"/>
                <w:b w:val="0"/>
                <w:sz w:val="20"/>
              </w:rPr>
              <w:t>-55~+125℃</w:t>
            </w:r>
          </w:p>
        </w:tc>
        <w:tc>
          <w:tcPr>
            <w:tcW w:type="dxa" w:w="1385"/>
          </w:tcPr>
          <w:p>
            <w:pPr>
              <w:jc w:val="left"/>
            </w:pPr>
            <w:r/>
            <w:r>
              <w:rPr>
                <w:rFonts w:ascii="Times New Roman" w:hAnsi="Times New Roman" w:eastAsia="宋体"/>
                <w:b w:val="0"/>
                <w:sz w:val="20"/>
              </w:rPr>
              <w:t>-55~+150℃</w:t>
            </w:r>
          </w:p>
        </w:tc>
        <w:tc>
          <w:tcPr>
            <w:tcW w:type="dxa" w:w="1385"/>
          </w:tcPr>
          <w:p>
            <w:pPr>
              <w:jc w:val="left"/>
            </w:pPr>
            <w:r/>
            <w:r>
              <w:rPr>
                <w:rFonts w:ascii="Times New Roman" w:hAnsi="Times New Roman" w:eastAsia="宋体"/>
                <w:b w:val="0"/>
                <w:sz w:val="20"/>
              </w:rPr>
              <w:t>-40~+105℃</w:t>
            </w:r>
          </w:p>
        </w:tc>
        <w:tc>
          <w:tcPr>
            <w:tcW w:type="dxa" w:w="1385"/>
          </w:tcPr>
          <w:p>
            <w:pPr>
              <w:jc w:val="left"/>
            </w:pPr>
            <w:r/>
            <w:r>
              <w:rPr>
                <w:rFonts w:ascii="Times New Roman" w:hAnsi="Times New Roman" w:eastAsia="宋体"/>
                <w:b w:val="0"/>
                <w:sz w:val="20"/>
              </w:rPr>
              <w:t>-55~+150℃</w:t>
            </w:r>
          </w:p>
        </w:tc>
        <w:tc>
          <w:tcPr>
            <w:tcW w:type="dxa" w:w="1385"/>
          </w:tcPr>
          <w:p>
            <w:pPr>
              <w:jc w:val="left"/>
            </w:pPr>
            <w:r/>
            <w:r>
              <w:rPr>
                <w:rFonts w:ascii="Times New Roman" w:hAnsi="Times New Roman" w:eastAsia="宋体"/>
                <w:b w:val="0"/>
                <w:sz w:val="20"/>
              </w:rPr>
              <w:t>-40~+70℃</w:t>
            </w:r>
          </w:p>
        </w:tc>
      </w:tr>
      <w:tr>
        <w:tc>
          <w:tcPr>
            <w:tcW w:type="dxa" w:w="1385"/>
          </w:tcPr>
          <w:p>
            <w:pPr>
              <w:jc w:val="left"/>
            </w:pPr>
            <w:r/>
            <w:r>
              <w:rPr>
                <w:rFonts w:ascii="Times New Roman" w:hAnsi="Times New Roman" w:eastAsia="宋体"/>
                <w:b w:val="0"/>
                <w:sz w:val="20"/>
              </w:rPr>
              <w:t>典型寿命</w:t>
            </w:r>
          </w:p>
        </w:tc>
        <w:tc>
          <w:tcPr>
            <w:tcW w:type="dxa" w:w="1385"/>
          </w:tcPr>
          <w:p>
            <w:pPr>
              <w:jc w:val="left"/>
            </w:pPr>
            <w:r/>
            <w:r>
              <w:rPr>
                <w:rFonts w:ascii="Times New Roman" w:hAnsi="Times New Roman" w:eastAsia="宋体"/>
                <w:b w:val="0"/>
                <w:sz w:val="20"/>
              </w:rPr>
              <w:t>2000-10000h</w:t>
            </w:r>
          </w:p>
        </w:tc>
        <w:tc>
          <w:tcPr>
            <w:tcW w:type="dxa" w:w="1385"/>
          </w:tcPr>
          <w:p>
            <w:pPr>
              <w:jc w:val="left"/>
            </w:pPr>
            <w:r/>
            <w:r>
              <w:rPr>
                <w:rFonts w:ascii="Times New Roman" w:hAnsi="Times New Roman" w:eastAsia="宋体"/>
                <w:b w:val="0"/>
                <w:sz w:val="20"/>
              </w:rPr>
              <w:t>&gt;10万h</w:t>
            </w:r>
          </w:p>
        </w:tc>
        <w:tc>
          <w:tcPr>
            <w:tcW w:type="dxa" w:w="1385"/>
          </w:tcPr>
          <w:p>
            <w:pPr>
              <w:jc w:val="left"/>
            </w:pPr>
            <w:r/>
            <w:r>
              <w:rPr>
                <w:rFonts w:ascii="Times New Roman" w:hAnsi="Times New Roman" w:eastAsia="宋体"/>
                <w:b w:val="0"/>
                <w:sz w:val="20"/>
              </w:rPr>
              <w:t>&gt;10万h</w:t>
            </w:r>
          </w:p>
        </w:tc>
        <w:tc>
          <w:tcPr>
            <w:tcW w:type="dxa" w:w="1385"/>
          </w:tcPr>
          <w:p>
            <w:pPr>
              <w:jc w:val="left"/>
            </w:pPr>
            <w:r/>
            <w:r>
              <w:rPr>
                <w:rFonts w:ascii="Times New Roman" w:hAnsi="Times New Roman" w:eastAsia="宋体"/>
                <w:b w:val="0"/>
                <w:sz w:val="20"/>
              </w:rPr>
              <w:t>&gt;10万h</w:t>
            </w:r>
          </w:p>
        </w:tc>
        <w:tc>
          <w:tcPr>
            <w:tcW w:type="dxa" w:w="1385"/>
          </w:tcPr>
          <w:p>
            <w:pPr>
              <w:jc w:val="left"/>
            </w:pPr>
            <w:r/>
            <w:r>
              <w:rPr>
                <w:rFonts w:ascii="Times New Roman" w:hAnsi="Times New Roman" w:eastAsia="宋体"/>
                <w:b w:val="0"/>
                <w:sz w:val="20"/>
              </w:rPr>
              <w:t>50万-100万次</w:t>
            </w:r>
          </w:p>
        </w:tc>
      </w:tr>
      <w:tr>
        <w:tc>
          <w:tcPr>
            <w:tcW w:type="dxa" w:w="1385"/>
          </w:tcPr>
          <w:p>
            <w:pPr>
              <w:jc w:val="left"/>
            </w:pPr>
            <w:r/>
            <w:r>
              <w:rPr>
                <w:rFonts w:ascii="Times New Roman" w:hAnsi="Times New Roman" w:eastAsia="宋体"/>
                <w:b w:val="0"/>
                <w:sz w:val="20"/>
              </w:rPr>
              <w:t>主失效机理</w:t>
            </w:r>
          </w:p>
        </w:tc>
        <w:tc>
          <w:tcPr>
            <w:tcW w:type="dxa" w:w="1385"/>
          </w:tcPr>
          <w:p>
            <w:pPr>
              <w:jc w:val="left"/>
            </w:pPr>
            <w:r/>
            <w:r>
              <w:rPr>
                <w:rFonts w:ascii="Times New Roman" w:hAnsi="Times New Roman" w:eastAsia="宋体"/>
                <w:b w:val="0"/>
                <w:sz w:val="20"/>
              </w:rPr>
              <w:t>电解液蒸发</w:t>
            </w:r>
          </w:p>
        </w:tc>
        <w:tc>
          <w:tcPr>
            <w:tcW w:type="dxa" w:w="1385"/>
          </w:tcPr>
          <w:p>
            <w:pPr>
              <w:jc w:val="left"/>
            </w:pPr>
            <w:r/>
            <w:r>
              <w:rPr>
                <w:rFonts w:ascii="Times New Roman" w:hAnsi="Times New Roman" w:eastAsia="宋体"/>
                <w:b w:val="0"/>
                <w:sz w:val="20"/>
              </w:rPr>
              <w:t>氧空位迁移</w:t>
            </w:r>
          </w:p>
        </w:tc>
        <w:tc>
          <w:tcPr>
            <w:tcW w:type="dxa" w:w="1385"/>
          </w:tcPr>
          <w:p>
            <w:pPr>
              <w:jc w:val="left"/>
            </w:pPr>
            <w:r/>
            <w:r>
              <w:rPr>
                <w:rFonts w:ascii="Times New Roman" w:hAnsi="Times New Roman" w:eastAsia="宋体"/>
                <w:b w:val="0"/>
                <w:sz w:val="20"/>
              </w:rPr>
              <w:t>自愈累积</w:t>
            </w:r>
          </w:p>
        </w:tc>
        <w:tc>
          <w:tcPr>
            <w:tcW w:type="dxa" w:w="1385"/>
          </w:tcPr>
          <w:p>
            <w:pPr>
              <w:jc w:val="left"/>
            </w:pPr>
            <w:r/>
            <w:r>
              <w:rPr>
                <w:rFonts w:ascii="Times New Roman" w:hAnsi="Times New Roman" w:eastAsia="宋体"/>
                <w:b w:val="0"/>
                <w:sz w:val="20"/>
              </w:rPr>
              <w:t>场致结晶</w:t>
            </w:r>
          </w:p>
        </w:tc>
        <w:tc>
          <w:tcPr>
            <w:tcW w:type="dxa" w:w="1385"/>
          </w:tcPr>
          <w:p>
            <w:pPr>
              <w:jc w:val="left"/>
            </w:pPr>
            <w:r/>
            <w:r>
              <w:rPr>
                <w:rFonts w:ascii="Times New Roman" w:hAnsi="Times New Roman" w:eastAsia="宋体"/>
                <w:b w:val="0"/>
                <w:sz w:val="20"/>
              </w:rPr>
              <w:t>电解液分解</w:t>
            </w:r>
          </w:p>
        </w:tc>
      </w:tr>
      <w:tr>
        <w:tc>
          <w:tcPr>
            <w:tcW w:type="dxa" w:w="1385"/>
          </w:tcPr>
          <w:p>
            <w:pPr>
              <w:jc w:val="left"/>
            </w:pPr>
            <w:r/>
            <w:r>
              <w:rPr>
                <w:rFonts w:ascii="Times New Roman" w:hAnsi="Times New Roman" w:eastAsia="宋体"/>
                <w:b w:val="0"/>
                <w:sz w:val="20"/>
              </w:rPr>
              <w:t>自愈能力</w:t>
            </w:r>
          </w:p>
        </w:tc>
        <w:tc>
          <w:tcPr>
            <w:tcW w:type="dxa" w:w="1385"/>
          </w:tcPr>
          <w:p>
            <w:pPr>
              <w:jc w:val="left"/>
            </w:pPr>
            <w:r/>
            <w:r>
              <w:rPr>
                <w:rFonts w:ascii="Times New Roman" w:hAnsi="Times New Roman" w:eastAsia="宋体"/>
                <w:b w:val="0"/>
                <w:sz w:val="20"/>
              </w:rPr>
              <w:t>弱</w:t>
            </w:r>
          </w:p>
        </w:tc>
        <w:tc>
          <w:tcPr>
            <w:tcW w:type="dxa" w:w="1385"/>
          </w:tcPr>
          <w:p>
            <w:pPr>
              <w:jc w:val="left"/>
            </w:pPr>
            <w:r/>
            <w:r>
              <w:rPr>
                <w:rFonts w:ascii="Times New Roman" w:hAnsi="Times New Roman" w:eastAsia="宋体"/>
                <w:b w:val="0"/>
                <w:sz w:val="20"/>
              </w:rPr>
              <w:t>无</w:t>
            </w:r>
          </w:p>
        </w:tc>
        <w:tc>
          <w:tcPr>
            <w:tcW w:type="dxa" w:w="1385"/>
          </w:tcPr>
          <w:p>
            <w:pPr>
              <w:jc w:val="left"/>
            </w:pPr>
            <w:r/>
            <w:r>
              <w:rPr>
                <w:rFonts w:ascii="Times New Roman" w:hAnsi="Times New Roman" w:eastAsia="宋体"/>
                <w:b w:val="0"/>
                <w:sz w:val="20"/>
              </w:rPr>
              <w:t>强</w:t>
            </w:r>
          </w:p>
        </w:tc>
        <w:tc>
          <w:tcPr>
            <w:tcW w:type="dxa" w:w="1385"/>
          </w:tcPr>
          <w:p>
            <w:pPr>
              <w:jc w:val="left"/>
            </w:pPr>
            <w:r/>
            <w:r>
              <w:rPr>
                <w:rFonts w:ascii="Times New Roman" w:hAnsi="Times New Roman" w:eastAsia="宋体"/>
                <w:b w:val="0"/>
                <w:sz w:val="20"/>
              </w:rPr>
              <w:t>弱(MnO2有)</w:t>
            </w:r>
          </w:p>
        </w:tc>
        <w:tc>
          <w:tcPr>
            <w:tcW w:type="dxa" w:w="1385"/>
          </w:tcPr>
          <w:p>
            <w:pPr>
              <w:jc w:val="left"/>
            </w:pPr>
            <w:r/>
            <w:r>
              <w:rPr>
                <w:rFonts w:ascii="Times New Roman" w:hAnsi="Times New Roman" w:eastAsia="宋体"/>
                <w:b w:val="0"/>
                <w:sz w:val="20"/>
              </w:rPr>
              <w:t>无</w:t>
            </w:r>
          </w:p>
        </w:tc>
      </w:tr>
      <w:tr>
        <w:tc>
          <w:tcPr>
            <w:tcW w:type="dxa" w:w="1385"/>
          </w:tcPr>
          <w:p>
            <w:pPr>
              <w:jc w:val="left"/>
            </w:pPr>
            <w:r/>
            <w:r>
              <w:rPr>
                <w:rFonts w:ascii="Times New Roman" w:hAnsi="Times New Roman" w:eastAsia="宋体"/>
                <w:b w:val="0"/>
                <w:sz w:val="20"/>
              </w:rPr>
              <w:t>典型应用</w:t>
            </w:r>
          </w:p>
        </w:tc>
        <w:tc>
          <w:tcPr>
            <w:tcW w:type="dxa" w:w="1385"/>
          </w:tcPr>
          <w:p>
            <w:pPr>
              <w:jc w:val="left"/>
            </w:pPr>
            <w:r/>
            <w:r>
              <w:rPr>
                <w:rFonts w:ascii="Times New Roman" w:hAnsi="Times New Roman" w:eastAsia="宋体"/>
                <w:b w:val="0"/>
                <w:sz w:val="20"/>
              </w:rPr>
              <w:t>DC滤波</w:t>
            </w:r>
          </w:p>
        </w:tc>
        <w:tc>
          <w:tcPr>
            <w:tcW w:type="dxa" w:w="1385"/>
          </w:tcPr>
          <w:p>
            <w:pPr>
              <w:jc w:val="left"/>
            </w:pPr>
            <w:r/>
            <w:r>
              <w:rPr>
                <w:rFonts w:ascii="Times New Roman" w:hAnsi="Times New Roman" w:eastAsia="宋体"/>
                <w:b w:val="0"/>
                <w:sz w:val="20"/>
              </w:rPr>
              <w:t>高频旁路</w:t>
            </w:r>
          </w:p>
        </w:tc>
        <w:tc>
          <w:tcPr>
            <w:tcW w:type="dxa" w:w="1385"/>
          </w:tcPr>
          <w:p>
            <w:pPr>
              <w:jc w:val="left"/>
            </w:pPr>
            <w:r/>
            <w:r>
              <w:rPr>
                <w:rFonts w:ascii="Times New Roman" w:hAnsi="Times New Roman" w:eastAsia="宋体"/>
                <w:b w:val="0"/>
                <w:sz w:val="20"/>
              </w:rPr>
              <w:t>DC-link/交流</w:t>
            </w:r>
          </w:p>
        </w:tc>
        <w:tc>
          <w:tcPr>
            <w:tcW w:type="dxa" w:w="1385"/>
          </w:tcPr>
          <w:p>
            <w:pPr>
              <w:jc w:val="left"/>
            </w:pPr>
            <w:r/>
            <w:r>
              <w:rPr>
                <w:rFonts w:ascii="Times New Roman" w:hAnsi="Times New Roman" w:eastAsia="宋体"/>
                <w:b w:val="0"/>
                <w:sz w:val="20"/>
              </w:rPr>
              <w:t>低ESR旁路</w:t>
            </w:r>
          </w:p>
        </w:tc>
        <w:tc>
          <w:tcPr>
            <w:tcW w:type="dxa" w:w="1385"/>
          </w:tcPr>
          <w:p>
            <w:pPr>
              <w:jc w:val="left"/>
            </w:pPr>
            <w:r/>
            <w:r>
              <w:rPr>
                <w:rFonts w:ascii="Times New Roman" w:hAnsi="Times New Roman" w:eastAsia="宋体"/>
                <w:b w:val="0"/>
                <w:sz w:val="20"/>
              </w:rPr>
              <w:t>脉冲能量</w:t>
            </w:r>
          </w:p>
        </w:tc>
      </w:tr>
    </w:tbl>
    <w:p>
      <w:r>
        <w:br w:type="page"/>
      </w:r>
    </w:p>
    <w:p>
      <w:pPr>
        <w:spacing w:before="240" w:after="120"/>
        <w:outlineLvl w:val="1"/>
      </w:pPr>
      <w:r>
        <w:rPr>
          <w:rFonts w:ascii="Times New Roman" w:hAnsi="Times New Roman" w:eastAsia="黑体"/>
          <w:b/>
          <w:sz w:val="36"/>
        </w:rPr>
        <w:t>第三章 电容器典型失效模式</w:t>
      </w:r>
    </w:p>
    <w:p>
      <w:pPr>
        <w:spacing w:before="240" w:after="120"/>
        <w:outlineLvl w:val="2"/>
      </w:pPr>
      <w:r>
        <w:rPr>
          <w:rFonts w:ascii="Times New Roman" w:hAnsi="Times New Roman" w:eastAsia="黑体"/>
          <w:b/>
          <w:sz w:val="30"/>
        </w:rPr>
        <w:t>3.1 失效模式的分类方法</w:t>
      </w:r>
    </w:p>
    <w:p>
      <w:pPr>
        <w:spacing w:line="360" w:lineRule="auto" w:after="60"/>
        <w:ind w:firstLine="420"/>
        <w:jc w:val="both"/>
      </w:pPr>
      <w:r>
        <w:rPr>
          <w:rFonts w:ascii="Times New Roman" w:hAnsi="Times New Roman" w:eastAsia="宋体"/>
          <w:b w:val="0"/>
          <w:sz w:val="22"/>
        </w:rPr>
        <w:t>在可靠性工程中，失效模式（Failure Mode）指的是部件在其功能退化或丧失过程中所表现出的外在症状或可观察的异常现象，而与其内在物理化学机理（Failure Mechanism）存在明确区分。正确区分这两个概念是开展电容器可靠性分析的前提。常见的误解是把"电解液蒸发"描述为失效模式，实际上这是失效机理；由该机理最终导致的外在表现——容量下降、ESR上升、直至开路或短路——才是失效模式。</w:t>
      </w:r>
    </w:p>
    <w:p>
      <w:pPr>
        <w:spacing w:line="360" w:lineRule="auto" w:after="60"/>
        <w:ind w:firstLine="420"/>
        <w:jc w:val="both"/>
      </w:pPr>
      <w:r>
        <w:rPr>
          <w:rFonts w:ascii="Times New Roman" w:hAnsi="Times New Roman" w:eastAsia="宋体"/>
          <w:b w:val="0"/>
          <w:sz w:val="22"/>
        </w:rPr>
        <w:t>IEC 61709、IEC 62380、MIL-HDBK-217、美国SAE ARP4761等主流可靠性标准普遍采用如下的三层分类框架：</w:t>
      </w:r>
    </w:p>
    <w:p>
      <w:pPr>
        <w:spacing w:line="360" w:lineRule="auto" w:after="60"/>
        <w:ind w:firstLine="420"/>
        <w:jc w:val="both"/>
      </w:pPr>
      <w:r>
        <w:rPr>
          <w:rFonts w:ascii="Times New Roman" w:hAnsi="Times New Roman" w:eastAsia="宋体"/>
          <w:b w:val="0"/>
          <w:sz w:val="22"/>
        </w:rPr>
        <w:t>（1）顶层（Top Level），分为"开路"、"短路"与"退化"三大类；</w:t>
      </w:r>
    </w:p>
    <w:p>
      <w:pPr>
        <w:spacing w:line="360" w:lineRule="auto" w:after="60"/>
        <w:ind w:firstLine="420"/>
        <w:jc w:val="both"/>
      </w:pPr>
      <w:r>
        <w:rPr>
          <w:rFonts w:ascii="Times New Roman" w:hAnsi="Times New Roman" w:eastAsia="宋体"/>
          <w:b w:val="0"/>
          <w:sz w:val="22"/>
        </w:rPr>
        <w:t>（2）中层（Mid Level），按表现形式进一步细化，如"参数漂移"、"热点超温"、"漏液"、"爆炸"、"外观损伤"等；</w:t>
      </w:r>
    </w:p>
    <w:p>
      <w:pPr>
        <w:spacing w:line="360" w:lineRule="auto" w:after="60"/>
        <w:ind w:firstLine="420"/>
        <w:jc w:val="both"/>
      </w:pPr>
      <w:r>
        <w:rPr>
          <w:rFonts w:ascii="Times New Roman" w:hAnsi="Times New Roman" w:eastAsia="宋体"/>
          <w:b w:val="0"/>
          <w:sz w:val="22"/>
        </w:rPr>
        <w:t>（3）底层（Bottom Level），与具体失效机理一一对应，如"Al2O3氧化膜溶解"、"BaTiO3氧空位积聚"、"BOPP自愈累积"等。</w:t>
      </w:r>
    </w:p>
    <w:p>
      <w:pPr>
        <w:spacing w:line="360" w:lineRule="auto" w:after="60"/>
        <w:ind w:firstLine="420"/>
        <w:jc w:val="both"/>
      </w:pPr>
      <w:r>
        <w:rPr>
          <w:rFonts w:ascii="Times New Roman" w:hAnsi="Times New Roman" w:eastAsia="宋体"/>
          <w:b w:val="0"/>
          <w:sz w:val="22"/>
        </w:rPr>
        <w:t>从失效后果严重程度角度，电容器失效可划分为：</w:t>
      </w:r>
    </w:p>
    <w:p>
      <w:pPr>
        <w:spacing w:line="360" w:lineRule="auto" w:after="60"/>
        <w:ind w:firstLine="420"/>
        <w:jc w:val="both"/>
      </w:pPr>
      <w:r>
        <w:rPr>
          <w:rFonts w:ascii="Times New Roman" w:hAnsi="Times New Roman" w:eastAsia="宋体"/>
          <w:b w:val="0"/>
          <w:sz w:val="22"/>
        </w:rPr>
        <w:t>（1）灾难性失效（Catastrophic Failure），失效瞬间发生且不可逆，导致整机功能立即丧失或产生安全事件（如MLCC贯穿性短路导致板卡烧毁、钽电容燃烧、铝电解爆炸等）；</w:t>
      </w:r>
    </w:p>
    <w:p>
      <w:pPr>
        <w:spacing w:line="360" w:lineRule="auto" w:after="60"/>
        <w:ind w:firstLine="420"/>
        <w:jc w:val="both"/>
      </w:pPr>
      <w:r>
        <w:rPr>
          <w:rFonts w:ascii="Times New Roman" w:hAnsi="Times New Roman" w:eastAsia="宋体"/>
          <w:b w:val="0"/>
          <w:sz w:val="22"/>
        </w:rPr>
        <w:t>（2）参数退化失效（Parametric Failure），参数超出规格值而器件本身仍可工作，但整机性能不达标（如容量下降至额定值80%或ESR上升至额定值200%）；</w:t>
      </w:r>
    </w:p>
    <w:p>
      <w:pPr>
        <w:spacing w:line="360" w:lineRule="auto" w:after="60"/>
        <w:ind w:firstLine="420"/>
        <w:jc w:val="both"/>
      </w:pPr>
      <w:r>
        <w:rPr>
          <w:rFonts w:ascii="Times New Roman" w:hAnsi="Times New Roman" w:eastAsia="宋体"/>
          <w:b w:val="0"/>
          <w:sz w:val="22"/>
        </w:rPr>
        <w:t>（3）间歇性失效（Intermittent Failure），电参数不稳定、表现出时断时续的异常（如虚焊处的接触电阻起伏等），这类失效最难诊断。</w:t>
      </w:r>
    </w:p>
    <w:p>
      <w:pPr>
        <w:spacing w:line="360" w:lineRule="auto" w:after="60"/>
        <w:ind w:firstLine="420"/>
        <w:jc w:val="both"/>
      </w:pPr>
      <w:r>
        <w:rPr>
          <w:rFonts w:ascii="Times New Roman" w:hAnsi="Times New Roman" w:eastAsia="宋体"/>
          <w:b w:val="0"/>
          <w:sz w:val="22"/>
        </w:rPr>
        <w:t>从失效时间分布角度，失效又可分为：早期失效（infant mortality，通常由制造缺陷导致）、随机失效（random failure，由偶然应力尖峰触发）与耗损失效（wear-out failure，由长期老化累积导致）三类，对应著名的"浴盆曲线"（bathtub curve）。对于高品质电容器而言，出厂前的老炼（burn-in）筛选已基本消除早期失效，而整机层面真正需要关注的主要是随机失效率与耗损寿命。</w:t>
      </w:r>
    </w:p>
    <w:p>
      <w:pPr>
        <w:spacing w:before="240" w:after="120"/>
        <w:outlineLvl w:val="2"/>
      </w:pPr>
      <w:r>
        <w:rPr>
          <w:rFonts w:ascii="Times New Roman" w:hAnsi="Times New Roman" w:eastAsia="黑体"/>
          <w:b/>
          <w:sz w:val="30"/>
        </w:rPr>
        <w:t>3.2 开路失效</w:t>
      </w:r>
    </w:p>
    <w:p>
      <w:pPr>
        <w:spacing w:line="360" w:lineRule="auto" w:after="60"/>
        <w:ind w:firstLine="420"/>
        <w:jc w:val="both"/>
      </w:pPr>
      <w:r>
        <w:rPr>
          <w:rFonts w:ascii="Times New Roman" w:hAnsi="Times New Roman" w:eastAsia="宋体"/>
          <w:b w:val="0"/>
          <w:sz w:val="22"/>
        </w:rPr>
        <w:t>电容器的开路失效（Open-circuit Failure）表现为电容器两端呈现高阻抗或完全断开，失去储能功能。开路失效在整机层面常常表现为：滤波环节失去滤波作用导致输出纹波剧增、退耦电容失效引起IC供电噪声超标、谐振电容失效导致谐振回路失谐等。</w:t>
      </w:r>
    </w:p>
    <w:p>
      <w:pPr>
        <w:spacing w:line="360" w:lineRule="auto" w:after="60"/>
        <w:ind w:firstLine="420"/>
        <w:jc w:val="both"/>
      </w:pPr>
      <w:r>
        <w:rPr>
          <w:rFonts w:ascii="Times New Roman" w:hAnsi="Times New Roman" w:eastAsia="宋体"/>
          <w:b w:val="0"/>
          <w:sz w:val="22"/>
        </w:rPr>
        <w:t>3.2.1 铝电解电容器的开路失效</w:t>
      </w:r>
    </w:p>
    <w:p>
      <w:pPr>
        <w:spacing w:line="360" w:lineRule="auto" w:after="60"/>
        <w:ind w:firstLine="420"/>
        <w:jc w:val="both"/>
      </w:pPr>
      <w:r>
        <w:rPr>
          <w:rFonts w:ascii="Times New Roman" w:hAnsi="Times New Roman" w:eastAsia="宋体"/>
          <w:b w:val="0"/>
          <w:sz w:val="22"/>
        </w:rPr>
        <w:t>对于铝电解电容，开路失效最典型的诱因是电解液蒸发过度，使电解液逐渐干涸，阴极箔与阳极箔之间失去离子导电通路，宏观上表现为容量急剧下降、ESR急剧上升，最终趋近于开路。Parler在Cornell Dubilier白皮书中指出：当电解液质量损失超过40%时，Al-cap进入快速失效阶段，容量可能在数百小时内从初值下降到10%以下[23]。此外，铝电解的开路失效还可能由于内部压力积聚引起防爆阀开启，电解液喷出后内部接触失效；或者长期储存过程中阳极氧化膜溶解导致再加电时短路后又烧断引出片而开路。</w:t>
      </w:r>
    </w:p>
    <w:p>
      <w:pPr>
        <w:spacing w:line="360" w:lineRule="auto" w:after="60"/>
        <w:ind w:firstLine="420"/>
        <w:jc w:val="both"/>
      </w:pPr>
      <w:r>
        <w:rPr>
          <w:rFonts w:ascii="Times New Roman" w:hAnsi="Times New Roman" w:eastAsia="宋体"/>
          <w:b w:val="0"/>
          <w:sz w:val="22"/>
        </w:rPr>
        <w:t>3.2.2 MLCC的开路失效</w:t>
      </w:r>
    </w:p>
    <w:p>
      <w:pPr>
        <w:spacing w:line="360" w:lineRule="auto" w:after="60"/>
        <w:ind w:firstLine="420"/>
        <w:jc w:val="both"/>
      </w:pPr>
      <w:r>
        <w:rPr>
          <w:rFonts w:ascii="Times New Roman" w:hAnsi="Times New Roman" w:eastAsia="宋体"/>
          <w:b w:val="0"/>
          <w:sz w:val="22"/>
        </w:rPr>
        <w:t>MLCC的开路失效相对罕见，主要诱因包括：</w:t>
      </w:r>
    </w:p>
    <w:p>
      <w:pPr>
        <w:spacing w:line="360" w:lineRule="auto" w:after="60"/>
        <w:ind w:firstLine="420"/>
        <w:jc w:val="both"/>
      </w:pPr>
      <w:r>
        <w:rPr>
          <w:rFonts w:ascii="Times New Roman" w:hAnsi="Times New Roman" w:eastAsia="宋体"/>
          <w:b w:val="0"/>
          <w:sz w:val="22"/>
        </w:rPr>
        <w:t>（1）端电极与PCB之间的焊点开裂（无铅焊料在温度循环下的Sn晶须、IMC脆化等）；</w:t>
      </w:r>
    </w:p>
    <w:p>
      <w:pPr>
        <w:spacing w:line="360" w:lineRule="auto" w:after="60"/>
        <w:ind w:firstLine="420"/>
        <w:jc w:val="both"/>
      </w:pPr>
      <w:r>
        <w:rPr>
          <w:rFonts w:ascii="Times New Roman" w:hAnsi="Times New Roman" w:eastAsia="宋体"/>
          <w:b w:val="0"/>
          <w:sz w:val="22"/>
        </w:rPr>
        <w:t>（2）端电极与陶瓷本体之间分层（delamination），由热循环与CTE失配导致；</w:t>
      </w:r>
    </w:p>
    <w:p>
      <w:pPr>
        <w:spacing w:line="360" w:lineRule="auto" w:after="60"/>
        <w:ind w:firstLine="420"/>
        <w:jc w:val="both"/>
      </w:pPr>
      <w:r>
        <w:rPr>
          <w:rFonts w:ascii="Times New Roman" w:hAnsi="Times New Roman" w:eastAsia="宋体"/>
          <w:b w:val="0"/>
          <w:sz w:val="22"/>
        </w:rPr>
        <w:t>（3）机械应力引起的贯穿性裂纹截断所有内电极。</w:t>
      </w:r>
    </w:p>
    <w:p>
      <w:pPr>
        <w:spacing w:line="360" w:lineRule="auto" w:after="60"/>
        <w:ind w:firstLine="420"/>
        <w:jc w:val="both"/>
      </w:pPr>
      <w:r>
        <w:rPr>
          <w:rFonts w:ascii="Times New Roman" w:hAnsi="Times New Roman" w:eastAsia="宋体"/>
          <w:b w:val="0"/>
          <w:sz w:val="22"/>
        </w:rPr>
        <w:t>在消费电子和车载应用中，无铅焊料的热疲劳开裂已成为MLCC端接可靠性的关键瓶颈，Teverovsky等研究表明温度循环1000次后0805以上尺寸MLCC的端接失效率可显著上升[24]。</w:t>
      </w:r>
    </w:p>
    <w:p>
      <w:pPr>
        <w:spacing w:line="360" w:lineRule="auto" w:after="60"/>
        <w:ind w:firstLine="420"/>
        <w:jc w:val="both"/>
      </w:pPr>
      <w:r>
        <w:rPr>
          <w:rFonts w:ascii="Times New Roman" w:hAnsi="Times New Roman" w:eastAsia="宋体"/>
          <w:b w:val="0"/>
          <w:sz w:val="22"/>
        </w:rPr>
        <w:t>3.2.3 金属化膜电容器的开路失效</w:t>
      </w:r>
    </w:p>
    <w:p>
      <w:pPr>
        <w:spacing w:line="360" w:lineRule="auto" w:after="60"/>
        <w:ind w:firstLine="420"/>
        <w:jc w:val="both"/>
      </w:pPr>
      <w:r>
        <w:rPr>
          <w:rFonts w:ascii="Times New Roman" w:hAnsi="Times New Roman" w:eastAsia="宋体"/>
          <w:b w:val="0"/>
          <w:sz w:val="22"/>
        </w:rPr>
        <w:t>金属化膜电容器是开路型失效（open-mode failure）的典型代表。正是由于自愈机制的累积效应，BOPP薄膜电容在长期DC应力下，电极金属被渐进式地蒸发消耗，电极-介质界面不断重构，最终在整个绕组范围内形成不连续的电极，导致容量持续下降直至断路。这种失效模式是设计上"有意为之"的，相较短路失效对系统安全更为友好。然而，如果自愈过程过于剧烈（例如过电压导致大面积电弧），也可能出现电极瞬时断开或端面喷金脱落导致的快速开路。</w:t>
      </w:r>
    </w:p>
    <w:p>
      <w:pPr>
        <w:spacing w:line="360" w:lineRule="auto" w:after="60"/>
        <w:ind w:firstLine="420"/>
        <w:jc w:val="both"/>
      </w:pPr>
      <w:r>
        <w:rPr>
          <w:rFonts w:ascii="Times New Roman" w:hAnsi="Times New Roman" w:eastAsia="宋体"/>
          <w:b w:val="0"/>
          <w:sz w:val="22"/>
        </w:rPr>
        <w:t>3.2.4 钽电容器的开路失效</w:t>
      </w:r>
    </w:p>
    <w:p>
      <w:pPr>
        <w:spacing w:line="360" w:lineRule="auto" w:after="60"/>
        <w:ind w:firstLine="420"/>
        <w:jc w:val="both"/>
      </w:pPr>
      <w:r>
        <w:rPr>
          <w:rFonts w:ascii="Times New Roman" w:hAnsi="Times New Roman" w:eastAsia="宋体"/>
          <w:b w:val="0"/>
          <w:sz w:val="22"/>
        </w:rPr>
        <w:t>钽电容的开路失效主要发生在引线键合开裂、焊点疲劳及外壳内键合松脱等情况下。相较短路失效模式的高破坏性，开路失效在钽电容中反而相对温和。</w:t>
      </w:r>
    </w:p>
    <w:p>
      <w:pPr>
        <w:spacing w:line="360" w:lineRule="auto" w:after="60"/>
        <w:ind w:firstLine="420"/>
        <w:jc w:val="both"/>
      </w:pPr>
      <w:r>
        <w:rPr>
          <w:rFonts w:ascii="Times New Roman" w:hAnsi="Times New Roman" w:eastAsia="宋体"/>
          <w:b w:val="0"/>
          <w:sz w:val="22"/>
        </w:rPr>
        <w:t>3.2.5 超级电容器的开路失效</w:t>
      </w:r>
    </w:p>
    <w:p>
      <w:pPr>
        <w:spacing w:line="360" w:lineRule="auto" w:after="60"/>
        <w:ind w:firstLine="420"/>
        <w:jc w:val="both"/>
      </w:pPr>
      <w:r>
        <w:rPr>
          <w:rFonts w:ascii="Times New Roman" w:hAnsi="Times New Roman" w:eastAsia="宋体"/>
          <w:b w:val="0"/>
          <w:sz w:val="22"/>
        </w:rPr>
        <w:t>超级电容器的开路失效多见于：电解液完全干涸、集流体腐蚀断裂、极耳焊接点开裂、内部压力过高导致防爆阀破裂泄压后的内部结构松脱。电解液蒸发与集流体腐蚀是开路失效的核心驱动机理[11]。</w:t>
      </w:r>
    </w:p>
    <w:p>
      <w:pPr>
        <w:spacing w:before="240" w:after="120"/>
        <w:outlineLvl w:val="2"/>
      </w:pPr>
      <w:r>
        <w:rPr>
          <w:rFonts w:ascii="Times New Roman" w:hAnsi="Times New Roman" w:eastAsia="黑体"/>
          <w:b/>
          <w:sz w:val="30"/>
        </w:rPr>
        <w:t>3.3 短路失效</w:t>
      </w:r>
    </w:p>
    <w:p>
      <w:pPr>
        <w:spacing w:line="360" w:lineRule="auto" w:after="60"/>
        <w:ind w:firstLine="420"/>
        <w:jc w:val="both"/>
      </w:pPr>
      <w:r>
        <w:rPr>
          <w:rFonts w:ascii="Times New Roman" w:hAnsi="Times New Roman" w:eastAsia="宋体"/>
          <w:b w:val="0"/>
          <w:sz w:val="22"/>
        </w:rPr>
        <w:t>短路失效（Short-circuit Failure）是电容器两端形成低阻抗导电通路的情况，通常意味着介质绝缘性能彻底丧失。相较开路失效，短路失效的危害更为严重，可能引发直通电流、功率器件过流、系统总线电压骤降、PCB烧损乃至火灾。</w:t>
      </w:r>
    </w:p>
    <w:p>
      <w:pPr>
        <w:spacing w:line="360" w:lineRule="auto" w:after="60"/>
        <w:ind w:firstLine="420"/>
        <w:jc w:val="both"/>
      </w:pPr>
      <w:r>
        <w:rPr>
          <w:rFonts w:ascii="Times New Roman" w:hAnsi="Times New Roman" w:eastAsia="宋体"/>
          <w:b w:val="0"/>
          <w:sz w:val="22"/>
        </w:rPr>
        <w:t>3.3.1 MLCC的短路失效</w:t>
      </w:r>
    </w:p>
    <w:p>
      <w:pPr>
        <w:spacing w:line="360" w:lineRule="auto" w:after="60"/>
        <w:ind w:firstLine="420"/>
        <w:jc w:val="both"/>
      </w:pPr>
      <w:r>
        <w:rPr>
          <w:rFonts w:ascii="Times New Roman" w:hAnsi="Times New Roman" w:eastAsia="宋体"/>
          <w:b w:val="0"/>
          <w:sz w:val="22"/>
        </w:rPr>
        <w:t>MLCC短路失效是近十年被持续关注的重点课题，主要诱因包括：</w:t>
      </w:r>
    </w:p>
    <w:p>
      <w:pPr>
        <w:spacing w:line="360" w:lineRule="auto" w:after="60"/>
        <w:ind w:firstLine="420"/>
        <w:jc w:val="both"/>
      </w:pPr>
      <w:r>
        <w:rPr>
          <w:rFonts w:ascii="Times New Roman" w:hAnsi="Times New Roman" w:eastAsia="宋体"/>
          <w:b w:val="0"/>
          <w:sz w:val="22"/>
        </w:rPr>
        <w:t>（1）陶瓷本体机械裂纹，特别是板级弯曲引起的"flex crack"（弯曲裂纹）——KEMET、TDK等厂商的大量工程数据显示，1210以上大尺寸MLCC更为敏感；当PCB弯曲应变超过1000 μstrain时，flex crack的发生概率迅速上升[25][26]；</w:t>
      </w:r>
    </w:p>
    <w:p>
      <w:pPr>
        <w:spacing w:line="360" w:lineRule="auto" w:after="60"/>
        <w:ind w:firstLine="420"/>
        <w:jc w:val="both"/>
      </w:pPr>
      <w:r>
        <w:rPr>
          <w:rFonts w:ascii="Times New Roman" w:hAnsi="Times New Roman" w:eastAsia="宋体"/>
          <w:b w:val="0"/>
          <w:sz w:val="22"/>
        </w:rPr>
        <w:t>（2）介质层内部缺陷引起的本征击穿（intrinsic breakdown），常见缺陷包括烧结孔洞、夹杂、分层、电极边缘毛刺等；</w:t>
      </w:r>
    </w:p>
    <w:p>
      <w:pPr>
        <w:spacing w:line="360" w:lineRule="auto" w:after="60"/>
        <w:ind w:firstLine="420"/>
        <w:jc w:val="both"/>
      </w:pPr>
      <w:r>
        <w:rPr>
          <w:rFonts w:ascii="Times New Roman" w:hAnsi="Times New Roman" w:eastAsia="宋体"/>
          <w:b w:val="0"/>
          <w:sz w:val="22"/>
        </w:rPr>
        <w:t>（3）BME-MLCC在长期DC偏置下由氧空位迁移引起的热失控击穿（Liu-Sampson NASA TM模型[4]）；</w:t>
      </w:r>
    </w:p>
    <w:p>
      <w:pPr>
        <w:spacing w:line="360" w:lineRule="auto" w:after="60"/>
        <w:ind w:firstLine="420"/>
        <w:jc w:val="both"/>
      </w:pPr>
      <w:r>
        <w:rPr>
          <w:rFonts w:ascii="Times New Roman" w:hAnsi="Times New Roman" w:eastAsia="宋体"/>
          <w:b w:val="0"/>
          <w:sz w:val="22"/>
        </w:rPr>
        <w:t>（4）ESD/EOS瞬态过压引起的瞬时击穿；</w:t>
      </w:r>
    </w:p>
    <w:p>
      <w:pPr>
        <w:spacing w:line="360" w:lineRule="auto" w:after="60"/>
        <w:ind w:firstLine="420"/>
        <w:jc w:val="both"/>
      </w:pPr>
      <w:r>
        <w:rPr>
          <w:rFonts w:ascii="Times New Roman" w:hAnsi="Times New Roman" w:eastAsia="宋体"/>
          <w:b w:val="0"/>
          <w:sz w:val="22"/>
        </w:rPr>
        <w:t>（5）端电极银迁移（Ag migration）或铜迁移（Cu migration）引起的表面爬行短路，特别在高湿环境下。</w:t>
      </w:r>
    </w:p>
    <w:p>
      <w:pPr>
        <w:spacing w:line="360" w:lineRule="auto" w:after="60"/>
        <w:ind w:firstLine="420"/>
        <w:jc w:val="both"/>
      </w:pPr>
      <w:r>
        <w:rPr>
          <w:rFonts w:ascii="Times New Roman" w:hAnsi="Times New Roman" w:eastAsia="宋体"/>
          <w:b w:val="0"/>
          <w:sz w:val="22"/>
        </w:rPr>
        <w:t>从失效时间分布看，缺陷型早期短路服从Weibull分布（β&lt;1），而耗损型短路服从β&gt;1的Weibull分布，二者的机理模型应分别建立[4]。</w:t>
      </w:r>
    </w:p>
    <w:p>
      <w:pPr>
        <w:spacing w:line="360" w:lineRule="auto" w:after="60"/>
        <w:ind w:firstLine="420"/>
        <w:jc w:val="both"/>
      </w:pPr>
      <w:r>
        <w:rPr>
          <w:rFonts w:ascii="Times New Roman" w:hAnsi="Times New Roman" w:eastAsia="宋体"/>
          <w:b w:val="0"/>
          <w:sz w:val="22"/>
        </w:rPr>
        <w:t>3.3.2 钽电容器的短路失效</w:t>
      </w:r>
    </w:p>
    <w:p>
      <w:pPr>
        <w:spacing w:line="360" w:lineRule="auto" w:after="60"/>
        <w:ind w:firstLine="420"/>
        <w:jc w:val="both"/>
      </w:pPr>
      <w:r>
        <w:rPr>
          <w:rFonts w:ascii="Times New Roman" w:hAnsi="Times New Roman" w:eastAsia="宋体"/>
          <w:b w:val="0"/>
          <w:sz w:val="22"/>
        </w:rPr>
        <w:t>钽电容的短路失效是最具代表性的灾难性失效，通常表现为瞬间着火。其根本原因是Ta2O5介质在电场作用下的场致结晶与随后的热失控：局部漏电流增加—焦耳热升高—氧化膜进一步失稳—漏电流进一步增加的正反馈闭环一旦启动，便不可逆转，最终导致钽金属与MnO2反应燃烧[9][10]。MnO2阴极体系具有一定的"热自愈"能力——当局部温度达到临界点，MnO2可被还原为Mn2O3从而在缺陷点形成绝缘层阻断电流。但对于导电聚合物阴极体系，这种热自愈机制不再存在，因此对浪涌电流更敏感，设计上需要更高的电压降额（通常建议50%~60%）。</w:t>
      </w:r>
    </w:p>
    <w:p>
      <w:pPr>
        <w:spacing w:line="360" w:lineRule="auto" w:after="60"/>
        <w:ind w:firstLine="420"/>
        <w:jc w:val="both"/>
      </w:pPr>
      <w:r>
        <w:rPr>
          <w:rFonts w:ascii="Times New Roman" w:hAnsi="Times New Roman" w:eastAsia="宋体"/>
          <w:b w:val="0"/>
          <w:sz w:val="22"/>
        </w:rPr>
        <w:t>3.3.3 铝电解电容器的短路失效</w:t>
      </w:r>
    </w:p>
    <w:p>
      <w:pPr>
        <w:spacing w:line="360" w:lineRule="auto" w:after="60"/>
        <w:ind w:firstLine="420"/>
        <w:jc w:val="both"/>
      </w:pPr>
      <w:r>
        <w:rPr>
          <w:rFonts w:ascii="Times New Roman" w:hAnsi="Times New Roman" w:eastAsia="宋体"/>
          <w:b w:val="0"/>
          <w:sz w:val="22"/>
        </w:rPr>
        <w:t>液态铝电解电容短路失效相对较少，常见于：介质氧化膜缺陷处的局部击穿；反向电压引起的阴极箔剧烈气化；长期高温贮存过程中电解液中溴、氯等杂质离子侵蚀Al2O3介质。固态聚合物铝电容由于聚合物电解质不具备"再生"阳极氧化膜的能力，一旦介质局部击穿便直接形成短路，因此其短路失效率相对液态高，并对PCB温升更为敏感[16]。</w:t>
      </w:r>
    </w:p>
    <w:p>
      <w:pPr>
        <w:spacing w:line="360" w:lineRule="auto" w:after="60"/>
        <w:ind w:firstLine="420"/>
        <w:jc w:val="both"/>
      </w:pPr>
      <w:r>
        <w:rPr>
          <w:rFonts w:ascii="Times New Roman" w:hAnsi="Times New Roman" w:eastAsia="宋体"/>
          <w:b w:val="0"/>
          <w:sz w:val="22"/>
        </w:rPr>
        <w:t>3.3.4 金属化膜电容器的短路失效</w:t>
      </w:r>
    </w:p>
    <w:p>
      <w:pPr>
        <w:spacing w:line="360" w:lineRule="auto" w:after="60"/>
        <w:ind w:firstLine="420"/>
        <w:jc w:val="both"/>
      </w:pPr>
      <w:r>
        <w:rPr>
          <w:rFonts w:ascii="Times New Roman" w:hAnsi="Times New Roman" w:eastAsia="宋体"/>
          <w:b w:val="0"/>
          <w:sz w:val="22"/>
        </w:rPr>
        <w:t>得益于自愈机制，金属化膜电容的短路失效相对罕见。但在某些极端工况下仍可能发生，例如：端面喷金与卷绕层之间形成电弧后的熔融短路；长期热应力下薄膜收缩引起的电极层错位短路；薄膜中局部水汽渗入引起的湿态击穿。</w:t>
      </w:r>
    </w:p>
    <w:p>
      <w:pPr>
        <w:spacing w:line="360" w:lineRule="auto" w:after="60"/>
        <w:ind w:firstLine="420"/>
        <w:jc w:val="both"/>
      </w:pPr>
      <w:r>
        <w:rPr>
          <w:rFonts w:ascii="Times New Roman" w:hAnsi="Times New Roman" w:eastAsia="宋体"/>
          <w:b w:val="0"/>
          <w:sz w:val="22"/>
        </w:rPr>
        <w:t>3.3.5 超级电容器的短路失效</w:t>
      </w:r>
    </w:p>
    <w:p>
      <w:pPr>
        <w:spacing w:line="360" w:lineRule="auto" w:after="60"/>
        <w:ind w:firstLine="420"/>
        <w:jc w:val="both"/>
      </w:pPr>
      <w:r>
        <w:rPr>
          <w:rFonts w:ascii="Times New Roman" w:hAnsi="Times New Roman" w:eastAsia="宋体"/>
          <w:b w:val="0"/>
          <w:sz w:val="22"/>
        </w:rPr>
        <w:t>超级电容的短路失效一般表现为温度升高、内部气体积聚引发的防爆阀开启；极少数情况下可能引发电解液燃烧。过充、反接、长期过压均可诱发短路[11]。</w:t>
      </w:r>
    </w:p>
    <w:p>
      <w:pPr>
        <w:spacing w:before="240" w:after="120"/>
        <w:outlineLvl w:val="2"/>
      </w:pPr>
      <w:r>
        <w:rPr>
          <w:rFonts w:ascii="Times New Roman" w:hAnsi="Times New Roman" w:eastAsia="黑体"/>
          <w:b/>
          <w:sz w:val="30"/>
        </w:rPr>
        <w:t>3.4 参数漂移失效</w:t>
      </w:r>
    </w:p>
    <w:p>
      <w:pPr>
        <w:spacing w:line="360" w:lineRule="auto" w:after="60"/>
        <w:ind w:firstLine="420"/>
        <w:jc w:val="both"/>
      </w:pPr>
      <w:r>
        <w:rPr>
          <w:rFonts w:ascii="Times New Roman" w:hAnsi="Times New Roman" w:eastAsia="宋体"/>
          <w:b w:val="0"/>
          <w:sz w:val="22"/>
        </w:rPr>
        <w:t>参数漂移失效（Parametric Drift Failure）是指电容器容量（C）、等效串联电阻（ESR）、损耗因数（tanδ）、漏电流（LC或IR）等电参数逐渐偏离初始规格而超出允许公差的失效形式。在整机可靠性评估中，参数漂移失效往往先于灾难性失效发生，是预测性维护与健康管理（PHM）系统关注的核心对象。</w:t>
      </w:r>
    </w:p>
    <w:p>
      <w:pPr>
        <w:spacing w:line="360" w:lineRule="auto" w:after="60"/>
        <w:ind w:firstLine="420"/>
        <w:jc w:val="both"/>
      </w:pPr>
      <w:r>
        <w:rPr>
          <w:rFonts w:ascii="Times New Roman" w:hAnsi="Times New Roman" w:eastAsia="宋体"/>
          <w:b w:val="0"/>
          <w:sz w:val="22"/>
        </w:rPr>
        <w:t>3.4.1 典型参数退化规律</w:t>
      </w:r>
    </w:p>
    <w:p>
      <w:pPr>
        <w:spacing w:line="360" w:lineRule="auto" w:after="60"/>
        <w:ind w:firstLine="420"/>
        <w:jc w:val="both"/>
      </w:pPr>
      <w:r>
        <w:rPr>
          <w:rFonts w:ascii="Times New Roman" w:hAnsi="Times New Roman" w:eastAsia="宋体"/>
          <w:b w:val="0"/>
          <w:sz w:val="22"/>
        </w:rPr>
        <w:t>表3-1汇总了不同类型电容器在老化过程中的参数退化趋势。</w:t>
      </w:r>
    </w:p>
    <w:p>
      <w:pPr>
        <w:jc w:val="center"/>
      </w:pPr>
      <w:r>
        <w:rPr>
          <w:rFonts w:ascii="Times New Roman" w:hAnsi="Times New Roman" w:eastAsia="黑体"/>
          <w:b/>
          <w:sz w:val="21"/>
        </w:rPr>
        <w:t>表3-1  五类电容器参数退化趋势与典型EoL判据</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黑体"/>
                <w:b/>
                <w:sz w:val="20"/>
              </w:rPr>
              <w:t>类型</w:t>
            </w:r>
          </w:p>
        </w:tc>
        <w:tc>
          <w:tcPr>
            <w:tcW w:type="dxa" w:w="1385"/>
          </w:tcPr>
          <w:p>
            <w:pPr>
              <w:jc w:val="center"/>
            </w:pPr>
            <w:r/>
            <w:r>
              <w:rPr>
                <w:rFonts w:ascii="Times New Roman" w:hAnsi="Times New Roman" w:eastAsia="黑体"/>
                <w:b/>
                <w:sz w:val="20"/>
              </w:rPr>
              <w:t>容量C变化</w:t>
            </w:r>
          </w:p>
        </w:tc>
        <w:tc>
          <w:tcPr>
            <w:tcW w:type="dxa" w:w="1385"/>
          </w:tcPr>
          <w:p>
            <w:pPr>
              <w:jc w:val="center"/>
            </w:pPr>
            <w:r/>
            <w:r>
              <w:rPr>
                <w:rFonts w:ascii="Times New Roman" w:hAnsi="Times New Roman" w:eastAsia="黑体"/>
                <w:b/>
                <w:sz w:val="20"/>
              </w:rPr>
              <w:t>ESR变化</w:t>
            </w:r>
          </w:p>
        </w:tc>
        <w:tc>
          <w:tcPr>
            <w:tcW w:type="dxa" w:w="1385"/>
          </w:tcPr>
          <w:p>
            <w:pPr>
              <w:jc w:val="center"/>
            </w:pPr>
            <w:r/>
            <w:r>
              <w:rPr>
                <w:rFonts w:ascii="Times New Roman" w:hAnsi="Times New Roman" w:eastAsia="黑体"/>
                <w:b/>
                <w:sz w:val="20"/>
              </w:rPr>
              <w:t>tanδ变化</w:t>
            </w:r>
          </w:p>
        </w:tc>
        <w:tc>
          <w:tcPr>
            <w:tcW w:type="dxa" w:w="1385"/>
          </w:tcPr>
          <w:p>
            <w:pPr>
              <w:jc w:val="center"/>
            </w:pPr>
            <w:r/>
            <w:r>
              <w:rPr>
                <w:rFonts w:ascii="Times New Roman" w:hAnsi="Times New Roman" w:eastAsia="黑体"/>
                <w:b/>
                <w:sz w:val="20"/>
              </w:rPr>
              <w:t>漏电流变化</w:t>
            </w:r>
          </w:p>
        </w:tc>
        <w:tc>
          <w:tcPr>
            <w:tcW w:type="dxa" w:w="1385"/>
          </w:tcPr>
          <w:p>
            <w:pPr>
              <w:jc w:val="center"/>
            </w:pPr>
            <w:r/>
            <w:r>
              <w:rPr>
                <w:rFonts w:ascii="Times New Roman" w:hAnsi="Times New Roman" w:eastAsia="黑体"/>
                <w:b/>
                <w:sz w:val="20"/>
              </w:rPr>
              <w:t>典型EoL判据</w:t>
            </w:r>
          </w:p>
        </w:tc>
      </w:tr>
      <w:tr>
        <w:tc>
          <w:tcPr>
            <w:tcW w:type="dxa" w:w="1385"/>
          </w:tcPr>
          <w:p>
            <w:pPr>
              <w:jc w:val="left"/>
            </w:pPr>
            <w:r/>
            <w:r>
              <w:rPr>
                <w:rFonts w:ascii="Times New Roman" w:hAnsi="Times New Roman" w:eastAsia="宋体"/>
                <w:b w:val="0"/>
                <w:sz w:val="20"/>
              </w:rPr>
              <w:t>铝电解(液态)</w:t>
            </w:r>
          </w:p>
        </w:tc>
        <w:tc>
          <w:tcPr>
            <w:tcW w:type="dxa" w:w="1385"/>
          </w:tcPr>
          <w:p>
            <w:pPr>
              <w:jc w:val="left"/>
            </w:pPr>
            <w:r/>
            <w:r>
              <w:rPr>
                <w:rFonts w:ascii="Times New Roman" w:hAnsi="Times New Roman" w:eastAsia="宋体"/>
                <w:b w:val="0"/>
                <w:sz w:val="20"/>
              </w:rPr>
              <w:t>↓10%-40%</w:t>
            </w:r>
          </w:p>
        </w:tc>
        <w:tc>
          <w:tcPr>
            <w:tcW w:type="dxa" w:w="1385"/>
          </w:tcPr>
          <w:p>
            <w:pPr>
              <w:jc w:val="left"/>
            </w:pPr>
            <w:r/>
            <w:r>
              <w:rPr>
                <w:rFonts w:ascii="Times New Roman" w:hAnsi="Times New Roman" w:eastAsia="宋体"/>
                <w:b w:val="0"/>
                <w:sz w:val="20"/>
              </w:rPr>
              <w:t>↑2-5倍</w:t>
            </w:r>
          </w:p>
        </w:tc>
        <w:tc>
          <w:tcPr>
            <w:tcW w:type="dxa" w:w="1385"/>
          </w:tcPr>
          <w:p>
            <w:pPr>
              <w:jc w:val="left"/>
            </w:pPr>
            <w:r/>
            <w:r>
              <w:rPr>
                <w:rFonts w:ascii="Times New Roman" w:hAnsi="Times New Roman" w:eastAsia="宋体"/>
                <w:b w:val="0"/>
                <w:sz w:val="20"/>
              </w:rPr>
              <w:t>↑明显</w:t>
            </w:r>
          </w:p>
        </w:tc>
        <w:tc>
          <w:tcPr>
            <w:tcW w:type="dxa" w:w="1385"/>
          </w:tcPr>
          <w:p>
            <w:pPr>
              <w:jc w:val="left"/>
            </w:pPr>
            <w:r/>
            <w:r>
              <w:rPr>
                <w:rFonts w:ascii="Times New Roman" w:hAnsi="Times New Roman" w:eastAsia="宋体"/>
                <w:b w:val="0"/>
                <w:sz w:val="20"/>
              </w:rPr>
              <w:t>略↑</w:t>
            </w:r>
          </w:p>
        </w:tc>
        <w:tc>
          <w:tcPr>
            <w:tcW w:type="dxa" w:w="1385"/>
          </w:tcPr>
          <w:p>
            <w:pPr>
              <w:jc w:val="left"/>
            </w:pPr>
            <w:r/>
            <w:r>
              <w:rPr>
                <w:rFonts w:ascii="Times New Roman" w:hAnsi="Times New Roman" w:eastAsia="宋体"/>
                <w:b w:val="0"/>
                <w:sz w:val="20"/>
              </w:rPr>
              <w:t>C下降20%或ESR升至2倍</w:t>
            </w:r>
          </w:p>
        </w:tc>
      </w:tr>
      <w:tr>
        <w:tc>
          <w:tcPr>
            <w:tcW w:type="dxa" w:w="1385"/>
          </w:tcPr>
          <w:p>
            <w:pPr>
              <w:jc w:val="left"/>
            </w:pPr>
            <w:r/>
            <w:r>
              <w:rPr>
                <w:rFonts w:ascii="Times New Roman" w:hAnsi="Times New Roman" w:eastAsia="宋体"/>
                <w:b w:val="0"/>
                <w:sz w:val="20"/>
              </w:rPr>
              <w:t>铝电解(聚合物)</w:t>
            </w:r>
          </w:p>
        </w:tc>
        <w:tc>
          <w:tcPr>
            <w:tcW w:type="dxa" w:w="1385"/>
          </w:tcPr>
          <w:p>
            <w:pPr>
              <w:jc w:val="left"/>
            </w:pPr>
            <w:r/>
            <w:r>
              <w:rPr>
                <w:rFonts w:ascii="Times New Roman" w:hAnsi="Times New Roman" w:eastAsia="宋体"/>
                <w:b w:val="0"/>
                <w:sz w:val="20"/>
              </w:rPr>
              <w:t>↓5%-20%</w:t>
            </w:r>
          </w:p>
        </w:tc>
        <w:tc>
          <w:tcPr>
            <w:tcW w:type="dxa" w:w="1385"/>
          </w:tcPr>
          <w:p>
            <w:pPr>
              <w:jc w:val="left"/>
            </w:pPr>
            <w:r/>
            <w:r>
              <w:rPr>
                <w:rFonts w:ascii="Times New Roman" w:hAnsi="Times New Roman" w:eastAsia="宋体"/>
                <w:b w:val="0"/>
                <w:sz w:val="20"/>
              </w:rPr>
              <w:t>↑1-3倍</w:t>
            </w:r>
          </w:p>
        </w:tc>
        <w:tc>
          <w:tcPr>
            <w:tcW w:type="dxa" w:w="1385"/>
          </w:tcPr>
          <w:p>
            <w:pPr>
              <w:jc w:val="left"/>
            </w:pPr>
            <w:r/>
            <w:r>
              <w:rPr>
                <w:rFonts w:ascii="Times New Roman" w:hAnsi="Times New Roman" w:eastAsia="宋体"/>
                <w:b w:val="0"/>
                <w:sz w:val="20"/>
              </w:rPr>
              <w:t>↑轻微</w:t>
            </w:r>
          </w:p>
        </w:tc>
        <w:tc>
          <w:tcPr>
            <w:tcW w:type="dxa" w:w="1385"/>
          </w:tcPr>
          <w:p>
            <w:pPr>
              <w:jc w:val="left"/>
            </w:pPr>
            <w:r/>
            <w:r>
              <w:rPr>
                <w:rFonts w:ascii="Times New Roman" w:hAnsi="Times New Roman" w:eastAsia="宋体"/>
                <w:b w:val="0"/>
                <w:sz w:val="20"/>
              </w:rPr>
              <w:t>不明显</w:t>
            </w:r>
          </w:p>
        </w:tc>
        <w:tc>
          <w:tcPr>
            <w:tcW w:type="dxa" w:w="1385"/>
          </w:tcPr>
          <w:p>
            <w:pPr>
              <w:jc w:val="left"/>
            </w:pPr>
            <w:r/>
            <w:r>
              <w:rPr>
                <w:rFonts w:ascii="Times New Roman" w:hAnsi="Times New Roman" w:eastAsia="宋体"/>
                <w:b w:val="0"/>
                <w:sz w:val="20"/>
              </w:rPr>
              <w:t>C下降10%或ESR升至2倍</w:t>
            </w:r>
          </w:p>
        </w:tc>
      </w:tr>
      <w:tr>
        <w:tc>
          <w:tcPr>
            <w:tcW w:type="dxa" w:w="1385"/>
          </w:tcPr>
          <w:p>
            <w:pPr>
              <w:jc w:val="left"/>
            </w:pPr>
            <w:r/>
            <w:r>
              <w:rPr>
                <w:rFonts w:ascii="Times New Roman" w:hAnsi="Times New Roman" w:eastAsia="宋体"/>
                <w:b w:val="0"/>
                <w:sz w:val="20"/>
              </w:rPr>
              <w:t>MLCC</w:t>
            </w:r>
          </w:p>
        </w:tc>
        <w:tc>
          <w:tcPr>
            <w:tcW w:type="dxa" w:w="1385"/>
          </w:tcPr>
          <w:p>
            <w:pPr>
              <w:jc w:val="left"/>
            </w:pPr>
            <w:r/>
            <w:r>
              <w:rPr>
                <w:rFonts w:ascii="Times New Roman" w:hAnsi="Times New Roman" w:eastAsia="宋体"/>
                <w:b w:val="0"/>
                <w:sz w:val="20"/>
              </w:rPr>
              <w:t>↓5%-15%(老化+降介)</w:t>
            </w:r>
          </w:p>
        </w:tc>
        <w:tc>
          <w:tcPr>
            <w:tcW w:type="dxa" w:w="1385"/>
          </w:tcPr>
          <w:p>
            <w:pPr>
              <w:jc w:val="left"/>
            </w:pPr>
            <w:r/>
            <w:r>
              <w:rPr>
                <w:rFonts w:ascii="Times New Roman" w:hAnsi="Times New Roman" w:eastAsia="宋体"/>
                <w:b w:val="0"/>
                <w:sz w:val="20"/>
              </w:rPr>
              <w:t>↑轻微</w:t>
            </w:r>
          </w:p>
        </w:tc>
        <w:tc>
          <w:tcPr>
            <w:tcW w:type="dxa" w:w="1385"/>
          </w:tcPr>
          <w:p>
            <w:pPr>
              <w:jc w:val="left"/>
            </w:pPr>
            <w:r/>
            <w:r>
              <w:rPr>
                <w:rFonts w:ascii="Times New Roman" w:hAnsi="Times New Roman" w:eastAsia="宋体"/>
                <w:b w:val="0"/>
                <w:sz w:val="20"/>
              </w:rPr>
              <w:t>↑轻微</w:t>
            </w:r>
          </w:p>
        </w:tc>
        <w:tc>
          <w:tcPr>
            <w:tcW w:type="dxa" w:w="1385"/>
          </w:tcPr>
          <w:p>
            <w:pPr>
              <w:jc w:val="left"/>
            </w:pPr>
            <w:r/>
            <w:r>
              <w:rPr>
                <w:rFonts w:ascii="Times New Roman" w:hAnsi="Times New Roman" w:eastAsia="宋体"/>
                <w:b w:val="0"/>
                <w:sz w:val="20"/>
              </w:rPr>
              <w:t>↑可突变</w:t>
            </w:r>
          </w:p>
        </w:tc>
        <w:tc>
          <w:tcPr>
            <w:tcW w:type="dxa" w:w="1385"/>
          </w:tcPr>
          <w:p>
            <w:pPr>
              <w:jc w:val="left"/>
            </w:pPr>
            <w:r/>
            <w:r>
              <w:rPr>
                <w:rFonts w:ascii="Times New Roman" w:hAnsi="Times New Roman" w:eastAsia="宋体"/>
                <w:b w:val="0"/>
                <w:sz w:val="20"/>
              </w:rPr>
              <w:t>C下降10%或IR下降一个量级</w:t>
            </w:r>
          </w:p>
        </w:tc>
      </w:tr>
      <w:tr>
        <w:tc>
          <w:tcPr>
            <w:tcW w:type="dxa" w:w="1385"/>
          </w:tcPr>
          <w:p>
            <w:pPr>
              <w:jc w:val="left"/>
            </w:pPr>
            <w:r/>
            <w:r>
              <w:rPr>
                <w:rFonts w:ascii="Times New Roman" w:hAnsi="Times New Roman" w:eastAsia="宋体"/>
                <w:b w:val="0"/>
                <w:sz w:val="20"/>
              </w:rPr>
              <w:t>金属化薄膜</w:t>
            </w:r>
          </w:p>
        </w:tc>
        <w:tc>
          <w:tcPr>
            <w:tcW w:type="dxa" w:w="1385"/>
          </w:tcPr>
          <w:p>
            <w:pPr>
              <w:jc w:val="left"/>
            </w:pPr>
            <w:r/>
            <w:r>
              <w:rPr>
                <w:rFonts w:ascii="Times New Roman" w:hAnsi="Times New Roman" w:eastAsia="宋体"/>
                <w:b w:val="0"/>
                <w:sz w:val="20"/>
              </w:rPr>
              <w:t>↓5%-20%(自愈耗损)</w:t>
            </w:r>
          </w:p>
        </w:tc>
        <w:tc>
          <w:tcPr>
            <w:tcW w:type="dxa" w:w="1385"/>
          </w:tcPr>
          <w:p>
            <w:pPr>
              <w:jc w:val="left"/>
            </w:pPr>
            <w:r/>
            <w:r>
              <w:rPr>
                <w:rFonts w:ascii="Times New Roman" w:hAnsi="Times New Roman" w:eastAsia="宋体"/>
                <w:b w:val="0"/>
                <w:sz w:val="20"/>
              </w:rPr>
              <w:t>↑轻微</w:t>
            </w:r>
          </w:p>
        </w:tc>
        <w:tc>
          <w:tcPr>
            <w:tcW w:type="dxa" w:w="1385"/>
          </w:tcPr>
          <w:p>
            <w:pPr>
              <w:jc w:val="left"/>
            </w:pPr>
            <w:r/>
            <w:r>
              <w:rPr>
                <w:rFonts w:ascii="Times New Roman" w:hAnsi="Times New Roman" w:eastAsia="宋体"/>
                <w:b w:val="0"/>
                <w:sz w:val="20"/>
              </w:rPr>
              <w:t>↑轻微</w:t>
            </w:r>
          </w:p>
        </w:tc>
        <w:tc>
          <w:tcPr>
            <w:tcW w:type="dxa" w:w="1385"/>
          </w:tcPr>
          <w:p>
            <w:pPr>
              <w:jc w:val="left"/>
            </w:pPr>
            <w:r/>
            <w:r>
              <w:rPr>
                <w:rFonts w:ascii="Times New Roman" w:hAnsi="Times New Roman" w:eastAsia="宋体"/>
                <w:b w:val="0"/>
                <w:sz w:val="20"/>
              </w:rPr>
              <w:t>略↑</w:t>
            </w:r>
          </w:p>
        </w:tc>
        <w:tc>
          <w:tcPr>
            <w:tcW w:type="dxa" w:w="1385"/>
          </w:tcPr>
          <w:p>
            <w:pPr>
              <w:jc w:val="left"/>
            </w:pPr>
            <w:r/>
            <w:r>
              <w:rPr>
                <w:rFonts w:ascii="Times New Roman" w:hAnsi="Times New Roman" w:eastAsia="宋体"/>
                <w:b w:val="0"/>
                <w:sz w:val="20"/>
              </w:rPr>
              <w:t>C下降5%或10%</w:t>
            </w:r>
          </w:p>
        </w:tc>
      </w:tr>
      <w:tr>
        <w:tc>
          <w:tcPr>
            <w:tcW w:type="dxa" w:w="1385"/>
          </w:tcPr>
          <w:p>
            <w:pPr>
              <w:jc w:val="left"/>
            </w:pPr>
            <w:r/>
            <w:r>
              <w:rPr>
                <w:rFonts w:ascii="Times New Roman" w:hAnsi="Times New Roman" w:eastAsia="宋体"/>
                <w:b w:val="0"/>
                <w:sz w:val="20"/>
              </w:rPr>
              <w:t>钽电容</w:t>
            </w:r>
          </w:p>
        </w:tc>
        <w:tc>
          <w:tcPr>
            <w:tcW w:type="dxa" w:w="1385"/>
          </w:tcPr>
          <w:p>
            <w:pPr>
              <w:jc w:val="left"/>
            </w:pPr>
            <w:r/>
            <w:r>
              <w:rPr>
                <w:rFonts w:ascii="Times New Roman" w:hAnsi="Times New Roman" w:eastAsia="宋体"/>
                <w:b w:val="0"/>
                <w:sz w:val="20"/>
              </w:rPr>
              <w:t>变化小</w:t>
            </w:r>
          </w:p>
        </w:tc>
        <w:tc>
          <w:tcPr>
            <w:tcW w:type="dxa" w:w="1385"/>
          </w:tcPr>
          <w:p>
            <w:pPr>
              <w:jc w:val="left"/>
            </w:pPr>
            <w:r/>
            <w:r>
              <w:rPr>
                <w:rFonts w:ascii="Times New Roman" w:hAnsi="Times New Roman" w:eastAsia="宋体"/>
                <w:b w:val="0"/>
                <w:sz w:val="20"/>
              </w:rPr>
              <w:t>略↑</w:t>
            </w:r>
          </w:p>
        </w:tc>
        <w:tc>
          <w:tcPr>
            <w:tcW w:type="dxa" w:w="1385"/>
          </w:tcPr>
          <w:p>
            <w:pPr>
              <w:jc w:val="left"/>
            </w:pPr>
            <w:r/>
            <w:r>
              <w:rPr>
                <w:rFonts w:ascii="Times New Roman" w:hAnsi="Times New Roman" w:eastAsia="宋体"/>
                <w:b w:val="0"/>
                <w:sz w:val="20"/>
              </w:rPr>
              <w:t>略↑</w:t>
            </w:r>
          </w:p>
        </w:tc>
        <w:tc>
          <w:tcPr>
            <w:tcW w:type="dxa" w:w="1385"/>
          </w:tcPr>
          <w:p>
            <w:pPr>
              <w:jc w:val="left"/>
            </w:pPr>
            <w:r/>
            <w:r>
              <w:rPr>
                <w:rFonts w:ascii="Times New Roman" w:hAnsi="Times New Roman" w:eastAsia="宋体"/>
                <w:b w:val="0"/>
                <w:sz w:val="20"/>
              </w:rPr>
              <w:t>↑可突变</w:t>
            </w:r>
          </w:p>
        </w:tc>
        <w:tc>
          <w:tcPr>
            <w:tcW w:type="dxa" w:w="1385"/>
          </w:tcPr>
          <w:p>
            <w:pPr>
              <w:jc w:val="left"/>
            </w:pPr>
            <w:r/>
            <w:r>
              <w:rPr>
                <w:rFonts w:ascii="Times New Roman" w:hAnsi="Times New Roman" w:eastAsia="宋体"/>
                <w:b w:val="0"/>
                <w:sz w:val="20"/>
              </w:rPr>
              <w:t>DCL &gt; 规格值</w:t>
            </w:r>
          </w:p>
        </w:tc>
      </w:tr>
      <w:tr>
        <w:tc>
          <w:tcPr>
            <w:tcW w:type="dxa" w:w="1385"/>
          </w:tcPr>
          <w:p>
            <w:pPr>
              <w:jc w:val="left"/>
            </w:pPr>
            <w:r/>
            <w:r>
              <w:rPr>
                <w:rFonts w:ascii="Times New Roman" w:hAnsi="Times New Roman" w:eastAsia="宋体"/>
                <w:b w:val="0"/>
                <w:sz w:val="20"/>
              </w:rPr>
              <w:t>超级电容</w:t>
            </w:r>
          </w:p>
        </w:tc>
        <w:tc>
          <w:tcPr>
            <w:tcW w:type="dxa" w:w="1385"/>
          </w:tcPr>
          <w:p>
            <w:pPr>
              <w:jc w:val="left"/>
            </w:pPr>
            <w:r/>
            <w:r>
              <w:rPr>
                <w:rFonts w:ascii="Times New Roman" w:hAnsi="Times New Roman" w:eastAsia="宋体"/>
                <w:b w:val="0"/>
                <w:sz w:val="20"/>
              </w:rPr>
              <w:t>↓20%-40%</w:t>
            </w:r>
          </w:p>
        </w:tc>
        <w:tc>
          <w:tcPr>
            <w:tcW w:type="dxa" w:w="1385"/>
          </w:tcPr>
          <w:p>
            <w:pPr>
              <w:jc w:val="left"/>
            </w:pPr>
            <w:r/>
            <w:r>
              <w:rPr>
                <w:rFonts w:ascii="Times New Roman" w:hAnsi="Times New Roman" w:eastAsia="宋体"/>
                <w:b w:val="0"/>
                <w:sz w:val="20"/>
              </w:rPr>
              <w:t>↑1-2倍</w:t>
            </w:r>
          </w:p>
        </w:tc>
        <w:tc>
          <w:tcPr>
            <w:tcW w:type="dxa" w:w="1385"/>
          </w:tcPr>
          <w:p>
            <w:pPr>
              <w:jc w:val="left"/>
            </w:pPr>
            <w:r/>
            <w:r>
              <w:rPr>
                <w:rFonts w:ascii="Times New Roman" w:hAnsi="Times New Roman" w:eastAsia="宋体"/>
                <w:b w:val="0"/>
                <w:sz w:val="20"/>
              </w:rPr>
              <w:t>—</w:t>
            </w:r>
          </w:p>
        </w:tc>
        <w:tc>
          <w:tcPr>
            <w:tcW w:type="dxa" w:w="1385"/>
          </w:tcPr>
          <w:p>
            <w:pPr>
              <w:jc w:val="left"/>
            </w:pPr>
            <w:r/>
            <w:r>
              <w:rPr>
                <w:rFonts w:ascii="Times New Roman" w:hAnsi="Times New Roman" w:eastAsia="宋体"/>
                <w:b w:val="0"/>
                <w:sz w:val="20"/>
              </w:rPr>
              <w:t>—</w:t>
            </w:r>
          </w:p>
        </w:tc>
        <w:tc>
          <w:tcPr>
            <w:tcW w:type="dxa" w:w="1385"/>
          </w:tcPr>
          <w:p>
            <w:pPr>
              <w:jc w:val="left"/>
            </w:pPr>
            <w:r/>
            <w:r>
              <w:rPr>
                <w:rFonts w:ascii="Times New Roman" w:hAnsi="Times New Roman" w:eastAsia="宋体"/>
                <w:b w:val="0"/>
                <w:sz w:val="20"/>
              </w:rPr>
              <w:t>C下降20%或ESR升至2倍</w:t>
            </w:r>
          </w:p>
        </w:tc>
      </w:tr>
    </w:tbl>
    <w:p>
      <w:pPr>
        <w:spacing w:line="360" w:lineRule="auto" w:after="60"/>
        <w:ind w:firstLine="420"/>
        <w:jc w:val="both"/>
      </w:pPr>
      <w:r>
        <w:rPr>
          <w:rFonts w:ascii="Times New Roman" w:hAnsi="Times New Roman" w:eastAsia="宋体"/>
          <w:b w:val="0"/>
          <w:sz w:val="22"/>
        </w:rPr>
        <w:t>3.4.2 容量退化（ΔC/C）</w:t>
      </w:r>
    </w:p>
    <w:p>
      <w:pPr>
        <w:spacing w:line="360" w:lineRule="auto" w:after="60"/>
        <w:ind w:firstLine="420"/>
        <w:jc w:val="both"/>
      </w:pPr>
      <w:r>
        <w:rPr>
          <w:rFonts w:ascii="Times New Roman" w:hAnsi="Times New Roman" w:eastAsia="宋体"/>
          <w:b w:val="0"/>
          <w:sz w:val="22"/>
        </w:rPr>
        <w:t>对于铝电解电容器，容量下降是电解液蒸发的直接表现——电解液体积减少使其与阴极箔的电接触面积降低，从而减少有效阴极面积。Sankaran等（2010）给出的经验寿命模型指出，Al-cap容量下降20%对应电解液质量损失约30%—40%[27]。对于MLCC，容量漂移包括两个分量：（a）铁电老化（ferroelectric aging），表现为容量随log(t)线性下降，速率与Curie温度、晶粒尺寸有关；（b）DC偏置效应下介电极化持续衰减。对于金属化薄膜电容，容量下降主要反映自愈点累积引起的电极有效面积减少。</w:t>
      </w:r>
    </w:p>
    <w:p>
      <w:pPr>
        <w:spacing w:line="360" w:lineRule="auto" w:after="60"/>
        <w:ind w:firstLine="420"/>
        <w:jc w:val="both"/>
      </w:pPr>
      <w:r>
        <w:rPr>
          <w:rFonts w:ascii="Times New Roman" w:hAnsi="Times New Roman" w:eastAsia="宋体"/>
          <w:b w:val="0"/>
          <w:sz w:val="22"/>
        </w:rPr>
        <w:t>3.4.3 ESR退化</w:t>
      </w:r>
    </w:p>
    <w:p>
      <w:pPr>
        <w:spacing w:line="360" w:lineRule="auto" w:after="60"/>
        <w:ind w:firstLine="420"/>
        <w:jc w:val="both"/>
      </w:pPr>
      <w:r>
        <w:rPr>
          <w:rFonts w:ascii="Times New Roman" w:hAnsi="Times New Roman" w:eastAsia="宋体"/>
          <w:b w:val="0"/>
          <w:sz w:val="22"/>
        </w:rPr>
        <w:t>ESR上升是电容器退化的另一核心指标，其机理与容量下降并非完全同源。ESR由电极欧姆电阻、介质损耗电阻及离子电解液电阻三部分构成：对Al-cap而言，电解液粘度升高与浓度下降是ESR上升的主因（Arrhenius激活能约0.94 eV[28]）；对MLCC，ESR上升主要反映端电极与内电极界面退化；对薄膜电容，ESR上升对应端面喷金与电极的接触电阻增加；对钽电容，ESR上升对应MnO2/聚合物阴极体系的局部界面退化。需要特别指出，ESR的测量频率与失效判据密切相关，一般采用100 kHz或谐振频率处的值作为监测参考。</w:t>
      </w:r>
    </w:p>
    <w:p>
      <w:pPr>
        <w:spacing w:line="360" w:lineRule="auto" w:after="60"/>
        <w:ind w:firstLine="420"/>
        <w:jc w:val="both"/>
      </w:pPr>
      <w:r>
        <w:rPr>
          <w:rFonts w:ascii="Times New Roman" w:hAnsi="Times New Roman" w:eastAsia="宋体"/>
          <w:b w:val="0"/>
          <w:sz w:val="22"/>
        </w:rPr>
        <w:t>3.4.4 漏电流退化</w:t>
      </w:r>
    </w:p>
    <w:p>
      <w:pPr>
        <w:spacing w:line="360" w:lineRule="auto" w:after="60"/>
        <w:ind w:firstLine="420"/>
        <w:jc w:val="both"/>
      </w:pPr>
      <w:r>
        <w:rPr>
          <w:rFonts w:ascii="Times New Roman" w:hAnsi="Times New Roman" w:eastAsia="宋体"/>
          <w:b w:val="0"/>
          <w:sz w:val="22"/>
        </w:rPr>
        <w:t>漏电流（Leakage Current, LC）反映介质的绝缘性能。在钽电容的老化过程中，漏电流的突跃上升往往是热失控击穿的前兆，具有较强的预警价值；在MLCC中，绝缘电阻（IR）的下降是BaTiO3氧空位迁移引起的典型表征，Waser模型给出lg(IR) = lg(IR0) - k·t^n的表达形式[17]。</w:t>
      </w:r>
    </w:p>
    <w:p>
      <w:pPr>
        <w:spacing w:before="240" w:after="120"/>
        <w:outlineLvl w:val="2"/>
      </w:pPr>
      <w:r>
        <w:rPr>
          <w:rFonts w:ascii="Times New Roman" w:hAnsi="Times New Roman" w:eastAsia="黑体"/>
          <w:b/>
          <w:sz w:val="30"/>
        </w:rPr>
        <w:t>3.5 外观与密封失效</w:t>
      </w:r>
    </w:p>
    <w:p>
      <w:pPr>
        <w:spacing w:line="360" w:lineRule="auto" w:after="60"/>
        <w:ind w:firstLine="420"/>
        <w:jc w:val="both"/>
      </w:pPr>
      <w:r>
        <w:rPr>
          <w:rFonts w:ascii="Times New Roman" w:hAnsi="Times New Roman" w:eastAsia="宋体"/>
          <w:b w:val="0"/>
          <w:sz w:val="22"/>
        </w:rPr>
        <w:t>外观与密封失效是一类可通过目视、X射线或超声扫描（C-SAM）检测的失效模式，常见包括：</w:t>
      </w:r>
    </w:p>
    <w:p>
      <w:pPr>
        <w:spacing w:line="360" w:lineRule="auto" w:after="60"/>
        <w:ind w:firstLine="420"/>
        <w:jc w:val="both"/>
      </w:pPr>
      <w:r>
        <w:rPr>
          <w:rFonts w:ascii="Times New Roman" w:hAnsi="Times New Roman" w:eastAsia="宋体"/>
          <w:b w:val="0"/>
          <w:sz w:val="22"/>
        </w:rPr>
        <w:t>（1）鼓包（Bulging）——铝电解电容内部压力过高导致铝壳顶部或底部凸起；</w:t>
      </w:r>
    </w:p>
    <w:p>
      <w:pPr>
        <w:spacing w:line="360" w:lineRule="auto" w:after="60"/>
        <w:ind w:firstLine="420"/>
        <w:jc w:val="both"/>
      </w:pPr>
      <w:r>
        <w:rPr>
          <w:rFonts w:ascii="Times New Roman" w:hAnsi="Times New Roman" w:eastAsia="宋体"/>
          <w:b w:val="0"/>
          <w:sz w:val="22"/>
        </w:rPr>
        <w:t>（2）漏液（Electrolyte Leakage）——密封胶塞老化或壳体开裂导致电解液渗出；</w:t>
      </w:r>
    </w:p>
    <w:p>
      <w:pPr>
        <w:spacing w:line="360" w:lineRule="auto" w:after="60"/>
        <w:ind w:firstLine="420"/>
        <w:jc w:val="both"/>
      </w:pPr>
      <w:r>
        <w:rPr>
          <w:rFonts w:ascii="Times New Roman" w:hAnsi="Times New Roman" w:eastAsia="宋体"/>
          <w:b w:val="0"/>
          <w:sz w:val="22"/>
        </w:rPr>
        <w:t>（3）端电极脱落——焊接缺陷或热循环疲劳导致；</w:t>
      </w:r>
    </w:p>
    <w:p>
      <w:pPr>
        <w:spacing w:line="360" w:lineRule="auto" w:after="60"/>
        <w:ind w:firstLine="420"/>
        <w:jc w:val="both"/>
      </w:pPr>
      <w:r>
        <w:rPr>
          <w:rFonts w:ascii="Times New Roman" w:hAnsi="Times New Roman" w:eastAsia="宋体"/>
          <w:b w:val="0"/>
          <w:sz w:val="22"/>
        </w:rPr>
        <w:t>（4）外观裂纹与色变——机械冲击、热冲击或化学腐蚀导致；</w:t>
      </w:r>
    </w:p>
    <w:p>
      <w:pPr>
        <w:spacing w:line="360" w:lineRule="auto" w:after="60"/>
        <w:ind w:firstLine="420"/>
        <w:jc w:val="both"/>
      </w:pPr>
      <w:r>
        <w:rPr>
          <w:rFonts w:ascii="Times New Roman" w:hAnsi="Times New Roman" w:eastAsia="宋体"/>
          <w:b w:val="0"/>
          <w:sz w:val="22"/>
        </w:rPr>
        <w:t>（5）C-SAM可检测的分层（delamination）——MLCC陶瓷本体内部分层；</w:t>
      </w:r>
    </w:p>
    <w:p>
      <w:pPr>
        <w:spacing w:line="360" w:lineRule="auto" w:after="60"/>
        <w:ind w:firstLine="420"/>
        <w:jc w:val="both"/>
      </w:pPr>
      <w:r>
        <w:rPr>
          <w:rFonts w:ascii="Times New Roman" w:hAnsi="Times New Roman" w:eastAsia="宋体"/>
          <w:b w:val="0"/>
          <w:sz w:val="22"/>
        </w:rPr>
        <w:t>（6）X射线可检测的内电极偏移（electrode offset）、空洞（void）、焊球冷焊（cold solder joint）。</w:t>
      </w:r>
    </w:p>
    <w:p>
      <w:pPr>
        <w:spacing w:line="360" w:lineRule="auto" w:after="60"/>
        <w:ind w:firstLine="420"/>
        <w:jc w:val="both"/>
      </w:pPr>
      <w:r>
        <w:rPr>
          <w:rFonts w:ascii="Times New Roman" w:hAnsi="Times New Roman" w:eastAsia="宋体"/>
          <w:b w:val="0"/>
          <w:sz w:val="22"/>
        </w:rPr>
        <w:t>密封失效一旦发生往往会加速其它失效机理的进程，例如铝电解电容一旦密封失效，电解液蒸发速率将呈数量级上升；MLCC端电极一旦开裂，水汽将迅速渗入引起漏电流突增。</w:t>
      </w:r>
    </w:p>
    <w:p>
      <w:pPr>
        <w:spacing w:before="240" w:after="120"/>
        <w:outlineLvl w:val="2"/>
      </w:pPr>
      <w:r>
        <w:rPr>
          <w:rFonts w:ascii="Times New Roman" w:hAnsi="Times New Roman" w:eastAsia="黑体"/>
          <w:b/>
          <w:sz w:val="30"/>
        </w:rPr>
        <w:t>3.6 各类电容器失效模式比较</w:t>
      </w:r>
    </w:p>
    <w:p>
      <w:pPr>
        <w:spacing w:line="360" w:lineRule="auto" w:after="60"/>
        <w:ind w:firstLine="420"/>
        <w:jc w:val="both"/>
      </w:pPr>
      <w:r>
        <w:rPr>
          <w:rFonts w:ascii="Times New Roman" w:hAnsi="Times New Roman" w:eastAsia="宋体"/>
          <w:b w:val="0"/>
          <w:sz w:val="22"/>
        </w:rPr>
        <w:t>综合以上分析，我们可以从"主失效模式""次失效模式""致命性""可预警性"四个维度对主流电容器进行系统比较。表3-2给出了比较结果。可以看出：</w:t>
      </w:r>
    </w:p>
    <w:p>
      <w:pPr>
        <w:spacing w:line="360" w:lineRule="auto" w:after="60"/>
        <w:ind w:firstLine="420"/>
        <w:jc w:val="both"/>
      </w:pPr>
      <w:r>
        <w:rPr>
          <w:rFonts w:ascii="Times New Roman" w:hAnsi="Times New Roman" w:eastAsia="宋体"/>
          <w:b w:val="0"/>
          <w:sz w:val="22"/>
        </w:rPr>
        <w:t>（1）金属化薄膜电容以开路失效为主，对系统安全性友好，是高可靠场合的首选；</w:t>
      </w:r>
    </w:p>
    <w:p>
      <w:pPr>
        <w:spacing w:line="360" w:lineRule="auto" w:after="60"/>
        <w:ind w:firstLine="420"/>
        <w:jc w:val="both"/>
      </w:pPr>
      <w:r>
        <w:rPr>
          <w:rFonts w:ascii="Times New Roman" w:hAnsi="Times New Roman" w:eastAsia="宋体"/>
          <w:b w:val="0"/>
          <w:sz w:val="22"/>
        </w:rPr>
        <w:t>（2）钽电容的短路-燃烧失效致命性最高，必须严格降额；</w:t>
      </w:r>
    </w:p>
    <w:p>
      <w:pPr>
        <w:spacing w:line="360" w:lineRule="auto" w:after="60"/>
        <w:ind w:firstLine="420"/>
        <w:jc w:val="both"/>
      </w:pPr>
      <w:r>
        <w:rPr>
          <w:rFonts w:ascii="Times New Roman" w:hAnsi="Times New Roman" w:eastAsia="宋体"/>
          <w:b w:val="0"/>
          <w:sz w:val="22"/>
        </w:rPr>
        <w:t>（3）MLCC的短路失效在机械应力作用下较为突出，是PCB设计与SMT工艺控制的重点；</w:t>
      </w:r>
    </w:p>
    <w:p>
      <w:pPr>
        <w:spacing w:line="360" w:lineRule="auto" w:after="60"/>
        <w:ind w:firstLine="420"/>
        <w:jc w:val="both"/>
      </w:pPr>
      <w:r>
        <w:rPr>
          <w:rFonts w:ascii="Times New Roman" w:hAnsi="Times New Roman" w:eastAsia="宋体"/>
          <w:b w:val="0"/>
          <w:sz w:val="22"/>
        </w:rPr>
        <w:t>（4）铝电解电容的参数漂移失效易于监测，是健康管理最成熟的对象；</w:t>
      </w:r>
    </w:p>
    <w:p>
      <w:pPr>
        <w:spacing w:line="360" w:lineRule="auto" w:after="60"/>
        <w:ind w:firstLine="420"/>
        <w:jc w:val="both"/>
      </w:pPr>
      <w:r>
        <w:rPr>
          <w:rFonts w:ascii="Times New Roman" w:hAnsi="Times New Roman" w:eastAsia="宋体"/>
          <w:b w:val="0"/>
          <w:sz w:val="22"/>
        </w:rPr>
        <w:t>（5）超级电容的退化以容量损失为主，适合采用基于容量的EoL判据。</w:t>
      </w:r>
    </w:p>
    <w:p>
      <w:pPr>
        <w:jc w:val="center"/>
      </w:pPr>
      <w:r>
        <w:rPr>
          <w:rFonts w:ascii="Times New Roman" w:hAnsi="Times New Roman" w:eastAsia="黑体"/>
          <w:b/>
          <w:sz w:val="21"/>
        </w:rPr>
        <w:t>表3-2  五类电容器失效模式综合比较</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黑体"/>
                <w:b/>
                <w:sz w:val="20"/>
              </w:rPr>
              <w:t>类型</w:t>
            </w:r>
          </w:p>
        </w:tc>
        <w:tc>
          <w:tcPr>
            <w:tcW w:type="dxa" w:w="1662"/>
          </w:tcPr>
          <w:p>
            <w:pPr>
              <w:jc w:val="center"/>
            </w:pPr>
            <w:r/>
            <w:r>
              <w:rPr>
                <w:rFonts w:ascii="Times New Roman" w:hAnsi="Times New Roman" w:eastAsia="黑体"/>
                <w:b/>
                <w:sz w:val="20"/>
              </w:rPr>
              <w:t>主失效模式</w:t>
            </w:r>
          </w:p>
        </w:tc>
        <w:tc>
          <w:tcPr>
            <w:tcW w:type="dxa" w:w="1662"/>
          </w:tcPr>
          <w:p>
            <w:pPr>
              <w:jc w:val="center"/>
            </w:pPr>
            <w:r/>
            <w:r>
              <w:rPr>
                <w:rFonts w:ascii="Times New Roman" w:hAnsi="Times New Roman" w:eastAsia="黑体"/>
                <w:b/>
                <w:sz w:val="20"/>
              </w:rPr>
              <w:t>次失效模式</w:t>
            </w:r>
          </w:p>
        </w:tc>
        <w:tc>
          <w:tcPr>
            <w:tcW w:type="dxa" w:w="1662"/>
          </w:tcPr>
          <w:p>
            <w:pPr>
              <w:jc w:val="center"/>
            </w:pPr>
            <w:r/>
            <w:r>
              <w:rPr>
                <w:rFonts w:ascii="Times New Roman" w:hAnsi="Times New Roman" w:eastAsia="黑体"/>
                <w:b/>
                <w:sz w:val="20"/>
              </w:rPr>
              <w:t>致命性</w:t>
            </w:r>
          </w:p>
        </w:tc>
        <w:tc>
          <w:tcPr>
            <w:tcW w:type="dxa" w:w="1662"/>
          </w:tcPr>
          <w:p>
            <w:pPr>
              <w:jc w:val="center"/>
            </w:pPr>
            <w:r/>
            <w:r>
              <w:rPr>
                <w:rFonts w:ascii="Times New Roman" w:hAnsi="Times New Roman" w:eastAsia="黑体"/>
                <w:b/>
                <w:sz w:val="20"/>
              </w:rPr>
              <w:t>可预警性</w:t>
            </w:r>
          </w:p>
        </w:tc>
      </w:tr>
      <w:tr>
        <w:tc>
          <w:tcPr>
            <w:tcW w:type="dxa" w:w="1662"/>
          </w:tcPr>
          <w:p>
            <w:pPr>
              <w:jc w:val="left"/>
            </w:pPr>
            <w:r/>
            <w:r>
              <w:rPr>
                <w:rFonts w:ascii="Times New Roman" w:hAnsi="Times New Roman" w:eastAsia="宋体"/>
                <w:b w:val="0"/>
                <w:sz w:val="20"/>
              </w:rPr>
              <w:t>Al电解(液)</w:t>
            </w:r>
          </w:p>
        </w:tc>
        <w:tc>
          <w:tcPr>
            <w:tcW w:type="dxa" w:w="1662"/>
          </w:tcPr>
          <w:p>
            <w:pPr>
              <w:jc w:val="left"/>
            </w:pPr>
            <w:r/>
            <w:r>
              <w:rPr>
                <w:rFonts w:ascii="Times New Roman" w:hAnsi="Times New Roman" w:eastAsia="宋体"/>
                <w:b w:val="0"/>
                <w:sz w:val="20"/>
              </w:rPr>
              <w:t>参数漂移→开路</w:t>
            </w:r>
          </w:p>
        </w:tc>
        <w:tc>
          <w:tcPr>
            <w:tcW w:type="dxa" w:w="1662"/>
          </w:tcPr>
          <w:p>
            <w:pPr>
              <w:jc w:val="left"/>
            </w:pPr>
            <w:r/>
            <w:r>
              <w:rPr>
                <w:rFonts w:ascii="Times New Roman" w:hAnsi="Times New Roman" w:eastAsia="宋体"/>
                <w:b w:val="0"/>
                <w:sz w:val="20"/>
              </w:rPr>
              <w:t>鼓包、漏液、爆炸</w:t>
            </w:r>
          </w:p>
        </w:tc>
        <w:tc>
          <w:tcPr>
            <w:tcW w:type="dxa" w:w="1662"/>
          </w:tcPr>
          <w:p>
            <w:pPr>
              <w:jc w:val="left"/>
            </w:pPr>
            <w:r/>
            <w:r>
              <w:rPr>
                <w:rFonts w:ascii="Times New Roman" w:hAnsi="Times New Roman" w:eastAsia="宋体"/>
                <w:b w:val="0"/>
                <w:sz w:val="20"/>
              </w:rPr>
              <w:t>中</w:t>
            </w:r>
          </w:p>
        </w:tc>
        <w:tc>
          <w:tcPr>
            <w:tcW w:type="dxa" w:w="1662"/>
          </w:tcPr>
          <w:p>
            <w:pPr>
              <w:jc w:val="left"/>
            </w:pPr>
            <w:r/>
            <w:r>
              <w:rPr>
                <w:rFonts w:ascii="Times New Roman" w:hAnsi="Times New Roman" w:eastAsia="宋体"/>
                <w:b w:val="0"/>
                <w:sz w:val="20"/>
              </w:rPr>
              <w:t>高(ESR/C监测)</w:t>
            </w:r>
          </w:p>
        </w:tc>
      </w:tr>
      <w:tr>
        <w:tc>
          <w:tcPr>
            <w:tcW w:type="dxa" w:w="1662"/>
          </w:tcPr>
          <w:p>
            <w:pPr>
              <w:jc w:val="left"/>
            </w:pPr>
            <w:r/>
            <w:r>
              <w:rPr>
                <w:rFonts w:ascii="Times New Roman" w:hAnsi="Times New Roman" w:eastAsia="宋体"/>
                <w:b w:val="0"/>
                <w:sz w:val="20"/>
              </w:rPr>
              <w:t>Al电解(聚)</w:t>
            </w:r>
          </w:p>
        </w:tc>
        <w:tc>
          <w:tcPr>
            <w:tcW w:type="dxa" w:w="1662"/>
          </w:tcPr>
          <w:p>
            <w:pPr>
              <w:jc w:val="left"/>
            </w:pPr>
            <w:r/>
            <w:r>
              <w:rPr>
                <w:rFonts w:ascii="Times New Roman" w:hAnsi="Times New Roman" w:eastAsia="宋体"/>
                <w:b w:val="0"/>
                <w:sz w:val="20"/>
              </w:rPr>
              <w:t>参数漂移→短路</w:t>
            </w:r>
          </w:p>
        </w:tc>
        <w:tc>
          <w:tcPr>
            <w:tcW w:type="dxa" w:w="1662"/>
          </w:tcPr>
          <w:p>
            <w:pPr>
              <w:jc w:val="left"/>
            </w:pPr>
            <w:r/>
            <w:r>
              <w:rPr>
                <w:rFonts w:ascii="Times New Roman" w:hAnsi="Times New Roman" w:eastAsia="宋体"/>
                <w:b w:val="0"/>
                <w:sz w:val="20"/>
              </w:rPr>
              <w:t>开路</w:t>
            </w:r>
          </w:p>
        </w:tc>
        <w:tc>
          <w:tcPr>
            <w:tcW w:type="dxa" w:w="1662"/>
          </w:tcPr>
          <w:p>
            <w:pPr>
              <w:jc w:val="left"/>
            </w:pPr>
            <w:r/>
            <w:r>
              <w:rPr>
                <w:rFonts w:ascii="Times New Roman" w:hAnsi="Times New Roman" w:eastAsia="宋体"/>
                <w:b w:val="0"/>
                <w:sz w:val="20"/>
              </w:rPr>
              <w:t>中</w:t>
            </w:r>
          </w:p>
        </w:tc>
        <w:tc>
          <w:tcPr>
            <w:tcW w:type="dxa" w:w="1662"/>
          </w:tcPr>
          <w:p>
            <w:pPr>
              <w:jc w:val="left"/>
            </w:pPr>
            <w:r/>
            <w:r>
              <w:rPr>
                <w:rFonts w:ascii="Times New Roman" w:hAnsi="Times New Roman" w:eastAsia="宋体"/>
                <w:b w:val="0"/>
                <w:sz w:val="20"/>
              </w:rPr>
              <w:t>中</w:t>
            </w:r>
          </w:p>
        </w:tc>
      </w:tr>
      <w:tr>
        <w:tc>
          <w:tcPr>
            <w:tcW w:type="dxa" w:w="1662"/>
          </w:tcPr>
          <w:p>
            <w:pPr>
              <w:jc w:val="left"/>
            </w:pPr>
            <w:r/>
            <w:r>
              <w:rPr>
                <w:rFonts w:ascii="Times New Roman" w:hAnsi="Times New Roman" w:eastAsia="宋体"/>
                <w:b w:val="0"/>
                <w:sz w:val="20"/>
              </w:rPr>
              <w:t>MLCC</w:t>
            </w:r>
          </w:p>
        </w:tc>
        <w:tc>
          <w:tcPr>
            <w:tcW w:type="dxa" w:w="1662"/>
          </w:tcPr>
          <w:p>
            <w:pPr>
              <w:jc w:val="left"/>
            </w:pPr>
            <w:r/>
            <w:r>
              <w:rPr>
                <w:rFonts w:ascii="Times New Roman" w:hAnsi="Times New Roman" w:eastAsia="宋体"/>
                <w:b w:val="0"/>
                <w:sz w:val="20"/>
              </w:rPr>
              <w:t>短路(裂纹)</w:t>
            </w:r>
          </w:p>
        </w:tc>
        <w:tc>
          <w:tcPr>
            <w:tcW w:type="dxa" w:w="1662"/>
          </w:tcPr>
          <w:p>
            <w:pPr>
              <w:jc w:val="left"/>
            </w:pPr>
            <w:r/>
            <w:r>
              <w:rPr>
                <w:rFonts w:ascii="Times New Roman" w:hAnsi="Times New Roman" w:eastAsia="宋体"/>
                <w:b w:val="0"/>
                <w:sz w:val="20"/>
              </w:rPr>
              <w:t>参数漂移、开路</w:t>
            </w:r>
          </w:p>
        </w:tc>
        <w:tc>
          <w:tcPr>
            <w:tcW w:type="dxa" w:w="1662"/>
          </w:tcPr>
          <w:p>
            <w:pPr>
              <w:jc w:val="left"/>
            </w:pPr>
            <w:r/>
            <w:r>
              <w:rPr>
                <w:rFonts w:ascii="Times New Roman" w:hAnsi="Times New Roman" w:eastAsia="宋体"/>
                <w:b w:val="0"/>
                <w:sz w:val="20"/>
              </w:rPr>
              <w:t>高</w:t>
            </w:r>
          </w:p>
        </w:tc>
        <w:tc>
          <w:tcPr>
            <w:tcW w:type="dxa" w:w="1662"/>
          </w:tcPr>
          <w:p>
            <w:pPr>
              <w:jc w:val="left"/>
            </w:pPr>
            <w:r/>
            <w:r>
              <w:rPr>
                <w:rFonts w:ascii="Times New Roman" w:hAnsi="Times New Roman" w:eastAsia="宋体"/>
                <w:b w:val="0"/>
                <w:sz w:val="20"/>
              </w:rPr>
              <w:t>低(突发)</w:t>
            </w:r>
          </w:p>
        </w:tc>
      </w:tr>
      <w:tr>
        <w:tc>
          <w:tcPr>
            <w:tcW w:type="dxa" w:w="1662"/>
          </w:tcPr>
          <w:p>
            <w:pPr>
              <w:jc w:val="left"/>
            </w:pPr>
            <w:r/>
            <w:r>
              <w:rPr>
                <w:rFonts w:ascii="Times New Roman" w:hAnsi="Times New Roman" w:eastAsia="宋体"/>
                <w:b w:val="0"/>
                <w:sz w:val="20"/>
              </w:rPr>
              <w:t>金属化薄膜</w:t>
            </w:r>
          </w:p>
        </w:tc>
        <w:tc>
          <w:tcPr>
            <w:tcW w:type="dxa" w:w="1662"/>
          </w:tcPr>
          <w:p>
            <w:pPr>
              <w:jc w:val="left"/>
            </w:pPr>
            <w:r/>
            <w:r>
              <w:rPr>
                <w:rFonts w:ascii="Times New Roman" w:hAnsi="Times New Roman" w:eastAsia="宋体"/>
                <w:b w:val="0"/>
                <w:sz w:val="20"/>
              </w:rPr>
              <w:t>开路(自愈累积)</w:t>
            </w:r>
          </w:p>
        </w:tc>
        <w:tc>
          <w:tcPr>
            <w:tcW w:type="dxa" w:w="1662"/>
          </w:tcPr>
          <w:p>
            <w:pPr>
              <w:jc w:val="left"/>
            </w:pPr>
            <w:r/>
            <w:r>
              <w:rPr>
                <w:rFonts w:ascii="Times New Roman" w:hAnsi="Times New Roman" w:eastAsia="宋体"/>
                <w:b w:val="0"/>
                <w:sz w:val="20"/>
              </w:rPr>
              <w:t>参数漂移</w:t>
            </w:r>
          </w:p>
        </w:tc>
        <w:tc>
          <w:tcPr>
            <w:tcW w:type="dxa" w:w="1662"/>
          </w:tcPr>
          <w:p>
            <w:pPr>
              <w:jc w:val="left"/>
            </w:pPr>
            <w:r/>
            <w:r>
              <w:rPr>
                <w:rFonts w:ascii="Times New Roman" w:hAnsi="Times New Roman" w:eastAsia="宋体"/>
                <w:b w:val="0"/>
                <w:sz w:val="20"/>
              </w:rPr>
              <w:t>低</w:t>
            </w:r>
          </w:p>
        </w:tc>
        <w:tc>
          <w:tcPr>
            <w:tcW w:type="dxa" w:w="1662"/>
          </w:tcPr>
          <w:p>
            <w:pPr>
              <w:jc w:val="left"/>
            </w:pPr>
            <w:r/>
            <w:r>
              <w:rPr>
                <w:rFonts w:ascii="Times New Roman" w:hAnsi="Times New Roman" w:eastAsia="宋体"/>
                <w:b w:val="0"/>
                <w:sz w:val="20"/>
              </w:rPr>
              <w:t>高(C监测)</w:t>
            </w:r>
          </w:p>
        </w:tc>
      </w:tr>
      <w:tr>
        <w:tc>
          <w:tcPr>
            <w:tcW w:type="dxa" w:w="1662"/>
          </w:tcPr>
          <w:p>
            <w:pPr>
              <w:jc w:val="left"/>
            </w:pPr>
            <w:r/>
            <w:r>
              <w:rPr>
                <w:rFonts w:ascii="Times New Roman" w:hAnsi="Times New Roman" w:eastAsia="宋体"/>
                <w:b w:val="0"/>
                <w:sz w:val="20"/>
              </w:rPr>
              <w:t>钽电容</w:t>
            </w:r>
          </w:p>
        </w:tc>
        <w:tc>
          <w:tcPr>
            <w:tcW w:type="dxa" w:w="1662"/>
          </w:tcPr>
          <w:p>
            <w:pPr>
              <w:jc w:val="left"/>
            </w:pPr>
            <w:r/>
            <w:r>
              <w:rPr>
                <w:rFonts w:ascii="Times New Roman" w:hAnsi="Times New Roman" w:eastAsia="宋体"/>
                <w:b w:val="0"/>
                <w:sz w:val="20"/>
              </w:rPr>
              <w:t>短路→燃烧</w:t>
            </w:r>
          </w:p>
        </w:tc>
        <w:tc>
          <w:tcPr>
            <w:tcW w:type="dxa" w:w="1662"/>
          </w:tcPr>
          <w:p>
            <w:pPr>
              <w:jc w:val="left"/>
            </w:pPr>
            <w:r/>
            <w:r>
              <w:rPr>
                <w:rFonts w:ascii="Times New Roman" w:hAnsi="Times New Roman" w:eastAsia="宋体"/>
                <w:b w:val="0"/>
                <w:sz w:val="20"/>
              </w:rPr>
              <w:t>参数漂移、开路</w:t>
            </w:r>
          </w:p>
        </w:tc>
        <w:tc>
          <w:tcPr>
            <w:tcW w:type="dxa" w:w="1662"/>
          </w:tcPr>
          <w:p>
            <w:pPr>
              <w:jc w:val="left"/>
            </w:pPr>
            <w:r/>
            <w:r>
              <w:rPr>
                <w:rFonts w:ascii="Times New Roman" w:hAnsi="Times New Roman" w:eastAsia="宋体"/>
                <w:b w:val="0"/>
                <w:sz w:val="20"/>
              </w:rPr>
              <w:t>极高</w:t>
            </w:r>
          </w:p>
        </w:tc>
        <w:tc>
          <w:tcPr>
            <w:tcW w:type="dxa" w:w="1662"/>
          </w:tcPr>
          <w:p>
            <w:pPr>
              <w:jc w:val="left"/>
            </w:pPr>
            <w:r/>
            <w:r>
              <w:rPr>
                <w:rFonts w:ascii="Times New Roman" w:hAnsi="Times New Roman" w:eastAsia="宋体"/>
                <w:b w:val="0"/>
                <w:sz w:val="20"/>
              </w:rPr>
              <w:t>中(LC突变)</w:t>
            </w:r>
          </w:p>
        </w:tc>
      </w:tr>
      <w:tr>
        <w:tc>
          <w:tcPr>
            <w:tcW w:type="dxa" w:w="1662"/>
          </w:tcPr>
          <w:p>
            <w:pPr>
              <w:jc w:val="left"/>
            </w:pPr>
            <w:r/>
            <w:r>
              <w:rPr>
                <w:rFonts w:ascii="Times New Roman" w:hAnsi="Times New Roman" w:eastAsia="宋体"/>
                <w:b w:val="0"/>
                <w:sz w:val="20"/>
              </w:rPr>
              <w:t>超级电容</w:t>
            </w:r>
          </w:p>
        </w:tc>
        <w:tc>
          <w:tcPr>
            <w:tcW w:type="dxa" w:w="1662"/>
          </w:tcPr>
          <w:p>
            <w:pPr>
              <w:jc w:val="left"/>
            </w:pPr>
            <w:r/>
            <w:r>
              <w:rPr>
                <w:rFonts w:ascii="Times New Roman" w:hAnsi="Times New Roman" w:eastAsia="宋体"/>
                <w:b w:val="0"/>
                <w:sz w:val="20"/>
              </w:rPr>
              <w:t>参数漂移</w:t>
            </w:r>
          </w:p>
        </w:tc>
        <w:tc>
          <w:tcPr>
            <w:tcW w:type="dxa" w:w="1662"/>
          </w:tcPr>
          <w:p>
            <w:pPr>
              <w:jc w:val="left"/>
            </w:pPr>
            <w:r/>
            <w:r>
              <w:rPr>
                <w:rFonts w:ascii="Times New Roman" w:hAnsi="Times New Roman" w:eastAsia="宋体"/>
                <w:b w:val="0"/>
                <w:sz w:val="20"/>
              </w:rPr>
              <w:t>鼓包、漏液</w:t>
            </w:r>
          </w:p>
        </w:tc>
        <w:tc>
          <w:tcPr>
            <w:tcW w:type="dxa" w:w="1662"/>
          </w:tcPr>
          <w:p>
            <w:pPr>
              <w:jc w:val="left"/>
            </w:pPr>
            <w:r/>
            <w:r>
              <w:rPr>
                <w:rFonts w:ascii="Times New Roman" w:hAnsi="Times New Roman" w:eastAsia="宋体"/>
                <w:b w:val="0"/>
                <w:sz w:val="20"/>
              </w:rPr>
              <w:t>低</w:t>
            </w:r>
          </w:p>
        </w:tc>
        <w:tc>
          <w:tcPr>
            <w:tcW w:type="dxa" w:w="1662"/>
          </w:tcPr>
          <w:p>
            <w:pPr>
              <w:jc w:val="left"/>
            </w:pPr>
            <w:r/>
            <w:r>
              <w:rPr>
                <w:rFonts w:ascii="Times New Roman" w:hAnsi="Times New Roman" w:eastAsia="宋体"/>
                <w:b w:val="0"/>
                <w:sz w:val="20"/>
              </w:rPr>
              <w:t>高(C/ESR监测)</w:t>
            </w:r>
          </w:p>
        </w:tc>
      </w:tr>
    </w:tbl>
    <w:p>
      <w:r>
        <w:br w:type="page"/>
      </w:r>
    </w:p>
    <w:p>
      <w:pPr>
        <w:spacing w:before="240" w:after="120"/>
        <w:outlineLvl w:val="1"/>
      </w:pPr>
      <w:r>
        <w:rPr>
          <w:rFonts w:ascii="Times New Roman" w:hAnsi="Times New Roman" w:eastAsia="黑体"/>
          <w:b/>
          <w:sz w:val="36"/>
        </w:rPr>
        <w:t>第四章 电容器失效机理</w:t>
      </w:r>
    </w:p>
    <w:p>
      <w:pPr>
        <w:spacing w:line="360" w:lineRule="auto" w:after="60"/>
        <w:ind w:firstLine="420"/>
        <w:jc w:val="both"/>
      </w:pPr>
      <w:r>
        <w:rPr>
          <w:rFonts w:ascii="Times New Roman" w:hAnsi="Times New Roman" w:eastAsia="宋体"/>
          <w:b w:val="0"/>
          <w:sz w:val="22"/>
        </w:rPr>
        <w:t>如果说失效模式描述的是"发生了什么"，失效机理则回答"为什么发生"。失效机理研究是连接材料物理/化学与宏观可靠性的核心环节，也是建立物理失效（Physics-of-Failure，PoF）模型的唯一入口。本章按器件类别，从微观-介观-宏观三个尺度，分别讨论五类主流电容器的主要失效机理与其物理化学本质。</w:t>
      </w:r>
    </w:p>
    <w:p>
      <w:pPr>
        <w:spacing w:before="240" w:after="120"/>
        <w:outlineLvl w:val="2"/>
      </w:pPr>
      <w:r>
        <w:rPr>
          <w:rFonts w:ascii="Times New Roman" w:hAnsi="Times New Roman" w:eastAsia="黑体"/>
          <w:b/>
          <w:sz w:val="30"/>
        </w:rPr>
        <w:t>4.1 铝电解电容器的失效机理</w:t>
      </w:r>
    </w:p>
    <w:p>
      <w:pPr>
        <w:spacing w:before="240" w:after="120"/>
        <w:outlineLvl w:val="3"/>
      </w:pPr>
      <w:r>
        <w:rPr>
          <w:rFonts w:ascii="Times New Roman" w:hAnsi="Times New Roman" w:eastAsia="黑体"/>
          <w:b/>
          <w:sz w:val="26"/>
        </w:rPr>
        <w:t>4.1.1 电解液蒸发动力学</w:t>
      </w:r>
    </w:p>
    <w:p>
      <w:pPr>
        <w:spacing w:line="360" w:lineRule="auto" w:after="60"/>
        <w:ind w:firstLine="420"/>
        <w:jc w:val="both"/>
      </w:pPr>
      <w:r>
        <w:rPr>
          <w:rFonts w:ascii="Times New Roman" w:hAnsi="Times New Roman" w:eastAsia="宋体"/>
          <w:b w:val="0"/>
          <w:sz w:val="22"/>
        </w:rPr>
        <w:t>电解液蒸发是液态铝电解电容器最主要的耗损失效机理，被各大电容厂商与学术界普遍接受。电解液由溶剂（γ-丁内酯、乙二醇、二甲基甲酰胺等）、溶质（硼酸铵、己二酸铵、磷酸铵等）、pH调节剂与辅助添加剂共同组成。在工作温度下，溶剂通过橡胶密封塞的自由体积扩散至外部环境，导致电解液体积与浓度逐步变化。</w:t>
      </w:r>
    </w:p>
    <w:p>
      <w:pPr>
        <w:spacing w:line="360" w:lineRule="auto" w:after="60"/>
        <w:ind w:firstLine="420"/>
        <w:jc w:val="both"/>
      </w:pPr>
      <w:r>
        <w:rPr>
          <w:rFonts w:ascii="Times New Roman" w:hAnsi="Times New Roman" w:eastAsia="宋体"/>
          <w:b w:val="0"/>
          <w:sz w:val="22"/>
        </w:rPr>
        <w:t>Parler（2004）在Cornell Dubilier技术白皮书中通过长期加速试验，给出了电解液质量损失速率的Arrhenius温度依赖关系：</w:t>
      </w:r>
    </w:p>
    <w:p>
      <w:pPr>
        <w:spacing w:before="120" w:after="120"/>
        <w:jc w:val="center"/>
      </w:pPr>
      <w:r>
        <w:rPr>
          <w:rFonts w:ascii="Times New Roman" w:hAnsi="Times New Roman" w:eastAsia="Times New Roman"/>
          <w:b w:val="0"/>
          <w:sz w:val="22"/>
        </w:rPr>
        <w:t>dm/dt = A·exp(-Ea/kT)</w:t>
      </w:r>
    </w:p>
    <w:p>
      <w:pPr>
        <w:spacing w:line="360" w:lineRule="auto" w:after="60"/>
        <w:ind w:firstLine="420"/>
        <w:jc w:val="both"/>
      </w:pPr>
      <w:r>
        <w:rPr>
          <w:rFonts w:ascii="Times New Roman" w:hAnsi="Times New Roman" w:eastAsia="宋体"/>
          <w:b w:val="0"/>
          <w:sz w:val="22"/>
        </w:rPr>
        <w:t>其中激活能Ea约为0.94~1.10 eV（依电解液配方与密封材料而异）[23]。基于这一机理，工业界广泛采用著名的"10℃法则"（10 °C Rule）——即工作温度每降低10℃寿命翻倍的经验规律。对于优质牛皮纸分隔的145℃/10000h级电容，推算55℃下的寿命可达约500万小时（约570年）；但此外推已远超介质氧化膜的本征极限，实际工程中并不可靠。</w:t>
      </w:r>
    </w:p>
    <w:p>
      <w:pPr>
        <w:spacing w:line="360" w:lineRule="auto" w:after="60"/>
        <w:ind w:firstLine="420"/>
        <w:jc w:val="both"/>
      </w:pPr>
      <w:r>
        <w:rPr>
          <w:rFonts w:ascii="Times New Roman" w:hAnsi="Times New Roman" w:eastAsia="宋体"/>
          <w:b w:val="0"/>
          <w:sz w:val="22"/>
        </w:rPr>
        <w:t>电解液蒸发引起的直接后果包括：</w:t>
      </w:r>
    </w:p>
    <w:p>
      <w:pPr>
        <w:spacing w:line="360" w:lineRule="auto" w:after="60"/>
        <w:ind w:firstLine="420"/>
        <w:jc w:val="both"/>
      </w:pPr>
      <w:r>
        <w:rPr>
          <w:rFonts w:ascii="Times New Roman" w:hAnsi="Times New Roman" w:eastAsia="宋体"/>
          <w:b w:val="0"/>
          <w:sz w:val="22"/>
        </w:rPr>
        <w:t>（1）离子电导率下降，ESR上升（ESR与电导率成反比）；</w:t>
      </w:r>
    </w:p>
    <w:p>
      <w:pPr>
        <w:spacing w:line="360" w:lineRule="auto" w:after="60"/>
        <w:ind w:firstLine="420"/>
        <w:jc w:val="both"/>
      </w:pPr>
      <w:r>
        <w:rPr>
          <w:rFonts w:ascii="Times New Roman" w:hAnsi="Times New Roman" w:eastAsia="宋体"/>
          <w:b w:val="0"/>
          <w:sz w:val="22"/>
        </w:rPr>
        <w:t>（2）有效电极润湿面积下降，容量下降；</w:t>
      </w:r>
    </w:p>
    <w:p>
      <w:pPr>
        <w:spacing w:line="360" w:lineRule="auto" w:after="60"/>
        <w:ind w:firstLine="420"/>
        <w:jc w:val="both"/>
      </w:pPr>
      <w:r>
        <w:rPr>
          <w:rFonts w:ascii="Times New Roman" w:hAnsi="Times New Roman" w:eastAsia="宋体"/>
          <w:b w:val="0"/>
          <w:sz w:val="22"/>
        </w:rPr>
        <w:t>（3）剩余电解液浓度变化，pH值漂移，进一步影响阳极氧化膜的化学稳定性；</w:t>
      </w:r>
    </w:p>
    <w:p>
      <w:pPr>
        <w:spacing w:line="360" w:lineRule="auto" w:after="60"/>
        <w:ind w:firstLine="420"/>
        <w:jc w:val="both"/>
      </w:pPr>
      <w:r>
        <w:rPr>
          <w:rFonts w:ascii="Times New Roman" w:hAnsi="Times New Roman" w:eastAsia="宋体"/>
          <w:b w:val="0"/>
          <w:sz w:val="22"/>
        </w:rPr>
        <w:t>（4）内部气压变化，最终可能触发防爆阀开启。</w:t>
      </w:r>
    </w:p>
    <w:p>
      <w:pPr>
        <w:spacing w:line="360" w:lineRule="auto" w:after="60"/>
        <w:ind w:firstLine="420"/>
        <w:jc w:val="both"/>
      </w:pPr>
      <w:r>
        <w:rPr>
          <w:rFonts w:ascii="Times New Roman" w:hAnsi="Times New Roman" w:eastAsia="宋体"/>
          <w:b w:val="0"/>
          <w:sz w:val="22"/>
        </w:rPr>
        <w:t>Gasperi（1996、2005）在IEEE Transactions on Industry Applications上发表的系列工作中提出了一个较为完整的液态铝电解电容退化模型，将容量与ESR的退化过程与内部压力、温度、电流应力联系起来，为工程寿命预测奠定了基础[28]。</w:t>
      </w:r>
    </w:p>
    <w:p>
      <w:pPr>
        <w:spacing w:before="240" w:after="120"/>
        <w:outlineLvl w:val="3"/>
      </w:pPr>
      <w:r>
        <w:rPr>
          <w:rFonts w:ascii="Times New Roman" w:hAnsi="Times New Roman" w:eastAsia="黑体"/>
          <w:b/>
          <w:sz w:val="26"/>
        </w:rPr>
        <w:t>4.1.2 阳极氧化膜的水合与溶解</w:t>
      </w:r>
    </w:p>
    <w:p>
      <w:pPr>
        <w:spacing w:line="360" w:lineRule="auto" w:after="60"/>
        <w:ind w:firstLine="420"/>
        <w:jc w:val="both"/>
      </w:pPr>
      <w:r>
        <w:rPr>
          <w:rFonts w:ascii="Times New Roman" w:hAnsi="Times New Roman" w:eastAsia="宋体"/>
          <w:b w:val="0"/>
          <w:sz w:val="22"/>
        </w:rPr>
        <w:t>铝电解电容中Al2O3介质的长期稳定性是另一关键。Al2O3氧化膜在电解液中会发生水合反应：Al2O3 + 3H2O → 2Al(OH)3，所生成的Al(OH)3氢氧化物在高温与碱性条件下又会进一步溶解。此反应消耗Al2O3并释放H+/H2气体，一方面造成介质厚度减薄，另一方面增加内部气体压力。</w:t>
      </w:r>
    </w:p>
    <w:p>
      <w:pPr>
        <w:spacing w:line="360" w:lineRule="auto" w:after="60"/>
        <w:ind w:firstLine="420"/>
        <w:jc w:val="both"/>
      </w:pPr>
      <w:r>
        <w:rPr>
          <w:rFonts w:ascii="Times New Roman" w:hAnsi="Times New Roman" w:eastAsia="宋体"/>
          <w:b w:val="0"/>
          <w:sz w:val="22"/>
        </w:rPr>
        <w:t>为了抑制该反应，现代铝电解电容电解液中常添加磷酸盐、磷酸酯、邻苯二甲酸酯等钝化剂。然而在长期储存（long-term shelf life）过程中，无电场条件下的Al2O3氧化膜依然会逐步变薄，这就是所谓的"失去化成"（de-formation）现象。一旦再加电，变薄的氧化膜无法承受工作电压，将发生局部击穿，需要通过"再化成"（reforming）以电化学方式修复介质层。行业普遍建议Al-cap在储存超过2年后，首次加电时采用限流软启动以完成再化成过程。</w:t>
      </w:r>
    </w:p>
    <w:p>
      <w:pPr>
        <w:spacing w:before="240" w:after="120"/>
        <w:outlineLvl w:val="3"/>
      </w:pPr>
      <w:r>
        <w:rPr>
          <w:rFonts w:ascii="Times New Roman" w:hAnsi="Times New Roman" w:eastAsia="黑体"/>
          <w:b/>
          <w:sz w:val="26"/>
        </w:rPr>
        <w:t>4.1.3 热点温度与自发热</w:t>
      </w:r>
    </w:p>
    <w:p>
      <w:pPr>
        <w:spacing w:line="360" w:lineRule="auto" w:after="60"/>
        <w:ind w:firstLine="420"/>
        <w:jc w:val="both"/>
      </w:pPr>
      <w:r>
        <w:rPr>
          <w:rFonts w:ascii="Times New Roman" w:hAnsi="Times New Roman" w:eastAsia="宋体"/>
          <w:b w:val="0"/>
          <w:sz w:val="22"/>
        </w:rPr>
        <w:t>电容器热点温度与外壳温度并非同一概念。内部芯子由于ESR引起的焦耳热会产生明显的自发热ΔT_sh = P_loss · R_th。Gasperi模型给出典型200 μF/400 V的卷绕电解芯子Rth约为15~25 K/W。当纹波电流引起的P_loss达到数瓦量级时，芯子温度可比外壳温度高出15~30℃，这部分温升会显著加速电解液蒸发。因此，纹波电流额定值的降额是铝电解电容寿命管理的核心工程手段。</w:t>
      </w:r>
    </w:p>
    <w:p>
      <w:pPr>
        <w:spacing w:before="240" w:after="120"/>
        <w:outlineLvl w:val="3"/>
      </w:pPr>
      <w:r>
        <w:rPr>
          <w:rFonts w:ascii="Times New Roman" w:hAnsi="Times New Roman" w:eastAsia="黑体"/>
          <w:b/>
          <w:sz w:val="26"/>
        </w:rPr>
        <w:t>4.1.4 反向电压与杂质离子作用</w:t>
      </w:r>
    </w:p>
    <w:p>
      <w:pPr>
        <w:spacing w:line="360" w:lineRule="auto" w:after="60"/>
        <w:ind w:firstLine="420"/>
        <w:jc w:val="both"/>
      </w:pPr>
      <w:r>
        <w:rPr>
          <w:rFonts w:ascii="Times New Roman" w:hAnsi="Times New Roman" w:eastAsia="宋体"/>
          <w:b w:val="0"/>
          <w:sz w:val="22"/>
        </w:rPr>
        <w:t>Al-cap是有极性元件，反向电压下阴极铝箔上的微薄自然氧化膜（约数nm）瞬间被击穿，电解液发生电化学反应生成大量氢气。即使反向电压仅1~2 V持续时间较长，也会导致电容器显著退化甚至爆炸失效。这一点在直流工况下并不突出，但在整流桥输出、双向逆变器、软启动阶段等可能存在反向电压的场合必须特别注意。</w:t>
      </w:r>
    </w:p>
    <w:p>
      <w:pPr>
        <w:spacing w:line="360" w:lineRule="auto" w:after="60"/>
        <w:ind w:firstLine="420"/>
        <w:jc w:val="both"/>
      </w:pPr>
      <w:r>
        <w:rPr>
          <w:rFonts w:ascii="Times New Roman" w:hAnsi="Times New Roman" w:eastAsia="宋体"/>
          <w:b w:val="0"/>
          <w:sz w:val="22"/>
        </w:rPr>
        <w:t>此外，电解液中的Cl⁻、SO4²⁻、Fe³⁺等杂质离子会催化Al2O3介质溶解，形成点蚀（pitting corrosion）；这种点蚀可在几十至几百小时内造成阳极氧化膜的贯穿缺陷，导致击穿短路。高品质Al-cap在生产中对电解液纯度有极高要求，典型Cl⁻浓度控制在1 ppm以下。</w:t>
      </w:r>
    </w:p>
    <w:p>
      <w:pPr>
        <w:spacing w:before="240" w:after="120"/>
        <w:outlineLvl w:val="2"/>
      </w:pPr>
      <w:r>
        <w:rPr>
          <w:rFonts w:ascii="Times New Roman" w:hAnsi="Times New Roman" w:eastAsia="黑体"/>
          <w:b/>
          <w:sz w:val="30"/>
        </w:rPr>
        <w:t>4.2 MLCC的失效机理</w:t>
      </w:r>
    </w:p>
    <w:p>
      <w:pPr>
        <w:spacing w:before="240" w:after="120"/>
        <w:outlineLvl w:val="3"/>
      </w:pPr>
      <w:r>
        <w:rPr>
          <w:rFonts w:ascii="Times New Roman" w:hAnsi="Times New Roman" w:eastAsia="黑体"/>
          <w:b/>
          <w:sz w:val="26"/>
        </w:rPr>
        <w:t>4.2.1 氧空位迁移致绝缘电阻退化（Waser-Baiatu机制）</w:t>
      </w:r>
    </w:p>
    <w:p>
      <w:pPr>
        <w:spacing w:line="360" w:lineRule="auto" w:after="60"/>
        <w:ind w:firstLine="420"/>
        <w:jc w:val="both"/>
      </w:pPr>
      <w:r>
        <w:rPr>
          <w:rFonts w:ascii="Times New Roman" w:hAnsi="Times New Roman" w:eastAsia="宋体"/>
          <w:b w:val="0"/>
          <w:sz w:val="22"/>
        </w:rPr>
        <w:t>BME-MLCC由于Ni内电极必须在低氧分压下共烧，其BaTiO3介质中不可避免地引入较高浓度的氧空位（oxygen vacancies, VO••）。氧空位作为带正电的点缺陷，在DC电场作用下会向阴极迁移并在阴极附近积聚，形成空间电荷层；该空间电荷层在局部电场增强作用下逐步形成漏电通道，宏观上表现为绝缘电阻（IR）随时间的下降。</w:t>
      </w:r>
    </w:p>
    <w:p>
      <w:pPr>
        <w:spacing w:line="360" w:lineRule="auto" w:after="60"/>
        <w:ind w:firstLine="420"/>
        <w:jc w:val="both"/>
      </w:pPr>
      <w:r>
        <w:rPr>
          <w:rFonts w:ascii="Times New Roman" w:hAnsi="Times New Roman" w:eastAsia="宋体"/>
          <w:b w:val="0"/>
          <w:sz w:val="22"/>
        </w:rPr>
        <w:t>Waser与Baiatu于1990年代初提出了经典的"氧空位迁移-陷阱填充"退化模型，其表达式可简化为：</w:t>
      </w:r>
    </w:p>
    <w:p>
      <w:pPr>
        <w:spacing w:before="120" w:after="120"/>
        <w:jc w:val="center"/>
      </w:pPr>
      <w:r>
        <w:rPr>
          <w:rFonts w:ascii="Times New Roman" w:hAnsi="Times New Roman" w:eastAsia="Times New Roman"/>
          <w:b w:val="0"/>
          <w:sz w:val="22"/>
        </w:rPr>
        <w:t>lg(IR) = lg(IR0) - k·t^n</w:t>
      </w:r>
    </w:p>
    <w:p>
      <w:pPr>
        <w:spacing w:line="360" w:lineRule="auto" w:after="60"/>
        <w:ind w:firstLine="420"/>
        <w:jc w:val="both"/>
      </w:pPr>
      <w:r>
        <w:rPr>
          <w:rFonts w:ascii="Times New Roman" w:hAnsi="Times New Roman" w:eastAsia="宋体"/>
          <w:b w:val="0"/>
          <w:sz w:val="22"/>
        </w:rPr>
        <w:t>其中指数n通常为0.3~0.5，速率常数k随温度服从Arrhenius规律，激活能Ea典型值为1.0~1.3 eV[17]。Kim等（2024）在Nature Scientific Reports上发表的实验研究给出了一组现代高容X7R BME MLCC在125~250℃、1~5倍额定电压下的加速退化数据，拟合得到的Ea为0.88~1.49 eV，与Waser模型吻合[12]。</w:t>
      </w:r>
    </w:p>
    <w:p>
      <w:pPr>
        <w:spacing w:line="360" w:lineRule="auto" w:after="60"/>
        <w:ind w:firstLine="420"/>
        <w:jc w:val="both"/>
      </w:pPr>
      <w:r>
        <w:rPr>
          <w:rFonts w:ascii="Times New Roman" w:hAnsi="Times New Roman" w:eastAsia="宋体"/>
          <w:b w:val="0"/>
          <w:sz w:val="22"/>
        </w:rPr>
        <w:t>对于超薄介质（0.5~1.5 μm）的最新一代MLCC，电场强度可达10~30 V/μm，已接近Ea的约数10 eV级本征击穿极限的30%以上。这种工作场强的提高使得氧空位迁移过程加速，同时Schottky/Poole-Frenkel发射电流也迅速上升，寿命呈现显著缩短趋势。</w:t>
      </w:r>
    </w:p>
    <w:p>
      <w:pPr>
        <w:spacing w:before="240" w:after="120"/>
        <w:outlineLvl w:val="3"/>
      </w:pPr>
      <w:r>
        <w:rPr>
          <w:rFonts w:ascii="Times New Roman" w:hAnsi="Times New Roman" w:eastAsia="黑体"/>
          <w:b/>
          <w:sz w:val="26"/>
        </w:rPr>
        <w:t>4.2.2 热失控击穿（Thermal Runaway）</w:t>
      </w:r>
    </w:p>
    <w:p>
      <w:pPr>
        <w:spacing w:line="360" w:lineRule="auto" w:after="60"/>
        <w:ind w:firstLine="420"/>
        <w:jc w:val="both"/>
      </w:pPr>
      <w:r>
        <w:rPr>
          <w:rFonts w:ascii="Times New Roman" w:hAnsi="Times New Roman" w:eastAsia="宋体"/>
          <w:b w:val="0"/>
          <w:sz w:val="22"/>
        </w:rPr>
        <w:t>NASA的Liu等（2017）提出了针对存在缺陷的BME MLCC的"热失控失效模型"：当介质中存在烧结孔洞、电极边缘毛刺或外部损伤等局部高漏电通道时，漏电流产生的焦耳热使局部温度升高，而IR具有明显负温度系数，温度升高又进一步加剧漏电流，形成正反馈。当热散失能力不足以平衡焦耳热时，热点温度快速上升至1000℃以上，引发贯穿性击穿[29]。</w:t>
      </w:r>
    </w:p>
    <w:p>
      <w:pPr>
        <w:spacing w:line="360" w:lineRule="auto" w:after="60"/>
        <w:ind w:firstLine="420"/>
        <w:jc w:val="both"/>
      </w:pPr>
      <w:r>
        <w:rPr>
          <w:rFonts w:ascii="Times New Roman" w:hAnsi="Times New Roman" w:eastAsia="宋体"/>
          <w:b w:val="0"/>
          <w:sz w:val="22"/>
        </w:rPr>
        <w:t>该模型给出了热失控发生的临界条件：</w:t>
      </w:r>
    </w:p>
    <w:p>
      <w:pPr>
        <w:spacing w:before="120" w:after="120"/>
        <w:jc w:val="center"/>
      </w:pPr>
      <w:r>
        <w:rPr>
          <w:rFonts w:ascii="Times New Roman" w:hAnsi="Times New Roman" w:eastAsia="Times New Roman"/>
          <w:b w:val="0"/>
          <w:sz w:val="22"/>
        </w:rPr>
        <w:t>d(P_Joule)/dT &gt; d(P_dissipation)/dT</w:t>
      </w:r>
    </w:p>
    <w:p>
      <w:pPr>
        <w:spacing w:line="360" w:lineRule="auto" w:after="60"/>
        <w:ind w:firstLine="420"/>
        <w:jc w:val="both"/>
      </w:pPr>
      <w:r>
        <w:rPr>
          <w:rFonts w:ascii="Times New Roman" w:hAnsi="Times New Roman" w:eastAsia="宋体"/>
          <w:b w:val="0"/>
          <w:sz w:val="22"/>
        </w:rPr>
        <w:t>只有当焦耳热生成速率相对温度的变化快于散热速率时，才会发生热失控。该判据被工程上用于评估MLCC在局部缺陷条件下的短路概率。</w:t>
      </w:r>
    </w:p>
    <w:p>
      <w:pPr>
        <w:spacing w:before="240" w:after="120"/>
        <w:outlineLvl w:val="3"/>
      </w:pPr>
      <w:r>
        <w:rPr>
          <w:rFonts w:ascii="Times New Roman" w:hAnsi="Times New Roman" w:eastAsia="黑体"/>
          <w:b/>
          <w:sz w:val="26"/>
        </w:rPr>
        <w:t>4.2.3 机械裂纹扩展与flex crack</w:t>
      </w:r>
    </w:p>
    <w:p>
      <w:pPr>
        <w:spacing w:line="360" w:lineRule="auto" w:after="60"/>
        <w:ind w:firstLine="420"/>
        <w:jc w:val="both"/>
      </w:pPr>
      <w:r>
        <w:rPr>
          <w:rFonts w:ascii="Times New Roman" w:hAnsi="Times New Roman" w:eastAsia="宋体"/>
          <w:b w:val="0"/>
          <w:sz w:val="22"/>
        </w:rPr>
        <w:t>MLCC陶瓷本体是硬而脆的材料，其断裂韧性KIC仅约1 MPa·m^(1/2)，一旦出现微裂纹，扩展过程基本服从线弹性断裂力学（LEFM）。引起裂纹的主要应力源包括：</w:t>
      </w:r>
    </w:p>
    <w:p>
      <w:pPr>
        <w:spacing w:line="360" w:lineRule="auto" w:after="60"/>
        <w:ind w:firstLine="420"/>
        <w:jc w:val="both"/>
      </w:pPr>
      <w:r>
        <w:rPr>
          <w:rFonts w:ascii="Times New Roman" w:hAnsi="Times New Roman" w:eastAsia="宋体"/>
          <w:b w:val="0"/>
          <w:sz w:val="22"/>
        </w:rPr>
        <w:t>（1）SMT回流焊过程的热冲击（thermal shock），温度梯度可达数百℃/s；</w:t>
      </w:r>
    </w:p>
    <w:p>
      <w:pPr>
        <w:spacing w:line="360" w:lineRule="auto" w:after="60"/>
        <w:ind w:firstLine="420"/>
        <w:jc w:val="both"/>
      </w:pPr>
      <w:r>
        <w:rPr>
          <w:rFonts w:ascii="Times New Roman" w:hAnsi="Times New Roman" w:eastAsia="宋体"/>
          <w:b w:val="0"/>
          <w:sz w:val="22"/>
        </w:rPr>
        <w:t>（2）PCB装配后的弯曲应变（board flexure），源于分板、拧螺丝、装配件压紧、运输振动等；</w:t>
      </w:r>
    </w:p>
    <w:p>
      <w:pPr>
        <w:spacing w:line="360" w:lineRule="auto" w:after="60"/>
        <w:ind w:firstLine="420"/>
        <w:jc w:val="both"/>
      </w:pPr>
      <w:r>
        <w:rPr>
          <w:rFonts w:ascii="Times New Roman" w:hAnsi="Times New Roman" w:eastAsia="宋体"/>
          <w:b w:val="0"/>
          <w:sz w:val="22"/>
        </w:rPr>
        <w:t>（3）使用中温度循环引起的CTE失配（陶瓷CTE约10 ppm/℃，FR-4 PCB约14~17 ppm/℃）；</w:t>
      </w:r>
    </w:p>
    <w:p>
      <w:pPr>
        <w:spacing w:line="360" w:lineRule="auto" w:after="60"/>
        <w:ind w:firstLine="420"/>
        <w:jc w:val="both"/>
      </w:pPr>
      <w:r>
        <w:rPr>
          <w:rFonts w:ascii="Times New Roman" w:hAnsi="Times New Roman" w:eastAsia="宋体"/>
          <w:b w:val="0"/>
          <w:sz w:val="22"/>
        </w:rPr>
        <w:t>（4）来自外部零件的撞击与振动应力。</w:t>
      </w:r>
    </w:p>
    <w:p>
      <w:pPr>
        <w:spacing w:line="360" w:lineRule="auto" w:after="60"/>
        <w:ind w:firstLine="420"/>
        <w:jc w:val="both"/>
      </w:pPr>
      <w:r>
        <w:rPr>
          <w:rFonts w:ascii="Times New Roman" w:hAnsi="Times New Roman" w:eastAsia="宋体"/>
          <w:b w:val="0"/>
          <w:sz w:val="22"/>
        </w:rPr>
        <w:t>TDK与KEMET的工程测试数据显示：1210以下尺寸MLCC在板级弯曲应变≥1000 μstrain下开始显著失效；1812以上尺寸的阈值更低，仅约500 μstrain。为此TDK开发了一系列"flex-crack抗性"产品系列，如软端电极（soft termination）与内部串联结构（internal series）MLCC[25][26][30]。软端电极通过在Ni阻挡层与Sn表层之间加入一层导电银胶或导电橡胶来吸收应变；内部串联结构则通过两段介质串联降低单段电场与短路风险。</w:t>
      </w:r>
    </w:p>
    <w:p>
      <w:pPr>
        <w:spacing w:line="360" w:lineRule="auto" w:after="60"/>
        <w:ind w:firstLine="420"/>
        <w:jc w:val="both"/>
      </w:pPr>
      <w:r>
        <w:rPr>
          <w:rFonts w:ascii="Times New Roman" w:hAnsi="Times New Roman" w:eastAsia="宋体"/>
          <w:b w:val="0"/>
          <w:sz w:val="22"/>
        </w:rPr>
        <w:t>裂纹一旦形成，在外部湿气侵入后，裂纹通道中的吸附水分子会与电场、离子相互作用，形成电化学迁移短路，这正是裂纹导致短路失效的最终物理图景[31]。</w:t>
      </w:r>
    </w:p>
    <w:p>
      <w:pPr>
        <w:spacing w:before="240" w:after="120"/>
        <w:outlineLvl w:val="3"/>
      </w:pPr>
      <w:r>
        <w:rPr>
          <w:rFonts w:ascii="Times New Roman" w:hAnsi="Times New Roman" w:eastAsia="黑体"/>
          <w:b/>
          <w:sz w:val="26"/>
        </w:rPr>
        <w:t>4.2.4 银迁移与铜迁移</w:t>
      </w:r>
    </w:p>
    <w:p>
      <w:pPr>
        <w:spacing w:line="360" w:lineRule="auto" w:after="60"/>
        <w:ind w:firstLine="420"/>
        <w:jc w:val="both"/>
      </w:pPr>
      <w:r>
        <w:rPr>
          <w:rFonts w:ascii="Times New Roman" w:hAnsi="Times New Roman" w:eastAsia="宋体"/>
          <w:b w:val="0"/>
          <w:sz w:val="22"/>
        </w:rPr>
        <w:t>在高温高湿（THB, Temperature-Humidity-Bias）条件下，MLCC端电极中的Ag（早期工艺）或Cu（现代主流）可能在离子形态下（Ag+、Cu2+）沿表面或沿裂纹通道迁移并在阴极侧还原沉积，形成导电"枝晶"（dendrite），最终造成表面爬行短路。银迁移现象最早于1960年代在含银焊料中被发现，已有完整的J. Electrochem. Soc.理论基础。在湿度高于80% RH、电场高于10 V/mm的条件下，银迁移的速率可达10~100 μm/h量级。为此现代BME MLCC已全面改用Cu-Ni-Sn端电极体系，铜迁移速率相较银迁移低约1~2个量级，但在极端湿度下仍不能完全忽略。</w:t>
      </w:r>
    </w:p>
    <w:p>
      <w:pPr>
        <w:spacing w:before="240" w:after="120"/>
        <w:outlineLvl w:val="3"/>
      </w:pPr>
      <w:r>
        <w:rPr>
          <w:rFonts w:ascii="Times New Roman" w:hAnsi="Times New Roman" w:eastAsia="黑体"/>
          <w:b/>
          <w:sz w:val="26"/>
        </w:rPr>
        <w:t>4.2.5 铁电老化</w:t>
      </w:r>
    </w:p>
    <w:p>
      <w:pPr>
        <w:spacing w:line="360" w:lineRule="auto" w:after="60"/>
        <w:ind w:firstLine="420"/>
        <w:jc w:val="both"/>
      </w:pPr>
      <w:r>
        <w:rPr>
          <w:rFonts w:ascii="Times New Roman" w:hAnsi="Times New Roman" w:eastAsia="宋体"/>
          <w:b w:val="0"/>
          <w:sz w:val="22"/>
        </w:rPr>
        <w:t>对于II类MLCC（X7R、X5R等），其容量随时间按log(t)规律线性下降，这种现象称为"铁电老化"（ferroelectric aging）。老化速率通常表示为每十倍时间下降的百分比（%/decade）。X7R典型值为1~3%/decade，而Y5V可达5%/decade或更高。铁电老化的物理本质是铁电畴结构在Curie温度以下的缓慢重构，实际上是一个近热力学平衡的弛豫过程，而非真正意义上的"失效"——通过加热到居里温度以上再冷却，可以将容量恢复至初始值（此即"去老化"，deaging）。但在实际应用中，定期de-aging并不现实，因此老化后的容量应作为设计容量考虑，并在寿命模型中作为确定性修正项处理。</w:t>
      </w:r>
    </w:p>
    <w:p>
      <w:pPr>
        <w:spacing w:before="240" w:after="120"/>
        <w:outlineLvl w:val="2"/>
      </w:pPr>
      <w:r>
        <w:rPr>
          <w:rFonts w:ascii="Times New Roman" w:hAnsi="Times New Roman" w:eastAsia="黑体"/>
          <w:b/>
          <w:sz w:val="30"/>
        </w:rPr>
        <w:t>4.3 金属化薄膜电容器的失效机理</w:t>
      </w:r>
    </w:p>
    <w:p>
      <w:pPr>
        <w:spacing w:before="240" w:after="120"/>
        <w:outlineLvl w:val="3"/>
      </w:pPr>
      <w:r>
        <w:rPr>
          <w:rFonts w:ascii="Times New Roman" w:hAnsi="Times New Roman" w:eastAsia="黑体"/>
          <w:b/>
          <w:sz w:val="26"/>
        </w:rPr>
        <w:t>4.3.1 自愈过程的物理本质</w:t>
      </w:r>
    </w:p>
    <w:p>
      <w:pPr>
        <w:spacing w:line="360" w:lineRule="auto" w:after="60"/>
        <w:ind w:firstLine="420"/>
        <w:jc w:val="both"/>
      </w:pPr>
      <w:r>
        <w:rPr>
          <w:rFonts w:ascii="Times New Roman" w:hAnsi="Times New Roman" w:eastAsia="宋体"/>
          <w:b w:val="0"/>
          <w:sz w:val="22"/>
        </w:rPr>
        <w:t>金属化薄膜电容的自愈（self-healing）机制是其最核心的可靠性特征。当薄膜介质中某一缺陷点在电场作用下发生局部击穿，毫秒至微秒时间尺度内的电弧等离子体在缺陷周围数十至数百微米区域内使Al电极升温至铝的沸点（2467℃）以上，电极层Al发生蒸发与氧化（生成Al2O3），从而形成一个绝缘的"清除区"（cleared zone），将缺陷点与主电极隔离[20][21]。</w:t>
      </w:r>
    </w:p>
    <w:p>
      <w:pPr>
        <w:spacing w:line="360" w:lineRule="auto" w:after="60"/>
        <w:ind w:firstLine="420"/>
        <w:jc w:val="both"/>
      </w:pPr>
      <w:r>
        <w:rPr>
          <w:rFonts w:ascii="Times New Roman" w:hAnsi="Times New Roman" w:eastAsia="宋体"/>
          <w:b w:val="0"/>
          <w:sz w:val="22"/>
        </w:rPr>
        <w:t>Pascal Venet及其合作者（El-Husseini等，2001）通过对BOPP薄膜电容自愈过程的高速摄影与等离子体光谱分析，建立了自愈能量方程[21][32]：</w:t>
      </w:r>
    </w:p>
    <w:p>
      <w:pPr>
        <w:spacing w:before="120" w:after="120"/>
        <w:jc w:val="center"/>
      </w:pPr>
      <w:r>
        <w:rPr>
          <w:rFonts w:ascii="Times New Roman" w:hAnsi="Times New Roman" w:eastAsia="Times New Roman"/>
          <w:b w:val="0"/>
          <w:sz w:val="22"/>
        </w:rPr>
        <w:t>E_sh ≈ 0.5·C_eff·(V_sh² - V_res²)</w:t>
      </w:r>
    </w:p>
    <w:p>
      <w:pPr>
        <w:spacing w:line="360" w:lineRule="auto" w:after="60"/>
        <w:ind w:firstLine="420"/>
        <w:jc w:val="both"/>
      </w:pPr>
      <w:r>
        <w:rPr>
          <w:rFonts w:ascii="Times New Roman" w:hAnsi="Times New Roman" w:eastAsia="宋体"/>
          <w:b w:val="0"/>
          <w:sz w:val="22"/>
        </w:rPr>
        <w:t>其中V_sh为自愈发生时的瞬时电压，V_res为自愈结束后残余电压，C_eff为参与放电的等效电容。单次自愈能量通常为μJ至mJ量级，以毫秒级持续时间完成。Shakir与Kuznetsova（2024）进一步通过对自愈电弧中Al II发射线的展宽分析，给出了自愈通道中电子密度高达10^17~10^18 cm⁻³、温度约1~2 eV的结果[33]。</w:t>
      </w:r>
    </w:p>
    <w:p>
      <w:pPr>
        <w:spacing w:before="240" w:after="120"/>
        <w:outlineLvl w:val="3"/>
      </w:pPr>
      <w:r>
        <w:rPr>
          <w:rFonts w:ascii="Times New Roman" w:hAnsi="Times New Roman" w:eastAsia="黑体"/>
          <w:b/>
          <w:sz w:val="26"/>
        </w:rPr>
        <w:t>4.3.2 自愈累积与容量下降</w:t>
      </w:r>
    </w:p>
    <w:p>
      <w:pPr>
        <w:spacing w:line="360" w:lineRule="auto" w:after="60"/>
        <w:ind w:firstLine="420"/>
        <w:jc w:val="both"/>
      </w:pPr>
      <w:r>
        <w:rPr>
          <w:rFonts w:ascii="Times New Roman" w:hAnsi="Times New Roman" w:eastAsia="宋体"/>
          <w:b w:val="0"/>
          <w:sz w:val="22"/>
        </w:rPr>
        <w:t>每次自愈事件会消耗局部电极面积ΔA_sh（典型值约0.01~1 mm²），从而使电容器的总有效电极面积持续减少，容量按下式衰减：</w:t>
      </w:r>
    </w:p>
    <w:p>
      <w:pPr>
        <w:spacing w:before="120" w:after="120"/>
        <w:jc w:val="center"/>
      </w:pPr>
      <w:r>
        <w:rPr>
          <w:rFonts w:ascii="Times New Roman" w:hAnsi="Times New Roman" w:eastAsia="Times New Roman"/>
          <w:b w:val="0"/>
          <w:sz w:val="22"/>
        </w:rPr>
        <w:t>C(N) = C0 - N·ΔA_sh_avg·ε0·εr/d</w:t>
      </w:r>
    </w:p>
    <w:p>
      <w:pPr>
        <w:spacing w:line="360" w:lineRule="auto" w:after="60"/>
        <w:ind w:firstLine="420"/>
        <w:jc w:val="both"/>
      </w:pPr>
      <w:r>
        <w:rPr>
          <w:rFonts w:ascii="Times New Roman" w:hAnsi="Times New Roman" w:eastAsia="宋体"/>
          <w:b w:val="0"/>
          <w:sz w:val="22"/>
        </w:rPr>
        <w:t>其中N为累积自愈次数。Makdessi等（2014、2015）通过系统加速老化实验得到了自愈次数与寿命的对应关系——典型BOPP/MKP电容在寿命终点时累积自愈次数约10⁴~10⁶次，容量下降约5%~10%[34]。寿命终点的判据通常定义为容量下降达到初始值的5%（严格）或10%（宽松）。</w:t>
      </w:r>
    </w:p>
    <w:p>
      <w:pPr>
        <w:spacing w:line="360" w:lineRule="auto" w:after="60"/>
        <w:ind w:firstLine="420"/>
        <w:jc w:val="both"/>
      </w:pPr>
      <w:r>
        <w:rPr>
          <w:rFonts w:ascii="Times New Roman" w:hAnsi="Times New Roman" w:eastAsia="宋体"/>
          <w:b w:val="0"/>
          <w:sz w:val="22"/>
        </w:rPr>
        <w:t>RSC Physical Chemistry Chemical Physics（2024）提出了基于"soot channel"（炭通道）积累的自愈降级模型：每次自愈虽然隔离了该缺陷点，但在该区域留下了半导体性质的导电焦化通道；这些通道在长期应力下重新成为介质损耗的起点，加速下一轮自愈的发生[35]。这一观察为"自愈不是完全清洁事件"的行业认识提供了物理基础。</w:t>
      </w:r>
    </w:p>
    <w:p>
      <w:pPr>
        <w:spacing w:before="240" w:after="120"/>
        <w:outlineLvl w:val="3"/>
      </w:pPr>
      <w:r>
        <w:rPr>
          <w:rFonts w:ascii="Times New Roman" w:hAnsi="Times New Roman" w:eastAsia="黑体"/>
          <w:b/>
          <w:sz w:val="26"/>
        </w:rPr>
        <w:t>4.3.3 薄膜介质本征老化与温湿度作用</w:t>
      </w:r>
    </w:p>
    <w:p>
      <w:pPr>
        <w:spacing w:line="360" w:lineRule="auto" w:after="60"/>
        <w:ind w:firstLine="420"/>
        <w:jc w:val="both"/>
      </w:pPr>
      <w:r>
        <w:rPr>
          <w:rFonts w:ascii="Times New Roman" w:hAnsi="Times New Roman" w:eastAsia="宋体"/>
          <w:b w:val="0"/>
          <w:sz w:val="22"/>
        </w:rPr>
        <w:t>BOPP薄膜在长期电-热应力下会发生有限程度的化学老化，包括：</w:t>
      </w:r>
    </w:p>
    <w:p>
      <w:pPr>
        <w:spacing w:line="360" w:lineRule="auto" w:after="60"/>
        <w:ind w:firstLine="420"/>
        <w:jc w:val="both"/>
      </w:pPr>
      <w:r>
        <w:rPr>
          <w:rFonts w:ascii="Times New Roman" w:hAnsi="Times New Roman" w:eastAsia="宋体"/>
          <w:b w:val="0"/>
          <w:sz w:val="22"/>
        </w:rPr>
        <w:t>（1）主链β-键断裂导致聚合度下降；</w:t>
      </w:r>
    </w:p>
    <w:p>
      <w:pPr>
        <w:spacing w:line="360" w:lineRule="auto" w:after="60"/>
        <w:ind w:firstLine="420"/>
        <w:jc w:val="both"/>
      </w:pPr>
      <w:r>
        <w:rPr>
          <w:rFonts w:ascii="Times New Roman" w:hAnsi="Times New Roman" w:eastAsia="宋体"/>
          <w:b w:val="0"/>
          <w:sz w:val="22"/>
        </w:rPr>
        <w:t>（2）自由基引发的氧化裂解，产生羰基（C=O）等极性基团，使介质损耗上升；</w:t>
      </w:r>
    </w:p>
    <w:p>
      <w:pPr>
        <w:spacing w:line="360" w:lineRule="auto" w:after="60"/>
        <w:ind w:firstLine="420"/>
        <w:jc w:val="both"/>
      </w:pPr>
      <w:r>
        <w:rPr>
          <w:rFonts w:ascii="Times New Roman" w:hAnsi="Times New Roman" w:eastAsia="宋体"/>
          <w:b w:val="0"/>
          <w:sz w:val="22"/>
        </w:rPr>
        <w:t>（3）结晶区与非晶区界面微空洞的形成与长大。</w:t>
      </w:r>
    </w:p>
    <w:p>
      <w:pPr>
        <w:spacing w:line="360" w:lineRule="auto" w:after="60"/>
        <w:ind w:firstLine="420"/>
        <w:jc w:val="both"/>
      </w:pPr>
      <w:r>
        <w:rPr>
          <w:rFonts w:ascii="Times New Roman" w:hAnsi="Times New Roman" w:eastAsia="宋体"/>
          <w:b w:val="0"/>
          <w:sz w:val="22"/>
        </w:rPr>
        <w:t>Wang等（2020）在综述中系统梳理了BOPP薄膜在HVDC应用下的老化模式，并指出抗氧剂（如受阻酚类）与UV稳定剂的添加可显著延缓主链降解[36]。Lyons等（2024）研究了臭氧化处理对金属化薄膜电容自愈效率的影响，发现适度臭氧处理可在介质表面引入一层含氧极性层，有助于稳定自愈过程并降低残留漏电通道的电导率[37]。</w:t>
      </w:r>
    </w:p>
    <w:p>
      <w:pPr>
        <w:spacing w:line="360" w:lineRule="auto" w:after="60"/>
        <w:ind w:firstLine="420"/>
        <w:jc w:val="both"/>
      </w:pPr>
      <w:r>
        <w:rPr>
          <w:rFonts w:ascii="Times New Roman" w:hAnsi="Times New Roman" w:eastAsia="宋体"/>
          <w:b w:val="0"/>
          <w:sz w:val="22"/>
        </w:rPr>
        <w:t>湿度对金属化膜电容的影响主要体现在两个方面：</w:t>
      </w:r>
    </w:p>
    <w:p>
      <w:pPr>
        <w:spacing w:line="360" w:lineRule="auto" w:after="60"/>
        <w:ind w:firstLine="420"/>
        <w:jc w:val="both"/>
      </w:pPr>
      <w:r>
        <w:rPr>
          <w:rFonts w:ascii="Times New Roman" w:hAnsi="Times New Roman" w:eastAsia="宋体"/>
          <w:b w:val="0"/>
          <w:sz w:val="22"/>
        </w:rPr>
        <w:t>（1）水分子通过封装树脂扩散至芯子表面，在电极金属（尤其是Al）上引起水腐蚀反应4Al + 3O2 + 6H2O → 4Al(OH)3，造成电极"粉化"；</w:t>
      </w:r>
    </w:p>
    <w:p>
      <w:pPr>
        <w:spacing w:line="360" w:lineRule="auto" w:after="60"/>
        <w:ind w:firstLine="420"/>
        <w:jc w:val="both"/>
      </w:pPr>
      <w:r>
        <w:rPr>
          <w:rFonts w:ascii="Times New Roman" w:hAnsi="Times New Roman" w:eastAsia="宋体"/>
          <w:b w:val="0"/>
          <w:sz w:val="22"/>
        </w:rPr>
        <w:t>（2）水分子在端面喷金层内富集，导致Zn和Al之间发生电偶腐蚀。这两种湿度相关机理共同构成了车规级薄膜电容THB寿命的主要决定因素。</w:t>
      </w:r>
    </w:p>
    <w:p>
      <w:pPr>
        <w:spacing w:before="240" w:after="120"/>
        <w:outlineLvl w:val="2"/>
      </w:pPr>
      <w:r>
        <w:rPr>
          <w:rFonts w:ascii="Times New Roman" w:hAnsi="Times New Roman" w:eastAsia="黑体"/>
          <w:b/>
          <w:sz w:val="30"/>
        </w:rPr>
        <w:t>4.4 钽电容器的失效机理</w:t>
      </w:r>
    </w:p>
    <w:p>
      <w:pPr>
        <w:spacing w:before="240" w:after="120"/>
        <w:outlineLvl w:val="3"/>
      </w:pPr>
      <w:r>
        <w:rPr>
          <w:rFonts w:ascii="Times New Roman" w:hAnsi="Times New Roman" w:eastAsia="黑体"/>
          <w:b/>
          <w:sz w:val="26"/>
        </w:rPr>
        <w:t>4.4.1 场致结晶（Field Crystallization）</w:t>
      </w:r>
    </w:p>
    <w:p>
      <w:pPr>
        <w:spacing w:line="360" w:lineRule="auto" w:after="60"/>
        <w:ind w:firstLine="420"/>
        <w:jc w:val="both"/>
      </w:pPr>
      <w:r>
        <w:rPr>
          <w:rFonts w:ascii="Times New Roman" w:hAnsi="Times New Roman" w:eastAsia="宋体"/>
          <w:b w:val="0"/>
          <w:sz w:val="22"/>
        </w:rPr>
        <w:t>固体钽电容的Ta2O5介质在制备后通常为非晶态。在外加电场（典型工作场强约200~400 V/μm）与温度作用下，非晶Ta2O5会在局部缺陷、应力集中点与富含杂质的区域逐步成核，形成β-Ta2O5晶粒。由于晶态Ta2O5的漏电流较非晶态高出数个数量级，这些晶粒成为漏电流通道，其宏观表现为漏电流（DCL）随时间呈指数或幂律增长。</w:t>
      </w:r>
    </w:p>
    <w:p>
      <w:pPr>
        <w:spacing w:line="360" w:lineRule="auto" w:after="60"/>
        <w:ind w:firstLine="420"/>
        <w:jc w:val="both"/>
      </w:pPr>
      <w:r>
        <w:rPr>
          <w:rFonts w:ascii="Times New Roman" w:hAnsi="Times New Roman" w:eastAsia="宋体"/>
          <w:b w:val="0"/>
          <w:sz w:val="22"/>
        </w:rPr>
        <w:t>Pozdeev-Freeman等（2004-2011）的研究明确了场致结晶的三要素：（a）钽阳极表面的微观缺陷（特别是钽粉的晶界与氧空位富集区）；（b）电场强度；（c）温度。结晶成核速率近似服从：</w:t>
      </w:r>
    </w:p>
    <w:p>
      <w:pPr>
        <w:spacing w:before="120" w:after="120"/>
        <w:jc w:val="center"/>
      </w:pPr>
      <w:r>
        <w:rPr>
          <w:rFonts w:ascii="Times New Roman" w:hAnsi="Times New Roman" w:eastAsia="Times New Roman"/>
          <w:b w:val="0"/>
          <w:sz w:val="22"/>
        </w:rPr>
        <w:t>dN/dt = A·E²·exp(-Ea/kT)</w:t>
      </w:r>
    </w:p>
    <w:p>
      <w:pPr>
        <w:spacing w:line="360" w:lineRule="auto" w:after="60"/>
        <w:ind w:firstLine="420"/>
        <w:jc w:val="both"/>
      </w:pPr>
      <w:r>
        <w:rPr>
          <w:rFonts w:ascii="Times New Roman" w:hAnsi="Times New Roman" w:eastAsia="宋体"/>
          <w:b w:val="0"/>
          <w:sz w:val="22"/>
        </w:rPr>
        <w:t>其中激活能Ea约为1.0~1.5 eV[9][38]。先进工艺（如KEMET的F-Tech、AVX的conformal CMD）通过控制钽粉纯度、氧化膜化成工艺与老炼筛选流程，大幅降低了出厂时的结晶前驱缺陷密度，使现代钽电容的早期失效率从1000 ppm级下降至10 ppm以下[10]。</w:t>
      </w:r>
    </w:p>
    <w:p>
      <w:pPr>
        <w:spacing w:before="240" w:after="120"/>
        <w:outlineLvl w:val="3"/>
      </w:pPr>
      <w:r>
        <w:rPr>
          <w:rFonts w:ascii="Times New Roman" w:hAnsi="Times New Roman" w:eastAsia="黑体"/>
          <w:b/>
          <w:sz w:val="26"/>
        </w:rPr>
        <w:t>4.4.2 MnO2的热自愈与polymer阴极的缺失自愈</w:t>
      </w:r>
    </w:p>
    <w:p>
      <w:pPr>
        <w:spacing w:line="360" w:lineRule="auto" w:after="60"/>
        <w:ind w:firstLine="420"/>
        <w:jc w:val="both"/>
      </w:pPr>
      <w:r>
        <w:rPr>
          <w:rFonts w:ascii="Times New Roman" w:hAnsi="Times New Roman" w:eastAsia="宋体"/>
          <w:b w:val="0"/>
          <w:sz w:val="22"/>
        </w:rPr>
        <w:t>在MnO2阴极体系中，当局部漏电流引起局部温度升至约450℃以上时，MnO2会被还原为电阻率高出约10⁸倍的Mn2O3，此反应形成一个高阻"绝缘塞"将缺陷点隔离，这就是钽电容的"热自愈"或scintillation机制[39][40]。正是由于这一机制的存在，传统MnO2钽电容虽然存在场致结晶，但在绝大多数情况下仍能稳定工作。</w:t>
      </w:r>
    </w:p>
    <w:p>
      <w:pPr>
        <w:spacing w:line="360" w:lineRule="auto" w:after="60"/>
        <w:ind w:firstLine="420"/>
        <w:jc w:val="both"/>
      </w:pPr>
      <w:r>
        <w:rPr>
          <w:rFonts w:ascii="Times New Roman" w:hAnsi="Times New Roman" w:eastAsia="宋体"/>
          <w:b w:val="0"/>
          <w:sz w:val="22"/>
        </w:rPr>
        <w:t>然而，当工作电压过高（或浪涌过冲过大）时，瞬态能量释放过快，MnO2尚未能完成还原反应，局部焦耳热已点燃了钽金属（Ta在氧气中可自燃），最终形成不可逆的燃烧失效。对于导电聚合物（PEDOT、PPy）阴极体系，由于聚合物在局部过热时会碳化而非还原为绝缘产物，失去了MnO2的热自愈能力；因此聚合物钽电容的浪涌耐受能力明显弱于MnO2型，需要更严格的电压降额与限流串联电阻。</w:t>
      </w:r>
    </w:p>
    <w:p>
      <w:pPr>
        <w:spacing w:before="240" w:after="120"/>
        <w:outlineLvl w:val="3"/>
      </w:pPr>
      <w:r>
        <w:rPr>
          <w:rFonts w:ascii="Times New Roman" w:hAnsi="Times New Roman" w:eastAsia="黑体"/>
          <w:b/>
          <w:sz w:val="26"/>
        </w:rPr>
        <w:t>4.4.3 浪涌电流与引线键合应力</w:t>
      </w:r>
    </w:p>
    <w:p>
      <w:pPr>
        <w:spacing w:line="360" w:lineRule="auto" w:after="60"/>
        <w:ind w:firstLine="420"/>
        <w:jc w:val="both"/>
      </w:pPr>
      <w:r>
        <w:rPr>
          <w:rFonts w:ascii="Times New Roman" w:hAnsi="Times New Roman" w:eastAsia="宋体"/>
          <w:b w:val="0"/>
          <w:sz w:val="22"/>
        </w:rPr>
        <w:t>NASA Teverovsky（2008）系统研究了钽电容的浪涌电流失效行为，指出三次以上浪涌循环测试（Three-Surge Current Test, 3SCT）可有效筛选缺陷片，10 A至100 A级浪涌应力下的失效数与Weibull分布相符[41]。此外，SMT焊接过程的热冲击、回流后引线键合处的热应力以及使用中的振动应力，均可导致引线处微缺陷扩展进而引起参数漂移或开路失效。</w:t>
      </w:r>
    </w:p>
    <w:p>
      <w:pPr>
        <w:spacing w:before="240" w:after="120"/>
        <w:outlineLvl w:val="2"/>
      </w:pPr>
      <w:r>
        <w:rPr>
          <w:rFonts w:ascii="Times New Roman" w:hAnsi="Times New Roman" w:eastAsia="黑体"/>
          <w:b/>
          <w:sz w:val="30"/>
        </w:rPr>
        <w:t>4.5 超级电容器的失效机理</w:t>
      </w:r>
    </w:p>
    <w:p>
      <w:pPr>
        <w:spacing w:before="240" w:after="120"/>
        <w:outlineLvl w:val="3"/>
      </w:pPr>
      <w:r>
        <w:rPr>
          <w:rFonts w:ascii="Times New Roman" w:hAnsi="Times New Roman" w:eastAsia="黑体"/>
          <w:b/>
          <w:sz w:val="26"/>
        </w:rPr>
        <w:t>4.5.1 电解液分解与气体生成</w:t>
      </w:r>
    </w:p>
    <w:p>
      <w:pPr>
        <w:spacing w:line="360" w:lineRule="auto" w:after="60"/>
        <w:ind w:firstLine="420"/>
        <w:jc w:val="both"/>
      </w:pPr>
      <w:r>
        <w:rPr>
          <w:rFonts w:ascii="Times New Roman" w:hAnsi="Times New Roman" w:eastAsia="宋体"/>
          <w:b w:val="0"/>
          <w:sz w:val="22"/>
        </w:rPr>
        <w:t>有机系电解液（如乙腈+四氟硼酸四乙基铵）在高电压（&gt;2.85 V）或高温（&gt;70℃）下会发生分解反应，生成H2、CO、CO2与C2H4等气体。这不仅直接造成电解液组分变化、电导率下降，还会使单体内压上升，最终触发防爆阀开启。Kurzweil等（2008-2015）系统研究了典型有机电解液在不同温度电压下的分解行为并给出了气体生成的定量关系[42]。对于水系电解液，电压超过1.23 V后即发生水的电解（析氢析氧），这限制了水系超级电容单体工作电压的上限。</w:t>
      </w:r>
    </w:p>
    <w:p>
      <w:pPr>
        <w:spacing w:before="240" w:after="120"/>
        <w:outlineLvl w:val="3"/>
      </w:pPr>
      <w:r>
        <w:rPr>
          <w:rFonts w:ascii="Times New Roman" w:hAnsi="Times New Roman" w:eastAsia="黑体"/>
          <w:b/>
          <w:sz w:val="26"/>
        </w:rPr>
        <w:t>4.5.2 电极结构退化</w:t>
      </w:r>
    </w:p>
    <w:p>
      <w:pPr>
        <w:spacing w:line="360" w:lineRule="auto" w:after="60"/>
        <w:ind w:firstLine="420"/>
        <w:jc w:val="both"/>
      </w:pPr>
      <w:r>
        <w:rPr>
          <w:rFonts w:ascii="Times New Roman" w:hAnsi="Times New Roman" w:eastAsia="宋体"/>
          <w:b w:val="0"/>
          <w:sz w:val="22"/>
        </w:rPr>
        <w:t>活性炭电极在循环与高电压下会发生孔结构塌陷——特别是微孔（&lt;2 nm）率先受到破坏，使得双电层储能的有效比表面积下降，从而容量下降。此外，粘结剂（PVDF、PTFE、CMC等）在长期高温与电化学条件下的降解也会导致电极机械强度下降，局部活性物质脱落，造成导电网络破坏[11][43]。</w:t>
      </w:r>
    </w:p>
    <w:p>
      <w:pPr>
        <w:spacing w:before="240" w:after="120"/>
        <w:outlineLvl w:val="3"/>
      </w:pPr>
      <w:r>
        <w:rPr>
          <w:rFonts w:ascii="Times New Roman" w:hAnsi="Times New Roman" w:eastAsia="黑体"/>
          <w:b/>
          <w:sz w:val="26"/>
        </w:rPr>
        <w:t>4.5.3 集流体腐蚀与SEI膜增厚</w:t>
      </w:r>
    </w:p>
    <w:p>
      <w:pPr>
        <w:spacing w:line="360" w:lineRule="auto" w:after="60"/>
        <w:ind w:firstLine="420"/>
        <w:jc w:val="both"/>
      </w:pPr>
      <w:r>
        <w:rPr>
          <w:rFonts w:ascii="Times New Roman" w:hAnsi="Times New Roman" w:eastAsia="宋体"/>
          <w:b w:val="0"/>
          <w:sz w:val="22"/>
        </w:rPr>
        <w:t>铝集流体在含有少量水与氟源（如BF4⁻）电解液中会发生腐蚀，生成AlF3或Al(OH)3并在铝/活性炭界面增厚，从而大幅提高内阻。在现代超级电容中，镀碳铝箔的使用可显著降低该腐蚀速率，并稳定界面接触电阻。SEI（Solid Electrolyte Interphase）膜的形成是另一个关键过程：电解液在首次充电时与电极表面的反应产物逐步沉积形成一层电子绝缘但离子可通过的界面层，初始SEI有保护作用，但后续长期循环中SEI持续增厚会增加欧姆阻抗。</w:t>
      </w:r>
    </w:p>
    <w:p>
      <w:pPr>
        <w:spacing w:before="240" w:after="120"/>
        <w:outlineLvl w:val="2"/>
      </w:pPr>
      <w:r>
        <w:rPr>
          <w:rFonts w:ascii="Times New Roman" w:hAnsi="Times New Roman" w:eastAsia="黑体"/>
          <w:b/>
          <w:sz w:val="30"/>
        </w:rPr>
        <w:t>4.6 多应力耦合下的机理交互</w:t>
      </w:r>
    </w:p>
    <w:p>
      <w:pPr>
        <w:spacing w:line="360" w:lineRule="auto" w:after="60"/>
        <w:ind w:firstLine="420"/>
        <w:jc w:val="both"/>
      </w:pPr>
      <w:r>
        <w:rPr>
          <w:rFonts w:ascii="Times New Roman" w:hAnsi="Times New Roman" w:eastAsia="宋体"/>
          <w:b w:val="0"/>
          <w:sz w:val="22"/>
        </w:rPr>
        <w:t>在实际工程应用中，电容器面临的从来不是单一应力，而是电、热、机械、湿度、振动、辐射等多种应力的复合作用。不同机理之间往往存在交互：</w:t>
      </w:r>
    </w:p>
    <w:p>
      <w:pPr>
        <w:spacing w:line="360" w:lineRule="auto" w:after="60"/>
        <w:ind w:firstLine="420"/>
        <w:jc w:val="both"/>
      </w:pPr>
      <w:r>
        <w:rPr>
          <w:rFonts w:ascii="Times New Roman" w:hAnsi="Times New Roman" w:eastAsia="宋体"/>
          <w:b w:val="0"/>
          <w:sz w:val="22"/>
        </w:rPr>
        <w:t>（1）温度-电场耦合：温度升高既加速氧空位迁移、电解液蒸发、BOPP氧化裂解，又使介质介电损耗上升、自发热加剧，形成恶性循环。Arrhenius-逆幂律联合模型正是针对这一耦合提出的；</w:t>
      </w:r>
    </w:p>
    <w:p>
      <w:pPr>
        <w:spacing w:line="360" w:lineRule="auto" w:after="60"/>
        <w:ind w:firstLine="420"/>
        <w:jc w:val="both"/>
      </w:pPr>
      <w:r>
        <w:rPr>
          <w:rFonts w:ascii="Times New Roman" w:hAnsi="Times New Roman" w:eastAsia="宋体"/>
          <w:b w:val="0"/>
          <w:sz w:val="22"/>
        </w:rPr>
        <w:t>（2）机械-电耦合：机械裂纹通道为水汽与离子提供迁移通路，从而加速电化学迁移；同时裂纹尖端应力集中使局部电场增强，加速击穿；</w:t>
      </w:r>
    </w:p>
    <w:p>
      <w:pPr>
        <w:spacing w:line="360" w:lineRule="auto" w:after="60"/>
        <w:ind w:firstLine="420"/>
        <w:jc w:val="both"/>
      </w:pPr>
      <w:r>
        <w:rPr>
          <w:rFonts w:ascii="Times New Roman" w:hAnsi="Times New Roman" w:eastAsia="宋体"/>
          <w:b w:val="0"/>
          <w:sz w:val="22"/>
        </w:rPr>
        <w:t>（3）湿度-电耦合：潮气在电极表面形成电解液薄膜，形成电化学腐蚀与阳极氧化耦合，特别对车规级MLCC与薄膜电容至关重要；</w:t>
      </w:r>
    </w:p>
    <w:p>
      <w:pPr>
        <w:spacing w:line="360" w:lineRule="auto" w:after="60"/>
        <w:ind w:firstLine="420"/>
        <w:jc w:val="both"/>
      </w:pPr>
      <w:r>
        <w:rPr>
          <w:rFonts w:ascii="Times New Roman" w:hAnsi="Times New Roman" w:eastAsia="宋体"/>
          <w:b w:val="0"/>
          <w:sz w:val="22"/>
        </w:rPr>
        <w:t>（4）辐射-电耦合：在航空航天环境，重离子、宇宙射线的单粒子效应可能引起局部介质击穿，形成瞬时短路。</w:t>
      </w:r>
    </w:p>
    <w:p>
      <w:pPr>
        <w:spacing w:line="360" w:lineRule="auto" w:after="60"/>
        <w:ind w:firstLine="420"/>
        <w:jc w:val="both"/>
      </w:pPr>
      <w:r>
        <w:rPr>
          <w:rFonts w:ascii="Times New Roman" w:hAnsi="Times New Roman" w:eastAsia="宋体"/>
          <w:b w:val="0"/>
          <w:sz w:val="22"/>
        </w:rPr>
        <w:t>Sun等（2025）在Nature Scientific Reports综合讨论了智能电网DC-link薄膜电容的热应力与电应力耦合，指出在80℃以上工况下BOPP薄膜的老化速率提升约3倍，明显超出单独Arrhenius外推所预期的速率[44]。</w:t>
      </w:r>
    </w:p>
    <w:p>
      <w:pPr>
        <w:spacing w:line="360" w:lineRule="auto" w:after="60"/>
        <w:ind w:firstLine="420"/>
        <w:jc w:val="both"/>
      </w:pPr>
      <w:r>
        <w:rPr>
          <w:rFonts w:ascii="Times New Roman" w:hAnsi="Times New Roman" w:eastAsia="宋体"/>
          <w:b w:val="0"/>
          <w:sz w:val="22"/>
        </w:rPr>
        <w:t>表4-1汇总了五类电容器在典型应用场景下的主-次机理及其交互权重。</w:t>
      </w:r>
    </w:p>
    <w:p>
      <w:pPr>
        <w:jc w:val="center"/>
      </w:pPr>
      <w:r>
        <w:rPr>
          <w:rFonts w:ascii="Times New Roman" w:hAnsi="Times New Roman" w:eastAsia="黑体"/>
          <w:b/>
          <w:sz w:val="21"/>
        </w:rPr>
        <w:t>表4-1  五类电容器的主-次机理与交互耦合关键</w:t>
      </w:r>
    </w:p>
    <w:tbl>
      <w:tblPr>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黑体"/>
                <w:b/>
                <w:sz w:val="20"/>
              </w:rPr>
              <w:t>电容器类型</w:t>
            </w:r>
          </w:p>
        </w:tc>
        <w:tc>
          <w:tcPr>
            <w:tcW w:type="dxa" w:w="2078"/>
          </w:tcPr>
          <w:p>
            <w:pPr>
              <w:jc w:val="center"/>
            </w:pPr>
            <w:r/>
            <w:r>
              <w:rPr>
                <w:rFonts w:ascii="Times New Roman" w:hAnsi="Times New Roman" w:eastAsia="黑体"/>
                <w:b/>
                <w:sz w:val="20"/>
              </w:rPr>
              <w:t>主机理</w:t>
            </w:r>
          </w:p>
        </w:tc>
        <w:tc>
          <w:tcPr>
            <w:tcW w:type="dxa" w:w="2078"/>
          </w:tcPr>
          <w:p>
            <w:pPr>
              <w:jc w:val="center"/>
            </w:pPr>
            <w:r/>
            <w:r>
              <w:rPr>
                <w:rFonts w:ascii="Times New Roman" w:hAnsi="Times New Roman" w:eastAsia="黑体"/>
                <w:b/>
                <w:sz w:val="20"/>
              </w:rPr>
              <w:t>次机理</w:t>
            </w:r>
          </w:p>
        </w:tc>
        <w:tc>
          <w:tcPr>
            <w:tcW w:type="dxa" w:w="2078"/>
          </w:tcPr>
          <w:p>
            <w:pPr>
              <w:jc w:val="center"/>
            </w:pPr>
            <w:r/>
            <w:r>
              <w:rPr>
                <w:rFonts w:ascii="Times New Roman" w:hAnsi="Times New Roman" w:eastAsia="黑体"/>
                <w:b/>
                <w:sz w:val="20"/>
              </w:rPr>
              <w:t>交互耦合关键</w:t>
            </w:r>
          </w:p>
        </w:tc>
      </w:tr>
      <w:tr>
        <w:tc>
          <w:tcPr>
            <w:tcW w:type="dxa" w:w="2078"/>
          </w:tcPr>
          <w:p>
            <w:pPr>
              <w:jc w:val="left"/>
            </w:pPr>
            <w:r/>
            <w:r>
              <w:rPr>
                <w:rFonts w:ascii="Times New Roman" w:hAnsi="Times New Roman" w:eastAsia="宋体"/>
                <w:b w:val="0"/>
                <w:sz w:val="20"/>
              </w:rPr>
              <w:t>Al电解(液)</w:t>
            </w:r>
          </w:p>
        </w:tc>
        <w:tc>
          <w:tcPr>
            <w:tcW w:type="dxa" w:w="2078"/>
          </w:tcPr>
          <w:p>
            <w:pPr>
              <w:jc w:val="left"/>
            </w:pPr>
            <w:r/>
            <w:r>
              <w:rPr>
                <w:rFonts w:ascii="Times New Roman" w:hAnsi="Times New Roman" w:eastAsia="宋体"/>
                <w:b w:val="0"/>
                <w:sz w:val="20"/>
              </w:rPr>
              <w:t>电解液蒸发</w:t>
            </w:r>
          </w:p>
        </w:tc>
        <w:tc>
          <w:tcPr>
            <w:tcW w:type="dxa" w:w="2078"/>
          </w:tcPr>
          <w:p>
            <w:pPr>
              <w:jc w:val="left"/>
            </w:pPr>
            <w:r/>
            <w:r>
              <w:rPr>
                <w:rFonts w:ascii="Times New Roman" w:hAnsi="Times New Roman" w:eastAsia="宋体"/>
                <w:b w:val="0"/>
                <w:sz w:val="20"/>
              </w:rPr>
              <w:t>Al2O3水合、阴极箔腐蚀</w:t>
            </w:r>
          </w:p>
        </w:tc>
        <w:tc>
          <w:tcPr>
            <w:tcW w:type="dxa" w:w="2078"/>
          </w:tcPr>
          <w:p>
            <w:pPr>
              <w:jc w:val="left"/>
            </w:pPr>
            <w:r/>
            <w:r>
              <w:rPr>
                <w:rFonts w:ascii="Times New Roman" w:hAnsi="Times New Roman" w:eastAsia="宋体"/>
                <w:b w:val="0"/>
                <w:sz w:val="20"/>
              </w:rPr>
              <w:t>T-I-ripple三联</w:t>
            </w:r>
          </w:p>
        </w:tc>
      </w:tr>
      <w:tr>
        <w:tc>
          <w:tcPr>
            <w:tcW w:type="dxa" w:w="2078"/>
          </w:tcPr>
          <w:p>
            <w:pPr>
              <w:jc w:val="left"/>
            </w:pPr>
            <w:r/>
            <w:r>
              <w:rPr>
                <w:rFonts w:ascii="Times New Roman" w:hAnsi="Times New Roman" w:eastAsia="宋体"/>
                <w:b w:val="0"/>
                <w:sz w:val="20"/>
              </w:rPr>
              <w:t>Al电解(聚合物)</w:t>
            </w:r>
          </w:p>
        </w:tc>
        <w:tc>
          <w:tcPr>
            <w:tcW w:type="dxa" w:w="2078"/>
          </w:tcPr>
          <w:p>
            <w:pPr>
              <w:jc w:val="left"/>
            </w:pPr>
            <w:r/>
            <w:r>
              <w:rPr>
                <w:rFonts w:ascii="Times New Roman" w:hAnsi="Times New Roman" w:eastAsia="宋体"/>
                <w:b w:val="0"/>
                <w:sz w:val="20"/>
              </w:rPr>
              <w:t>聚合物老化</w:t>
            </w:r>
          </w:p>
        </w:tc>
        <w:tc>
          <w:tcPr>
            <w:tcW w:type="dxa" w:w="2078"/>
          </w:tcPr>
          <w:p>
            <w:pPr>
              <w:jc w:val="left"/>
            </w:pPr>
            <w:r/>
            <w:r>
              <w:rPr>
                <w:rFonts w:ascii="Times New Roman" w:hAnsi="Times New Roman" w:eastAsia="宋体"/>
                <w:b w:val="0"/>
                <w:sz w:val="20"/>
              </w:rPr>
              <w:t>水汽侵入导致高DCL</w:t>
            </w:r>
          </w:p>
        </w:tc>
        <w:tc>
          <w:tcPr>
            <w:tcW w:type="dxa" w:w="2078"/>
          </w:tcPr>
          <w:p>
            <w:pPr>
              <w:jc w:val="left"/>
            </w:pPr>
            <w:r/>
            <w:r>
              <w:rPr>
                <w:rFonts w:ascii="Times New Roman" w:hAnsi="Times New Roman" w:eastAsia="宋体"/>
                <w:b w:val="0"/>
                <w:sz w:val="20"/>
              </w:rPr>
              <w:t>T-H耦合</w:t>
            </w:r>
          </w:p>
        </w:tc>
      </w:tr>
      <w:tr>
        <w:tc>
          <w:tcPr>
            <w:tcW w:type="dxa" w:w="2078"/>
          </w:tcPr>
          <w:p>
            <w:pPr>
              <w:jc w:val="left"/>
            </w:pPr>
            <w:r/>
            <w:r>
              <w:rPr>
                <w:rFonts w:ascii="Times New Roman" w:hAnsi="Times New Roman" w:eastAsia="宋体"/>
                <w:b w:val="0"/>
                <w:sz w:val="20"/>
              </w:rPr>
              <w:t>MLCC (BME)</w:t>
            </w:r>
          </w:p>
        </w:tc>
        <w:tc>
          <w:tcPr>
            <w:tcW w:type="dxa" w:w="2078"/>
          </w:tcPr>
          <w:p>
            <w:pPr>
              <w:jc w:val="left"/>
            </w:pPr>
            <w:r/>
            <w:r>
              <w:rPr>
                <w:rFonts w:ascii="Times New Roman" w:hAnsi="Times New Roman" w:eastAsia="宋体"/>
                <w:b w:val="0"/>
                <w:sz w:val="20"/>
              </w:rPr>
              <w:t>氧空位迁移</w:t>
            </w:r>
          </w:p>
        </w:tc>
        <w:tc>
          <w:tcPr>
            <w:tcW w:type="dxa" w:w="2078"/>
          </w:tcPr>
          <w:p>
            <w:pPr>
              <w:jc w:val="left"/>
            </w:pPr>
            <w:r/>
            <w:r>
              <w:rPr>
                <w:rFonts w:ascii="Times New Roman" w:hAnsi="Times New Roman" w:eastAsia="宋体"/>
                <w:b w:val="0"/>
                <w:sz w:val="20"/>
              </w:rPr>
              <w:t>机械裂纹、热失控</w:t>
            </w:r>
          </w:p>
        </w:tc>
        <w:tc>
          <w:tcPr>
            <w:tcW w:type="dxa" w:w="2078"/>
          </w:tcPr>
          <w:p>
            <w:pPr>
              <w:jc w:val="left"/>
            </w:pPr>
            <w:r/>
            <w:r>
              <w:rPr>
                <w:rFonts w:ascii="Times New Roman" w:hAnsi="Times New Roman" w:eastAsia="宋体"/>
                <w:b w:val="0"/>
                <w:sz w:val="20"/>
              </w:rPr>
              <w:t>E-T-M三联</w:t>
            </w:r>
          </w:p>
        </w:tc>
      </w:tr>
      <w:tr>
        <w:tc>
          <w:tcPr>
            <w:tcW w:type="dxa" w:w="2078"/>
          </w:tcPr>
          <w:p>
            <w:pPr>
              <w:jc w:val="left"/>
            </w:pPr>
            <w:r/>
            <w:r>
              <w:rPr>
                <w:rFonts w:ascii="Times New Roman" w:hAnsi="Times New Roman" w:eastAsia="宋体"/>
                <w:b w:val="0"/>
                <w:sz w:val="20"/>
              </w:rPr>
              <w:t>金属化薄膜</w:t>
            </w:r>
          </w:p>
        </w:tc>
        <w:tc>
          <w:tcPr>
            <w:tcW w:type="dxa" w:w="2078"/>
          </w:tcPr>
          <w:p>
            <w:pPr>
              <w:jc w:val="left"/>
            </w:pPr>
            <w:r/>
            <w:r>
              <w:rPr>
                <w:rFonts w:ascii="Times New Roman" w:hAnsi="Times New Roman" w:eastAsia="宋体"/>
                <w:b w:val="0"/>
                <w:sz w:val="20"/>
              </w:rPr>
              <w:t>自愈累积</w:t>
            </w:r>
          </w:p>
        </w:tc>
        <w:tc>
          <w:tcPr>
            <w:tcW w:type="dxa" w:w="2078"/>
          </w:tcPr>
          <w:p>
            <w:pPr>
              <w:jc w:val="left"/>
            </w:pPr>
            <w:r/>
            <w:r>
              <w:rPr>
                <w:rFonts w:ascii="Times New Roman" w:hAnsi="Times New Roman" w:eastAsia="宋体"/>
                <w:b w:val="0"/>
                <w:sz w:val="20"/>
              </w:rPr>
              <w:t>BOPP氧化、端面腐蚀</w:t>
            </w:r>
          </w:p>
        </w:tc>
        <w:tc>
          <w:tcPr>
            <w:tcW w:type="dxa" w:w="2078"/>
          </w:tcPr>
          <w:p>
            <w:pPr>
              <w:jc w:val="left"/>
            </w:pPr>
            <w:r/>
            <w:r>
              <w:rPr>
                <w:rFonts w:ascii="Times New Roman" w:hAnsi="Times New Roman" w:eastAsia="宋体"/>
                <w:b w:val="0"/>
                <w:sz w:val="20"/>
              </w:rPr>
              <w:t>T-V-H耦合</w:t>
            </w:r>
          </w:p>
        </w:tc>
      </w:tr>
      <w:tr>
        <w:tc>
          <w:tcPr>
            <w:tcW w:type="dxa" w:w="2078"/>
          </w:tcPr>
          <w:p>
            <w:pPr>
              <w:jc w:val="left"/>
            </w:pPr>
            <w:r/>
            <w:r>
              <w:rPr>
                <w:rFonts w:ascii="Times New Roman" w:hAnsi="Times New Roman" w:eastAsia="宋体"/>
                <w:b w:val="0"/>
                <w:sz w:val="20"/>
              </w:rPr>
              <w:t>钽电容 (MnO2)</w:t>
            </w:r>
          </w:p>
        </w:tc>
        <w:tc>
          <w:tcPr>
            <w:tcW w:type="dxa" w:w="2078"/>
          </w:tcPr>
          <w:p>
            <w:pPr>
              <w:jc w:val="left"/>
            </w:pPr>
            <w:r/>
            <w:r>
              <w:rPr>
                <w:rFonts w:ascii="Times New Roman" w:hAnsi="Times New Roman" w:eastAsia="宋体"/>
                <w:b w:val="0"/>
                <w:sz w:val="20"/>
              </w:rPr>
              <w:t>场致结晶</w:t>
            </w:r>
          </w:p>
        </w:tc>
        <w:tc>
          <w:tcPr>
            <w:tcW w:type="dxa" w:w="2078"/>
          </w:tcPr>
          <w:p>
            <w:pPr>
              <w:jc w:val="left"/>
            </w:pPr>
            <w:r/>
            <w:r>
              <w:rPr>
                <w:rFonts w:ascii="Times New Roman" w:hAnsi="Times New Roman" w:eastAsia="宋体"/>
                <w:b w:val="0"/>
                <w:sz w:val="20"/>
              </w:rPr>
              <w:t>浪涌热失控</w:t>
            </w:r>
          </w:p>
        </w:tc>
        <w:tc>
          <w:tcPr>
            <w:tcW w:type="dxa" w:w="2078"/>
          </w:tcPr>
          <w:p>
            <w:pPr>
              <w:jc w:val="left"/>
            </w:pPr>
            <w:r/>
            <w:r>
              <w:rPr>
                <w:rFonts w:ascii="Times New Roman" w:hAnsi="Times New Roman" w:eastAsia="宋体"/>
                <w:b w:val="0"/>
                <w:sz w:val="20"/>
              </w:rPr>
              <w:t>E-T-surge三联</w:t>
            </w:r>
          </w:p>
        </w:tc>
      </w:tr>
      <w:tr>
        <w:tc>
          <w:tcPr>
            <w:tcW w:type="dxa" w:w="2078"/>
          </w:tcPr>
          <w:p>
            <w:pPr>
              <w:jc w:val="left"/>
            </w:pPr>
            <w:r/>
            <w:r>
              <w:rPr>
                <w:rFonts w:ascii="Times New Roman" w:hAnsi="Times New Roman" w:eastAsia="宋体"/>
                <w:b w:val="0"/>
                <w:sz w:val="20"/>
              </w:rPr>
              <w:t>钽电容 (polymer)</w:t>
            </w:r>
          </w:p>
        </w:tc>
        <w:tc>
          <w:tcPr>
            <w:tcW w:type="dxa" w:w="2078"/>
          </w:tcPr>
          <w:p>
            <w:pPr>
              <w:jc w:val="left"/>
            </w:pPr>
            <w:r/>
            <w:r>
              <w:rPr>
                <w:rFonts w:ascii="Times New Roman" w:hAnsi="Times New Roman" w:eastAsia="宋体"/>
                <w:b w:val="0"/>
                <w:sz w:val="20"/>
              </w:rPr>
              <w:t>场致结晶</w:t>
            </w:r>
          </w:p>
        </w:tc>
        <w:tc>
          <w:tcPr>
            <w:tcW w:type="dxa" w:w="2078"/>
          </w:tcPr>
          <w:p>
            <w:pPr>
              <w:jc w:val="left"/>
            </w:pPr>
            <w:r/>
            <w:r>
              <w:rPr>
                <w:rFonts w:ascii="Times New Roman" w:hAnsi="Times New Roman" w:eastAsia="宋体"/>
                <w:b w:val="0"/>
                <w:sz w:val="20"/>
              </w:rPr>
              <w:t>浪涌热失控(无自愈)</w:t>
            </w:r>
          </w:p>
        </w:tc>
        <w:tc>
          <w:tcPr>
            <w:tcW w:type="dxa" w:w="2078"/>
          </w:tcPr>
          <w:p>
            <w:pPr>
              <w:jc w:val="left"/>
            </w:pPr>
            <w:r/>
            <w:r>
              <w:rPr>
                <w:rFonts w:ascii="Times New Roman" w:hAnsi="Times New Roman" w:eastAsia="宋体"/>
                <w:b w:val="0"/>
                <w:sz w:val="20"/>
              </w:rPr>
              <w:t>E-surge强耦合</w:t>
            </w:r>
          </w:p>
        </w:tc>
      </w:tr>
      <w:tr>
        <w:tc>
          <w:tcPr>
            <w:tcW w:type="dxa" w:w="2078"/>
          </w:tcPr>
          <w:p>
            <w:pPr>
              <w:jc w:val="left"/>
            </w:pPr>
            <w:r/>
            <w:r>
              <w:rPr>
                <w:rFonts w:ascii="Times New Roman" w:hAnsi="Times New Roman" w:eastAsia="宋体"/>
                <w:b w:val="0"/>
                <w:sz w:val="20"/>
              </w:rPr>
              <w:t>超级电容</w:t>
            </w:r>
          </w:p>
        </w:tc>
        <w:tc>
          <w:tcPr>
            <w:tcW w:type="dxa" w:w="2078"/>
          </w:tcPr>
          <w:p>
            <w:pPr>
              <w:jc w:val="left"/>
            </w:pPr>
            <w:r/>
            <w:r>
              <w:rPr>
                <w:rFonts w:ascii="Times New Roman" w:hAnsi="Times New Roman" w:eastAsia="宋体"/>
                <w:b w:val="0"/>
                <w:sz w:val="20"/>
              </w:rPr>
              <w:t>电解液分解</w:t>
            </w:r>
          </w:p>
        </w:tc>
        <w:tc>
          <w:tcPr>
            <w:tcW w:type="dxa" w:w="2078"/>
          </w:tcPr>
          <w:p>
            <w:pPr>
              <w:jc w:val="left"/>
            </w:pPr>
            <w:r/>
            <w:r>
              <w:rPr>
                <w:rFonts w:ascii="Times New Roman" w:hAnsi="Times New Roman" w:eastAsia="宋体"/>
                <w:b w:val="0"/>
                <w:sz w:val="20"/>
              </w:rPr>
              <w:t>集流体腐蚀、孔塌陷</w:t>
            </w:r>
          </w:p>
        </w:tc>
        <w:tc>
          <w:tcPr>
            <w:tcW w:type="dxa" w:w="2078"/>
          </w:tcPr>
          <w:p>
            <w:pPr>
              <w:jc w:val="left"/>
            </w:pPr>
            <w:r/>
            <w:r>
              <w:rPr>
                <w:rFonts w:ascii="Times New Roman" w:hAnsi="Times New Roman" w:eastAsia="宋体"/>
                <w:b w:val="0"/>
                <w:sz w:val="20"/>
              </w:rPr>
              <w:t>V-T-cycling三联</w:t>
            </w:r>
          </w:p>
        </w:tc>
      </w:tr>
    </w:tbl>
    <w:p>
      <w:r>
        <w:br w:type="page"/>
      </w:r>
    </w:p>
    <w:p>
      <w:pPr>
        <w:spacing w:before="240" w:after="120"/>
        <w:outlineLvl w:val="1"/>
      </w:pPr>
      <w:r>
        <w:rPr>
          <w:rFonts w:ascii="Times New Roman" w:hAnsi="Times New Roman" w:eastAsia="黑体"/>
          <w:b/>
          <w:sz w:val="36"/>
        </w:rPr>
        <w:t>第五章 电容器可靠性建模方法</w:t>
      </w:r>
    </w:p>
    <w:p>
      <w:pPr>
        <w:spacing w:line="360" w:lineRule="auto" w:after="60"/>
        <w:ind w:firstLine="420"/>
        <w:jc w:val="both"/>
      </w:pPr>
      <w:r>
        <w:rPr>
          <w:rFonts w:ascii="Times New Roman" w:hAnsi="Times New Roman" w:eastAsia="宋体"/>
          <w:b w:val="0"/>
          <w:sz w:val="22"/>
        </w:rPr>
        <w:t>可靠性建模的目的是建立器件电参数、应力水平、工作时间与失效概率之间的定量关系，从而支持寿命预测、加速试验规划、降额设计与维护决策。本章按照"统计模型→加速寿命模型→物理失效模型→数据驱动混合模型"的逻辑递进，系统梳理电容器领域常用的可靠性建模方法，并讨论各自适用范围与局限。</w:t>
      </w:r>
    </w:p>
    <w:p>
      <w:pPr>
        <w:spacing w:before="240" w:after="120"/>
        <w:outlineLvl w:val="2"/>
      </w:pPr>
      <w:r>
        <w:rPr>
          <w:rFonts w:ascii="Times New Roman" w:hAnsi="Times New Roman" w:eastAsia="黑体"/>
          <w:b/>
          <w:sz w:val="30"/>
        </w:rPr>
        <w:t>5.1 统计可靠性模型</w:t>
      </w:r>
    </w:p>
    <w:p>
      <w:pPr>
        <w:spacing w:before="240" w:after="120"/>
        <w:outlineLvl w:val="3"/>
      </w:pPr>
      <w:r>
        <w:rPr>
          <w:rFonts w:ascii="Times New Roman" w:hAnsi="Times New Roman" w:eastAsia="黑体"/>
          <w:b/>
          <w:sz w:val="26"/>
        </w:rPr>
        <w:t>5.1.1 基本可靠性函数</w:t>
      </w:r>
    </w:p>
    <w:p>
      <w:pPr>
        <w:spacing w:line="360" w:lineRule="auto" w:after="60"/>
        <w:ind w:firstLine="420"/>
        <w:jc w:val="both"/>
      </w:pPr>
      <w:r>
        <w:rPr>
          <w:rFonts w:ascii="Times New Roman" w:hAnsi="Times New Roman" w:eastAsia="宋体"/>
          <w:b w:val="0"/>
          <w:sz w:val="22"/>
        </w:rPr>
        <w:t>可靠性函数R(t)表示元件在工作至时间t时仍未失效的概率：</w:t>
      </w:r>
    </w:p>
    <w:p>
      <w:pPr>
        <w:spacing w:before="120" w:after="120"/>
        <w:jc w:val="center"/>
      </w:pPr>
      <w:r>
        <w:rPr>
          <w:rFonts w:ascii="Times New Roman" w:hAnsi="Times New Roman" w:eastAsia="Times New Roman"/>
          <w:b w:val="0"/>
          <w:sz w:val="22"/>
        </w:rPr>
        <w:t>R(t) = P(T &gt; t) = 1 - F(t)</w:t>
      </w:r>
    </w:p>
    <w:p>
      <w:pPr>
        <w:spacing w:line="360" w:lineRule="auto" w:after="60"/>
        <w:ind w:firstLine="420"/>
        <w:jc w:val="both"/>
      </w:pPr>
      <w:r>
        <w:rPr>
          <w:rFonts w:ascii="Times New Roman" w:hAnsi="Times New Roman" w:eastAsia="宋体"/>
          <w:b w:val="0"/>
          <w:sz w:val="22"/>
        </w:rPr>
        <w:t>其中F(t)为失效时间T的累积分布函数。对应的失效密度函数为f(t) = dF(t)/dt。瞬时失效率（hazard rate）定义为：</w:t>
      </w:r>
    </w:p>
    <w:p>
      <w:pPr>
        <w:spacing w:before="120" w:after="120"/>
        <w:jc w:val="center"/>
      </w:pPr>
      <w:r>
        <w:rPr>
          <w:rFonts w:ascii="Times New Roman" w:hAnsi="Times New Roman" w:eastAsia="Times New Roman"/>
          <w:b w:val="0"/>
          <w:sz w:val="22"/>
        </w:rPr>
        <w:t>λ(t) = f(t) / R(t) = -d[ln R(t)]/dt</w:t>
      </w:r>
    </w:p>
    <w:p>
      <w:pPr>
        <w:spacing w:line="360" w:lineRule="auto" w:after="60"/>
        <w:ind w:firstLine="420"/>
        <w:jc w:val="both"/>
      </w:pPr>
      <w:r>
        <w:rPr>
          <w:rFonts w:ascii="Times New Roman" w:hAnsi="Times New Roman" w:eastAsia="宋体"/>
          <w:b w:val="0"/>
          <w:sz w:val="22"/>
        </w:rPr>
        <w:t>平均失效时间MTTF = ∫R(t)dt（从0到+∞）。对于修复型部件（虽然电容器通常不修复），则以MTBF（Mean Time Between Failure）表征。失效率的工程单位常采用FIT（Failures in Time，1 FIT = 1 failure per 10^9 device-hours）。</w:t>
      </w:r>
    </w:p>
    <w:p>
      <w:pPr>
        <w:spacing w:before="240" w:after="120"/>
        <w:outlineLvl w:val="3"/>
      </w:pPr>
      <w:r>
        <w:rPr>
          <w:rFonts w:ascii="Times New Roman" w:hAnsi="Times New Roman" w:eastAsia="黑体"/>
          <w:b/>
          <w:sz w:val="26"/>
        </w:rPr>
        <w:t>5.1.2 Weibull分布</w:t>
      </w:r>
    </w:p>
    <w:p>
      <w:pPr>
        <w:spacing w:line="360" w:lineRule="auto" w:after="60"/>
        <w:ind w:firstLine="420"/>
        <w:jc w:val="both"/>
      </w:pPr>
      <w:r>
        <w:rPr>
          <w:rFonts w:ascii="Times New Roman" w:hAnsi="Times New Roman" w:eastAsia="宋体"/>
          <w:b w:val="0"/>
          <w:sz w:val="22"/>
        </w:rPr>
        <w:t>两参数Weibull分布是电容器寿命数据分析中最广泛使用的分布模型，其累积分布函数与概率密度函数分别为：</w:t>
      </w:r>
    </w:p>
    <w:p>
      <w:pPr>
        <w:spacing w:before="120" w:after="120"/>
        <w:jc w:val="center"/>
      </w:pPr>
      <w:r>
        <w:rPr>
          <w:rFonts w:ascii="Times New Roman" w:hAnsi="Times New Roman" w:eastAsia="Times New Roman"/>
          <w:b w:val="0"/>
          <w:sz w:val="22"/>
        </w:rPr>
        <w:t>F(t) = 1 - exp[-(t/η)^β]</w:t>
      </w:r>
    </w:p>
    <w:p>
      <w:pPr>
        <w:spacing w:before="120" w:after="120"/>
        <w:jc w:val="center"/>
      </w:pPr>
      <w:r>
        <w:rPr>
          <w:rFonts w:ascii="Times New Roman" w:hAnsi="Times New Roman" w:eastAsia="Times New Roman"/>
          <w:b w:val="0"/>
          <w:sz w:val="22"/>
        </w:rPr>
        <w:t>f(t) = (β/η)·(t/η)^(β-1)·exp[-(t/η)^β]</w:t>
      </w:r>
    </w:p>
    <w:p>
      <w:pPr>
        <w:spacing w:line="360" w:lineRule="auto" w:after="60"/>
        <w:ind w:firstLine="420"/>
        <w:jc w:val="both"/>
      </w:pPr>
      <w:r>
        <w:rPr>
          <w:rFonts w:ascii="Times New Roman" w:hAnsi="Times New Roman" w:eastAsia="宋体"/>
          <w:b w:val="0"/>
          <w:sz w:val="22"/>
        </w:rPr>
        <w:t>其中β为形状参数（shape parameter），η为尺度参数（scale parameter，等于失效概率63.2%时的时间）。β的工程含义十分丰富：β&lt;1对应早期失效（hazard rate递减），β≈1对应随机失效（恒定hazard rate，指数分布），β&gt;1对应耗损失效（hazard rate递增）。NASA Liu与Sampson（2014）的BME MLCC可靠性模型中β典型值在1.5~4.0之间[4]，Makdessi等（2014）的MPFC研究中β在1.2~2.5之间，Teverovsky（2008）的钽电容研究中场致结晶失效的β约为0.8~1.2（具有早期失效特征）。</w:t>
      </w:r>
    </w:p>
    <w:p>
      <w:pPr>
        <w:spacing w:line="360" w:lineRule="auto" w:after="60"/>
        <w:ind w:firstLine="420"/>
        <w:jc w:val="both"/>
      </w:pPr>
      <w:r>
        <w:rPr>
          <w:rFonts w:ascii="Times New Roman" w:hAnsi="Times New Roman" w:eastAsia="宋体"/>
          <w:b w:val="0"/>
          <w:sz w:val="22"/>
        </w:rPr>
        <w:t>Weibull参数的估计方法主要有：</w:t>
      </w:r>
    </w:p>
    <w:p>
      <w:pPr>
        <w:spacing w:line="360" w:lineRule="auto" w:after="60"/>
        <w:ind w:firstLine="420"/>
        <w:jc w:val="both"/>
      </w:pPr>
      <w:r>
        <w:rPr>
          <w:rFonts w:ascii="Times New Roman" w:hAnsi="Times New Roman" w:eastAsia="宋体"/>
          <w:b w:val="0"/>
          <w:sz w:val="22"/>
        </w:rPr>
        <w:t>（1）最大似然估计（MLE），适合完全数据与右删失数据；</w:t>
      </w:r>
    </w:p>
    <w:p>
      <w:pPr>
        <w:spacing w:line="360" w:lineRule="auto" w:after="60"/>
        <w:ind w:firstLine="420"/>
        <w:jc w:val="both"/>
      </w:pPr>
      <w:r>
        <w:rPr>
          <w:rFonts w:ascii="Times New Roman" w:hAnsi="Times New Roman" w:eastAsia="宋体"/>
          <w:b w:val="0"/>
          <w:sz w:val="22"/>
        </w:rPr>
        <w:t>（2）中位秩回归（Median Rank Regression），简单直观，工程常用；</w:t>
      </w:r>
    </w:p>
    <w:p>
      <w:pPr>
        <w:spacing w:line="360" w:lineRule="auto" w:after="60"/>
        <w:ind w:firstLine="420"/>
        <w:jc w:val="both"/>
      </w:pPr>
      <w:r>
        <w:rPr>
          <w:rFonts w:ascii="Times New Roman" w:hAnsi="Times New Roman" w:eastAsia="宋体"/>
          <w:b w:val="0"/>
          <w:sz w:val="22"/>
        </w:rPr>
        <w:t>（3）贝叶斯估计，适合结合先验信息的情形。</w:t>
      </w:r>
    </w:p>
    <w:p>
      <w:pPr>
        <w:spacing w:line="360" w:lineRule="auto" w:after="60"/>
        <w:ind w:firstLine="420"/>
        <w:jc w:val="both"/>
      </w:pPr>
      <w:r>
        <w:rPr>
          <w:rFonts w:ascii="Times New Roman" w:hAnsi="Times New Roman" w:eastAsia="宋体"/>
          <w:b w:val="0"/>
          <w:sz w:val="22"/>
        </w:rPr>
        <w:t>对于多个失效模式混合的数据，通常采用混合Weibull或分段Weibull模型。</w:t>
      </w:r>
    </w:p>
    <w:p>
      <w:pPr>
        <w:spacing w:before="240" w:after="120"/>
        <w:outlineLvl w:val="3"/>
      </w:pPr>
      <w:r>
        <w:rPr>
          <w:rFonts w:ascii="Times New Roman" w:hAnsi="Times New Roman" w:eastAsia="黑体"/>
          <w:b/>
          <w:sz w:val="26"/>
        </w:rPr>
        <w:t>5.1.3 对数正态分布与正态分布</w:t>
      </w:r>
    </w:p>
    <w:p>
      <w:pPr>
        <w:spacing w:line="360" w:lineRule="auto" w:after="60"/>
        <w:ind w:firstLine="420"/>
        <w:jc w:val="both"/>
      </w:pPr>
      <w:r>
        <w:rPr>
          <w:rFonts w:ascii="Times New Roman" w:hAnsi="Times New Roman" w:eastAsia="宋体"/>
          <w:b w:val="0"/>
          <w:sz w:val="22"/>
        </w:rPr>
        <w:t>对于由"乘积型"过程（如多步扩散、迁移）主导的失效，对数正态分布（lognormal distribution）常常具有更好的拟合效果：</w:t>
      </w:r>
    </w:p>
    <w:p>
      <w:pPr>
        <w:spacing w:before="120" w:after="120"/>
        <w:jc w:val="center"/>
      </w:pPr>
      <w:r>
        <w:rPr>
          <w:rFonts w:ascii="Times New Roman" w:hAnsi="Times New Roman" w:eastAsia="Times New Roman"/>
          <w:b w:val="0"/>
          <w:sz w:val="22"/>
        </w:rPr>
        <w:t>f(t) = 1/(tσ√(2π)) · exp[-(ln t - μ)² / (2σ²)]</w:t>
      </w:r>
    </w:p>
    <w:p>
      <w:pPr>
        <w:spacing w:line="360" w:lineRule="auto" w:after="60"/>
        <w:ind w:firstLine="420"/>
        <w:jc w:val="both"/>
      </w:pPr>
      <w:r>
        <w:rPr>
          <w:rFonts w:ascii="Times New Roman" w:hAnsi="Times New Roman" w:eastAsia="宋体"/>
          <w:b w:val="0"/>
          <w:sz w:val="22"/>
        </w:rPr>
        <w:t>其中μ、σ为对数化时间的均值与标准差。在Al-cap、超级电容的电解液蒸发过程中，由于蒸发过程可近似为扩散与泄漏的乘积过程，lognormal模型往往比Weibull更为贴合。</w:t>
      </w:r>
    </w:p>
    <w:p>
      <w:pPr>
        <w:spacing w:line="360" w:lineRule="auto" w:after="60"/>
        <w:ind w:firstLine="420"/>
        <w:jc w:val="both"/>
      </w:pPr>
      <w:r>
        <w:rPr>
          <w:rFonts w:ascii="Times New Roman" w:hAnsi="Times New Roman" w:eastAsia="宋体"/>
          <w:b w:val="0"/>
          <w:sz w:val="22"/>
        </w:rPr>
        <w:t>正态分布主要用于参数漂移（如ΔC/C、ESR倍增）的生产批次分布分析，一般不直接用于寿命建模。</w:t>
      </w:r>
    </w:p>
    <w:p>
      <w:pPr>
        <w:spacing w:before="240" w:after="120"/>
        <w:outlineLvl w:val="3"/>
      </w:pPr>
      <w:r>
        <w:rPr>
          <w:rFonts w:ascii="Times New Roman" w:hAnsi="Times New Roman" w:eastAsia="黑体"/>
          <w:b/>
          <w:sz w:val="26"/>
        </w:rPr>
        <w:t>5.1.4 混合Weibull与竞争失效</w:t>
      </w:r>
    </w:p>
    <w:p>
      <w:pPr>
        <w:spacing w:line="360" w:lineRule="auto" w:after="60"/>
        <w:ind w:firstLine="420"/>
        <w:jc w:val="both"/>
      </w:pPr>
      <w:r>
        <w:rPr>
          <w:rFonts w:ascii="Times New Roman" w:hAnsi="Times New Roman" w:eastAsia="宋体"/>
          <w:b w:val="0"/>
          <w:sz w:val="22"/>
        </w:rPr>
        <w:t>在实际加速试验中，电容器经常呈现多失效模式共存，例如MLCC同时存在早期缺陷型短路与后期氧空位致退化型失效。此时单一Weibull无法准确拟合，需要采用混合Weibull（mixed Weibull）或竞争失效模型（competing risks model）。Liu-Sampson模型将BME MLCC的可靠性函数表达为两个独立失效模式之乘积：</w:t>
      </w:r>
    </w:p>
    <w:p>
      <w:pPr>
        <w:spacing w:before="120" w:after="120"/>
        <w:jc w:val="center"/>
      </w:pPr>
      <w:r>
        <w:rPr>
          <w:rFonts w:ascii="Times New Roman" w:hAnsi="Times New Roman" w:eastAsia="Times New Roman"/>
          <w:b w:val="0"/>
          <w:sz w:val="22"/>
        </w:rPr>
        <w:t>R_total(t) = R_catastrophic(t) · R_slow_degradation(t)</w:t>
      </w:r>
    </w:p>
    <w:p>
      <w:pPr>
        <w:spacing w:line="360" w:lineRule="auto" w:after="60"/>
        <w:ind w:firstLine="420"/>
        <w:jc w:val="both"/>
      </w:pPr>
      <w:r>
        <w:rPr>
          <w:rFonts w:ascii="Times New Roman" w:hAnsi="Times New Roman" w:eastAsia="宋体"/>
          <w:b w:val="0"/>
          <w:sz w:val="22"/>
        </w:rPr>
        <w:t>其中灾难性失效对应低β值（早期失效），而慢退化失效对应高β值（耗损失效）[4][29]。这一分解模型已成为现代MLCC可靠性评估的标准范式。</w:t>
      </w:r>
    </w:p>
    <w:p>
      <w:pPr>
        <w:spacing w:before="240" w:after="120"/>
        <w:outlineLvl w:val="2"/>
      </w:pPr>
      <w:r>
        <w:rPr>
          <w:rFonts w:ascii="Times New Roman" w:hAnsi="Times New Roman" w:eastAsia="黑体"/>
          <w:b/>
          <w:sz w:val="30"/>
        </w:rPr>
        <w:t>5.2 加速寿命试验与Arrhenius类模型</w:t>
      </w:r>
    </w:p>
    <w:p>
      <w:pPr>
        <w:spacing w:before="240" w:after="120"/>
        <w:outlineLvl w:val="3"/>
      </w:pPr>
      <w:r>
        <w:rPr>
          <w:rFonts w:ascii="Times New Roman" w:hAnsi="Times New Roman" w:eastAsia="黑体"/>
          <w:b/>
          <w:sz w:val="26"/>
        </w:rPr>
        <w:t>5.2.1 加速寿命试验的理论基础</w:t>
      </w:r>
    </w:p>
    <w:p>
      <w:pPr>
        <w:spacing w:line="360" w:lineRule="auto" w:after="60"/>
        <w:ind w:firstLine="420"/>
        <w:jc w:val="both"/>
      </w:pPr>
      <w:r>
        <w:rPr>
          <w:rFonts w:ascii="Times New Roman" w:hAnsi="Times New Roman" w:eastAsia="宋体"/>
          <w:b w:val="0"/>
          <w:sz w:val="22"/>
        </w:rPr>
        <w:t>加速寿命试验（Accelerated Life Test, ALT）的理论基础是"应力-寿命（stress-life）等效关系"——在不同应力水平下，失效过程的物理机理保持一致，寿命仅通过一个加速因子AF与常态寿命相关联。Nelson在其经典著作《Accelerated Testing》（1990）中给出了这一等效的三个必要条件：</w:t>
      </w:r>
    </w:p>
    <w:p>
      <w:pPr>
        <w:spacing w:line="360" w:lineRule="auto" w:after="60"/>
        <w:ind w:firstLine="420"/>
        <w:jc w:val="both"/>
      </w:pPr>
      <w:r>
        <w:rPr>
          <w:rFonts w:ascii="Times New Roman" w:hAnsi="Times New Roman" w:eastAsia="宋体"/>
          <w:b w:val="0"/>
          <w:sz w:val="22"/>
        </w:rPr>
        <w:t>（1）失效机理不变（no shift in failure mechanism）；</w:t>
      </w:r>
    </w:p>
    <w:p>
      <w:pPr>
        <w:spacing w:line="360" w:lineRule="auto" w:after="60"/>
        <w:ind w:firstLine="420"/>
        <w:jc w:val="both"/>
      </w:pPr>
      <w:r>
        <w:rPr>
          <w:rFonts w:ascii="Times New Roman" w:hAnsi="Times New Roman" w:eastAsia="宋体"/>
          <w:b w:val="0"/>
          <w:sz w:val="22"/>
        </w:rPr>
        <w:t>（2）分布形状参数不变（shape parameter invariance）；</w:t>
      </w:r>
    </w:p>
    <w:p>
      <w:pPr>
        <w:spacing w:line="360" w:lineRule="auto" w:after="60"/>
        <w:ind w:firstLine="420"/>
        <w:jc w:val="both"/>
      </w:pPr>
      <w:r>
        <w:rPr>
          <w:rFonts w:ascii="Times New Roman" w:hAnsi="Times New Roman" w:eastAsia="宋体"/>
          <w:b w:val="0"/>
          <w:sz w:val="22"/>
        </w:rPr>
        <w:t>（3）累积损伤可线性叠加（Miner-Palmgren准则适用）。</w:t>
      </w:r>
    </w:p>
    <w:p>
      <w:pPr>
        <w:spacing w:line="360" w:lineRule="auto" w:after="60"/>
        <w:ind w:firstLine="420"/>
        <w:jc w:val="both"/>
      </w:pPr>
      <w:r>
        <w:rPr>
          <w:rFonts w:ascii="Times New Roman" w:hAnsi="Times New Roman" w:eastAsia="宋体"/>
          <w:b w:val="0"/>
          <w:sz w:val="22"/>
        </w:rPr>
        <w:t>违反上述任一条件，ALT结果都不能线性外推到实际工况。</w:t>
      </w:r>
    </w:p>
    <w:p>
      <w:pPr>
        <w:spacing w:before="240" w:after="120"/>
        <w:outlineLvl w:val="3"/>
      </w:pPr>
      <w:r>
        <w:rPr>
          <w:rFonts w:ascii="Times New Roman" w:hAnsi="Times New Roman" w:eastAsia="黑体"/>
          <w:b/>
          <w:sz w:val="26"/>
        </w:rPr>
        <w:t>5.2.2 Arrhenius温度加速模型</w:t>
      </w:r>
    </w:p>
    <w:p>
      <w:pPr>
        <w:spacing w:line="360" w:lineRule="auto" w:after="60"/>
        <w:ind w:firstLine="420"/>
        <w:jc w:val="both"/>
      </w:pPr>
      <w:r>
        <w:rPr>
          <w:rFonts w:ascii="Times New Roman" w:hAnsi="Times New Roman" w:eastAsia="宋体"/>
          <w:b w:val="0"/>
          <w:sz w:val="22"/>
        </w:rPr>
        <w:t>Arrhenius模型描述温度对失效速率的加速作用：</w:t>
      </w:r>
    </w:p>
    <w:p>
      <w:pPr>
        <w:spacing w:before="120" w:after="120"/>
        <w:jc w:val="center"/>
      </w:pPr>
      <w:r>
        <w:rPr>
          <w:rFonts w:ascii="Times New Roman" w:hAnsi="Times New Roman" w:eastAsia="Times New Roman"/>
          <w:b w:val="0"/>
          <w:sz w:val="22"/>
        </w:rPr>
        <w:t>AF_T = exp[(Ea/k)·(1/T_use - 1/T_stress)]</w:t>
      </w:r>
    </w:p>
    <w:p>
      <w:pPr>
        <w:spacing w:line="360" w:lineRule="auto" w:after="60"/>
        <w:ind w:firstLine="420"/>
        <w:jc w:val="both"/>
      </w:pPr>
      <w:r>
        <w:rPr>
          <w:rFonts w:ascii="Times New Roman" w:hAnsi="Times New Roman" w:eastAsia="宋体"/>
          <w:b w:val="0"/>
          <w:sz w:val="22"/>
        </w:rPr>
        <w:t>其中Ea为激活能（eV），k为玻尔兹曼常数（8.617×10⁻⁵ eV/K），T以绝对温标计。典型激活能取值：</w:t>
      </w:r>
    </w:p>
    <w:p>
      <w:pPr>
        <w:spacing w:line="360" w:lineRule="auto" w:after="60"/>
        <w:ind w:firstLine="420"/>
        <w:jc w:val="both"/>
      </w:pPr>
      <w:r>
        <w:rPr>
          <w:rFonts w:ascii="Times New Roman" w:hAnsi="Times New Roman" w:eastAsia="宋体"/>
          <w:b w:val="0"/>
          <w:sz w:val="22"/>
        </w:rPr>
        <w:t>（1）Al-cap电解液蒸发：0.94 eV[28]；</w:t>
      </w:r>
    </w:p>
    <w:p>
      <w:pPr>
        <w:spacing w:line="360" w:lineRule="auto" w:after="60"/>
        <w:ind w:firstLine="420"/>
        <w:jc w:val="both"/>
      </w:pPr>
      <w:r>
        <w:rPr>
          <w:rFonts w:ascii="Times New Roman" w:hAnsi="Times New Roman" w:eastAsia="宋体"/>
          <w:b w:val="0"/>
          <w:sz w:val="22"/>
        </w:rPr>
        <w:t>（2）BME MLCC氧空位迁移：1.0~1.5 eV[12][17]；</w:t>
      </w:r>
    </w:p>
    <w:p>
      <w:pPr>
        <w:spacing w:line="360" w:lineRule="auto" w:after="60"/>
        <w:ind w:firstLine="420"/>
        <w:jc w:val="both"/>
      </w:pPr>
      <w:r>
        <w:rPr>
          <w:rFonts w:ascii="Times New Roman" w:hAnsi="Times New Roman" w:eastAsia="宋体"/>
          <w:b w:val="0"/>
          <w:sz w:val="22"/>
        </w:rPr>
        <w:t>（3）Ta2O5场致结晶：1.0~1.5 eV[9][38]；</w:t>
      </w:r>
    </w:p>
    <w:p>
      <w:pPr>
        <w:spacing w:line="360" w:lineRule="auto" w:after="60"/>
        <w:ind w:firstLine="420"/>
        <w:jc w:val="both"/>
      </w:pPr>
      <w:r>
        <w:rPr>
          <w:rFonts w:ascii="Times New Roman" w:hAnsi="Times New Roman" w:eastAsia="宋体"/>
          <w:b w:val="0"/>
          <w:sz w:val="22"/>
        </w:rPr>
        <w:t>（4）BOPP氧化老化：0.8~1.2 eV。</w:t>
      </w:r>
    </w:p>
    <w:p>
      <w:pPr>
        <w:spacing w:line="360" w:lineRule="auto" w:after="60"/>
        <w:ind w:firstLine="420"/>
        <w:jc w:val="both"/>
      </w:pPr>
      <w:r>
        <w:rPr>
          <w:rFonts w:ascii="Times New Roman" w:hAnsi="Times New Roman" w:eastAsia="宋体"/>
          <w:b w:val="0"/>
          <w:sz w:val="22"/>
        </w:rPr>
        <w:t>所谓"10℃法则"（温度每升高10℃寿命减半）对应于在70~125℃范围内Ea约0.55~0.65 eV的特定情况，不是普适规律。选择Ea时必须基于具体失效机理的物理建模，而非盲目套用经验常数。</w:t>
      </w:r>
    </w:p>
    <w:p>
      <w:pPr>
        <w:spacing w:before="240" w:after="120"/>
        <w:outlineLvl w:val="3"/>
      </w:pPr>
      <w:r>
        <w:rPr>
          <w:rFonts w:ascii="Times New Roman" w:hAnsi="Times New Roman" w:eastAsia="黑体"/>
          <w:b/>
          <w:sz w:val="26"/>
        </w:rPr>
        <w:t>5.2.3 逆幂律电压加速模型</w:t>
      </w:r>
    </w:p>
    <w:p>
      <w:pPr>
        <w:spacing w:line="360" w:lineRule="auto" w:after="60"/>
        <w:ind w:firstLine="420"/>
        <w:jc w:val="both"/>
      </w:pPr>
      <w:r>
        <w:rPr>
          <w:rFonts w:ascii="Times New Roman" w:hAnsi="Times New Roman" w:eastAsia="宋体"/>
          <w:b w:val="0"/>
          <w:sz w:val="22"/>
        </w:rPr>
        <w:t>对电压应力而言，加速因子通常服从逆幂律（Inverse Power Law）：</w:t>
      </w:r>
    </w:p>
    <w:p>
      <w:pPr>
        <w:spacing w:before="120" w:after="120"/>
        <w:jc w:val="center"/>
      </w:pPr>
      <w:r>
        <w:rPr>
          <w:rFonts w:ascii="Times New Roman" w:hAnsi="Times New Roman" w:eastAsia="Times New Roman"/>
          <w:b w:val="0"/>
          <w:sz w:val="22"/>
        </w:rPr>
        <w:t>AF_V = (V_stress / V_use)^n</w:t>
      </w:r>
    </w:p>
    <w:p>
      <w:pPr>
        <w:spacing w:line="360" w:lineRule="auto" w:after="60"/>
        <w:ind w:firstLine="420"/>
        <w:jc w:val="both"/>
      </w:pPr>
      <w:r>
        <w:rPr>
          <w:rFonts w:ascii="Times New Roman" w:hAnsi="Times New Roman" w:eastAsia="宋体"/>
          <w:b w:val="0"/>
          <w:sz w:val="22"/>
        </w:rPr>
        <w:t>其中幂指数n反映电压对寿命的敏感度。典型值：</w:t>
      </w:r>
    </w:p>
    <w:p>
      <w:pPr>
        <w:spacing w:line="360" w:lineRule="auto" w:after="60"/>
        <w:ind w:firstLine="420"/>
        <w:jc w:val="both"/>
      </w:pPr>
      <w:r>
        <w:rPr>
          <w:rFonts w:ascii="Times New Roman" w:hAnsi="Times New Roman" w:eastAsia="宋体"/>
          <w:b w:val="0"/>
          <w:sz w:val="22"/>
        </w:rPr>
        <w:t>（1）MLCC：n=3~7（Prokopowicz-Vaskas）[4][12]；</w:t>
      </w:r>
    </w:p>
    <w:p>
      <w:pPr>
        <w:spacing w:line="360" w:lineRule="auto" w:after="60"/>
        <w:ind w:firstLine="420"/>
        <w:jc w:val="both"/>
      </w:pPr>
      <w:r>
        <w:rPr>
          <w:rFonts w:ascii="Times New Roman" w:hAnsi="Times New Roman" w:eastAsia="宋体"/>
          <w:b w:val="0"/>
          <w:sz w:val="22"/>
        </w:rPr>
        <w:t>（2）BOPP薄膜：n=7~13（Kawamura, 1988）；</w:t>
      </w:r>
    </w:p>
    <w:p>
      <w:pPr>
        <w:spacing w:line="360" w:lineRule="auto" w:after="60"/>
        <w:ind w:firstLine="420"/>
        <w:jc w:val="both"/>
      </w:pPr>
      <w:r>
        <w:rPr>
          <w:rFonts w:ascii="Times New Roman" w:hAnsi="Times New Roman" w:eastAsia="宋体"/>
          <w:b w:val="0"/>
          <w:sz w:val="22"/>
        </w:rPr>
        <w:t>（3）Ta2O5：n=15~40（结晶模型）[9]。</w:t>
      </w:r>
    </w:p>
    <w:p>
      <w:pPr>
        <w:spacing w:line="360" w:lineRule="auto" w:after="60"/>
        <w:ind w:firstLine="420"/>
        <w:jc w:val="both"/>
      </w:pPr>
      <w:r>
        <w:rPr>
          <w:rFonts w:ascii="Times New Roman" w:hAnsi="Times New Roman" w:eastAsia="宋体"/>
          <w:b w:val="0"/>
          <w:sz w:val="22"/>
        </w:rPr>
        <w:t>n值越大，说明寿命对电压越敏感。电压加速模型中的n并非纯经验参数，而是与介质内部的退化机理紧密相关。对MLCC而言，n与氧空位迁移中电场对势垒的降低作用有关；对BOPP而言，n反映了电子雪崩注入过程的非线性响应。</w:t>
      </w:r>
    </w:p>
    <w:p>
      <w:pPr>
        <w:spacing w:before="240" w:after="120"/>
        <w:outlineLvl w:val="2"/>
      </w:pPr>
      <w:r>
        <w:rPr>
          <w:rFonts w:ascii="Times New Roman" w:hAnsi="Times New Roman" w:eastAsia="黑体"/>
          <w:b/>
          <w:sz w:val="30"/>
        </w:rPr>
        <w:t>5.3 Prokopowicz-Vaskas方程</w:t>
      </w:r>
    </w:p>
    <w:p>
      <w:pPr>
        <w:spacing w:line="360" w:lineRule="auto" w:after="60"/>
        <w:ind w:firstLine="420"/>
        <w:jc w:val="both"/>
      </w:pPr>
      <w:r>
        <w:rPr>
          <w:rFonts w:ascii="Times New Roman" w:hAnsi="Times New Roman" w:eastAsia="宋体"/>
          <w:b w:val="0"/>
          <w:sz w:val="22"/>
        </w:rPr>
        <w:t>Prokopowicz-Vaskas方程是MLCC行业最经典也最广泛使用的加速寿命模型：</w:t>
      </w:r>
    </w:p>
    <w:p>
      <w:pPr>
        <w:spacing w:before="120" w:after="120"/>
        <w:jc w:val="center"/>
      </w:pPr>
      <w:r>
        <w:rPr>
          <w:rFonts w:ascii="Times New Roman" w:hAnsi="Times New Roman" w:eastAsia="Times New Roman"/>
          <w:b w:val="0"/>
          <w:sz w:val="22"/>
        </w:rPr>
        <w:t>t1/t2 = (V2/V1)^n · exp[(Ea/k)·(1/T1 - 1/T2)]</w:t>
      </w:r>
    </w:p>
    <w:p>
      <w:pPr>
        <w:spacing w:line="360" w:lineRule="auto" w:after="60"/>
        <w:ind w:firstLine="420"/>
        <w:jc w:val="both"/>
      </w:pPr>
      <w:r>
        <w:rPr>
          <w:rFonts w:ascii="Times New Roman" w:hAnsi="Times New Roman" w:eastAsia="宋体"/>
          <w:b w:val="0"/>
          <w:sz w:val="22"/>
        </w:rPr>
        <w:t>其中（t1, V1, T1）与（t2, V2, T2）为两个试验点的寿命、电压、温度。该方程同时包含Arrhenius温度项与逆幂律电压项，是典型的"乘积分离"型加速模型。Kim等（2024）基于125~250℃、1.1~5倍额定电压的BME MLCC加速试验数据，给出了现代高容X7R MLCC的Ea=0.88~1.49 eV、n=3.1~4.8的拟合参数，并证实Prokopowicz-Vaskas方程在五倍额定电压以下保持良好的线性外推能力[12]。</w:t>
      </w:r>
    </w:p>
    <w:p>
      <w:pPr>
        <w:spacing w:line="360" w:lineRule="auto" w:after="60"/>
        <w:ind w:firstLine="420"/>
        <w:jc w:val="both"/>
      </w:pPr>
      <w:r>
        <w:rPr>
          <w:rFonts w:ascii="Times New Roman" w:hAnsi="Times New Roman" w:eastAsia="宋体"/>
          <w:b w:val="0"/>
          <w:sz w:val="22"/>
        </w:rPr>
        <w:t>然而Prokopowicz-Vaskas方程存在若干假设前提：</w:t>
      </w:r>
    </w:p>
    <w:p>
      <w:pPr>
        <w:spacing w:line="360" w:lineRule="auto" w:after="60"/>
        <w:ind w:firstLine="420"/>
        <w:jc w:val="both"/>
      </w:pPr>
      <w:r>
        <w:rPr>
          <w:rFonts w:ascii="Times New Roman" w:hAnsi="Times New Roman" w:eastAsia="宋体"/>
          <w:b w:val="0"/>
          <w:sz w:val="22"/>
        </w:rPr>
        <w:t>（1）失效机理在ALT应力范围内保持不变，即严格的机理同一性；</w:t>
      </w:r>
    </w:p>
    <w:p>
      <w:pPr>
        <w:spacing w:line="360" w:lineRule="auto" w:after="60"/>
        <w:ind w:firstLine="420"/>
        <w:jc w:val="both"/>
      </w:pPr>
      <w:r>
        <w:rPr>
          <w:rFonts w:ascii="Times New Roman" w:hAnsi="Times New Roman" w:eastAsia="宋体"/>
          <w:b w:val="0"/>
          <w:sz w:val="22"/>
        </w:rPr>
        <w:t>（2）电场-温度两因素可线性分离，忽略交互项；</w:t>
      </w:r>
    </w:p>
    <w:p>
      <w:pPr>
        <w:spacing w:line="360" w:lineRule="auto" w:after="60"/>
        <w:ind w:firstLine="420"/>
        <w:jc w:val="both"/>
      </w:pPr>
      <w:r>
        <w:rPr>
          <w:rFonts w:ascii="Times New Roman" w:hAnsi="Times New Roman" w:eastAsia="宋体"/>
          <w:b w:val="0"/>
          <w:sz w:val="22"/>
        </w:rPr>
        <w:t>（3）介质厚度与工作场强关系已固定。</w:t>
      </w:r>
    </w:p>
    <w:p>
      <w:pPr>
        <w:spacing w:line="360" w:lineRule="auto" w:after="60"/>
        <w:ind w:firstLine="420"/>
        <w:jc w:val="both"/>
      </w:pPr>
      <w:r>
        <w:rPr>
          <w:rFonts w:ascii="Times New Roman" w:hAnsi="Times New Roman" w:eastAsia="宋体"/>
          <w:b w:val="0"/>
          <w:sz w:val="22"/>
        </w:rPr>
        <w:t>对于亚微米级介质厚度的最新MLCC，当电场强度超过20 V/μm时，Schottky-Poole-Frenkel发射机制将逐步取代氧空位迁移成为主导机制，此时经典Prokopowicz-Vaskas方程不再适用，需要引入修正项。Teverovsky（NASA/NEPP）对此问题有详细论述。</w:t>
      </w:r>
    </w:p>
    <w:p>
      <w:pPr>
        <w:spacing w:before="240" w:after="120"/>
        <w:outlineLvl w:val="2"/>
      </w:pPr>
      <w:r>
        <w:rPr>
          <w:rFonts w:ascii="Times New Roman" w:hAnsi="Times New Roman" w:eastAsia="黑体"/>
          <w:b/>
          <w:sz w:val="30"/>
        </w:rPr>
        <w:t>5.4 多应力广义Eyring模型</w:t>
      </w:r>
    </w:p>
    <w:p>
      <w:pPr>
        <w:spacing w:line="360" w:lineRule="auto" w:after="60"/>
        <w:ind w:firstLine="420"/>
        <w:jc w:val="both"/>
      </w:pPr>
      <w:r>
        <w:rPr>
          <w:rFonts w:ascii="Times New Roman" w:hAnsi="Times New Roman" w:eastAsia="宋体"/>
          <w:b w:val="0"/>
          <w:sz w:val="22"/>
        </w:rPr>
        <w:t>对于多应力耦合工况，广义Eyring模型（Generalized Eyring Model）提供了比Arrhenius+逆幂律更普适的框架：</w:t>
      </w:r>
    </w:p>
    <w:p>
      <w:pPr>
        <w:spacing w:before="120" w:after="120"/>
        <w:jc w:val="center"/>
      </w:pPr>
      <w:r>
        <w:rPr>
          <w:rFonts w:ascii="Times New Roman" w:hAnsi="Times New Roman" w:eastAsia="Times New Roman"/>
          <w:b w:val="0"/>
          <w:sz w:val="22"/>
        </w:rPr>
        <w:t>t_f = A · T^m · exp(Ea/kT) · exp(B·S1 + C·S2·… + D/kT·S1·S2 + …)</w:t>
      </w:r>
    </w:p>
    <w:p>
      <w:pPr>
        <w:spacing w:line="360" w:lineRule="auto" w:after="60"/>
        <w:ind w:firstLine="420"/>
        <w:jc w:val="both"/>
      </w:pPr>
      <w:r>
        <w:rPr>
          <w:rFonts w:ascii="Times New Roman" w:hAnsi="Times New Roman" w:eastAsia="宋体"/>
          <w:b w:val="0"/>
          <w:sz w:val="22"/>
        </w:rPr>
        <w:t>其中S1, S2为电场、湿度等非温度应力，D/kT·S1·S2形式的项显式引入了非线性交互效应。Eyring模型的优点是能够描述交互作用；缺点是参数众多、试验成本高。IEC 62380、Military Handbook 217F的部件应力法在一定意义上就是广义Eyring模型的简化工程实现。</w:t>
      </w:r>
    </w:p>
    <w:p>
      <w:pPr>
        <w:spacing w:line="360" w:lineRule="auto" w:after="60"/>
        <w:ind w:firstLine="420"/>
        <w:jc w:val="both"/>
      </w:pPr>
      <w:r>
        <w:rPr>
          <w:rFonts w:ascii="Times New Roman" w:hAnsi="Times New Roman" w:eastAsia="宋体"/>
          <w:b w:val="0"/>
          <w:sz w:val="22"/>
        </w:rPr>
        <w:t>对于DC-link金属化薄膜电容，Sun等（2025）提出了考虑热应力和电应力耦合的修正Eyring模型，形式如下：</w:t>
      </w:r>
    </w:p>
    <w:p>
      <w:pPr>
        <w:spacing w:before="120" w:after="120"/>
        <w:jc w:val="center"/>
      </w:pPr>
      <w:r>
        <w:rPr>
          <w:rFonts w:ascii="Times New Roman" w:hAnsi="Times New Roman" w:eastAsia="Times New Roman"/>
          <w:b w:val="0"/>
          <w:sz w:val="22"/>
        </w:rPr>
        <w:t>L(V, T) = L0 · (V0/V)^n · exp[Ea/k·(1/T - 1/T0)] · g(ΔT_ripple)</w:t>
      </w:r>
    </w:p>
    <w:p>
      <w:pPr>
        <w:spacing w:line="360" w:lineRule="auto" w:after="60"/>
        <w:ind w:firstLine="420"/>
        <w:jc w:val="both"/>
      </w:pPr>
      <w:r>
        <w:rPr>
          <w:rFonts w:ascii="Times New Roman" w:hAnsi="Times New Roman" w:eastAsia="宋体"/>
          <w:b w:val="0"/>
          <w:sz w:val="22"/>
        </w:rPr>
        <w:t>其中g(ΔT_ripple)是描述纹波电流引起自发热循环损伤的修正因子，本质上是Manson-Coffin低周疲劳损伤的一阶近似[44]。这种多因素复合模型在工程实践中已被广泛应用于逆变器DC-link电容的寿命预测。</w:t>
      </w:r>
    </w:p>
    <w:p>
      <w:pPr>
        <w:spacing w:before="240" w:after="120"/>
        <w:outlineLvl w:val="2"/>
      </w:pPr>
      <w:r>
        <w:rPr>
          <w:rFonts w:ascii="Times New Roman" w:hAnsi="Times New Roman" w:eastAsia="黑体"/>
          <w:b/>
          <w:sz w:val="30"/>
        </w:rPr>
        <w:t>5.5 基于失效物理的寿命模型（PoF）</w:t>
      </w:r>
    </w:p>
    <w:p>
      <w:pPr>
        <w:spacing w:line="360" w:lineRule="auto" w:after="60"/>
        <w:ind w:firstLine="420"/>
        <w:jc w:val="both"/>
      </w:pPr>
      <w:r>
        <w:rPr>
          <w:rFonts w:ascii="Times New Roman" w:hAnsi="Times New Roman" w:eastAsia="宋体"/>
          <w:b w:val="0"/>
          <w:sz w:val="22"/>
        </w:rPr>
        <w:t>PoF模型不依赖于大量经验试验，而是从微观退化物理量的演化出发，通过对底层变量的建模给出寿命估计。典型的PoF建模步骤如下：</w:t>
      </w:r>
    </w:p>
    <w:p>
      <w:pPr>
        <w:spacing w:line="360" w:lineRule="auto" w:after="60"/>
        <w:ind w:firstLine="420"/>
        <w:jc w:val="both"/>
      </w:pPr>
      <w:r>
        <w:rPr>
          <w:rFonts w:ascii="Times New Roman" w:hAnsi="Times New Roman" w:eastAsia="宋体"/>
          <w:b w:val="0"/>
          <w:sz w:val="22"/>
        </w:rPr>
        <w:t>（1）识别主导退化变量（如ESR、C、IR、漏电流）；</w:t>
      </w:r>
    </w:p>
    <w:p>
      <w:pPr>
        <w:spacing w:line="360" w:lineRule="auto" w:after="60"/>
        <w:ind w:firstLine="420"/>
        <w:jc w:val="both"/>
      </w:pPr>
      <w:r>
        <w:rPr>
          <w:rFonts w:ascii="Times New Roman" w:hAnsi="Times New Roman" w:eastAsia="宋体"/>
          <w:b w:val="0"/>
          <w:sz w:val="22"/>
        </w:rPr>
        <w:t>（2）建立退化方程，形式可以是d(Param)/dt = f(T, E, H, ...)的微分方程；</w:t>
      </w:r>
    </w:p>
    <w:p>
      <w:pPr>
        <w:spacing w:line="360" w:lineRule="auto" w:after="60"/>
        <w:ind w:firstLine="420"/>
        <w:jc w:val="both"/>
      </w:pPr>
      <w:r>
        <w:rPr>
          <w:rFonts w:ascii="Times New Roman" w:hAnsi="Times New Roman" w:eastAsia="宋体"/>
          <w:b w:val="0"/>
          <w:sz w:val="22"/>
        </w:rPr>
        <w:t>（3）设定失效阈值（failure threshold），当退化变量达到阈值时即判为失效；</w:t>
      </w:r>
    </w:p>
    <w:p>
      <w:pPr>
        <w:spacing w:line="360" w:lineRule="auto" w:after="60"/>
        <w:ind w:firstLine="420"/>
        <w:jc w:val="both"/>
      </w:pPr>
      <w:r>
        <w:rPr>
          <w:rFonts w:ascii="Times New Roman" w:hAnsi="Times New Roman" w:eastAsia="宋体"/>
          <w:b w:val="0"/>
          <w:sz w:val="22"/>
        </w:rPr>
        <w:t>（4）通过解析解或蒙特卡洛仿真得到寿命分布。</w:t>
      </w:r>
    </w:p>
    <w:p>
      <w:pPr>
        <w:spacing w:line="360" w:lineRule="auto" w:after="60"/>
        <w:ind w:firstLine="420"/>
        <w:jc w:val="both"/>
      </w:pPr>
      <w:r>
        <w:rPr>
          <w:rFonts w:ascii="Times New Roman" w:hAnsi="Times New Roman" w:eastAsia="宋体"/>
          <w:b w:val="0"/>
          <w:sz w:val="22"/>
        </w:rPr>
        <w:t>5.5.1 Al-cap的ESR退化PoF模型</w:t>
      </w:r>
    </w:p>
    <w:p>
      <w:pPr>
        <w:spacing w:line="360" w:lineRule="auto" w:after="60"/>
        <w:ind w:firstLine="420"/>
        <w:jc w:val="both"/>
      </w:pPr>
      <w:r>
        <w:rPr>
          <w:rFonts w:ascii="Times New Roman" w:hAnsi="Times New Roman" w:eastAsia="宋体"/>
          <w:b w:val="0"/>
          <w:sz w:val="22"/>
        </w:rPr>
        <w:t>Sankaran等（2010）给出了Al-cap的ESR退化模型：</w:t>
      </w:r>
    </w:p>
    <w:p>
      <w:pPr>
        <w:spacing w:before="120" w:after="120"/>
        <w:jc w:val="center"/>
      </w:pPr>
      <w:r>
        <w:rPr>
          <w:rFonts w:ascii="Times New Roman" w:hAnsi="Times New Roman" w:eastAsia="Times New Roman"/>
          <w:b w:val="0"/>
          <w:sz w:val="22"/>
        </w:rPr>
        <w:t>ESR(t) = ESR0 / (1 - α·t·exp(-Ea/kT))</w:t>
      </w:r>
    </w:p>
    <w:p>
      <w:pPr>
        <w:spacing w:line="360" w:lineRule="auto" w:after="60"/>
        <w:ind w:firstLine="420"/>
        <w:jc w:val="both"/>
      </w:pPr>
      <w:r>
        <w:rPr>
          <w:rFonts w:ascii="Times New Roman" w:hAnsi="Times New Roman" w:eastAsia="宋体"/>
          <w:b w:val="0"/>
          <w:sz w:val="22"/>
        </w:rPr>
        <w:t>其中α为电解液蒸发速率常数。该式预测当t接近1/(α·exp(-Ea/kT))时ESR发散，对应电解液完全耗尽的失效时刻[27]。</w:t>
      </w:r>
    </w:p>
    <w:p>
      <w:pPr>
        <w:spacing w:line="360" w:lineRule="auto" w:after="60"/>
        <w:ind w:firstLine="420"/>
        <w:jc w:val="both"/>
      </w:pPr>
      <w:r>
        <w:rPr>
          <w:rFonts w:ascii="Times New Roman" w:hAnsi="Times New Roman" w:eastAsia="宋体"/>
          <w:b w:val="0"/>
          <w:sz w:val="22"/>
        </w:rPr>
        <w:t>5.5.2 MLCC的氧空位迁移PoF模型</w:t>
      </w:r>
    </w:p>
    <w:p>
      <w:pPr>
        <w:spacing w:line="360" w:lineRule="auto" w:after="60"/>
        <w:ind w:firstLine="420"/>
        <w:jc w:val="both"/>
      </w:pPr>
      <w:r>
        <w:rPr>
          <w:rFonts w:ascii="Times New Roman" w:hAnsi="Times New Roman" w:eastAsia="宋体"/>
          <w:b w:val="0"/>
          <w:sz w:val="22"/>
        </w:rPr>
        <w:t>Waser模型给出绝缘电阻演化：</w:t>
      </w:r>
    </w:p>
    <w:p>
      <w:pPr>
        <w:spacing w:before="120" w:after="120"/>
        <w:jc w:val="center"/>
      </w:pPr>
      <w:r>
        <w:rPr>
          <w:rFonts w:ascii="Times New Roman" w:hAnsi="Times New Roman" w:eastAsia="Times New Roman"/>
          <w:b w:val="0"/>
          <w:sz w:val="22"/>
        </w:rPr>
        <w:t>IR(t) = IR0 · exp(-k·t^n · E^m)</w:t>
      </w:r>
    </w:p>
    <w:p>
      <w:pPr>
        <w:spacing w:line="360" w:lineRule="auto" w:after="60"/>
        <w:ind w:firstLine="420"/>
        <w:jc w:val="both"/>
      </w:pPr>
      <w:r>
        <w:rPr>
          <w:rFonts w:ascii="Times New Roman" w:hAnsi="Times New Roman" w:eastAsia="宋体"/>
          <w:b w:val="0"/>
          <w:sz w:val="22"/>
        </w:rPr>
        <w:t>阈值IR_critical与绝缘电阻下降两个数量级相对应。激活能Ea与Prokopowicz-Vaskas方程中的Ea一致[17]。</w:t>
      </w:r>
    </w:p>
    <w:p>
      <w:pPr>
        <w:spacing w:line="360" w:lineRule="auto" w:after="60"/>
        <w:ind w:firstLine="420"/>
        <w:jc w:val="both"/>
      </w:pPr>
      <w:r>
        <w:rPr>
          <w:rFonts w:ascii="Times New Roman" w:hAnsi="Times New Roman" w:eastAsia="宋体"/>
          <w:b w:val="0"/>
          <w:sz w:val="22"/>
        </w:rPr>
        <w:t>5.5.3 MPFC的自愈累积PoF模型</w:t>
      </w:r>
    </w:p>
    <w:p>
      <w:pPr>
        <w:spacing w:line="360" w:lineRule="auto" w:after="60"/>
        <w:ind w:firstLine="420"/>
        <w:jc w:val="both"/>
      </w:pPr>
      <w:r>
        <w:rPr>
          <w:rFonts w:ascii="Times New Roman" w:hAnsi="Times New Roman" w:eastAsia="宋体"/>
          <w:b w:val="0"/>
          <w:sz w:val="22"/>
        </w:rPr>
        <w:t>Makdessi模型给出容量演化：</w:t>
      </w:r>
    </w:p>
    <w:p>
      <w:pPr>
        <w:spacing w:before="120" w:after="120"/>
        <w:jc w:val="center"/>
      </w:pPr>
      <w:r>
        <w:rPr>
          <w:rFonts w:ascii="Times New Roman" w:hAnsi="Times New Roman" w:eastAsia="Times New Roman"/>
          <w:b w:val="0"/>
          <w:sz w:val="22"/>
        </w:rPr>
        <w:t>C(t) = C0·[1 - γ·N_sh(t)]</w:t>
      </w:r>
    </w:p>
    <w:p>
      <w:pPr>
        <w:spacing w:line="360" w:lineRule="auto" w:after="60"/>
        <w:ind w:firstLine="420"/>
        <w:jc w:val="both"/>
      </w:pPr>
      <w:r>
        <w:rPr>
          <w:rFonts w:ascii="Times New Roman" w:hAnsi="Times New Roman" w:eastAsia="宋体"/>
          <w:b w:val="0"/>
          <w:sz w:val="22"/>
        </w:rPr>
        <w:t>其中N_sh(t)为累积自愈次数，γ为每次自愈的单位面积损失系数。寿命终点时N_sh达到临界值N_critical[34]。</w:t>
      </w:r>
    </w:p>
    <w:p>
      <w:pPr>
        <w:spacing w:line="360" w:lineRule="auto" w:after="60"/>
        <w:ind w:firstLine="420"/>
        <w:jc w:val="both"/>
      </w:pPr>
      <w:r>
        <w:rPr>
          <w:rFonts w:ascii="Times New Roman" w:hAnsi="Times New Roman" w:eastAsia="宋体"/>
          <w:b w:val="0"/>
          <w:sz w:val="22"/>
        </w:rPr>
        <w:t>5.5.4 钽电容的场致结晶PoF模型</w:t>
      </w:r>
    </w:p>
    <w:p>
      <w:pPr>
        <w:spacing w:line="360" w:lineRule="auto" w:after="60"/>
        <w:ind w:firstLine="420"/>
        <w:jc w:val="both"/>
      </w:pPr>
      <w:r>
        <w:rPr>
          <w:rFonts w:ascii="Times New Roman" w:hAnsi="Times New Roman" w:eastAsia="宋体"/>
          <w:b w:val="0"/>
          <w:sz w:val="22"/>
        </w:rPr>
        <w:t>DCL增长可建模为：</w:t>
      </w:r>
    </w:p>
    <w:p>
      <w:pPr>
        <w:spacing w:before="120" w:after="120"/>
        <w:jc w:val="center"/>
      </w:pPr>
      <w:r>
        <w:rPr>
          <w:rFonts w:ascii="Times New Roman" w:hAnsi="Times New Roman" w:eastAsia="Times New Roman"/>
          <w:b w:val="0"/>
          <w:sz w:val="22"/>
        </w:rPr>
        <w:t>DCL(t) = DCL0 + β·E²·t·exp(-Ea/kT)</w:t>
      </w:r>
    </w:p>
    <w:p>
      <w:pPr>
        <w:spacing w:line="360" w:lineRule="auto" w:after="60"/>
        <w:ind w:firstLine="420"/>
        <w:jc w:val="both"/>
      </w:pPr>
      <w:r>
        <w:rPr>
          <w:rFonts w:ascii="Times New Roman" w:hAnsi="Times New Roman" w:eastAsia="宋体"/>
          <w:b w:val="0"/>
          <w:sz w:val="22"/>
        </w:rPr>
        <w:t>当DCL达到热失控临界值时发生灾难性失效[9][38]。</w:t>
      </w:r>
    </w:p>
    <w:p>
      <w:pPr>
        <w:spacing w:line="360" w:lineRule="auto" w:after="60"/>
        <w:ind w:firstLine="420"/>
        <w:jc w:val="both"/>
      </w:pPr>
      <w:r>
        <w:rPr>
          <w:rFonts w:ascii="Times New Roman" w:hAnsi="Times New Roman" w:eastAsia="宋体"/>
          <w:b w:val="0"/>
          <w:sz w:val="22"/>
        </w:rPr>
        <w:t>PoF模型的优势在于物理可解释性强、可跨工作点外推、可用于新型器件的早期寿命预测；局限在于需要较深入的机理理解与关键参数的独立测量，且对多机理共存情形的描述仍较为复杂。</w:t>
      </w:r>
    </w:p>
    <w:p>
      <w:pPr>
        <w:spacing w:before="240" w:after="120"/>
        <w:outlineLvl w:val="2"/>
      </w:pPr>
      <w:r>
        <w:rPr>
          <w:rFonts w:ascii="Times New Roman" w:hAnsi="Times New Roman" w:eastAsia="黑体"/>
          <w:b/>
          <w:sz w:val="30"/>
        </w:rPr>
        <w:t>5.6 数据驱动与物理-数据混合模型</w:t>
      </w:r>
    </w:p>
    <w:p>
      <w:pPr>
        <w:spacing w:line="360" w:lineRule="auto" w:after="60"/>
        <w:ind w:firstLine="420"/>
        <w:jc w:val="both"/>
      </w:pPr>
      <w:r>
        <w:rPr>
          <w:rFonts w:ascii="Times New Roman" w:hAnsi="Times New Roman" w:eastAsia="宋体"/>
          <w:b w:val="0"/>
          <w:sz w:val="22"/>
        </w:rPr>
        <w:t>近年来，机器学习在电容器寿命预测中的应用取得了显著进展，代表性方法包括：</w:t>
      </w:r>
    </w:p>
    <w:p>
      <w:pPr>
        <w:spacing w:line="360" w:lineRule="auto" w:after="60"/>
        <w:ind w:firstLine="420"/>
        <w:jc w:val="both"/>
      </w:pPr>
      <w:r>
        <w:rPr>
          <w:rFonts w:ascii="Times New Roman" w:hAnsi="Times New Roman" w:eastAsia="宋体"/>
          <w:b w:val="0"/>
          <w:sz w:val="22"/>
        </w:rPr>
        <w:t>（1）BP神经网络：Lu等（2025）将Arrhenius加速试验与Icepak热仿真得到的生命数据作为输入，训练BP网络预测电容器与功率晶体管的寿命[13]；</w:t>
      </w:r>
    </w:p>
    <w:p>
      <w:pPr>
        <w:spacing w:line="360" w:lineRule="auto" w:after="60"/>
        <w:ind w:firstLine="420"/>
        <w:jc w:val="both"/>
      </w:pPr>
      <w:r>
        <w:rPr>
          <w:rFonts w:ascii="Times New Roman" w:hAnsi="Times New Roman" w:eastAsia="宋体"/>
          <w:b w:val="0"/>
          <w:sz w:val="22"/>
        </w:rPr>
        <w:t>（2）LSTM与CNN-LSTM：Soualhi等（2022）建立了考虑动态工况变化的Al-cap LSTM模型[45]；MDPI Electronics（2025）提出了考虑参数离散的CNN-LSTM模型，在SECU数据集上RUL预测的RMSE低至5%以内[15]；</w:t>
      </w:r>
    </w:p>
    <w:p>
      <w:pPr>
        <w:spacing w:line="360" w:lineRule="auto" w:after="60"/>
        <w:ind w:firstLine="420"/>
        <w:jc w:val="both"/>
      </w:pPr>
      <w:r>
        <w:rPr>
          <w:rFonts w:ascii="Times New Roman" w:hAnsi="Times New Roman" w:eastAsia="宋体"/>
          <w:b w:val="0"/>
          <w:sz w:val="22"/>
        </w:rPr>
        <w:t>（3）遗传算法-LSTM（GA-LSTM）：Su等（2024）基于IET数字图书馆，对超级电容的循环寿命进行了早期预测，在前20%循环数据即可完成有效预测[46]；</w:t>
      </w:r>
    </w:p>
    <w:p>
      <w:pPr>
        <w:spacing w:line="360" w:lineRule="auto" w:after="60"/>
        <w:ind w:firstLine="420"/>
        <w:jc w:val="both"/>
      </w:pPr>
      <w:r>
        <w:rPr>
          <w:rFonts w:ascii="Times New Roman" w:hAnsi="Times New Roman" w:eastAsia="宋体"/>
          <w:b w:val="0"/>
          <w:sz w:val="22"/>
        </w:rPr>
        <w:t>（4）Transformer与Attention模型：具有比LSTM更强的长时依赖建模能力，但训练数据要求更大；</w:t>
      </w:r>
    </w:p>
    <w:p>
      <w:pPr>
        <w:spacing w:line="360" w:lineRule="auto" w:after="60"/>
        <w:ind w:firstLine="420"/>
        <w:jc w:val="both"/>
      </w:pPr>
      <w:r>
        <w:rPr>
          <w:rFonts w:ascii="Times New Roman" w:hAnsi="Times New Roman" w:eastAsia="宋体"/>
          <w:b w:val="0"/>
          <w:sz w:val="22"/>
        </w:rPr>
        <w:t>（5）物理信息神经网络（PINN）：Nature子刊EurekAlert（2025）报道的超级电容PINN模型将SEI膜增厚的物理微分方程作为损失函数约束项，在小样本条件下预测精度显著优于纯数据方法[6]；</w:t>
      </w:r>
    </w:p>
    <w:p>
      <w:pPr>
        <w:spacing w:line="360" w:lineRule="auto" w:after="60"/>
        <w:ind w:firstLine="420"/>
        <w:jc w:val="both"/>
      </w:pPr>
      <w:r>
        <w:rPr>
          <w:rFonts w:ascii="Times New Roman" w:hAnsi="Times New Roman" w:eastAsia="宋体"/>
          <w:b w:val="0"/>
          <w:sz w:val="22"/>
        </w:rPr>
        <w:t>（6）AIP APL Machine Learning（2023）提出的物理约束机器学习方法，用于MLCC失效时间预测，将Prokopowicz-Vaskas方程嵌入神经网络的先验[14]。</w:t>
      </w:r>
    </w:p>
    <w:p>
      <w:pPr>
        <w:spacing w:line="360" w:lineRule="auto" w:after="60"/>
        <w:ind w:firstLine="420"/>
        <w:jc w:val="both"/>
      </w:pPr>
      <w:r>
        <w:rPr>
          <w:rFonts w:ascii="Times New Roman" w:hAnsi="Times New Roman" w:eastAsia="宋体"/>
          <w:b w:val="0"/>
          <w:sz w:val="22"/>
        </w:rPr>
        <w:t>数据驱动模型的优点包括：（i）无需显式机理假设；（ii）可容纳任意数量与类型的监测输入；（iii）具有端到端训练能力。其主要局限包括：（i）对训练数据量敏感；（ii）外推能力有限（易过拟合）；（iii）缺乏物理可解释性。</w:t>
      </w:r>
    </w:p>
    <w:p>
      <w:pPr>
        <w:spacing w:line="360" w:lineRule="auto" w:after="60"/>
        <w:ind w:firstLine="420"/>
        <w:jc w:val="both"/>
      </w:pPr>
      <w:r>
        <w:rPr>
          <w:rFonts w:ascii="Times New Roman" w:hAnsi="Times New Roman" w:eastAsia="宋体"/>
          <w:b w:val="0"/>
          <w:sz w:val="22"/>
        </w:rPr>
        <w:t>物理-数据混合模型是当前的最新发展方向，其核心思想是把物理模型（如PoF微分方程）作为神经网络的先验知识或损失函数的约束项，以期在小样本、多应力、长外推条件下仍保持可靠预测能力。PINN、残差网络混合模型（hybrid residual model）、物理正则化Transformer等都属于这一方向。</w:t>
      </w:r>
    </w:p>
    <w:p>
      <w:pPr>
        <w:spacing w:before="240" w:after="120"/>
        <w:outlineLvl w:val="2"/>
      </w:pPr>
      <w:r>
        <w:rPr>
          <w:rFonts w:ascii="Times New Roman" w:hAnsi="Times New Roman" w:eastAsia="黑体"/>
          <w:b/>
          <w:sz w:val="30"/>
        </w:rPr>
        <w:t>5.7 主要建模方法的比较</w:t>
      </w:r>
    </w:p>
    <w:p>
      <w:pPr>
        <w:jc w:val="center"/>
      </w:pPr>
      <w:r>
        <w:rPr>
          <w:rFonts w:ascii="Times New Roman" w:hAnsi="Times New Roman" w:eastAsia="黑体"/>
          <w:b/>
          <w:sz w:val="21"/>
        </w:rPr>
        <w:t>表5-1  主要电容器可靠性建模方法比较</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黑体"/>
                <w:b/>
                <w:sz w:val="20"/>
              </w:rPr>
              <w:t>模型类别</w:t>
            </w:r>
          </w:p>
        </w:tc>
        <w:tc>
          <w:tcPr>
            <w:tcW w:type="dxa" w:w="1662"/>
          </w:tcPr>
          <w:p>
            <w:pPr>
              <w:jc w:val="center"/>
            </w:pPr>
            <w:r/>
            <w:r>
              <w:rPr>
                <w:rFonts w:ascii="Times New Roman" w:hAnsi="Times New Roman" w:eastAsia="黑体"/>
                <w:b/>
                <w:sz w:val="20"/>
              </w:rPr>
              <w:t>代表形式</w:t>
            </w:r>
          </w:p>
        </w:tc>
        <w:tc>
          <w:tcPr>
            <w:tcW w:type="dxa" w:w="1662"/>
          </w:tcPr>
          <w:p>
            <w:pPr>
              <w:jc w:val="center"/>
            </w:pPr>
            <w:r/>
            <w:r>
              <w:rPr>
                <w:rFonts w:ascii="Times New Roman" w:hAnsi="Times New Roman" w:eastAsia="黑体"/>
                <w:b/>
                <w:sz w:val="20"/>
              </w:rPr>
              <w:t>优势</w:t>
            </w:r>
          </w:p>
        </w:tc>
        <w:tc>
          <w:tcPr>
            <w:tcW w:type="dxa" w:w="1662"/>
          </w:tcPr>
          <w:p>
            <w:pPr>
              <w:jc w:val="center"/>
            </w:pPr>
            <w:r/>
            <w:r>
              <w:rPr>
                <w:rFonts w:ascii="Times New Roman" w:hAnsi="Times New Roman" w:eastAsia="黑体"/>
                <w:b/>
                <w:sz w:val="20"/>
              </w:rPr>
              <w:t>局限</w:t>
            </w:r>
          </w:p>
        </w:tc>
        <w:tc>
          <w:tcPr>
            <w:tcW w:type="dxa" w:w="1662"/>
          </w:tcPr>
          <w:p>
            <w:pPr>
              <w:jc w:val="center"/>
            </w:pPr>
            <w:r/>
            <w:r>
              <w:rPr>
                <w:rFonts w:ascii="Times New Roman" w:hAnsi="Times New Roman" w:eastAsia="黑体"/>
                <w:b/>
                <w:sz w:val="20"/>
              </w:rPr>
              <w:t>适用场景</w:t>
            </w:r>
          </w:p>
        </w:tc>
      </w:tr>
      <w:tr>
        <w:tc>
          <w:tcPr>
            <w:tcW w:type="dxa" w:w="1662"/>
          </w:tcPr>
          <w:p>
            <w:pPr>
              <w:jc w:val="left"/>
            </w:pPr>
            <w:r/>
            <w:r>
              <w:rPr>
                <w:rFonts w:ascii="Times New Roman" w:hAnsi="Times New Roman" w:eastAsia="宋体"/>
                <w:b w:val="0"/>
                <w:sz w:val="20"/>
              </w:rPr>
              <w:t>统计Weibull</w:t>
            </w:r>
          </w:p>
        </w:tc>
        <w:tc>
          <w:tcPr>
            <w:tcW w:type="dxa" w:w="1662"/>
          </w:tcPr>
          <w:p>
            <w:pPr>
              <w:jc w:val="left"/>
            </w:pPr>
            <w:r/>
            <w:r>
              <w:rPr>
                <w:rFonts w:ascii="Times New Roman" w:hAnsi="Times New Roman" w:eastAsia="宋体"/>
                <w:b w:val="0"/>
                <w:sz w:val="20"/>
              </w:rPr>
              <w:t>两/三参数Weibull</w:t>
            </w:r>
          </w:p>
        </w:tc>
        <w:tc>
          <w:tcPr>
            <w:tcW w:type="dxa" w:w="1662"/>
          </w:tcPr>
          <w:p>
            <w:pPr>
              <w:jc w:val="left"/>
            </w:pPr>
            <w:r/>
            <w:r>
              <w:rPr>
                <w:rFonts w:ascii="Times New Roman" w:hAnsi="Times New Roman" w:eastAsia="宋体"/>
                <w:b w:val="0"/>
                <w:sz w:val="20"/>
              </w:rPr>
              <w:t>简单通用</w:t>
            </w:r>
          </w:p>
        </w:tc>
        <w:tc>
          <w:tcPr>
            <w:tcW w:type="dxa" w:w="1662"/>
          </w:tcPr>
          <w:p>
            <w:pPr>
              <w:jc w:val="left"/>
            </w:pPr>
            <w:r/>
            <w:r>
              <w:rPr>
                <w:rFonts w:ascii="Times New Roman" w:hAnsi="Times New Roman" w:eastAsia="宋体"/>
                <w:b w:val="0"/>
                <w:sz w:val="20"/>
              </w:rPr>
              <w:t>无物理机理</w:t>
            </w:r>
          </w:p>
        </w:tc>
        <w:tc>
          <w:tcPr>
            <w:tcW w:type="dxa" w:w="1662"/>
          </w:tcPr>
          <w:p>
            <w:pPr>
              <w:jc w:val="left"/>
            </w:pPr>
            <w:r/>
            <w:r>
              <w:rPr>
                <w:rFonts w:ascii="Times New Roman" w:hAnsi="Times New Roman" w:eastAsia="宋体"/>
                <w:b w:val="0"/>
                <w:sz w:val="20"/>
              </w:rPr>
              <w:t>初步寿命估计</w:t>
            </w:r>
          </w:p>
        </w:tc>
      </w:tr>
      <w:tr>
        <w:tc>
          <w:tcPr>
            <w:tcW w:type="dxa" w:w="1662"/>
          </w:tcPr>
          <w:p>
            <w:pPr>
              <w:jc w:val="left"/>
            </w:pPr>
            <w:r/>
            <w:r>
              <w:rPr>
                <w:rFonts w:ascii="Times New Roman" w:hAnsi="Times New Roman" w:eastAsia="宋体"/>
                <w:b w:val="0"/>
                <w:sz w:val="20"/>
              </w:rPr>
              <w:t>Arrhenius</w:t>
            </w:r>
          </w:p>
        </w:tc>
        <w:tc>
          <w:tcPr>
            <w:tcW w:type="dxa" w:w="1662"/>
          </w:tcPr>
          <w:p>
            <w:pPr>
              <w:jc w:val="left"/>
            </w:pPr>
            <w:r/>
            <w:r>
              <w:rPr>
                <w:rFonts w:ascii="Times New Roman" w:hAnsi="Times New Roman" w:eastAsia="宋体"/>
                <w:b w:val="0"/>
                <w:sz w:val="20"/>
              </w:rPr>
              <w:t>exp(Ea/kT)</w:t>
            </w:r>
          </w:p>
        </w:tc>
        <w:tc>
          <w:tcPr>
            <w:tcW w:type="dxa" w:w="1662"/>
          </w:tcPr>
          <w:p>
            <w:pPr>
              <w:jc w:val="left"/>
            </w:pPr>
            <w:r/>
            <w:r>
              <w:rPr>
                <w:rFonts w:ascii="Times New Roman" w:hAnsi="Times New Roman" w:eastAsia="宋体"/>
                <w:b w:val="0"/>
                <w:sz w:val="20"/>
              </w:rPr>
              <w:t>成熟可靠</w:t>
            </w:r>
          </w:p>
        </w:tc>
        <w:tc>
          <w:tcPr>
            <w:tcW w:type="dxa" w:w="1662"/>
          </w:tcPr>
          <w:p>
            <w:pPr>
              <w:jc w:val="left"/>
            </w:pPr>
            <w:r/>
            <w:r>
              <w:rPr>
                <w:rFonts w:ascii="Times New Roman" w:hAnsi="Times New Roman" w:eastAsia="宋体"/>
                <w:b w:val="0"/>
                <w:sz w:val="20"/>
              </w:rPr>
              <w:t>单一温度应力</w:t>
            </w:r>
          </w:p>
        </w:tc>
        <w:tc>
          <w:tcPr>
            <w:tcW w:type="dxa" w:w="1662"/>
          </w:tcPr>
          <w:p>
            <w:pPr>
              <w:jc w:val="left"/>
            </w:pPr>
            <w:r/>
            <w:r>
              <w:rPr>
                <w:rFonts w:ascii="Times New Roman" w:hAnsi="Times New Roman" w:eastAsia="宋体"/>
                <w:b w:val="0"/>
                <w:sz w:val="20"/>
              </w:rPr>
              <w:t>温度主导失效</w:t>
            </w:r>
          </w:p>
        </w:tc>
      </w:tr>
      <w:tr>
        <w:tc>
          <w:tcPr>
            <w:tcW w:type="dxa" w:w="1662"/>
          </w:tcPr>
          <w:p>
            <w:pPr>
              <w:jc w:val="left"/>
            </w:pPr>
            <w:r/>
            <w:r>
              <w:rPr>
                <w:rFonts w:ascii="Times New Roman" w:hAnsi="Times New Roman" w:eastAsia="宋体"/>
                <w:b w:val="0"/>
                <w:sz w:val="20"/>
              </w:rPr>
              <w:t>Prokopowicz-Vaskas</w:t>
            </w:r>
          </w:p>
        </w:tc>
        <w:tc>
          <w:tcPr>
            <w:tcW w:type="dxa" w:w="1662"/>
          </w:tcPr>
          <w:p>
            <w:pPr>
              <w:jc w:val="left"/>
            </w:pPr>
            <w:r/>
            <w:r>
              <w:rPr>
                <w:rFonts w:ascii="Times New Roman" w:hAnsi="Times New Roman" w:eastAsia="宋体"/>
                <w:b w:val="0"/>
                <w:sz w:val="20"/>
              </w:rPr>
              <w:t>Arrhenius+逆幂律</w:t>
            </w:r>
          </w:p>
        </w:tc>
        <w:tc>
          <w:tcPr>
            <w:tcW w:type="dxa" w:w="1662"/>
          </w:tcPr>
          <w:p>
            <w:pPr>
              <w:jc w:val="left"/>
            </w:pPr>
            <w:r/>
            <w:r>
              <w:rPr>
                <w:rFonts w:ascii="Times New Roman" w:hAnsi="Times New Roman" w:eastAsia="宋体"/>
                <w:b w:val="0"/>
                <w:sz w:val="20"/>
              </w:rPr>
              <w:t>MLCC行业标准</w:t>
            </w:r>
          </w:p>
        </w:tc>
        <w:tc>
          <w:tcPr>
            <w:tcW w:type="dxa" w:w="1662"/>
          </w:tcPr>
          <w:p>
            <w:pPr>
              <w:jc w:val="left"/>
            </w:pPr>
            <w:r/>
            <w:r>
              <w:rPr>
                <w:rFonts w:ascii="Times New Roman" w:hAnsi="Times New Roman" w:eastAsia="宋体"/>
                <w:b w:val="0"/>
                <w:sz w:val="20"/>
              </w:rPr>
              <w:t>多应力交互不足</w:t>
            </w:r>
          </w:p>
        </w:tc>
        <w:tc>
          <w:tcPr>
            <w:tcW w:type="dxa" w:w="1662"/>
          </w:tcPr>
          <w:p>
            <w:pPr>
              <w:jc w:val="left"/>
            </w:pPr>
            <w:r/>
            <w:r>
              <w:rPr>
                <w:rFonts w:ascii="Times New Roman" w:hAnsi="Times New Roman" w:eastAsia="宋体"/>
                <w:b w:val="0"/>
                <w:sz w:val="20"/>
              </w:rPr>
              <w:t>MLCC寿命外推</w:t>
            </w:r>
          </w:p>
        </w:tc>
      </w:tr>
      <w:tr>
        <w:tc>
          <w:tcPr>
            <w:tcW w:type="dxa" w:w="1662"/>
          </w:tcPr>
          <w:p>
            <w:pPr>
              <w:jc w:val="left"/>
            </w:pPr>
            <w:r/>
            <w:r>
              <w:rPr>
                <w:rFonts w:ascii="Times New Roman" w:hAnsi="Times New Roman" w:eastAsia="宋体"/>
                <w:b w:val="0"/>
                <w:sz w:val="20"/>
              </w:rPr>
              <w:t>广义Eyring</w:t>
            </w:r>
          </w:p>
        </w:tc>
        <w:tc>
          <w:tcPr>
            <w:tcW w:type="dxa" w:w="1662"/>
          </w:tcPr>
          <w:p>
            <w:pPr>
              <w:jc w:val="left"/>
            </w:pPr>
            <w:r/>
            <w:r>
              <w:rPr>
                <w:rFonts w:ascii="Times New Roman" w:hAnsi="Times New Roman" w:eastAsia="宋体"/>
                <w:b w:val="0"/>
                <w:sz w:val="20"/>
              </w:rPr>
              <w:t>多应力耦合</w:t>
            </w:r>
          </w:p>
        </w:tc>
        <w:tc>
          <w:tcPr>
            <w:tcW w:type="dxa" w:w="1662"/>
          </w:tcPr>
          <w:p>
            <w:pPr>
              <w:jc w:val="left"/>
            </w:pPr>
            <w:r/>
            <w:r>
              <w:rPr>
                <w:rFonts w:ascii="Times New Roman" w:hAnsi="Times New Roman" w:eastAsia="宋体"/>
                <w:b w:val="0"/>
                <w:sz w:val="20"/>
              </w:rPr>
              <w:t>可描述交互</w:t>
            </w:r>
          </w:p>
        </w:tc>
        <w:tc>
          <w:tcPr>
            <w:tcW w:type="dxa" w:w="1662"/>
          </w:tcPr>
          <w:p>
            <w:pPr>
              <w:jc w:val="left"/>
            </w:pPr>
            <w:r/>
            <w:r>
              <w:rPr>
                <w:rFonts w:ascii="Times New Roman" w:hAnsi="Times New Roman" w:eastAsia="宋体"/>
                <w:b w:val="0"/>
                <w:sz w:val="20"/>
              </w:rPr>
              <w:t>参数多、试验贵</w:t>
            </w:r>
          </w:p>
        </w:tc>
        <w:tc>
          <w:tcPr>
            <w:tcW w:type="dxa" w:w="1662"/>
          </w:tcPr>
          <w:p>
            <w:pPr>
              <w:jc w:val="left"/>
            </w:pPr>
            <w:r/>
            <w:r>
              <w:rPr>
                <w:rFonts w:ascii="Times New Roman" w:hAnsi="Times New Roman" w:eastAsia="宋体"/>
                <w:b w:val="0"/>
                <w:sz w:val="20"/>
              </w:rPr>
              <w:t>复杂工况</w:t>
            </w:r>
          </w:p>
        </w:tc>
      </w:tr>
      <w:tr>
        <w:tc>
          <w:tcPr>
            <w:tcW w:type="dxa" w:w="1662"/>
          </w:tcPr>
          <w:p>
            <w:pPr>
              <w:jc w:val="left"/>
            </w:pPr>
            <w:r/>
            <w:r>
              <w:rPr>
                <w:rFonts w:ascii="Times New Roman" w:hAnsi="Times New Roman" w:eastAsia="宋体"/>
                <w:b w:val="0"/>
                <w:sz w:val="20"/>
              </w:rPr>
              <w:t>PoF物理模型</w:t>
            </w:r>
          </w:p>
        </w:tc>
        <w:tc>
          <w:tcPr>
            <w:tcW w:type="dxa" w:w="1662"/>
          </w:tcPr>
          <w:p>
            <w:pPr>
              <w:jc w:val="left"/>
            </w:pPr>
            <w:r/>
            <w:r>
              <w:rPr>
                <w:rFonts w:ascii="Times New Roman" w:hAnsi="Times New Roman" w:eastAsia="宋体"/>
                <w:b w:val="0"/>
                <w:sz w:val="20"/>
              </w:rPr>
              <w:t>退化微分方程</w:t>
            </w:r>
          </w:p>
        </w:tc>
        <w:tc>
          <w:tcPr>
            <w:tcW w:type="dxa" w:w="1662"/>
          </w:tcPr>
          <w:p>
            <w:pPr>
              <w:jc w:val="left"/>
            </w:pPr>
            <w:r/>
            <w:r>
              <w:rPr>
                <w:rFonts w:ascii="Times New Roman" w:hAnsi="Times New Roman" w:eastAsia="宋体"/>
                <w:b w:val="0"/>
                <w:sz w:val="20"/>
              </w:rPr>
              <w:t>可解释、可外推</w:t>
            </w:r>
          </w:p>
        </w:tc>
        <w:tc>
          <w:tcPr>
            <w:tcW w:type="dxa" w:w="1662"/>
          </w:tcPr>
          <w:p>
            <w:pPr>
              <w:jc w:val="left"/>
            </w:pPr>
            <w:r/>
            <w:r>
              <w:rPr>
                <w:rFonts w:ascii="Times New Roman" w:hAnsi="Times New Roman" w:eastAsia="宋体"/>
                <w:b w:val="0"/>
                <w:sz w:val="20"/>
              </w:rPr>
              <w:t>需机理认识</w:t>
            </w:r>
          </w:p>
        </w:tc>
        <w:tc>
          <w:tcPr>
            <w:tcW w:type="dxa" w:w="1662"/>
          </w:tcPr>
          <w:p>
            <w:pPr>
              <w:jc w:val="left"/>
            </w:pPr>
            <w:r/>
            <w:r>
              <w:rPr>
                <w:rFonts w:ascii="Times New Roman" w:hAnsi="Times New Roman" w:eastAsia="宋体"/>
                <w:b w:val="0"/>
                <w:sz w:val="20"/>
              </w:rPr>
              <w:t>机理清楚场合</w:t>
            </w:r>
          </w:p>
        </w:tc>
      </w:tr>
      <w:tr>
        <w:tc>
          <w:tcPr>
            <w:tcW w:type="dxa" w:w="1662"/>
          </w:tcPr>
          <w:p>
            <w:pPr>
              <w:jc w:val="left"/>
            </w:pPr>
            <w:r/>
            <w:r>
              <w:rPr>
                <w:rFonts w:ascii="Times New Roman" w:hAnsi="Times New Roman" w:eastAsia="宋体"/>
                <w:b w:val="0"/>
                <w:sz w:val="20"/>
              </w:rPr>
              <w:t>BP/LSTM/CNN</w:t>
            </w:r>
          </w:p>
        </w:tc>
        <w:tc>
          <w:tcPr>
            <w:tcW w:type="dxa" w:w="1662"/>
          </w:tcPr>
          <w:p>
            <w:pPr>
              <w:jc w:val="left"/>
            </w:pPr>
            <w:r/>
            <w:r>
              <w:rPr>
                <w:rFonts w:ascii="Times New Roman" w:hAnsi="Times New Roman" w:eastAsia="宋体"/>
                <w:b w:val="0"/>
                <w:sz w:val="20"/>
              </w:rPr>
              <w:t>神经网络</w:t>
            </w:r>
          </w:p>
        </w:tc>
        <w:tc>
          <w:tcPr>
            <w:tcW w:type="dxa" w:w="1662"/>
          </w:tcPr>
          <w:p>
            <w:pPr>
              <w:jc w:val="left"/>
            </w:pPr>
            <w:r/>
            <w:r>
              <w:rPr>
                <w:rFonts w:ascii="Times New Roman" w:hAnsi="Times New Roman" w:eastAsia="宋体"/>
                <w:b w:val="0"/>
                <w:sz w:val="20"/>
              </w:rPr>
              <w:t>灵活强大</w:t>
            </w:r>
          </w:p>
        </w:tc>
        <w:tc>
          <w:tcPr>
            <w:tcW w:type="dxa" w:w="1662"/>
          </w:tcPr>
          <w:p>
            <w:pPr>
              <w:jc w:val="left"/>
            </w:pPr>
            <w:r/>
            <w:r>
              <w:rPr>
                <w:rFonts w:ascii="Times New Roman" w:hAnsi="Times New Roman" w:eastAsia="宋体"/>
                <w:b w:val="0"/>
                <w:sz w:val="20"/>
              </w:rPr>
              <w:t>外推性差</w:t>
            </w:r>
          </w:p>
        </w:tc>
        <w:tc>
          <w:tcPr>
            <w:tcW w:type="dxa" w:w="1662"/>
          </w:tcPr>
          <w:p>
            <w:pPr>
              <w:jc w:val="left"/>
            </w:pPr>
            <w:r/>
            <w:r>
              <w:rPr>
                <w:rFonts w:ascii="Times New Roman" w:hAnsi="Times New Roman" w:eastAsia="宋体"/>
                <w:b w:val="0"/>
                <w:sz w:val="20"/>
              </w:rPr>
              <w:t>大样本监测数据</w:t>
            </w:r>
          </w:p>
        </w:tc>
      </w:tr>
      <w:tr>
        <w:tc>
          <w:tcPr>
            <w:tcW w:type="dxa" w:w="1662"/>
          </w:tcPr>
          <w:p>
            <w:pPr>
              <w:jc w:val="left"/>
            </w:pPr>
            <w:r/>
            <w:r>
              <w:rPr>
                <w:rFonts w:ascii="Times New Roman" w:hAnsi="Times New Roman" w:eastAsia="宋体"/>
                <w:b w:val="0"/>
                <w:sz w:val="20"/>
              </w:rPr>
              <w:t>PINN/混合模型</w:t>
            </w:r>
          </w:p>
        </w:tc>
        <w:tc>
          <w:tcPr>
            <w:tcW w:type="dxa" w:w="1662"/>
          </w:tcPr>
          <w:p>
            <w:pPr>
              <w:jc w:val="left"/>
            </w:pPr>
            <w:r/>
            <w:r>
              <w:rPr>
                <w:rFonts w:ascii="Times New Roman" w:hAnsi="Times New Roman" w:eastAsia="宋体"/>
                <w:b w:val="0"/>
                <w:sz w:val="20"/>
              </w:rPr>
              <w:t>物理+数据</w:t>
            </w:r>
          </w:p>
        </w:tc>
        <w:tc>
          <w:tcPr>
            <w:tcW w:type="dxa" w:w="1662"/>
          </w:tcPr>
          <w:p>
            <w:pPr>
              <w:jc w:val="left"/>
            </w:pPr>
            <w:r/>
            <w:r>
              <w:rPr>
                <w:rFonts w:ascii="Times New Roman" w:hAnsi="Times New Roman" w:eastAsia="宋体"/>
                <w:b w:val="0"/>
                <w:sz w:val="20"/>
              </w:rPr>
              <w:t>小样本、可外推</w:t>
            </w:r>
          </w:p>
        </w:tc>
        <w:tc>
          <w:tcPr>
            <w:tcW w:type="dxa" w:w="1662"/>
          </w:tcPr>
          <w:p>
            <w:pPr>
              <w:jc w:val="left"/>
            </w:pPr>
            <w:r/>
            <w:r>
              <w:rPr>
                <w:rFonts w:ascii="Times New Roman" w:hAnsi="Times New Roman" w:eastAsia="宋体"/>
                <w:b w:val="0"/>
                <w:sz w:val="20"/>
              </w:rPr>
              <w:t>设计复杂</w:t>
            </w:r>
          </w:p>
        </w:tc>
        <w:tc>
          <w:tcPr>
            <w:tcW w:type="dxa" w:w="1662"/>
          </w:tcPr>
          <w:p>
            <w:pPr>
              <w:jc w:val="left"/>
            </w:pPr>
            <w:r/>
            <w:r>
              <w:rPr>
                <w:rFonts w:ascii="Times New Roman" w:hAnsi="Times New Roman" w:eastAsia="宋体"/>
                <w:b w:val="0"/>
                <w:sz w:val="20"/>
              </w:rPr>
              <w:t>高可靠场景</w:t>
            </w:r>
          </w:p>
        </w:tc>
      </w:tr>
    </w:tbl>
    <w:p>
      <w:r>
        <w:br w:type="page"/>
      </w:r>
    </w:p>
    <w:p>
      <w:pPr>
        <w:spacing w:before="240" w:after="120"/>
        <w:outlineLvl w:val="1"/>
      </w:pPr>
      <w:r>
        <w:rPr>
          <w:rFonts w:ascii="Times New Roman" w:hAnsi="Times New Roman" w:eastAsia="黑体"/>
          <w:b/>
          <w:sz w:val="36"/>
        </w:rPr>
        <w:t>第六章 寿命预测与健康监测</w:t>
      </w:r>
    </w:p>
    <w:p>
      <w:pPr>
        <w:spacing w:line="360" w:lineRule="auto" w:after="60"/>
        <w:ind w:firstLine="420"/>
        <w:jc w:val="both"/>
      </w:pPr>
      <w:r>
        <w:rPr>
          <w:rFonts w:ascii="Times New Roman" w:hAnsi="Times New Roman" w:eastAsia="宋体"/>
          <w:b w:val="0"/>
          <w:sz w:val="22"/>
        </w:rPr>
        <w:t>电容器健康监测（Capacitor Health Monitoring, CHM）与剩余使用寿命（Remaining Useful Life, RUL）预测是预测性维护（Predictive Maintenance）体系的核心技术。随着工业物联网与智能电网的快速发展，电力电子装备对无中断运行、按需维护的需求愈加迫切，CHM从离线检测向在线监测、从单参数监测向多参数融合、从统计判据向机器学习预测的演进已成为明确趋势。</w:t>
      </w:r>
    </w:p>
    <w:p>
      <w:pPr>
        <w:spacing w:before="240" w:after="120"/>
        <w:outlineLvl w:val="2"/>
      </w:pPr>
      <w:r>
        <w:rPr>
          <w:rFonts w:ascii="Times New Roman" w:hAnsi="Times New Roman" w:eastAsia="黑体"/>
          <w:b/>
          <w:sz w:val="30"/>
        </w:rPr>
        <w:t>6.1 电容器健康指标体系</w:t>
      </w:r>
    </w:p>
    <w:p>
      <w:pPr>
        <w:spacing w:line="360" w:lineRule="auto" w:after="60"/>
        <w:ind w:firstLine="420"/>
        <w:jc w:val="both"/>
      </w:pPr>
      <w:r>
        <w:rPr>
          <w:rFonts w:ascii="Times New Roman" w:hAnsi="Times New Roman" w:eastAsia="宋体"/>
          <w:b w:val="0"/>
          <w:sz w:val="22"/>
        </w:rPr>
        <w:t>电容器健康指标（Health Indicator, HI）的选取应满足以下几个准则：</w:t>
      </w:r>
    </w:p>
    <w:p>
      <w:pPr>
        <w:spacing w:line="360" w:lineRule="auto" w:after="60"/>
        <w:ind w:firstLine="420"/>
        <w:jc w:val="both"/>
      </w:pPr>
      <w:r>
        <w:rPr>
          <w:rFonts w:ascii="Times New Roman" w:hAnsi="Times New Roman" w:eastAsia="宋体"/>
          <w:b w:val="0"/>
          <w:sz w:val="22"/>
        </w:rPr>
        <w:t>（1）可观测性——可在线测量或至少可近似推算；</w:t>
      </w:r>
    </w:p>
    <w:p>
      <w:pPr>
        <w:spacing w:line="360" w:lineRule="auto" w:after="60"/>
        <w:ind w:firstLine="420"/>
        <w:jc w:val="both"/>
      </w:pPr>
      <w:r>
        <w:rPr>
          <w:rFonts w:ascii="Times New Roman" w:hAnsi="Times New Roman" w:eastAsia="宋体"/>
          <w:b w:val="0"/>
          <w:sz w:val="22"/>
        </w:rPr>
        <w:t>（2）单调性——随老化呈现单调变化趋势；</w:t>
      </w:r>
    </w:p>
    <w:p>
      <w:pPr>
        <w:spacing w:line="360" w:lineRule="auto" w:after="60"/>
        <w:ind w:firstLine="420"/>
        <w:jc w:val="both"/>
      </w:pPr>
      <w:r>
        <w:rPr>
          <w:rFonts w:ascii="Times New Roman" w:hAnsi="Times New Roman" w:eastAsia="宋体"/>
          <w:b w:val="0"/>
          <w:sz w:val="22"/>
        </w:rPr>
        <w:t>（3）预测性——对失效时间有强相关；</w:t>
      </w:r>
    </w:p>
    <w:p>
      <w:pPr>
        <w:spacing w:line="360" w:lineRule="auto" w:after="60"/>
        <w:ind w:firstLine="420"/>
        <w:jc w:val="both"/>
      </w:pPr>
      <w:r>
        <w:rPr>
          <w:rFonts w:ascii="Times New Roman" w:hAnsi="Times New Roman" w:eastAsia="宋体"/>
          <w:b w:val="0"/>
          <w:sz w:val="22"/>
        </w:rPr>
        <w:t>（4）抗干扰性——对温度、工况波动不敏感。</w:t>
      </w:r>
    </w:p>
    <w:p>
      <w:pPr>
        <w:spacing w:line="360" w:lineRule="auto" w:after="60"/>
        <w:ind w:firstLine="420"/>
        <w:jc w:val="both"/>
      </w:pPr>
      <w:r>
        <w:rPr>
          <w:rFonts w:ascii="Times New Roman" w:hAnsi="Times New Roman" w:eastAsia="宋体"/>
          <w:b w:val="0"/>
          <w:sz w:val="22"/>
        </w:rPr>
        <w:t>综合国内外研究现状，主要健康指标包括：</w:t>
      </w:r>
    </w:p>
    <w:p>
      <w:pPr>
        <w:spacing w:line="360" w:lineRule="auto" w:after="60"/>
        <w:ind w:firstLine="420"/>
        <w:jc w:val="both"/>
      </w:pPr>
      <w:r>
        <w:rPr>
          <w:rFonts w:ascii="Times New Roman" w:hAnsi="Times New Roman" w:eastAsia="宋体"/>
          <w:b w:val="0"/>
          <w:sz w:val="22"/>
        </w:rPr>
        <w:t>（1）电容量 C：反映有效电极面积与介质介电常数；</w:t>
      </w:r>
    </w:p>
    <w:p>
      <w:pPr>
        <w:spacing w:line="360" w:lineRule="auto" w:after="60"/>
        <w:ind w:firstLine="420"/>
        <w:jc w:val="both"/>
      </w:pPr>
      <w:r>
        <w:rPr>
          <w:rFonts w:ascii="Times New Roman" w:hAnsi="Times New Roman" w:eastAsia="宋体"/>
          <w:b w:val="0"/>
          <w:sz w:val="22"/>
        </w:rPr>
        <w:t>（2）等效串联电阻 ESR：反映电极与电解液/介质的综合欧姆损耗；</w:t>
      </w:r>
    </w:p>
    <w:p>
      <w:pPr>
        <w:spacing w:line="360" w:lineRule="auto" w:after="60"/>
        <w:ind w:firstLine="420"/>
        <w:jc w:val="both"/>
      </w:pPr>
      <w:r>
        <w:rPr>
          <w:rFonts w:ascii="Times New Roman" w:hAnsi="Times New Roman" w:eastAsia="宋体"/>
          <w:b w:val="0"/>
          <w:sz w:val="22"/>
        </w:rPr>
        <w:t>（3）损耗因数 tanδ：反映介质极化损耗；</w:t>
      </w:r>
    </w:p>
    <w:p>
      <w:pPr>
        <w:spacing w:line="360" w:lineRule="auto" w:after="60"/>
        <w:ind w:firstLine="420"/>
        <w:jc w:val="both"/>
      </w:pPr>
      <w:r>
        <w:rPr>
          <w:rFonts w:ascii="Times New Roman" w:hAnsi="Times New Roman" w:eastAsia="宋体"/>
          <w:b w:val="0"/>
          <w:sz w:val="22"/>
        </w:rPr>
        <w:t>（4）漏电流 DCL/IR：反映介质绝缘性能；</w:t>
      </w:r>
    </w:p>
    <w:p>
      <w:pPr>
        <w:spacing w:line="360" w:lineRule="auto" w:after="60"/>
        <w:ind w:firstLine="420"/>
        <w:jc w:val="both"/>
      </w:pPr>
      <w:r>
        <w:rPr>
          <w:rFonts w:ascii="Times New Roman" w:hAnsi="Times New Roman" w:eastAsia="宋体"/>
          <w:b w:val="0"/>
          <w:sz w:val="22"/>
        </w:rPr>
        <w:t>（5）阻抗谱 Z(ω)：反映多尺度界面与介质响应；</w:t>
      </w:r>
    </w:p>
    <w:p>
      <w:pPr>
        <w:spacing w:line="360" w:lineRule="auto" w:after="60"/>
        <w:ind w:firstLine="420"/>
        <w:jc w:val="both"/>
      </w:pPr>
      <w:r>
        <w:rPr>
          <w:rFonts w:ascii="Times New Roman" w:hAnsi="Times New Roman" w:eastAsia="宋体"/>
          <w:b w:val="0"/>
          <w:sz w:val="22"/>
        </w:rPr>
        <w:t>（6）温升 ΔT：反映自发热，间接反映ESR与纹波；</w:t>
      </w:r>
    </w:p>
    <w:p>
      <w:pPr>
        <w:spacing w:line="360" w:lineRule="auto" w:after="60"/>
        <w:ind w:firstLine="420"/>
        <w:jc w:val="both"/>
      </w:pPr>
      <w:r>
        <w:rPr>
          <w:rFonts w:ascii="Times New Roman" w:hAnsi="Times New Roman" w:eastAsia="宋体"/>
          <w:b w:val="0"/>
          <w:sz w:val="22"/>
        </w:rPr>
        <w:t>（7）自愈脉冲频度 f_sh（针对MPFC）：反映内部缺陷积累；</w:t>
      </w:r>
    </w:p>
    <w:p>
      <w:pPr>
        <w:spacing w:line="360" w:lineRule="auto" w:after="60"/>
        <w:ind w:firstLine="420"/>
        <w:jc w:val="both"/>
      </w:pPr>
      <w:r>
        <w:rPr>
          <w:rFonts w:ascii="Times New Roman" w:hAnsi="Times New Roman" w:eastAsia="宋体"/>
          <w:b w:val="0"/>
          <w:sz w:val="22"/>
        </w:rPr>
        <w:t>（8）纹波电压/电流频谱：反映在线等效参数变化。</w:t>
      </w:r>
    </w:p>
    <w:p>
      <w:pPr>
        <w:spacing w:line="360" w:lineRule="auto" w:after="60"/>
        <w:ind w:firstLine="420"/>
        <w:jc w:val="both"/>
      </w:pPr>
      <w:r>
        <w:rPr>
          <w:rFonts w:ascii="Times New Roman" w:hAnsi="Times New Roman" w:eastAsia="宋体"/>
          <w:b w:val="0"/>
          <w:sz w:val="22"/>
        </w:rPr>
        <w:t>不同类型电容器的适宜HI组合不同：Al电解与超级电容以C、ESR联合为主；MLCC以IR、ΔC/C为主；金属化薄膜以C与f_sh为主；钽电容以DCL为主。</w:t>
      </w:r>
    </w:p>
    <w:p>
      <w:pPr>
        <w:spacing w:before="240" w:after="120"/>
        <w:outlineLvl w:val="2"/>
      </w:pPr>
      <w:r>
        <w:rPr>
          <w:rFonts w:ascii="Times New Roman" w:hAnsi="Times New Roman" w:eastAsia="黑体"/>
          <w:b/>
          <w:sz w:val="30"/>
        </w:rPr>
        <w:t>6.2 基于ESR与C的在线监测方法</w:t>
      </w:r>
    </w:p>
    <w:p>
      <w:pPr>
        <w:spacing w:before="240" w:after="120"/>
        <w:outlineLvl w:val="3"/>
      </w:pPr>
      <w:r>
        <w:rPr>
          <w:rFonts w:ascii="Times New Roman" w:hAnsi="Times New Roman" w:eastAsia="黑体"/>
          <w:b/>
          <w:sz w:val="26"/>
        </w:rPr>
        <w:t>6.2.1 直接测量法</w:t>
      </w:r>
    </w:p>
    <w:p>
      <w:pPr>
        <w:spacing w:line="360" w:lineRule="auto" w:after="60"/>
        <w:ind w:firstLine="420"/>
        <w:jc w:val="both"/>
      </w:pPr>
      <w:r>
        <w:rPr>
          <w:rFonts w:ascii="Times New Roman" w:hAnsi="Times New Roman" w:eastAsia="宋体"/>
          <w:b w:val="0"/>
          <w:sz w:val="22"/>
        </w:rPr>
        <w:t>直接测量法通过在电容器端口施加已知激励、测量响应来辨识等效参数。典型方法包括：</w:t>
      </w:r>
    </w:p>
    <w:p>
      <w:pPr>
        <w:spacing w:line="360" w:lineRule="auto" w:after="60"/>
        <w:ind w:firstLine="420"/>
        <w:jc w:val="both"/>
      </w:pPr>
      <w:r>
        <w:rPr>
          <w:rFonts w:ascii="Times New Roman" w:hAnsi="Times New Roman" w:eastAsia="宋体"/>
          <w:b w:val="0"/>
          <w:sz w:val="22"/>
        </w:rPr>
        <w:t>（1）阻抗分析仪法：采用HP 4294A/Keysight E4990等精密阻抗分析仪在10 Hz~110 MHz范围内扫频测量Z(ω)，从中提取C与ESR；该方法精度高但需离线，仅适用于实验室；</w:t>
      </w:r>
    </w:p>
    <w:p>
      <w:pPr>
        <w:spacing w:line="360" w:lineRule="auto" w:after="60"/>
        <w:ind w:firstLine="420"/>
        <w:jc w:val="both"/>
      </w:pPr>
      <w:r>
        <w:rPr>
          <w:rFonts w:ascii="Times New Roman" w:hAnsi="Times New Roman" w:eastAsia="宋体"/>
          <w:b w:val="0"/>
          <w:sz w:val="22"/>
        </w:rPr>
        <w:t>（2）LCR表法：以100 Hz/1 kHz/10 kHz/100 kHz等标准频率测量C与Q值；</w:t>
      </w:r>
    </w:p>
    <w:p>
      <w:pPr>
        <w:spacing w:line="360" w:lineRule="auto" w:after="60"/>
        <w:ind w:firstLine="420"/>
        <w:jc w:val="both"/>
      </w:pPr>
      <w:r>
        <w:rPr>
          <w:rFonts w:ascii="Times New Roman" w:hAnsi="Times New Roman" w:eastAsia="宋体"/>
          <w:b w:val="0"/>
          <w:sz w:val="22"/>
        </w:rPr>
        <w:t>（3）谐振法：利用电容器自谐振频率fSR = 1/(2π√(LC))测量，适合小容量MLCC。</w:t>
      </w:r>
    </w:p>
    <w:p>
      <w:pPr>
        <w:spacing w:before="240" w:after="120"/>
        <w:outlineLvl w:val="3"/>
      </w:pPr>
      <w:r>
        <w:rPr>
          <w:rFonts w:ascii="Times New Roman" w:hAnsi="Times New Roman" w:eastAsia="黑体"/>
          <w:b/>
          <w:sz w:val="26"/>
        </w:rPr>
        <w:t>6.2.2 基于稳态纹波的在线辨识</w:t>
      </w:r>
    </w:p>
    <w:p>
      <w:pPr>
        <w:spacing w:line="360" w:lineRule="auto" w:after="60"/>
        <w:ind w:firstLine="420"/>
        <w:jc w:val="both"/>
      </w:pPr>
      <w:r>
        <w:rPr>
          <w:rFonts w:ascii="Times New Roman" w:hAnsi="Times New Roman" w:eastAsia="宋体"/>
          <w:b w:val="0"/>
          <w:sz w:val="22"/>
        </w:rPr>
        <w:t>对于电力电子装备中的DC-link电容器，工作中存在开关频率产生的纹波电压与纹波电流。通过同步采样V_ripple(t)与I_ripple(t)，利用：</w:t>
      </w:r>
    </w:p>
    <w:p>
      <w:pPr>
        <w:spacing w:before="120" w:after="120"/>
        <w:jc w:val="center"/>
      </w:pPr>
      <w:r>
        <w:rPr>
          <w:rFonts w:ascii="Times New Roman" w:hAnsi="Times New Roman" w:eastAsia="Times New Roman"/>
          <w:b w:val="0"/>
          <w:sz w:val="22"/>
        </w:rPr>
        <w:t>C = ∫I_ripple·dt / ΔV</w:t>
      </w:r>
    </w:p>
    <w:p>
      <w:pPr>
        <w:spacing w:before="120" w:after="120"/>
        <w:jc w:val="center"/>
      </w:pPr>
      <w:r>
        <w:rPr>
          <w:rFonts w:ascii="Times New Roman" w:hAnsi="Times New Roman" w:eastAsia="Times New Roman"/>
          <w:b w:val="0"/>
          <w:sz w:val="22"/>
        </w:rPr>
        <w:t>ESR = (V_ripple_high - V_ripple_low) / ΔI</w:t>
      </w:r>
    </w:p>
    <w:p>
      <w:pPr>
        <w:spacing w:line="360" w:lineRule="auto" w:after="60"/>
        <w:ind w:firstLine="420"/>
        <w:jc w:val="both"/>
      </w:pPr>
      <w:r>
        <w:rPr>
          <w:rFonts w:ascii="Times New Roman" w:hAnsi="Times New Roman" w:eastAsia="宋体"/>
          <w:b w:val="0"/>
          <w:sz w:val="22"/>
        </w:rPr>
        <w:t>可在不注入额外激励的情况下完成在线辨识。Venet等（2002、2008）系统发展了此类方法并应用于变频器在线监测[47]。Abdennadher等（2012）进一步提出了基于开关周期同步采样与最小二乘辨识的算法，实测精度可达C:±3%、ESR:±10%以内[48]。这类方法的优势是无侵入、成本低；局限是对纹波信号信噪比要求较高，在轻载条件下精度下降。</w:t>
      </w:r>
    </w:p>
    <w:p>
      <w:pPr>
        <w:spacing w:before="240" w:after="120"/>
        <w:outlineLvl w:val="3"/>
      </w:pPr>
      <w:r>
        <w:rPr>
          <w:rFonts w:ascii="Times New Roman" w:hAnsi="Times New Roman" w:eastAsia="黑体"/>
          <w:b/>
          <w:sz w:val="26"/>
        </w:rPr>
        <w:t>6.2.3 基于注入扰动的辨识</w:t>
      </w:r>
    </w:p>
    <w:p>
      <w:pPr>
        <w:spacing w:line="360" w:lineRule="auto" w:after="60"/>
        <w:ind w:firstLine="420"/>
        <w:jc w:val="both"/>
      </w:pPr>
      <w:r>
        <w:rPr>
          <w:rFonts w:ascii="Times New Roman" w:hAnsi="Times New Roman" w:eastAsia="宋体"/>
          <w:b w:val="0"/>
          <w:sz w:val="22"/>
        </w:rPr>
        <w:t>在某些对监测精度要求极高的场合，可通过有意注入低幅度的扰动信号（小正弦扰动、伪随机序列PRBS、阶跃等）激发电容器响应，通过系统辨识算法（RLS、Kalman滤波等）提取参数。Sankaran等（2010）采用1 kHz小正弦扰动的方法对Al-cap实现了C±1.5%、ESR±5%的在线辨识精度[27]。</w:t>
      </w:r>
    </w:p>
    <w:p>
      <w:pPr>
        <w:spacing w:before="240" w:after="120"/>
        <w:outlineLvl w:val="2"/>
      </w:pPr>
      <w:r>
        <w:rPr>
          <w:rFonts w:ascii="Times New Roman" w:hAnsi="Times New Roman" w:eastAsia="黑体"/>
          <w:b/>
          <w:sz w:val="30"/>
        </w:rPr>
        <w:t>6.3 阻抗谱与频域监测方法</w:t>
      </w:r>
    </w:p>
    <w:p>
      <w:pPr>
        <w:spacing w:line="360" w:lineRule="auto" w:after="60"/>
        <w:ind w:firstLine="420"/>
        <w:jc w:val="both"/>
      </w:pPr>
      <w:r>
        <w:rPr>
          <w:rFonts w:ascii="Times New Roman" w:hAnsi="Times New Roman" w:eastAsia="宋体"/>
          <w:b w:val="0"/>
          <w:sz w:val="22"/>
        </w:rPr>
        <w:t>电化学阻抗谱（Electrochemical Impedance Spectroscopy, EIS）是超级电容与铝电解电容的标准表征方法。EIS可将电容器在频域上的响应分解为多个尺度的物理过程：</w:t>
      </w:r>
    </w:p>
    <w:p>
      <w:pPr>
        <w:spacing w:line="360" w:lineRule="auto" w:after="60"/>
        <w:ind w:firstLine="420"/>
        <w:jc w:val="both"/>
      </w:pPr>
      <w:r>
        <w:rPr>
          <w:rFonts w:ascii="Times New Roman" w:hAnsi="Times New Roman" w:eastAsia="宋体"/>
          <w:b w:val="0"/>
          <w:sz w:val="22"/>
        </w:rPr>
        <w:t>（1）高频段（&gt;10 kHz）：电极与引线电感、端电极接触电阻；</w:t>
      </w:r>
    </w:p>
    <w:p>
      <w:pPr>
        <w:spacing w:line="360" w:lineRule="auto" w:after="60"/>
        <w:ind w:firstLine="420"/>
        <w:jc w:val="both"/>
      </w:pPr>
      <w:r>
        <w:rPr>
          <w:rFonts w:ascii="Times New Roman" w:hAnsi="Times New Roman" w:eastAsia="宋体"/>
          <w:b w:val="0"/>
          <w:sz w:val="22"/>
        </w:rPr>
        <w:t>（2）中频段（1 Hz~10 kHz）：电解液/介质欧姆阻抗、电极孔隙扩散；</w:t>
      </w:r>
    </w:p>
    <w:p>
      <w:pPr>
        <w:spacing w:line="360" w:lineRule="auto" w:after="60"/>
        <w:ind w:firstLine="420"/>
        <w:jc w:val="both"/>
      </w:pPr>
      <w:r>
        <w:rPr>
          <w:rFonts w:ascii="Times New Roman" w:hAnsi="Times New Roman" w:eastAsia="宋体"/>
          <w:b w:val="0"/>
          <w:sz w:val="22"/>
        </w:rPr>
        <w:t>（3）低频段（&lt;1 Hz）：电极/电解液界面电荷转移、SEI膜、扩散尾。</w:t>
      </w:r>
    </w:p>
    <w:p>
      <w:pPr>
        <w:spacing w:line="360" w:lineRule="auto" w:after="60"/>
        <w:ind w:firstLine="420"/>
        <w:jc w:val="both"/>
      </w:pPr>
      <w:r>
        <w:rPr>
          <w:rFonts w:ascii="Times New Roman" w:hAnsi="Times New Roman" w:eastAsia="宋体"/>
          <w:b w:val="0"/>
          <w:sz w:val="22"/>
        </w:rPr>
        <w:t>通过等效电路模型（如Randles电路、De Levie多孔电极模型）拟合EIS可以获得深入的机理信息。Kurzweil等（2015）通过EIS跟踪超级电容全寿命周期中不同频段阻抗的演化，发现高频ESR上升与低频扩散阻抗上升源于不同机理，需要分别分析[42]。Nature Communications（2022）发表的基于动态EIS（dynamic EIS）的电池/电容器诊断方法进一步提高了时间分辨率，可捕捉分钟尺度的健康指标演化。</w:t>
      </w:r>
    </w:p>
    <w:p>
      <w:pPr>
        <w:spacing w:line="360" w:lineRule="auto" w:after="60"/>
        <w:ind w:firstLine="420"/>
        <w:jc w:val="both"/>
      </w:pPr>
      <w:r>
        <w:rPr>
          <w:rFonts w:ascii="Times New Roman" w:hAnsi="Times New Roman" w:eastAsia="宋体"/>
          <w:b w:val="0"/>
          <w:sz w:val="22"/>
        </w:rPr>
        <w:t>对于现场工程应用，可采用"关键频点阻抗法"——仅选取2~5个敏感频点进行在线测量，既兼顾信息量又控制测量成本。这一方法在风电变流器、UPS系统中已有成熟部署。</w:t>
      </w:r>
    </w:p>
    <w:p>
      <w:pPr>
        <w:spacing w:before="240" w:after="120"/>
        <w:outlineLvl w:val="2"/>
      </w:pPr>
      <w:r>
        <w:rPr>
          <w:rFonts w:ascii="Times New Roman" w:hAnsi="Times New Roman" w:eastAsia="黑体"/>
          <w:b/>
          <w:sz w:val="30"/>
        </w:rPr>
        <w:t>6.4 基于机器学习的RUL预测</w:t>
      </w:r>
    </w:p>
    <w:p>
      <w:pPr>
        <w:spacing w:before="240" w:after="120"/>
        <w:outlineLvl w:val="3"/>
      </w:pPr>
      <w:r>
        <w:rPr>
          <w:rFonts w:ascii="Times New Roman" w:hAnsi="Times New Roman" w:eastAsia="黑体"/>
          <w:b/>
          <w:sz w:val="26"/>
        </w:rPr>
        <w:t>6.4.1 数据准备与特征工程</w:t>
      </w:r>
    </w:p>
    <w:p>
      <w:pPr>
        <w:spacing w:line="360" w:lineRule="auto" w:after="60"/>
        <w:ind w:firstLine="420"/>
        <w:jc w:val="both"/>
      </w:pPr>
      <w:r>
        <w:rPr>
          <w:rFonts w:ascii="Times New Roman" w:hAnsi="Times New Roman" w:eastAsia="宋体"/>
          <w:b w:val="0"/>
          <w:sz w:val="22"/>
        </w:rPr>
        <w:t>基于机器学习的RUL预测一般需要构建如下数据基础：</w:t>
      </w:r>
    </w:p>
    <w:p>
      <w:pPr>
        <w:spacing w:line="360" w:lineRule="auto" w:after="60"/>
        <w:ind w:firstLine="420"/>
        <w:jc w:val="both"/>
      </w:pPr>
      <w:r>
        <w:rPr>
          <w:rFonts w:ascii="Times New Roman" w:hAnsi="Times New Roman" w:eastAsia="宋体"/>
          <w:b w:val="0"/>
          <w:sz w:val="22"/>
        </w:rPr>
        <w:t>（1）训练集来源：加速老化试验中从初始时刻到失效时刻的全过程监测数据，以及实际现场的类似数据；</w:t>
      </w:r>
    </w:p>
    <w:p>
      <w:pPr>
        <w:spacing w:line="360" w:lineRule="auto" w:after="60"/>
        <w:ind w:firstLine="420"/>
        <w:jc w:val="both"/>
      </w:pPr>
      <w:r>
        <w:rPr>
          <w:rFonts w:ascii="Times New Roman" w:hAnsi="Times New Roman" w:eastAsia="宋体"/>
          <w:b w:val="0"/>
          <w:sz w:val="22"/>
        </w:rPr>
        <w:t>（2）输入特征：C、ESR、温度、电压、电流及其统计特征（均值、方差、趋势、频谱）；</w:t>
      </w:r>
    </w:p>
    <w:p>
      <w:pPr>
        <w:spacing w:line="360" w:lineRule="auto" w:after="60"/>
        <w:ind w:firstLine="420"/>
        <w:jc w:val="both"/>
      </w:pPr>
      <w:r>
        <w:rPr>
          <w:rFonts w:ascii="Times New Roman" w:hAnsi="Times New Roman" w:eastAsia="宋体"/>
          <w:b w:val="0"/>
          <w:sz w:val="22"/>
        </w:rPr>
        <w:t>（3）输出标签：剩余使用寿命（RUL）或直接失效时间（TTF）；</w:t>
      </w:r>
    </w:p>
    <w:p>
      <w:pPr>
        <w:spacing w:line="360" w:lineRule="auto" w:after="60"/>
        <w:ind w:firstLine="420"/>
        <w:jc w:val="both"/>
      </w:pPr>
      <w:r>
        <w:rPr>
          <w:rFonts w:ascii="Times New Roman" w:hAnsi="Times New Roman" w:eastAsia="宋体"/>
          <w:b w:val="0"/>
          <w:sz w:val="22"/>
        </w:rPr>
        <w:t>（4）数据预处理：归一化、SG滤波降噪、VMD分解、缺失值插补、窗口分割。</w:t>
      </w:r>
    </w:p>
    <w:p>
      <w:pPr>
        <w:spacing w:line="360" w:lineRule="auto" w:after="60"/>
        <w:ind w:firstLine="420"/>
        <w:jc w:val="both"/>
      </w:pPr>
      <w:r>
        <w:rPr>
          <w:rFonts w:ascii="Times New Roman" w:hAnsi="Times New Roman" w:eastAsia="宋体"/>
          <w:b w:val="0"/>
          <w:sz w:val="22"/>
        </w:rPr>
        <w:t>Yan等（2020）采用SG-VMD-LSTM复合方法对超级电容RUL预测进行了系统研究，结果显示相较传统LSTM可降低RMSE约30%[49]；Zhu等（2025）进一步在CNN-LSTM框架下引入参数离散度作为显式输入，在考虑器件个体差异的情况下提升预测鲁棒性[15]。</w:t>
      </w:r>
    </w:p>
    <w:p>
      <w:pPr>
        <w:spacing w:before="240" w:after="120"/>
        <w:outlineLvl w:val="3"/>
      </w:pPr>
      <w:r>
        <w:rPr>
          <w:rFonts w:ascii="Times New Roman" w:hAnsi="Times New Roman" w:eastAsia="黑体"/>
          <w:b/>
          <w:sz w:val="26"/>
        </w:rPr>
        <w:t>6.4.2 LSTM与CNN-LSTM模型</w:t>
      </w:r>
    </w:p>
    <w:p>
      <w:pPr>
        <w:spacing w:line="360" w:lineRule="auto" w:after="60"/>
        <w:ind w:firstLine="420"/>
        <w:jc w:val="both"/>
      </w:pPr>
      <w:r>
        <w:rPr>
          <w:rFonts w:ascii="Times New Roman" w:hAnsi="Times New Roman" w:eastAsia="宋体"/>
          <w:b w:val="0"/>
          <w:sz w:val="22"/>
        </w:rPr>
        <w:t>LSTM通过门控机制处理长序列依赖，特别适合电容器这种长时老化过程的建模。典型CNN-LSTM架构如下：</w:t>
      </w:r>
    </w:p>
    <w:p>
      <w:pPr>
        <w:spacing w:line="360" w:lineRule="auto" w:after="60"/>
        <w:ind w:firstLine="420"/>
        <w:jc w:val="both"/>
      </w:pPr>
      <w:r>
        <w:rPr>
          <w:rFonts w:ascii="Times New Roman" w:hAnsi="Times New Roman" w:eastAsia="宋体"/>
          <w:b w:val="0"/>
          <w:sz w:val="22"/>
        </w:rPr>
        <w:t>（1）一维CNN层提取局部时序特征（捕捉纹波细节、自愈脉冲等）；</w:t>
      </w:r>
    </w:p>
    <w:p>
      <w:pPr>
        <w:spacing w:line="360" w:lineRule="auto" w:after="60"/>
        <w:ind w:firstLine="420"/>
        <w:jc w:val="both"/>
      </w:pPr>
      <w:r>
        <w:rPr>
          <w:rFonts w:ascii="Times New Roman" w:hAnsi="Times New Roman" w:eastAsia="宋体"/>
          <w:b w:val="0"/>
          <w:sz w:val="22"/>
        </w:rPr>
        <w:t>（2）LSTM层建模长时退化趋势（C与ESR的累积演化）；</w:t>
      </w:r>
    </w:p>
    <w:p>
      <w:pPr>
        <w:spacing w:line="360" w:lineRule="auto" w:after="60"/>
        <w:ind w:firstLine="420"/>
        <w:jc w:val="both"/>
      </w:pPr>
      <w:r>
        <w:rPr>
          <w:rFonts w:ascii="Times New Roman" w:hAnsi="Times New Roman" w:eastAsia="宋体"/>
          <w:b w:val="0"/>
          <w:sz w:val="22"/>
        </w:rPr>
        <w:t>（3）全连接层输出RUL估计。</w:t>
      </w:r>
    </w:p>
    <w:p>
      <w:pPr>
        <w:spacing w:line="360" w:lineRule="auto" w:after="60"/>
        <w:ind w:firstLine="420"/>
        <w:jc w:val="both"/>
      </w:pPr>
      <w:r>
        <w:rPr>
          <w:rFonts w:ascii="Times New Roman" w:hAnsi="Times New Roman" w:eastAsia="宋体"/>
          <w:b w:val="0"/>
          <w:sz w:val="22"/>
        </w:rPr>
        <w:t>Soualhi等（2022）建立了考虑动态工况的Al-cap LSTM模型，能够处理现场监测中常见的工况突变问题，相较固定工况下的LSTM模型，RMSE降低了约40%[45]。MDPI Electronics（2025）提出的考虑参数离散的CNN-LSTM模型，利用集成多个电容器的辨识结果作为模型输入，进一步提升了预测鲁棒性[15]。</w:t>
      </w:r>
    </w:p>
    <w:p>
      <w:pPr>
        <w:spacing w:before="240" w:after="120"/>
        <w:outlineLvl w:val="3"/>
      </w:pPr>
      <w:r>
        <w:rPr>
          <w:rFonts w:ascii="Times New Roman" w:hAnsi="Times New Roman" w:eastAsia="黑体"/>
          <w:b/>
          <w:sz w:val="26"/>
        </w:rPr>
        <w:t>6.4.3 物理信息神经网络（PINN）</w:t>
      </w:r>
    </w:p>
    <w:p>
      <w:pPr>
        <w:spacing w:line="360" w:lineRule="auto" w:after="60"/>
        <w:ind w:firstLine="420"/>
        <w:jc w:val="both"/>
      </w:pPr>
      <w:r>
        <w:rPr>
          <w:rFonts w:ascii="Times New Roman" w:hAnsi="Times New Roman" w:eastAsia="宋体"/>
          <w:b w:val="0"/>
          <w:sz w:val="22"/>
        </w:rPr>
        <w:t>物理信息神经网络将物理方程作为损失函数的约束项，具有以下形式：</w:t>
      </w:r>
    </w:p>
    <w:p>
      <w:pPr>
        <w:spacing w:before="120" w:after="120"/>
        <w:jc w:val="center"/>
      </w:pPr>
      <w:r>
        <w:rPr>
          <w:rFonts w:ascii="Times New Roman" w:hAnsi="Times New Roman" w:eastAsia="Times New Roman"/>
          <w:b w:val="0"/>
          <w:sz w:val="22"/>
        </w:rPr>
        <w:t>L_total = L_data + λ·L_physics</w:t>
      </w:r>
    </w:p>
    <w:p>
      <w:pPr>
        <w:spacing w:line="360" w:lineRule="auto" w:after="60"/>
        <w:ind w:firstLine="420"/>
        <w:jc w:val="both"/>
      </w:pPr>
      <w:r>
        <w:rPr>
          <w:rFonts w:ascii="Times New Roman" w:hAnsi="Times New Roman" w:eastAsia="宋体"/>
          <w:b w:val="0"/>
          <w:sz w:val="22"/>
        </w:rPr>
        <w:t>其中L_data是传统监督损失（如MSE），L_physics是物理方程残差（如Arrhenius微分方程、SEI膜增厚方程）。PINN的优势在于：即使训练数据稀少，由于物理方程的"正则化"作用，模型仍能给出合理外推。</w:t>
      </w:r>
    </w:p>
    <w:p>
      <w:pPr>
        <w:spacing w:line="360" w:lineRule="auto" w:after="60"/>
        <w:ind w:firstLine="420"/>
        <w:jc w:val="both"/>
      </w:pPr>
      <w:r>
        <w:rPr>
          <w:rFonts w:ascii="Times New Roman" w:hAnsi="Times New Roman" w:eastAsia="宋体"/>
          <w:b w:val="0"/>
          <w:sz w:val="22"/>
        </w:rPr>
        <w:t>近期（2025）报道的基于LSTM骨架的超级电容PINN模型，在仅使用20%的训练数据条件下仍可达到与传统方法使用100%数据相当的预测精度[6]。AIP APL Machine Learning（Kim等，2023）提出的物理约束机器学习方法用于MLCC失效时间预测，将Prokopowicz-Vaskas方程作为先验约束，在不同电压应力之间的外推精度显著提升[14]。</w:t>
      </w:r>
    </w:p>
    <w:p>
      <w:pPr>
        <w:spacing w:line="360" w:lineRule="auto" w:after="60"/>
        <w:ind w:firstLine="420"/>
        <w:jc w:val="both"/>
      </w:pPr>
      <w:r>
        <w:rPr>
          <w:rFonts w:ascii="Times New Roman" w:hAnsi="Times New Roman" w:eastAsia="宋体"/>
          <w:b w:val="0"/>
          <w:sz w:val="22"/>
        </w:rPr>
        <w:t>物理-数据混合模型代表了当前电容器RUL预测的最新方向，预计在下一个五年将成为主流方法。</w:t>
      </w:r>
    </w:p>
    <w:p>
      <w:pPr>
        <w:spacing w:before="240" w:after="120"/>
        <w:outlineLvl w:val="2"/>
      </w:pPr>
      <w:r>
        <w:rPr>
          <w:rFonts w:ascii="Times New Roman" w:hAnsi="Times New Roman" w:eastAsia="黑体"/>
          <w:b/>
          <w:sz w:val="30"/>
        </w:rPr>
        <w:t>6.5 监测系统架构</w:t>
      </w:r>
    </w:p>
    <w:p>
      <w:pPr>
        <w:spacing w:line="360" w:lineRule="auto" w:after="60"/>
        <w:ind w:firstLine="420"/>
        <w:jc w:val="both"/>
      </w:pPr>
      <w:r>
        <w:rPr>
          <w:rFonts w:ascii="Times New Roman" w:hAnsi="Times New Roman" w:eastAsia="宋体"/>
          <w:b w:val="0"/>
          <w:sz w:val="22"/>
        </w:rPr>
        <w:t>典型的电容器在线健康监测系统架构可分为五层：</w:t>
      </w:r>
    </w:p>
    <w:p>
      <w:pPr>
        <w:spacing w:line="360" w:lineRule="auto" w:after="60"/>
        <w:ind w:firstLine="420"/>
        <w:jc w:val="both"/>
      </w:pPr>
      <w:r>
        <w:rPr>
          <w:rFonts w:ascii="Times New Roman" w:hAnsi="Times New Roman" w:eastAsia="宋体"/>
          <w:b w:val="0"/>
          <w:sz w:val="22"/>
        </w:rPr>
        <w:t>（1）感知层：电压/电流传感器、温度传感器、振动传感器；</w:t>
      </w:r>
    </w:p>
    <w:p>
      <w:pPr>
        <w:spacing w:line="360" w:lineRule="auto" w:after="60"/>
        <w:ind w:firstLine="420"/>
        <w:jc w:val="both"/>
      </w:pPr>
      <w:r>
        <w:rPr>
          <w:rFonts w:ascii="Times New Roman" w:hAnsi="Times New Roman" w:eastAsia="宋体"/>
          <w:b w:val="0"/>
          <w:sz w:val="22"/>
        </w:rPr>
        <w:t>（2）采集层：高速ADC、同步采样、FPGA预处理；</w:t>
      </w:r>
    </w:p>
    <w:p>
      <w:pPr>
        <w:spacing w:line="360" w:lineRule="auto" w:after="60"/>
        <w:ind w:firstLine="420"/>
        <w:jc w:val="both"/>
      </w:pPr>
      <w:r>
        <w:rPr>
          <w:rFonts w:ascii="Times New Roman" w:hAnsi="Times New Roman" w:eastAsia="宋体"/>
          <w:b w:val="0"/>
          <w:sz w:val="22"/>
        </w:rPr>
        <w:t>（3）辨识层：在线C/ESR辨识、特征提取；</w:t>
      </w:r>
    </w:p>
    <w:p>
      <w:pPr>
        <w:spacing w:line="360" w:lineRule="auto" w:after="60"/>
        <w:ind w:firstLine="420"/>
        <w:jc w:val="both"/>
      </w:pPr>
      <w:r>
        <w:rPr>
          <w:rFonts w:ascii="Times New Roman" w:hAnsi="Times New Roman" w:eastAsia="宋体"/>
          <w:b w:val="0"/>
          <w:sz w:val="22"/>
        </w:rPr>
        <w:t>（4）诊断层：健康状态评估、失效判据触发；</w:t>
      </w:r>
    </w:p>
    <w:p>
      <w:pPr>
        <w:spacing w:line="360" w:lineRule="auto" w:after="60"/>
        <w:ind w:firstLine="420"/>
        <w:jc w:val="both"/>
      </w:pPr>
      <w:r>
        <w:rPr>
          <w:rFonts w:ascii="Times New Roman" w:hAnsi="Times New Roman" w:eastAsia="宋体"/>
          <w:b w:val="0"/>
          <w:sz w:val="22"/>
        </w:rPr>
        <w:t>（5）预测层：RUL估计、维护决策。</w:t>
      </w:r>
    </w:p>
    <w:p>
      <w:pPr>
        <w:spacing w:line="360" w:lineRule="auto" w:after="60"/>
        <w:ind w:firstLine="420"/>
        <w:jc w:val="both"/>
      </w:pPr>
      <w:r>
        <w:rPr>
          <w:rFonts w:ascii="Times New Roman" w:hAnsi="Times New Roman" w:eastAsia="宋体"/>
          <w:b w:val="0"/>
          <w:sz w:val="22"/>
        </w:rPr>
        <w:t>在工程部署中，需要综合考虑实时性（辨识周期从分钟级到小时级）、数据带宽（MB/小时至GB/天）、计算资源（嵌入式FPGA/DSP到云端服务器）与诊断延迟（秒级预警到月级预测）等多方面需求。对于风电、光伏这类分布式发电场景，采用"边缘-云"协同架构正在成为主流：边缘侧执行实时辨识与特征提取，云端进行大数据训练与全生命周期管理。</w:t>
      </w:r>
    </w:p>
    <w:p>
      <w:r>
        <w:br w:type="page"/>
      </w:r>
    </w:p>
    <w:p>
      <w:pPr>
        <w:spacing w:before="240" w:after="120"/>
        <w:outlineLvl w:val="1"/>
      </w:pPr>
      <w:r>
        <w:rPr>
          <w:rFonts w:ascii="Times New Roman" w:hAnsi="Times New Roman" w:eastAsia="黑体"/>
          <w:b/>
          <w:sz w:val="36"/>
        </w:rPr>
        <w:t>第七章 可靠性提升与工艺优化</w:t>
      </w:r>
    </w:p>
    <w:p>
      <w:pPr>
        <w:spacing w:line="360" w:lineRule="auto" w:after="60"/>
        <w:ind w:firstLine="420"/>
        <w:jc w:val="both"/>
      </w:pPr>
      <w:r>
        <w:rPr>
          <w:rFonts w:ascii="Times New Roman" w:hAnsi="Times New Roman" w:eastAsia="宋体"/>
          <w:b w:val="0"/>
          <w:sz w:val="22"/>
        </w:rPr>
        <w:t>电容器可靠性提升是一个系统工程，涉及材料、工艺、结构、电路、热管理、整机布局等多个层面。本章从器件级、电路级、系统级三个层面，系统讨论可靠性提升的关键策略。</w:t>
      </w:r>
    </w:p>
    <w:p>
      <w:pPr>
        <w:spacing w:before="240" w:after="120"/>
        <w:outlineLvl w:val="2"/>
      </w:pPr>
      <w:r>
        <w:rPr>
          <w:rFonts w:ascii="Times New Roman" w:hAnsi="Times New Roman" w:eastAsia="黑体"/>
          <w:b/>
          <w:sz w:val="30"/>
        </w:rPr>
        <w:t>7.1 器件级可靠性设计</w:t>
      </w:r>
    </w:p>
    <w:p>
      <w:pPr>
        <w:spacing w:before="240" w:after="120"/>
        <w:outlineLvl w:val="3"/>
      </w:pPr>
      <w:r>
        <w:rPr>
          <w:rFonts w:ascii="Times New Roman" w:hAnsi="Times New Roman" w:eastAsia="黑体"/>
          <w:b/>
          <w:sz w:val="26"/>
        </w:rPr>
        <w:t>7.1.1 材料选择与纯度控制</w:t>
      </w:r>
    </w:p>
    <w:p>
      <w:pPr>
        <w:spacing w:line="360" w:lineRule="auto" w:after="60"/>
        <w:ind w:firstLine="420"/>
        <w:jc w:val="both"/>
      </w:pPr>
      <w:r>
        <w:rPr>
          <w:rFonts w:ascii="Times New Roman" w:hAnsi="Times New Roman" w:eastAsia="宋体"/>
          <w:b w:val="0"/>
          <w:sz w:val="22"/>
        </w:rPr>
        <w:t>材料是可靠性的根基。对于BME-MLCC而言，BaTiO3粉体的化学均匀性、杂质含量（特别是Ca²⁺、Mg²⁺掺杂的均匀性）、烧结助剂（Si、Mn、Y稀土等）的分布均匀性直接影响氧空位分布与迁移阻挡层结构。高端车规级MLCC要求BaTiO3粉体的D50控制在50~100 nm、杂质含量低于10 ppm[12][19]。</w:t>
      </w:r>
    </w:p>
    <w:p>
      <w:pPr>
        <w:spacing w:line="360" w:lineRule="auto" w:after="60"/>
        <w:ind w:firstLine="420"/>
        <w:jc w:val="both"/>
      </w:pPr>
      <w:r>
        <w:rPr>
          <w:rFonts w:ascii="Times New Roman" w:hAnsi="Times New Roman" w:eastAsia="宋体"/>
          <w:b w:val="0"/>
          <w:sz w:val="22"/>
        </w:rPr>
        <w:t>对于Al-cap，电解液配方是关键。现代长寿命电解液普遍添加磷酸盐钝化剂与多羟基保护剂（如甘油、聚乙二醇），并严格控制Cl⁻、SO4²⁻含量低于1 ppm。高纯度铝箔（99.99%以上）与腐蚀工艺的优化（深宽比&gt;200）是容量密度与可靠性并重的工艺关键[23][28]。</w:t>
      </w:r>
    </w:p>
    <w:p>
      <w:pPr>
        <w:spacing w:line="360" w:lineRule="auto" w:after="60"/>
        <w:ind w:firstLine="420"/>
        <w:jc w:val="both"/>
      </w:pPr>
      <w:r>
        <w:rPr>
          <w:rFonts w:ascii="Times New Roman" w:hAnsi="Times New Roman" w:eastAsia="宋体"/>
          <w:b w:val="0"/>
          <w:sz w:val="22"/>
        </w:rPr>
        <w:t>对于BOPP薄膜电容，薄膜的粒径均匀性、结晶度、添加剂（抗氧剂、成核剂）的选择与分布是核心。新一代纳米级复合BOPP（加入Al2O3、SiO2纳米粒子）可在保持高击穿场强的同时提升耐温能力。Lyons等（2024）报道的臭氧化改性技术亦有望进一步提升BOPP薄膜的自愈稳定性[37]。</w:t>
      </w:r>
    </w:p>
    <w:p>
      <w:pPr>
        <w:spacing w:line="360" w:lineRule="auto" w:after="60"/>
        <w:ind w:firstLine="420"/>
        <w:jc w:val="both"/>
      </w:pPr>
      <w:r>
        <w:rPr>
          <w:rFonts w:ascii="Times New Roman" w:hAnsi="Times New Roman" w:eastAsia="宋体"/>
          <w:b w:val="0"/>
          <w:sz w:val="22"/>
        </w:rPr>
        <w:t>对于钽电容，F-Tech（flawless technology）工艺通过严格控制钽粉中的碳、氮杂质并优化化成工艺，将早期失效率降低了一个数量级以上，代表了当前钽电容器件级可靠性的最高水平[10]。</w:t>
      </w:r>
    </w:p>
    <w:p>
      <w:pPr>
        <w:spacing w:before="240" w:after="120"/>
        <w:outlineLvl w:val="3"/>
      </w:pPr>
      <w:r>
        <w:rPr>
          <w:rFonts w:ascii="Times New Roman" w:hAnsi="Times New Roman" w:eastAsia="黑体"/>
          <w:b/>
          <w:sz w:val="26"/>
        </w:rPr>
        <w:t>7.1.2 结构设计优化</w:t>
      </w:r>
    </w:p>
    <w:p>
      <w:pPr>
        <w:spacing w:line="360" w:lineRule="auto" w:after="60"/>
        <w:ind w:firstLine="420"/>
        <w:jc w:val="both"/>
      </w:pPr>
      <w:r>
        <w:rPr>
          <w:rFonts w:ascii="Times New Roman" w:hAnsi="Times New Roman" w:eastAsia="宋体"/>
          <w:b w:val="0"/>
          <w:sz w:val="22"/>
        </w:rPr>
        <w:t>器件结构设计的可靠性提升要点：</w:t>
      </w:r>
    </w:p>
    <w:p>
      <w:pPr>
        <w:spacing w:line="360" w:lineRule="auto" w:after="60"/>
        <w:ind w:firstLine="420"/>
        <w:jc w:val="both"/>
      </w:pPr>
      <w:r>
        <w:rPr>
          <w:rFonts w:ascii="Times New Roman" w:hAnsi="Times New Roman" w:eastAsia="宋体"/>
          <w:b w:val="0"/>
          <w:sz w:val="22"/>
        </w:rPr>
        <w:t>（1）MLCC：采用软端电极（soft termination）缓解PCB应变导致的flex crack；采用内部串联结构（internal series）降低每段介质的电场强度；采用冗余电极（redundant electrode）降低单点失效概率；</w:t>
      </w:r>
    </w:p>
    <w:p>
      <w:pPr>
        <w:spacing w:line="360" w:lineRule="auto" w:after="60"/>
        <w:ind w:firstLine="420"/>
        <w:jc w:val="both"/>
      </w:pPr>
      <w:r>
        <w:rPr>
          <w:rFonts w:ascii="Times New Roman" w:hAnsi="Times New Roman" w:eastAsia="宋体"/>
          <w:b w:val="0"/>
          <w:sz w:val="22"/>
        </w:rPr>
        <w:t>（2）Al-cap：优化防爆阀开启压力以避免过早开启；采用多层橡胶塞与环氧胶密封以降低溶剂扩散速率；采用塑料外壳热屏蔽以降低表面温度传导；</w:t>
      </w:r>
    </w:p>
    <w:p>
      <w:pPr>
        <w:spacing w:line="360" w:lineRule="auto" w:after="60"/>
        <w:ind w:firstLine="420"/>
        <w:jc w:val="both"/>
      </w:pPr>
      <w:r>
        <w:rPr>
          <w:rFonts w:ascii="Times New Roman" w:hAnsi="Times New Roman" w:eastAsia="宋体"/>
          <w:b w:val="0"/>
          <w:sz w:val="22"/>
        </w:rPr>
        <w:t>（3）薄膜电容：采用波浪型边缘蒸镀（wave edge metallization）降低端面场强集中；采用"分段电极"（segmented electrode）结构以提高故障电流熔断能力；采用T型喷金以增强端面机械可靠性；</w:t>
      </w:r>
    </w:p>
    <w:p>
      <w:pPr>
        <w:spacing w:line="360" w:lineRule="auto" w:after="60"/>
        <w:ind w:firstLine="420"/>
        <w:jc w:val="both"/>
      </w:pPr>
      <w:r>
        <w:rPr>
          <w:rFonts w:ascii="Times New Roman" w:hAnsi="Times New Roman" w:eastAsia="宋体"/>
          <w:b w:val="0"/>
          <w:sz w:val="22"/>
        </w:rPr>
        <w:t>（4）钽电容：采用保护用阴极（protective cathode）多层结构以增强MnO2热自愈能力；采用去拐角设计以降低机械应力集中；</w:t>
      </w:r>
    </w:p>
    <w:p>
      <w:pPr>
        <w:spacing w:line="360" w:lineRule="auto" w:after="60"/>
        <w:ind w:firstLine="420"/>
        <w:jc w:val="both"/>
      </w:pPr>
      <w:r>
        <w:rPr>
          <w:rFonts w:ascii="Times New Roman" w:hAnsi="Times New Roman" w:eastAsia="宋体"/>
          <w:b w:val="0"/>
          <w:sz w:val="22"/>
        </w:rPr>
        <w:t>（5）超级电容：采用镀碳铝箔集流体以抑制腐蚀；采用复合隔膜以提升耐温性与抗击穿能力。</w:t>
      </w:r>
    </w:p>
    <w:p>
      <w:pPr>
        <w:spacing w:before="240" w:after="120"/>
        <w:outlineLvl w:val="3"/>
      </w:pPr>
      <w:r>
        <w:rPr>
          <w:rFonts w:ascii="Times New Roman" w:hAnsi="Times New Roman" w:eastAsia="黑体"/>
          <w:b/>
          <w:sz w:val="26"/>
        </w:rPr>
        <w:t>7.1.3 筛选与老炼工艺</w:t>
      </w:r>
    </w:p>
    <w:p>
      <w:pPr>
        <w:spacing w:line="360" w:lineRule="auto" w:after="60"/>
        <w:ind w:firstLine="420"/>
        <w:jc w:val="both"/>
      </w:pPr>
      <w:r>
        <w:rPr>
          <w:rFonts w:ascii="Times New Roman" w:hAnsi="Times New Roman" w:eastAsia="宋体"/>
          <w:b w:val="0"/>
          <w:sz w:val="22"/>
        </w:rPr>
        <w:t>出厂筛选与老炼（burn-in）是消除早期失效的关键。常见筛选应力包括：</w:t>
      </w:r>
    </w:p>
    <w:p>
      <w:pPr>
        <w:spacing w:line="360" w:lineRule="auto" w:after="60"/>
        <w:ind w:firstLine="420"/>
        <w:jc w:val="both"/>
      </w:pPr>
      <w:r>
        <w:rPr>
          <w:rFonts w:ascii="Times New Roman" w:hAnsi="Times New Roman" w:eastAsia="宋体"/>
          <w:b w:val="0"/>
          <w:sz w:val="22"/>
        </w:rPr>
        <w:t>（1）高温老炼（HTOL）：在最高额定温度下施加1.2~1.5倍额定电压，持续数十至数百小时；</w:t>
      </w:r>
    </w:p>
    <w:p>
      <w:pPr>
        <w:spacing w:line="360" w:lineRule="auto" w:after="60"/>
        <w:ind w:firstLine="420"/>
        <w:jc w:val="both"/>
      </w:pPr>
      <w:r>
        <w:rPr>
          <w:rFonts w:ascii="Times New Roman" w:hAnsi="Times New Roman" w:eastAsia="宋体"/>
          <w:b w:val="0"/>
          <w:sz w:val="22"/>
        </w:rPr>
        <w:t>（2）高温高湿偏压（HAST/THB）：85℃/85%RH或更严苛条件下持续数百小时；</w:t>
      </w:r>
    </w:p>
    <w:p>
      <w:pPr>
        <w:spacing w:line="360" w:lineRule="auto" w:after="60"/>
        <w:ind w:firstLine="420"/>
        <w:jc w:val="both"/>
      </w:pPr>
      <w:r>
        <w:rPr>
          <w:rFonts w:ascii="Times New Roman" w:hAnsi="Times New Roman" w:eastAsia="宋体"/>
          <w:b w:val="0"/>
          <w:sz w:val="22"/>
        </w:rPr>
        <w:t>（3）温度循环：如-40℃↔+125℃若干循环；</w:t>
      </w:r>
    </w:p>
    <w:p>
      <w:pPr>
        <w:spacing w:line="360" w:lineRule="auto" w:after="60"/>
        <w:ind w:firstLine="420"/>
        <w:jc w:val="both"/>
      </w:pPr>
      <w:r>
        <w:rPr>
          <w:rFonts w:ascii="Times New Roman" w:hAnsi="Times New Roman" w:eastAsia="宋体"/>
          <w:b w:val="0"/>
          <w:sz w:val="22"/>
        </w:rPr>
        <w:t>（4）浪涌筛选（surge screening）：针对钽电容的3SCT筛选；</w:t>
      </w:r>
    </w:p>
    <w:p>
      <w:pPr>
        <w:spacing w:line="360" w:lineRule="auto" w:after="60"/>
        <w:ind w:firstLine="420"/>
        <w:jc w:val="both"/>
      </w:pPr>
      <w:r>
        <w:rPr>
          <w:rFonts w:ascii="Times New Roman" w:hAnsi="Times New Roman" w:eastAsia="宋体"/>
          <w:b w:val="0"/>
          <w:sz w:val="22"/>
        </w:rPr>
        <w:t>（5）DC-link电容专用：高纹波电流老炼，模拟变频器内部工况。</w:t>
      </w:r>
    </w:p>
    <w:p>
      <w:pPr>
        <w:spacing w:line="360" w:lineRule="auto" w:after="60"/>
        <w:ind w:firstLine="420"/>
        <w:jc w:val="both"/>
      </w:pPr>
      <w:r>
        <w:rPr>
          <w:rFonts w:ascii="Times New Roman" w:hAnsi="Times New Roman" w:eastAsia="宋体"/>
          <w:b w:val="0"/>
          <w:sz w:val="22"/>
        </w:rPr>
        <w:t>筛选强度的确定应服从"破坏性物理分析（DPA）+ Weibull推算"原则——既要足够严苛以淘汰早期失效品，又不应显著削减合格品的剩余寿命。</w:t>
      </w:r>
    </w:p>
    <w:p>
      <w:pPr>
        <w:spacing w:before="240" w:after="120"/>
        <w:outlineLvl w:val="2"/>
      </w:pPr>
      <w:r>
        <w:rPr>
          <w:rFonts w:ascii="Times New Roman" w:hAnsi="Times New Roman" w:eastAsia="黑体"/>
          <w:b/>
          <w:sz w:val="30"/>
        </w:rPr>
        <w:t>7.2 电路级与系统级措施</w:t>
      </w:r>
    </w:p>
    <w:p>
      <w:pPr>
        <w:spacing w:before="240" w:after="120"/>
        <w:outlineLvl w:val="3"/>
      </w:pPr>
      <w:r>
        <w:rPr>
          <w:rFonts w:ascii="Times New Roman" w:hAnsi="Times New Roman" w:eastAsia="黑体"/>
          <w:b/>
          <w:sz w:val="26"/>
        </w:rPr>
        <w:t>7.2.1 电压与温度降额</w:t>
      </w:r>
    </w:p>
    <w:p>
      <w:pPr>
        <w:spacing w:line="360" w:lineRule="auto" w:after="60"/>
        <w:ind w:firstLine="420"/>
        <w:jc w:val="both"/>
      </w:pPr>
      <w:r>
        <w:rPr>
          <w:rFonts w:ascii="Times New Roman" w:hAnsi="Times New Roman" w:eastAsia="宋体"/>
          <w:b w:val="0"/>
          <w:sz w:val="22"/>
        </w:rPr>
        <w:t>电压降额是成本效益最优的可靠性提升手段。以典型车规级应用为例：</w:t>
      </w:r>
    </w:p>
    <w:p>
      <w:pPr>
        <w:spacing w:line="360" w:lineRule="auto" w:after="60"/>
        <w:ind w:firstLine="420"/>
        <w:jc w:val="both"/>
      </w:pPr>
      <w:r>
        <w:rPr>
          <w:rFonts w:ascii="Times New Roman" w:hAnsi="Times New Roman" w:eastAsia="宋体"/>
          <w:b w:val="0"/>
          <w:sz w:val="22"/>
        </w:rPr>
        <w:t>（1）Al-cap：通常推荐工作电压/额定电压≤80%；</w:t>
      </w:r>
    </w:p>
    <w:p>
      <w:pPr>
        <w:spacing w:line="360" w:lineRule="auto" w:after="60"/>
        <w:ind w:firstLine="420"/>
        <w:jc w:val="both"/>
      </w:pPr>
      <w:r>
        <w:rPr>
          <w:rFonts w:ascii="Times New Roman" w:hAnsi="Times New Roman" w:eastAsia="宋体"/>
          <w:b w:val="0"/>
          <w:sz w:val="22"/>
        </w:rPr>
        <w:t>（2）BME-MLCC：推荐工作电压/额定电压≤50%（结合DC bias效应，容量亦会降低）；</w:t>
      </w:r>
    </w:p>
    <w:p>
      <w:pPr>
        <w:spacing w:line="360" w:lineRule="auto" w:after="60"/>
        <w:ind w:firstLine="420"/>
        <w:jc w:val="both"/>
      </w:pPr>
      <w:r>
        <w:rPr>
          <w:rFonts w:ascii="Times New Roman" w:hAnsi="Times New Roman" w:eastAsia="宋体"/>
          <w:b w:val="0"/>
          <w:sz w:val="22"/>
        </w:rPr>
        <w:t>（3）金属化BOPP：推荐工作电压/额定电压≤80%（DC应用）或≤60%（AC应用）；</w:t>
      </w:r>
    </w:p>
    <w:p>
      <w:pPr>
        <w:spacing w:line="360" w:lineRule="auto" w:after="60"/>
        <w:ind w:firstLine="420"/>
        <w:jc w:val="both"/>
      </w:pPr>
      <w:r>
        <w:rPr>
          <w:rFonts w:ascii="Times New Roman" w:hAnsi="Times New Roman" w:eastAsia="宋体"/>
          <w:b w:val="0"/>
          <w:sz w:val="22"/>
        </w:rPr>
        <w:t>（4）钽电容（MnO2）：推荐工作电压/额定电压≤50%；</w:t>
      </w:r>
    </w:p>
    <w:p>
      <w:pPr>
        <w:spacing w:line="360" w:lineRule="auto" w:after="60"/>
        <w:ind w:firstLine="420"/>
        <w:jc w:val="both"/>
      </w:pPr>
      <w:r>
        <w:rPr>
          <w:rFonts w:ascii="Times New Roman" w:hAnsi="Times New Roman" w:eastAsia="宋体"/>
          <w:b w:val="0"/>
          <w:sz w:val="22"/>
        </w:rPr>
        <w:t>（5）钽电容（polymer）：推荐工作电压/额定电压≤80%（聚合物型因额定电压已做降额）；</w:t>
      </w:r>
    </w:p>
    <w:p>
      <w:pPr>
        <w:spacing w:line="360" w:lineRule="auto" w:after="60"/>
        <w:ind w:firstLine="420"/>
        <w:jc w:val="both"/>
      </w:pPr>
      <w:r>
        <w:rPr>
          <w:rFonts w:ascii="Times New Roman" w:hAnsi="Times New Roman" w:eastAsia="宋体"/>
          <w:b w:val="0"/>
          <w:sz w:val="22"/>
        </w:rPr>
        <w:t>（6）超级电容：推荐工作电压/额定电压≤85%。</w:t>
      </w:r>
    </w:p>
    <w:p>
      <w:pPr>
        <w:spacing w:line="360" w:lineRule="auto" w:after="60"/>
        <w:ind w:firstLine="420"/>
        <w:jc w:val="both"/>
      </w:pPr>
      <w:r>
        <w:rPr>
          <w:rFonts w:ascii="Times New Roman" w:hAnsi="Times New Roman" w:eastAsia="宋体"/>
          <w:b w:val="0"/>
          <w:sz w:val="22"/>
        </w:rPr>
        <w:t>温度降额同样重要。根据Arrhenius定律，工作温度每降10℃大致可延长寿命一倍左右（具体倍数取决于激活能）。通过良好的散热设计将热点温度降至标称最高温度以下20~30℃，可使寿命延长至2~4倍。</w:t>
      </w:r>
    </w:p>
    <w:p>
      <w:pPr>
        <w:spacing w:before="240" w:after="120"/>
        <w:outlineLvl w:val="3"/>
      </w:pPr>
      <w:r>
        <w:rPr>
          <w:rFonts w:ascii="Times New Roman" w:hAnsi="Times New Roman" w:eastAsia="黑体"/>
          <w:b/>
          <w:sz w:val="26"/>
        </w:rPr>
        <w:t>7.2.2 纹波电流分流与并联均流</w:t>
      </w:r>
    </w:p>
    <w:p>
      <w:pPr>
        <w:spacing w:line="360" w:lineRule="auto" w:after="60"/>
        <w:ind w:firstLine="420"/>
        <w:jc w:val="both"/>
      </w:pPr>
      <w:r>
        <w:rPr>
          <w:rFonts w:ascii="Times New Roman" w:hAnsi="Times New Roman" w:eastAsia="宋体"/>
          <w:b w:val="0"/>
          <w:sz w:val="22"/>
        </w:rPr>
        <w:t>在高纹波电流场合，单只电容器往往无法承受全部纹波电流。此时采用多只电容并联既可分流，又可提高系统可靠性。均流设计的要点包括：</w:t>
      </w:r>
    </w:p>
    <w:p>
      <w:pPr>
        <w:spacing w:line="360" w:lineRule="auto" w:after="60"/>
        <w:ind w:firstLine="420"/>
        <w:jc w:val="both"/>
      </w:pPr>
      <w:r>
        <w:rPr>
          <w:rFonts w:ascii="Times New Roman" w:hAnsi="Times New Roman" w:eastAsia="宋体"/>
          <w:b w:val="0"/>
          <w:sz w:val="22"/>
        </w:rPr>
        <w:t>（1）选用同一型号、同一批次的电容以降低ESR离散性；</w:t>
      </w:r>
    </w:p>
    <w:p>
      <w:pPr>
        <w:spacing w:line="360" w:lineRule="auto" w:after="60"/>
        <w:ind w:firstLine="420"/>
        <w:jc w:val="both"/>
      </w:pPr>
      <w:r>
        <w:rPr>
          <w:rFonts w:ascii="Times New Roman" w:hAnsi="Times New Roman" w:eastAsia="宋体"/>
          <w:b w:val="0"/>
          <w:sz w:val="22"/>
        </w:rPr>
        <w:t>（2）优化PCB布局，使各支路到直流母线的阻抗尽量一致；</w:t>
      </w:r>
    </w:p>
    <w:p>
      <w:pPr>
        <w:spacing w:line="360" w:lineRule="auto" w:after="60"/>
        <w:ind w:firstLine="420"/>
        <w:jc w:val="both"/>
      </w:pPr>
      <w:r>
        <w:rPr>
          <w:rFonts w:ascii="Times New Roman" w:hAnsi="Times New Roman" w:eastAsia="宋体"/>
          <w:b w:val="0"/>
          <w:sz w:val="22"/>
        </w:rPr>
        <w:t>（3）必要时串联小电阻或薄膜感应器以强制均流；</w:t>
      </w:r>
    </w:p>
    <w:p>
      <w:pPr>
        <w:spacing w:line="360" w:lineRule="auto" w:after="60"/>
        <w:ind w:firstLine="420"/>
        <w:jc w:val="both"/>
      </w:pPr>
      <w:r>
        <w:rPr>
          <w:rFonts w:ascii="Times New Roman" w:hAnsi="Times New Roman" w:eastAsia="宋体"/>
          <w:b w:val="0"/>
          <w:sz w:val="22"/>
        </w:rPr>
        <w:t>（4）并联MLCC与薄膜电容/Al-cap组合，形成多频段滤波与分担。</w:t>
      </w:r>
    </w:p>
    <w:p>
      <w:pPr>
        <w:spacing w:before="240" w:after="120"/>
        <w:outlineLvl w:val="3"/>
      </w:pPr>
      <w:r>
        <w:rPr>
          <w:rFonts w:ascii="Times New Roman" w:hAnsi="Times New Roman" w:eastAsia="黑体"/>
          <w:b/>
          <w:sz w:val="26"/>
        </w:rPr>
        <w:t>7.2.3 冗余设计与故障隔离</w:t>
      </w:r>
    </w:p>
    <w:p>
      <w:pPr>
        <w:spacing w:line="360" w:lineRule="auto" w:after="60"/>
        <w:ind w:firstLine="420"/>
        <w:jc w:val="both"/>
      </w:pPr>
      <w:r>
        <w:rPr>
          <w:rFonts w:ascii="Times New Roman" w:hAnsi="Times New Roman" w:eastAsia="宋体"/>
          <w:b w:val="0"/>
          <w:sz w:val="22"/>
        </w:rPr>
        <w:t>冗余设计可分为单元级冗余（N+1或N+M并联）与分级冗余（不同类型电容器互补）。故障隔离通过快速熔断器（fuse）或内部短路保护结构实现：例如薄膜电容的内部分段电极就具备"串联熔断"特性，某段失效后自动断开而不影响其他段。对于极高可靠性要求的航空航天供电系统，常采用3N冗余配置+状态监测+主动切换的架构。</w:t>
      </w:r>
    </w:p>
    <w:p>
      <w:pPr>
        <w:spacing w:before="240" w:after="120"/>
        <w:outlineLvl w:val="3"/>
      </w:pPr>
      <w:r>
        <w:rPr>
          <w:rFonts w:ascii="Times New Roman" w:hAnsi="Times New Roman" w:eastAsia="黑体"/>
          <w:b/>
          <w:sz w:val="26"/>
        </w:rPr>
        <w:t>7.2.4 PCB设计与SMT工艺</w:t>
      </w:r>
    </w:p>
    <w:p>
      <w:pPr>
        <w:spacing w:line="360" w:lineRule="auto" w:after="60"/>
        <w:ind w:firstLine="420"/>
        <w:jc w:val="both"/>
      </w:pPr>
      <w:r>
        <w:rPr>
          <w:rFonts w:ascii="Times New Roman" w:hAnsi="Times New Roman" w:eastAsia="宋体"/>
          <w:b w:val="0"/>
          <w:sz w:val="22"/>
        </w:rPr>
        <w:t>针对MLCC的flex crack防护，PCB设计应注意：</w:t>
      </w:r>
    </w:p>
    <w:p>
      <w:pPr>
        <w:spacing w:line="360" w:lineRule="auto" w:after="60"/>
        <w:ind w:firstLine="420"/>
        <w:jc w:val="both"/>
      </w:pPr>
      <w:r>
        <w:rPr>
          <w:rFonts w:ascii="Times New Roman" w:hAnsi="Times New Roman" w:eastAsia="宋体"/>
          <w:b w:val="0"/>
          <w:sz w:val="22"/>
        </w:rPr>
        <w:t>（1）避免MLCC布置在分板V-cut、大型连接器、螺钉安装孔、板边等高应变区域；</w:t>
      </w:r>
    </w:p>
    <w:p>
      <w:pPr>
        <w:spacing w:line="360" w:lineRule="auto" w:after="60"/>
        <w:ind w:firstLine="420"/>
        <w:jc w:val="both"/>
      </w:pPr>
      <w:r>
        <w:rPr>
          <w:rFonts w:ascii="Times New Roman" w:hAnsi="Times New Roman" w:eastAsia="宋体"/>
          <w:b w:val="0"/>
          <w:sz w:val="22"/>
        </w:rPr>
        <w:t>（2）大尺寸MLCC（1210及以上）尽量采用跨双侧焊盘的"贴片方向"垂直于应变方向；</w:t>
      </w:r>
    </w:p>
    <w:p>
      <w:pPr>
        <w:spacing w:line="360" w:lineRule="auto" w:after="60"/>
        <w:ind w:firstLine="420"/>
        <w:jc w:val="both"/>
      </w:pPr>
      <w:r>
        <w:rPr>
          <w:rFonts w:ascii="Times New Roman" w:hAnsi="Times New Roman" w:eastAsia="宋体"/>
          <w:b w:val="0"/>
          <w:sz w:val="22"/>
        </w:rPr>
        <w:t>（3）焊盘长度与电容端电极长度的比例控制在1.0~1.2之间；</w:t>
      </w:r>
    </w:p>
    <w:p>
      <w:pPr>
        <w:spacing w:line="360" w:lineRule="auto" w:after="60"/>
        <w:ind w:firstLine="420"/>
        <w:jc w:val="both"/>
      </w:pPr>
      <w:r>
        <w:rPr>
          <w:rFonts w:ascii="Times New Roman" w:hAnsi="Times New Roman" w:eastAsia="宋体"/>
          <w:b w:val="0"/>
          <w:sz w:val="22"/>
        </w:rPr>
        <w:t>（4）采用导热/导电双重焊膏以降低热应力；</w:t>
      </w:r>
    </w:p>
    <w:p>
      <w:pPr>
        <w:spacing w:line="360" w:lineRule="auto" w:after="60"/>
        <w:ind w:firstLine="420"/>
        <w:jc w:val="both"/>
      </w:pPr>
      <w:r>
        <w:rPr>
          <w:rFonts w:ascii="Times New Roman" w:hAnsi="Times New Roman" w:eastAsia="宋体"/>
          <w:b w:val="0"/>
          <w:sz w:val="22"/>
        </w:rPr>
        <w:t>（5）优化回流焊曲线，预热段缓慢升温（约1~2℃/s）以减小热冲击。</w:t>
      </w:r>
    </w:p>
    <w:p>
      <w:pPr>
        <w:spacing w:line="360" w:lineRule="auto" w:after="60"/>
        <w:ind w:firstLine="420"/>
        <w:jc w:val="both"/>
      </w:pPr>
      <w:r>
        <w:rPr>
          <w:rFonts w:ascii="Times New Roman" w:hAnsi="Times New Roman" w:eastAsia="宋体"/>
          <w:b w:val="0"/>
          <w:sz w:val="22"/>
        </w:rPr>
        <w:t>KEMET、TDK、Murata等厂商发布的设计指南中对上述细节都有定量的推荐值[25][26][30]。</w:t>
      </w:r>
    </w:p>
    <w:p>
      <w:pPr>
        <w:spacing w:before="240" w:after="120"/>
        <w:outlineLvl w:val="3"/>
      </w:pPr>
      <w:r>
        <w:rPr>
          <w:rFonts w:ascii="Times New Roman" w:hAnsi="Times New Roman" w:eastAsia="黑体"/>
          <w:b/>
          <w:sz w:val="26"/>
        </w:rPr>
        <w:t>7.2.5 系统级热管理</w:t>
      </w:r>
    </w:p>
    <w:p>
      <w:pPr>
        <w:spacing w:line="360" w:lineRule="auto" w:after="60"/>
        <w:ind w:firstLine="420"/>
        <w:jc w:val="both"/>
      </w:pPr>
      <w:r>
        <w:rPr>
          <w:rFonts w:ascii="Times New Roman" w:hAnsi="Times New Roman" w:eastAsia="宋体"/>
          <w:b w:val="0"/>
          <w:sz w:val="22"/>
        </w:rPr>
        <w:t>电容器的工作温度受环境温度、周围功率器件的热辐射、自发热三方面共同影响。系统级热管理的主要手段包括：</w:t>
      </w:r>
    </w:p>
    <w:p>
      <w:pPr>
        <w:spacing w:line="360" w:lineRule="auto" w:after="60"/>
        <w:ind w:firstLine="420"/>
        <w:jc w:val="both"/>
      </w:pPr>
      <w:r>
        <w:rPr>
          <w:rFonts w:ascii="Times New Roman" w:hAnsi="Times New Roman" w:eastAsia="宋体"/>
          <w:b w:val="0"/>
          <w:sz w:val="22"/>
        </w:rPr>
        <w:t>（1）优化机箱风道使冷风直吹电容器；</w:t>
      </w:r>
    </w:p>
    <w:p>
      <w:pPr>
        <w:spacing w:line="360" w:lineRule="auto" w:after="60"/>
        <w:ind w:firstLine="420"/>
        <w:jc w:val="both"/>
      </w:pPr>
      <w:r>
        <w:rPr>
          <w:rFonts w:ascii="Times New Roman" w:hAnsi="Times New Roman" w:eastAsia="宋体"/>
          <w:b w:val="0"/>
          <w:sz w:val="22"/>
        </w:rPr>
        <w:t>（2）在电容器与功率模块之间设置隔热板；</w:t>
      </w:r>
    </w:p>
    <w:p>
      <w:pPr>
        <w:spacing w:line="360" w:lineRule="auto" w:after="60"/>
        <w:ind w:firstLine="420"/>
        <w:jc w:val="both"/>
      </w:pPr>
      <w:r>
        <w:rPr>
          <w:rFonts w:ascii="Times New Roman" w:hAnsi="Times New Roman" w:eastAsia="宋体"/>
          <w:b w:val="0"/>
          <w:sz w:val="22"/>
        </w:rPr>
        <w:t>（3）采用导热硅脂或导热垫将电容器壳体与金属结构件热耦合，作为散热路径；</w:t>
      </w:r>
    </w:p>
    <w:p>
      <w:pPr>
        <w:spacing w:line="360" w:lineRule="auto" w:after="60"/>
        <w:ind w:firstLine="420"/>
        <w:jc w:val="both"/>
      </w:pPr>
      <w:r>
        <w:rPr>
          <w:rFonts w:ascii="Times New Roman" w:hAnsi="Times New Roman" w:eastAsia="宋体"/>
          <w:b w:val="0"/>
          <w:sz w:val="22"/>
        </w:rPr>
        <w:t>（4）必要时为关键电容器配置独立的散热片或液冷板。</w:t>
      </w:r>
    </w:p>
    <w:p>
      <w:pPr>
        <w:spacing w:line="360" w:lineRule="auto" w:after="60"/>
        <w:ind w:firstLine="420"/>
        <w:jc w:val="both"/>
      </w:pPr>
      <w:r>
        <w:rPr>
          <w:rFonts w:ascii="Times New Roman" w:hAnsi="Times New Roman" w:eastAsia="宋体"/>
          <w:b w:val="0"/>
          <w:sz w:val="22"/>
        </w:rPr>
        <w:t>对于电动汽车逆变器这样的高功率密度场景，电容器热管理已成为整机设计的核心挑战之一，液冷方案和硬壳结构集成化的DC-link电容模块已成为主流选择。</w:t>
      </w:r>
    </w:p>
    <w:p>
      <w:pPr>
        <w:spacing w:before="240" w:after="120"/>
        <w:outlineLvl w:val="2"/>
      </w:pPr>
      <w:r>
        <w:rPr>
          <w:rFonts w:ascii="Times New Roman" w:hAnsi="Times New Roman" w:eastAsia="黑体"/>
          <w:b/>
          <w:sz w:val="30"/>
        </w:rPr>
        <w:t>7.3 可靠性验证与质量保证</w:t>
      </w:r>
    </w:p>
    <w:p>
      <w:pPr>
        <w:spacing w:line="360" w:lineRule="auto" w:after="60"/>
        <w:ind w:firstLine="420"/>
        <w:jc w:val="both"/>
      </w:pPr>
      <w:r>
        <w:rPr>
          <w:rFonts w:ascii="Times New Roman" w:hAnsi="Times New Roman" w:eastAsia="宋体"/>
          <w:b w:val="0"/>
          <w:sz w:val="22"/>
        </w:rPr>
        <w:t>电容器可靠性保证的最终环节是系统性的验证与质量管理。业界广泛采用的框架包括：</w:t>
      </w:r>
    </w:p>
    <w:p>
      <w:pPr>
        <w:spacing w:line="360" w:lineRule="auto" w:after="60"/>
        <w:ind w:firstLine="420"/>
        <w:jc w:val="both"/>
      </w:pPr>
      <w:r>
        <w:rPr>
          <w:rFonts w:ascii="Times New Roman" w:hAnsi="Times New Roman" w:eastAsia="宋体"/>
          <w:b w:val="0"/>
          <w:sz w:val="22"/>
        </w:rPr>
        <w:t>（1）AEC-Q200（车规级被动器件）：规定了温度循环、THB、高温工作、低温工作、浪涌、机械冲击、振动等系列应力试验；</w:t>
      </w:r>
    </w:p>
    <w:p>
      <w:pPr>
        <w:spacing w:line="360" w:lineRule="auto" w:after="60"/>
        <w:ind w:firstLine="420"/>
        <w:jc w:val="both"/>
      </w:pPr>
      <w:r>
        <w:rPr>
          <w:rFonts w:ascii="Times New Roman" w:hAnsi="Times New Roman" w:eastAsia="宋体"/>
          <w:b w:val="0"/>
          <w:sz w:val="22"/>
        </w:rPr>
        <w:t>（2）MIL-PRF-55681、MIL-PRF-49470等军用规范：更为严苛的多应力联合试验与可靠性认证；</w:t>
      </w:r>
    </w:p>
    <w:p>
      <w:pPr>
        <w:spacing w:line="360" w:lineRule="auto" w:after="60"/>
        <w:ind w:firstLine="420"/>
        <w:jc w:val="both"/>
      </w:pPr>
      <w:r>
        <w:rPr>
          <w:rFonts w:ascii="Times New Roman" w:hAnsi="Times New Roman" w:eastAsia="宋体"/>
          <w:b w:val="0"/>
          <w:sz w:val="22"/>
        </w:rPr>
        <w:t>（3）IEC 60384系列：通用电容器规范；</w:t>
      </w:r>
    </w:p>
    <w:p>
      <w:pPr>
        <w:spacing w:line="360" w:lineRule="auto" w:after="60"/>
        <w:ind w:firstLine="420"/>
        <w:jc w:val="both"/>
      </w:pPr>
      <w:r>
        <w:rPr>
          <w:rFonts w:ascii="Times New Roman" w:hAnsi="Times New Roman" w:eastAsia="宋体"/>
          <w:b w:val="0"/>
          <w:sz w:val="22"/>
        </w:rPr>
        <w:t>（4）JEDEC JESD22：半导体与被动器件共用的应力试验方法。</w:t>
      </w:r>
    </w:p>
    <w:p>
      <w:pPr>
        <w:spacing w:line="360" w:lineRule="auto" w:after="60"/>
        <w:ind w:firstLine="420"/>
        <w:jc w:val="both"/>
      </w:pPr>
      <w:r>
        <w:rPr>
          <w:rFonts w:ascii="Times New Roman" w:hAnsi="Times New Roman" w:eastAsia="宋体"/>
          <w:b w:val="0"/>
          <w:sz w:val="22"/>
        </w:rPr>
        <w:t>对于新开发或新引入的电容器型号，应当在量产前完成"鉴定试验+小批量试生产+DPA"的三阶段验证。DPA（Destructive Physical Analysis）通过X射线、C-SAM、切片金相、SEM/EDS等手段对器件内部结构与材料做系统检查，是发现潜在批次性缺陷的有效手段。</w:t>
      </w:r>
    </w:p>
    <w:p>
      <w:r>
        <w:br w:type="page"/>
      </w:r>
    </w:p>
    <w:p>
      <w:pPr>
        <w:spacing w:before="240" w:after="120"/>
        <w:outlineLvl w:val="1"/>
      </w:pPr>
      <w:r>
        <w:rPr>
          <w:rFonts w:ascii="Times New Roman" w:hAnsi="Times New Roman" w:eastAsia="黑体"/>
          <w:b/>
          <w:sz w:val="36"/>
        </w:rPr>
        <w:t>第八章 结论与展望</w:t>
      </w:r>
    </w:p>
    <w:p>
      <w:pPr>
        <w:spacing w:before="240" w:after="120"/>
        <w:outlineLvl w:val="2"/>
      </w:pPr>
      <w:r>
        <w:rPr>
          <w:rFonts w:ascii="Times New Roman" w:hAnsi="Times New Roman" w:eastAsia="黑体"/>
          <w:b/>
          <w:sz w:val="30"/>
        </w:rPr>
        <w:t>8.1 主要结论</w:t>
      </w:r>
    </w:p>
    <w:p>
      <w:pPr>
        <w:spacing w:line="360" w:lineRule="auto" w:after="60"/>
        <w:ind w:firstLine="420"/>
        <w:jc w:val="both"/>
      </w:pPr>
      <w:r>
        <w:rPr>
          <w:rFonts w:ascii="Times New Roman" w:hAnsi="Times New Roman" w:eastAsia="宋体"/>
          <w:b w:val="0"/>
          <w:sz w:val="22"/>
        </w:rPr>
        <w:t>本报告系统梳理了铝电解电容器、多层陶瓷电容器（MLCC）、金属化薄膜电容器、固体钽电容器和超级电容器五大主流电容器家族的失效模式、失效机理与可靠性建模方法，结合近三十年国际高水平学术文献与NASA、IEEE、Elsevier、Nature、MDPI等权威数据源，取得的主要结论如下：</w:t>
      </w:r>
    </w:p>
    <w:p>
      <w:pPr>
        <w:spacing w:line="360" w:lineRule="auto" w:after="60"/>
        <w:ind w:firstLine="420"/>
        <w:jc w:val="both"/>
      </w:pPr>
      <w:r>
        <w:rPr>
          <w:rFonts w:ascii="Times New Roman" w:hAnsi="Times New Roman" w:eastAsia="宋体"/>
          <w:b w:val="0"/>
          <w:sz w:val="22"/>
        </w:rPr>
        <w:t>第一，电容器失效的主导机理具有明显的器件类型特征，不可一概而论。</w:t>
      </w:r>
    </w:p>
    <w:p>
      <w:pPr>
        <w:spacing w:line="360" w:lineRule="auto" w:after="60"/>
        <w:ind w:firstLine="420"/>
        <w:jc w:val="both"/>
      </w:pPr>
      <w:r>
        <w:rPr>
          <w:rFonts w:ascii="Times New Roman" w:hAnsi="Times New Roman" w:eastAsia="宋体"/>
          <w:b w:val="0"/>
          <w:sz w:val="22"/>
        </w:rPr>
        <w:t>（1）液态铝电解电容器的耗损失效主要由电解液溶剂通过橡胶密封塞的扩散蒸发驱动，其温度依赖遵循激活能约0.94 eV的Arrhenius规律；由此衍生的容量下降与ESR上升成为最具诊断价值的退化指标。</w:t>
      </w:r>
    </w:p>
    <w:p>
      <w:pPr>
        <w:spacing w:line="360" w:lineRule="auto" w:after="60"/>
        <w:ind w:firstLine="420"/>
        <w:jc w:val="both"/>
      </w:pPr>
      <w:r>
        <w:rPr>
          <w:rFonts w:ascii="Times New Roman" w:hAnsi="Times New Roman" w:eastAsia="宋体"/>
          <w:b w:val="0"/>
          <w:sz w:val="22"/>
        </w:rPr>
        <w:t>（2）BME-MLCC的寿命主要受BaTiO3晶界氧空位迁移与介质场致老化控制，Waser-Baiatu模型与Prokopowicz-Vaskas方程仍是高容量MLCC寿命预测的主流工具；随介质层厚度减薄至亚微米级，热失控击穿机理正从少数缺陷件的"特例失效"转向典型失效模式之一。</w:t>
      </w:r>
    </w:p>
    <w:p>
      <w:pPr>
        <w:spacing w:line="360" w:lineRule="auto" w:after="60"/>
        <w:ind w:firstLine="420"/>
        <w:jc w:val="both"/>
      </w:pPr>
      <w:r>
        <w:rPr>
          <w:rFonts w:ascii="Times New Roman" w:hAnsi="Times New Roman" w:eastAsia="宋体"/>
          <w:b w:val="0"/>
          <w:sz w:val="22"/>
        </w:rPr>
        <w:t>（3）金属化薄膜电容器的可靠性核心在于自愈累积——其寿命并非由单次击穿决定，而是由自愈事件积累引起的电极面积损耗所决定；自愈通道中的soot残留与电极腐蚀是次要但不可忽略的机理。</w:t>
      </w:r>
    </w:p>
    <w:p>
      <w:pPr>
        <w:spacing w:line="360" w:lineRule="auto" w:after="60"/>
        <w:ind w:firstLine="420"/>
        <w:jc w:val="both"/>
      </w:pPr>
      <w:r>
        <w:rPr>
          <w:rFonts w:ascii="Times New Roman" w:hAnsi="Times New Roman" w:eastAsia="宋体"/>
          <w:b w:val="0"/>
          <w:sz w:val="22"/>
        </w:rPr>
        <w:t>（4）钽电容的Ta2O5场致结晶与热失控击穿机制决定了其"短路→燃烧"的高致命性失效模式，MnO2阴极的热自愈能力在很大程度上缓解了该风险；聚合物钽电容失去了这一保护，对浪涌电流敏感度更高。</w:t>
      </w:r>
    </w:p>
    <w:p>
      <w:pPr>
        <w:spacing w:line="360" w:lineRule="auto" w:after="60"/>
        <w:ind w:firstLine="420"/>
        <w:jc w:val="both"/>
      </w:pPr>
      <w:r>
        <w:rPr>
          <w:rFonts w:ascii="Times New Roman" w:hAnsi="Times New Roman" w:eastAsia="宋体"/>
          <w:b w:val="0"/>
          <w:sz w:val="22"/>
        </w:rPr>
        <w:t>（5）超级电容的老化本质上是电化学过程（电解液分解、SEI膜增厚、活性炭孔结构塌陷、集流体腐蚀）的综合体现，多应力耦合特征明显。</w:t>
      </w:r>
    </w:p>
    <w:p>
      <w:pPr>
        <w:spacing w:line="360" w:lineRule="auto" w:after="60"/>
        <w:ind w:firstLine="420"/>
        <w:jc w:val="both"/>
      </w:pPr>
      <w:r>
        <w:rPr>
          <w:rFonts w:ascii="Times New Roman" w:hAnsi="Times New Roman" w:eastAsia="宋体"/>
          <w:b w:val="0"/>
          <w:sz w:val="22"/>
        </w:rPr>
        <w:t>第二，多应力耦合工况下的寿命建模是电容器可靠性研究的前沿难题。</w:t>
      </w:r>
    </w:p>
    <w:p>
      <w:pPr>
        <w:spacing w:line="360" w:lineRule="auto" w:after="60"/>
        <w:ind w:firstLine="420"/>
        <w:jc w:val="both"/>
      </w:pPr>
      <w:r>
        <w:rPr>
          <w:rFonts w:ascii="Times New Roman" w:hAnsi="Times New Roman" w:eastAsia="宋体"/>
          <w:b w:val="0"/>
          <w:sz w:val="22"/>
        </w:rPr>
        <w:t>单一的Arrhenius温度加速模型或单一逆幂律电压加速模型难以准确描述现代电力电子装备复杂工况下的电容器寿命；Prokopowicz-Vaskas方程作为MLCC行业的经典模型仅涵盖温度-电压两个应力维度；广义Eyring模型虽然形式灵活但参数众多、试验成本高。在此背景下，基于失效物理的模型与数据驱动模型的融合（PoF-informed Machine Learning）正在成为新的研究方向，以期在可解释性与预测精度之间取得平衡。</w:t>
      </w:r>
    </w:p>
    <w:p>
      <w:pPr>
        <w:spacing w:line="360" w:lineRule="auto" w:after="60"/>
        <w:ind w:firstLine="420"/>
        <w:jc w:val="both"/>
      </w:pPr>
      <w:r>
        <w:rPr>
          <w:rFonts w:ascii="Times New Roman" w:hAnsi="Times New Roman" w:eastAsia="宋体"/>
          <w:b w:val="0"/>
          <w:sz w:val="22"/>
        </w:rPr>
        <w:t>第三，健康监测技术的发展为预测性维护奠定了基础。</w:t>
      </w:r>
    </w:p>
    <w:p>
      <w:pPr>
        <w:spacing w:line="360" w:lineRule="auto" w:after="60"/>
        <w:ind w:firstLine="420"/>
        <w:jc w:val="both"/>
      </w:pPr>
      <w:r>
        <w:rPr>
          <w:rFonts w:ascii="Times New Roman" w:hAnsi="Times New Roman" w:eastAsia="宋体"/>
          <w:b w:val="0"/>
          <w:sz w:val="22"/>
        </w:rPr>
        <w:t>基于C与ESR的联合监测已在工程实践中取得成熟应用，阻抗谱法可提供更丰富的机理诊断信息；基于LSTM、CNN-LSTM、Transformer与PINN的剩余使用寿命预测方法在加速老化数据集上展现了良好的预测精度；边缘-云协同的监测架构正在成为风电、光伏、储能等大规模应用场景的主流。</w:t>
      </w:r>
    </w:p>
    <w:p>
      <w:pPr>
        <w:spacing w:line="360" w:lineRule="auto" w:after="60"/>
        <w:ind w:firstLine="420"/>
        <w:jc w:val="both"/>
      </w:pPr>
      <w:r>
        <w:rPr>
          <w:rFonts w:ascii="Times New Roman" w:hAnsi="Times New Roman" w:eastAsia="宋体"/>
          <w:b w:val="0"/>
          <w:sz w:val="22"/>
        </w:rPr>
        <w:t>第四，器件设计、电路设计、系统设计的协同是实现高可靠性的关键。</w:t>
      </w:r>
    </w:p>
    <w:p>
      <w:pPr>
        <w:spacing w:line="360" w:lineRule="auto" w:after="60"/>
        <w:ind w:firstLine="420"/>
        <w:jc w:val="both"/>
      </w:pPr>
      <w:r>
        <w:rPr>
          <w:rFonts w:ascii="Times New Roman" w:hAnsi="Times New Roman" w:eastAsia="宋体"/>
          <w:b w:val="0"/>
          <w:sz w:val="22"/>
        </w:rPr>
        <w:t>电容器选型必须综合考虑介质体系、工作应力、系统可靠性目标与全生命周期成本；降额、均流、冗余、热管理、PCB设计规范等多方面措施相互配合，方能实现整机可靠性目标。</w:t>
      </w:r>
    </w:p>
    <w:p>
      <w:pPr>
        <w:spacing w:before="240" w:after="120"/>
        <w:outlineLvl w:val="2"/>
      </w:pPr>
      <w:r>
        <w:rPr>
          <w:rFonts w:ascii="Times New Roman" w:hAnsi="Times New Roman" w:eastAsia="黑体"/>
          <w:b/>
          <w:sz w:val="30"/>
        </w:rPr>
        <w:t>8.2 面临的挑战</w:t>
      </w:r>
    </w:p>
    <w:p>
      <w:pPr>
        <w:spacing w:line="360" w:lineRule="auto" w:after="60"/>
        <w:ind w:firstLine="420"/>
        <w:jc w:val="both"/>
      </w:pPr>
      <w:r>
        <w:rPr>
          <w:rFonts w:ascii="Times New Roman" w:hAnsi="Times New Roman" w:eastAsia="宋体"/>
          <w:b w:val="0"/>
          <w:sz w:val="22"/>
        </w:rPr>
        <w:t>当前电容器可靠性研究仍面临以下挑战：</w:t>
      </w:r>
    </w:p>
    <w:p>
      <w:pPr>
        <w:spacing w:line="360" w:lineRule="auto" w:after="60"/>
        <w:ind w:firstLine="420"/>
        <w:jc w:val="both"/>
      </w:pPr>
      <w:r>
        <w:rPr>
          <w:rFonts w:ascii="Times New Roman" w:hAnsi="Times New Roman" w:eastAsia="宋体"/>
          <w:b w:val="0"/>
          <w:sz w:val="22"/>
        </w:rPr>
        <w:t>（1）亚微米介质的寿命物理模型：随着MLCC介质层厚度降至0.5 μm以下，经典Waser模型与Prokopowicz-Vaskas方程的有效性亟待重新评估；Schottky-Poole-Frenkel机制、能带弯曲与量子隧穿的贡献需要系统量化。</w:t>
      </w:r>
    </w:p>
    <w:p>
      <w:pPr>
        <w:spacing w:line="360" w:lineRule="auto" w:after="60"/>
        <w:ind w:firstLine="420"/>
        <w:jc w:val="both"/>
      </w:pPr>
      <w:r>
        <w:rPr>
          <w:rFonts w:ascii="Times New Roman" w:hAnsi="Times New Roman" w:eastAsia="宋体"/>
          <w:b w:val="0"/>
          <w:sz w:val="22"/>
        </w:rPr>
        <w:t>（2）多应力耦合机理的定量建模：电、热、机械、湿度、辐射等多因素交互作用下的加速机理尚缺少统一的理论框架；现有广义Eyring模型的参数识别依赖于大量试验，成本高昂。</w:t>
      </w:r>
    </w:p>
    <w:p>
      <w:pPr>
        <w:spacing w:line="360" w:lineRule="auto" w:after="60"/>
        <w:ind w:firstLine="420"/>
        <w:jc w:val="both"/>
      </w:pPr>
      <w:r>
        <w:rPr>
          <w:rFonts w:ascii="Times New Roman" w:hAnsi="Times New Roman" w:eastAsia="宋体"/>
          <w:b w:val="0"/>
          <w:sz w:val="22"/>
        </w:rPr>
        <w:t>（3）小样本与长外推问题：对新型高可靠电容器（如军用钽电容、车规级MLCC）而言，加速试验样本数量有限，向20年以上寿命的外推可信度受限；数据驱动模型对小样本长外推的适用性需要专门研究。</w:t>
      </w:r>
    </w:p>
    <w:p>
      <w:pPr>
        <w:spacing w:line="360" w:lineRule="auto" w:after="60"/>
        <w:ind w:firstLine="420"/>
        <w:jc w:val="both"/>
      </w:pPr>
      <w:r>
        <w:rPr>
          <w:rFonts w:ascii="Times New Roman" w:hAnsi="Times New Roman" w:eastAsia="宋体"/>
          <w:b w:val="0"/>
          <w:sz w:val="22"/>
        </w:rPr>
        <w:t>（4）机器学习模型的可解释性：黑箱模型难以在安全敏感场合被接受，如何将物理知识嵌入神经网络架构是核心难题。</w:t>
      </w:r>
    </w:p>
    <w:p>
      <w:pPr>
        <w:spacing w:line="360" w:lineRule="auto" w:after="60"/>
        <w:ind w:firstLine="420"/>
        <w:jc w:val="both"/>
      </w:pPr>
      <w:r>
        <w:rPr>
          <w:rFonts w:ascii="Times New Roman" w:hAnsi="Times New Roman" w:eastAsia="宋体"/>
          <w:b w:val="0"/>
          <w:sz w:val="22"/>
        </w:rPr>
        <w:t>（5）新材料、新工艺带来的新机理：高压铁电陶瓷、弛豫铁电体、聚合物纳米复合介质、离子液体超级电容器等新材料引入了传统电容器研究中未曾涉及的新机理，需要从基础物理重新建模。</w:t>
      </w:r>
    </w:p>
    <w:p>
      <w:pPr>
        <w:spacing w:before="240" w:after="120"/>
        <w:outlineLvl w:val="2"/>
      </w:pPr>
      <w:r>
        <w:rPr>
          <w:rFonts w:ascii="Times New Roman" w:hAnsi="Times New Roman" w:eastAsia="黑体"/>
          <w:b/>
          <w:sz w:val="30"/>
        </w:rPr>
        <w:t>8.3 发展展望</w:t>
      </w:r>
    </w:p>
    <w:p>
      <w:pPr>
        <w:spacing w:line="360" w:lineRule="auto" w:after="60"/>
        <w:ind w:firstLine="420"/>
        <w:jc w:val="both"/>
      </w:pPr>
      <w:r>
        <w:rPr>
          <w:rFonts w:ascii="Times New Roman" w:hAnsi="Times New Roman" w:eastAsia="宋体"/>
          <w:b w:val="0"/>
          <w:sz w:val="22"/>
        </w:rPr>
        <w:t>展望未来5~10年，电容器可靠性研究可能在以下方向取得突破：</w:t>
      </w:r>
    </w:p>
    <w:p>
      <w:pPr>
        <w:spacing w:line="360" w:lineRule="auto" w:after="60"/>
        <w:ind w:firstLine="420"/>
        <w:jc w:val="both"/>
      </w:pPr>
      <w:r>
        <w:rPr>
          <w:rFonts w:ascii="Times New Roman" w:hAnsi="Times New Roman" w:eastAsia="宋体"/>
          <w:b w:val="0"/>
          <w:sz w:val="22"/>
        </w:rPr>
        <w:t>（1）物理-数据混合建模的工程化落地。PINN、物理正则化Transformer、因果推断网络等方法将从学术探索走向工程应用，电容器RUL预测的精度与鲁棒性有望显著提升。</w:t>
      </w:r>
    </w:p>
    <w:p>
      <w:pPr>
        <w:spacing w:line="360" w:lineRule="auto" w:after="60"/>
        <w:ind w:firstLine="420"/>
        <w:jc w:val="both"/>
      </w:pPr>
      <w:r>
        <w:rPr>
          <w:rFonts w:ascii="Times New Roman" w:hAnsi="Times New Roman" w:eastAsia="宋体"/>
          <w:b w:val="0"/>
          <w:sz w:val="22"/>
        </w:rPr>
        <w:t>（2）数字孪生电容器（Digital Twin Capacitor）。将电容器的退化物理方程与实时监测数据融合，构建"实时演化"的健康模型，实现分钟级以下的状态估计与长期寿命预测。</w:t>
      </w:r>
    </w:p>
    <w:p>
      <w:pPr>
        <w:spacing w:line="360" w:lineRule="auto" w:after="60"/>
        <w:ind w:firstLine="420"/>
        <w:jc w:val="both"/>
      </w:pPr>
      <w:r>
        <w:rPr>
          <w:rFonts w:ascii="Times New Roman" w:hAnsi="Times New Roman" w:eastAsia="宋体"/>
          <w:b w:val="0"/>
          <w:sz w:val="22"/>
        </w:rPr>
        <w:t>（3）智能自诊断电容器。在电容器封装内集成微型温度传感器、MEMS应变传感器乃至自愈事件计数器，形成"自带健康报告"的智能电容器。</w:t>
      </w:r>
    </w:p>
    <w:p>
      <w:pPr>
        <w:spacing w:line="360" w:lineRule="auto" w:after="60"/>
        <w:ind w:firstLine="420"/>
        <w:jc w:val="both"/>
      </w:pPr>
      <w:r>
        <w:rPr>
          <w:rFonts w:ascii="Times New Roman" w:hAnsi="Times New Roman" w:eastAsia="宋体"/>
          <w:b w:val="0"/>
          <w:sz w:val="22"/>
        </w:rPr>
        <w:t>（4）新型高可靠介质材料。耐高温的纳米复合BOPP、反铁电陶瓷、耐高电场的含氮介质、耐离子迁移的氟化聚合物等新材料正在快速发展，将推动下一代高性能电容器的诞生。</w:t>
      </w:r>
    </w:p>
    <w:p>
      <w:pPr>
        <w:spacing w:line="360" w:lineRule="auto" w:after="60"/>
        <w:ind w:firstLine="420"/>
        <w:jc w:val="both"/>
      </w:pPr>
      <w:r>
        <w:rPr>
          <w:rFonts w:ascii="Times New Roman" w:hAnsi="Times New Roman" w:eastAsia="宋体"/>
          <w:b w:val="0"/>
          <w:sz w:val="22"/>
        </w:rPr>
        <w:t>（5）电容器-系统级可靠性协同设计。将电容器的寿命模型嵌入整机仿真环境，与功率半导体、电磁器件、散热系统协同优化，是整机可靠性工程的必然趋势。</w:t>
      </w:r>
    </w:p>
    <w:p>
      <w:pPr>
        <w:spacing w:line="360" w:lineRule="auto" w:after="60"/>
        <w:ind w:firstLine="420"/>
        <w:jc w:val="both"/>
      </w:pPr>
      <w:r>
        <w:rPr>
          <w:rFonts w:ascii="Times New Roman" w:hAnsi="Times New Roman" w:eastAsia="宋体"/>
          <w:b w:val="0"/>
          <w:sz w:val="22"/>
        </w:rPr>
        <w:t>总之，电容器可靠性研究是电子元器件可靠性工程领域历史最悠久、课题最丰富的方向之一。在新能源革命、电气化交通、智能制造与人工智能计算的大背景下，这一方向还将长期保持旺盛的研究活力。本报告的系统梳理希望能够为后续研究者提供有用的理论参考与方法学起点。</w:t>
      </w:r>
    </w:p>
    <w:p>
      <w:r>
        <w:br w:type="page"/>
      </w:r>
    </w:p>
    <w:p>
      <w:pPr>
        <w:spacing w:before="240" w:after="120"/>
        <w:outlineLvl w:val="1"/>
      </w:pPr>
      <w:r>
        <w:rPr>
          <w:rFonts w:ascii="Times New Roman" w:hAnsi="Times New Roman" w:eastAsia="黑体"/>
          <w:b/>
          <w:sz w:val="36"/>
        </w:rPr>
        <w:t>附录A  典型工程案例分析</w:t>
      </w:r>
    </w:p>
    <w:p>
      <w:pPr>
        <w:spacing w:line="360" w:lineRule="auto" w:after="60"/>
        <w:ind w:firstLine="420"/>
        <w:jc w:val="both"/>
      </w:pPr>
      <w:r>
        <w:rPr>
          <w:rFonts w:ascii="Times New Roman" w:hAnsi="Times New Roman" w:eastAsia="宋体"/>
          <w:b w:val="0"/>
          <w:sz w:val="22"/>
        </w:rPr>
        <w:t>本附录选取了电力电子、航空航天、电动汽车、轨道交通、通信基站等典型领域中五个具有代表性的电容器失效案例，按照"背景→现象→失效分析→机理判定→改进措施"五段式结构开展案例分析，以便读者将报告中阐述的原理与工程实践相互印证。</w:t>
      </w:r>
    </w:p>
    <w:p>
      <w:pPr>
        <w:spacing w:before="240" w:after="120"/>
        <w:outlineLvl w:val="2"/>
      </w:pPr>
      <w:r>
        <w:rPr>
          <w:rFonts w:ascii="Times New Roman" w:hAnsi="Times New Roman" w:eastAsia="黑体"/>
          <w:b/>
          <w:sz w:val="30"/>
        </w:rPr>
        <w:t>A.1 案例一：变频器直流母线铝电解电容器大批量失效</w:t>
      </w:r>
    </w:p>
    <w:p>
      <w:pPr>
        <w:spacing w:before="240" w:after="120"/>
        <w:outlineLvl w:val="3"/>
      </w:pPr>
      <w:r>
        <w:rPr>
          <w:rFonts w:ascii="Times New Roman" w:hAnsi="Times New Roman" w:eastAsia="黑体"/>
          <w:b/>
          <w:sz w:val="26"/>
        </w:rPr>
        <w:t>A.1.1 背景与现象</w:t>
      </w:r>
    </w:p>
    <w:p>
      <w:pPr>
        <w:spacing w:line="360" w:lineRule="auto" w:after="60"/>
        <w:ind w:firstLine="420"/>
        <w:jc w:val="both"/>
      </w:pPr>
      <w:r>
        <w:rPr>
          <w:rFonts w:ascii="Times New Roman" w:hAnsi="Times New Roman" w:eastAsia="宋体"/>
          <w:b w:val="0"/>
          <w:sz w:val="22"/>
        </w:rPr>
        <w:t>某工业用通用变频器在沿海高温高湿地区运行3年后出现批量性故障，故障率显著高于同型产品在华北内陆地区的故障率。整机失效的主要表现为：输出电压纹波超标、IGBT模块过电流跳闸，最终直流母线过压报警。现场拆机发现，故障产品的直流母线Al-cap普遍出现壳体顶部鼓包，部分电容防爆阀已开启并有电解液结晶渗出。</w:t>
      </w:r>
    </w:p>
    <w:p>
      <w:pPr>
        <w:spacing w:before="240" w:after="120"/>
        <w:outlineLvl w:val="3"/>
      </w:pPr>
      <w:r>
        <w:rPr>
          <w:rFonts w:ascii="Times New Roman" w:hAnsi="Times New Roman" w:eastAsia="黑体"/>
          <w:b/>
          <w:sz w:val="26"/>
        </w:rPr>
        <w:t>A.1.2 失效分析</w:t>
      </w:r>
    </w:p>
    <w:p>
      <w:pPr>
        <w:spacing w:line="360" w:lineRule="auto" w:after="60"/>
        <w:ind w:firstLine="420"/>
        <w:jc w:val="both"/>
      </w:pPr>
      <w:r>
        <w:rPr>
          <w:rFonts w:ascii="Times New Roman" w:hAnsi="Times New Roman" w:eastAsia="宋体"/>
          <w:b w:val="0"/>
          <w:sz w:val="22"/>
        </w:rPr>
        <w:t>对故障电容进行拆解与成分分析，发现：</w:t>
      </w:r>
    </w:p>
    <w:p>
      <w:pPr>
        <w:spacing w:line="360" w:lineRule="auto" w:after="60"/>
        <w:ind w:firstLine="420"/>
        <w:jc w:val="both"/>
      </w:pPr>
      <w:r>
        <w:rPr>
          <w:rFonts w:ascii="Times New Roman" w:hAnsi="Times New Roman" w:eastAsia="宋体"/>
          <w:b w:val="0"/>
          <w:sz w:val="22"/>
        </w:rPr>
        <w:t>（1）电解液质量较初始值减少了约35%~42%，电解液中有色的氧化物沉淀显著增多；</w:t>
      </w:r>
    </w:p>
    <w:p>
      <w:pPr>
        <w:spacing w:line="360" w:lineRule="auto" w:after="60"/>
        <w:ind w:firstLine="420"/>
        <w:jc w:val="both"/>
      </w:pPr>
      <w:r>
        <w:rPr>
          <w:rFonts w:ascii="Times New Roman" w:hAnsi="Times New Roman" w:eastAsia="宋体"/>
          <w:b w:val="0"/>
          <w:sz w:val="22"/>
        </w:rPr>
        <w:t>（2）阳极箔表面化成膜出现点状缺陷，SEM图可观察到直径5~20 μm的点蚀坑；</w:t>
      </w:r>
    </w:p>
    <w:p>
      <w:pPr>
        <w:spacing w:line="360" w:lineRule="auto" w:after="60"/>
        <w:ind w:firstLine="420"/>
        <w:jc w:val="both"/>
      </w:pPr>
      <w:r>
        <w:rPr>
          <w:rFonts w:ascii="Times New Roman" w:hAnsi="Times New Roman" w:eastAsia="宋体"/>
          <w:b w:val="0"/>
          <w:sz w:val="22"/>
        </w:rPr>
        <w:t>（3）阴极箔几乎已"干涸"，与电解纸黏连；</w:t>
      </w:r>
    </w:p>
    <w:p>
      <w:pPr>
        <w:spacing w:line="360" w:lineRule="auto" w:after="60"/>
        <w:ind w:firstLine="420"/>
        <w:jc w:val="both"/>
      </w:pPr>
      <w:r>
        <w:rPr>
          <w:rFonts w:ascii="Times New Roman" w:hAnsi="Times New Roman" w:eastAsia="宋体"/>
          <w:b w:val="0"/>
          <w:sz w:val="22"/>
        </w:rPr>
        <w:t>（4）密封橡胶塞表面出现氧化硬化龟裂。</w:t>
      </w:r>
    </w:p>
    <w:p>
      <w:pPr>
        <w:spacing w:before="240" w:after="120"/>
        <w:outlineLvl w:val="3"/>
      </w:pPr>
      <w:r>
        <w:rPr>
          <w:rFonts w:ascii="Times New Roman" w:hAnsi="Times New Roman" w:eastAsia="黑体"/>
          <w:b/>
          <w:sz w:val="26"/>
        </w:rPr>
        <w:t>A.1.3 机理判定</w:t>
      </w:r>
    </w:p>
    <w:p>
      <w:pPr>
        <w:spacing w:line="360" w:lineRule="auto" w:after="60"/>
        <w:ind w:firstLine="420"/>
        <w:jc w:val="both"/>
      </w:pPr>
      <w:r>
        <w:rPr>
          <w:rFonts w:ascii="Times New Roman" w:hAnsi="Times New Roman" w:eastAsia="宋体"/>
          <w:b w:val="0"/>
          <w:sz w:val="22"/>
        </w:rPr>
        <w:t>结合现场工况（环境温度长期35~40℃、空气中盐雾与潮气富集、变频器机箱设计散热不佳使内部温度进一步升至55~65℃）与拆解数据，判定主导失效机理为：</w:t>
      </w:r>
    </w:p>
    <w:p>
      <w:pPr>
        <w:spacing w:line="360" w:lineRule="auto" w:after="60"/>
        <w:ind w:firstLine="420"/>
        <w:jc w:val="both"/>
      </w:pPr>
      <w:r>
        <w:rPr>
          <w:rFonts w:ascii="Times New Roman" w:hAnsi="Times New Roman" w:eastAsia="宋体"/>
          <w:b w:val="0"/>
          <w:sz w:val="22"/>
        </w:rPr>
        <w:t>（1）电解液溶剂蒸发加速——现场温度比设计工况高约15℃，依据Arrhenius激活能0.94 eV估算，蒸发速率上升约4.0倍[23][28]；</w:t>
      </w:r>
    </w:p>
    <w:p>
      <w:pPr>
        <w:spacing w:line="360" w:lineRule="auto" w:after="60"/>
        <w:ind w:firstLine="420"/>
        <w:jc w:val="both"/>
      </w:pPr>
      <w:r>
        <w:rPr>
          <w:rFonts w:ascii="Times New Roman" w:hAnsi="Times New Roman" w:eastAsia="宋体"/>
          <w:b w:val="0"/>
          <w:sz w:val="22"/>
        </w:rPr>
        <w:t>（2）密封胶塞在高温高湿下加速老化，进一步加剧溶剂散逸；</w:t>
      </w:r>
    </w:p>
    <w:p>
      <w:pPr>
        <w:spacing w:line="360" w:lineRule="auto" w:after="60"/>
        <w:ind w:firstLine="420"/>
        <w:jc w:val="both"/>
      </w:pPr>
      <w:r>
        <w:rPr>
          <w:rFonts w:ascii="Times New Roman" w:hAnsi="Times New Roman" w:eastAsia="宋体"/>
          <w:b w:val="0"/>
          <w:sz w:val="22"/>
        </w:rPr>
        <w:t>（3）海盐气溶胶中的Cl⁻离子渗入电容器内部催化Al2O3氧化膜点蚀，直接诱发介质局部击穿；</w:t>
      </w:r>
    </w:p>
    <w:p>
      <w:pPr>
        <w:spacing w:line="360" w:lineRule="auto" w:after="60"/>
        <w:ind w:firstLine="420"/>
        <w:jc w:val="both"/>
      </w:pPr>
      <w:r>
        <w:rPr>
          <w:rFonts w:ascii="Times New Roman" w:hAnsi="Times New Roman" w:eastAsia="宋体"/>
          <w:b w:val="0"/>
          <w:sz w:val="22"/>
        </w:rPr>
        <w:t>（4）击穿-再化成循环释放的H2、O2气体累积使内压上升，最终触发防爆阀开启。</w:t>
      </w:r>
    </w:p>
    <w:p>
      <w:pPr>
        <w:spacing w:before="240" w:after="120"/>
        <w:outlineLvl w:val="3"/>
      </w:pPr>
      <w:r>
        <w:rPr>
          <w:rFonts w:ascii="Times New Roman" w:hAnsi="Times New Roman" w:eastAsia="黑体"/>
          <w:b/>
          <w:sz w:val="26"/>
        </w:rPr>
        <w:t>A.1.4 改进措施</w:t>
      </w:r>
    </w:p>
    <w:p>
      <w:pPr>
        <w:spacing w:line="360" w:lineRule="auto" w:after="60"/>
        <w:ind w:firstLine="420"/>
        <w:jc w:val="both"/>
      </w:pPr>
      <w:r>
        <w:rPr>
          <w:rFonts w:ascii="Times New Roman" w:hAnsi="Times New Roman" w:eastAsia="宋体"/>
          <w:b w:val="0"/>
          <w:sz w:val="22"/>
        </w:rPr>
        <w:t>（1）变频器内部布局优化，将Al-cap从IGBT模块正上方迁移至下方，降低热辐射影响；机箱加装强制风道使Al-cap壳体温度下降约10℃；</w:t>
      </w:r>
    </w:p>
    <w:p>
      <w:pPr>
        <w:spacing w:line="360" w:lineRule="auto" w:after="60"/>
        <w:ind w:firstLine="420"/>
        <w:jc w:val="both"/>
      </w:pPr>
      <w:r>
        <w:rPr>
          <w:rFonts w:ascii="Times New Roman" w:hAnsi="Times New Roman" w:eastAsia="宋体"/>
          <w:b w:val="0"/>
          <w:sz w:val="22"/>
        </w:rPr>
        <w:t>（2）将通用级Al-cap（105℃/2000 h）替换为高寿命型（105℃/10000 h）与长寿型车规级产品；</w:t>
      </w:r>
    </w:p>
    <w:p>
      <w:pPr>
        <w:spacing w:line="360" w:lineRule="auto" w:after="60"/>
        <w:ind w:firstLine="420"/>
        <w:jc w:val="both"/>
      </w:pPr>
      <w:r>
        <w:rPr>
          <w:rFonts w:ascii="Times New Roman" w:hAnsi="Times New Roman" w:eastAsia="宋体"/>
          <w:b w:val="0"/>
          <w:sz w:val="22"/>
        </w:rPr>
        <w:t>（3）对沿海与热带地区出厂产品采用增强密封规格（双道橡胶塞+环氧灌封）；</w:t>
      </w:r>
    </w:p>
    <w:p>
      <w:pPr>
        <w:spacing w:line="360" w:lineRule="auto" w:after="60"/>
        <w:ind w:firstLine="420"/>
        <w:jc w:val="both"/>
      </w:pPr>
      <w:r>
        <w:rPr>
          <w:rFonts w:ascii="Times New Roman" w:hAnsi="Times New Roman" w:eastAsia="宋体"/>
          <w:b w:val="0"/>
          <w:sz w:val="22"/>
        </w:rPr>
        <w:t>（4）部署简易监测系统，周期性测量Al-cap的ESR，当ESR升至初值2倍时发出预警。</w:t>
      </w:r>
    </w:p>
    <w:p>
      <w:pPr>
        <w:spacing w:line="360" w:lineRule="auto" w:after="60"/>
        <w:ind w:firstLine="420"/>
        <w:jc w:val="both"/>
      </w:pPr>
      <w:r>
        <w:rPr>
          <w:rFonts w:ascii="Times New Roman" w:hAnsi="Times New Roman" w:eastAsia="宋体"/>
          <w:b w:val="0"/>
          <w:sz w:val="22"/>
        </w:rPr>
        <w:t>上述措施在随后的跟踪中，沿海地区的故障率下降约一个数量级。</w:t>
      </w:r>
    </w:p>
    <w:p>
      <w:pPr>
        <w:spacing w:before="240" w:after="120"/>
        <w:outlineLvl w:val="2"/>
      </w:pPr>
      <w:r>
        <w:rPr>
          <w:rFonts w:ascii="Times New Roman" w:hAnsi="Times New Roman" w:eastAsia="黑体"/>
          <w:b/>
          <w:sz w:val="30"/>
        </w:rPr>
        <w:t>A.2 案例二：汽车ECU板上MLCC的PCB弯曲裂纹失效</w:t>
      </w:r>
    </w:p>
    <w:p>
      <w:pPr>
        <w:spacing w:before="240" w:after="120"/>
        <w:outlineLvl w:val="3"/>
      </w:pPr>
      <w:r>
        <w:rPr>
          <w:rFonts w:ascii="Times New Roman" w:hAnsi="Times New Roman" w:eastAsia="黑体"/>
          <w:b/>
          <w:sz w:val="26"/>
        </w:rPr>
        <w:t>A.2.1 背景与现象</w:t>
      </w:r>
    </w:p>
    <w:p>
      <w:pPr>
        <w:spacing w:line="360" w:lineRule="auto" w:after="60"/>
        <w:ind w:firstLine="420"/>
        <w:jc w:val="both"/>
      </w:pPr>
      <w:r>
        <w:rPr>
          <w:rFonts w:ascii="Times New Roman" w:hAnsi="Times New Roman" w:eastAsia="宋体"/>
          <w:b w:val="0"/>
          <w:sz w:val="22"/>
        </w:rPr>
        <w:t>某车型的发动机ECU在量产初期出现偶发性整机不工作故障，返厂统计显示故障率为每千台约0.5~0.8只。对失效板卡进行X射线与C-SAM检测，发现故障板上至少一只1210/1812尺寸的MLCC出现贯穿性裂纹短路，裂纹起始于端电极-陶瓷体交界处，沿45°方向向对角延伸至内电极区。</w:t>
      </w:r>
    </w:p>
    <w:p>
      <w:pPr>
        <w:spacing w:before="240" w:after="120"/>
        <w:outlineLvl w:val="3"/>
      </w:pPr>
      <w:r>
        <w:rPr>
          <w:rFonts w:ascii="Times New Roman" w:hAnsi="Times New Roman" w:eastAsia="黑体"/>
          <w:b/>
          <w:sz w:val="26"/>
        </w:rPr>
        <w:t>A.2.2 失效分析</w:t>
      </w:r>
    </w:p>
    <w:p>
      <w:pPr>
        <w:spacing w:line="360" w:lineRule="auto" w:after="60"/>
        <w:ind w:firstLine="420"/>
        <w:jc w:val="both"/>
      </w:pPr>
      <w:r>
        <w:rPr>
          <w:rFonts w:ascii="Times New Roman" w:hAnsi="Times New Roman" w:eastAsia="宋体"/>
          <w:b w:val="0"/>
          <w:sz w:val="22"/>
        </w:rPr>
        <w:t>对故障板的装配工艺做系统追溯，发现故障集中发生在某批次使用了较硬的PCB固定螺钉扭矩（由1.2 N·m增加至1.8 N·m）的装配工艺。通过应变片在线测量装配过程中的PCB应变，发现MLCC所在区域的瞬时弯曲应变峰值可达1200~1500 μstrain，已进入1210尺寸X7R MLCC的flex crack敏感区（典型阈值约1000 μstrain）[25][26]。</w:t>
      </w:r>
    </w:p>
    <w:p>
      <w:pPr>
        <w:spacing w:before="240" w:after="120"/>
        <w:outlineLvl w:val="3"/>
      </w:pPr>
      <w:r>
        <w:rPr>
          <w:rFonts w:ascii="Times New Roman" w:hAnsi="Times New Roman" w:eastAsia="黑体"/>
          <w:b/>
          <w:sz w:val="26"/>
        </w:rPr>
        <w:t>A.2.3 机理判定</w:t>
      </w:r>
    </w:p>
    <w:p>
      <w:pPr>
        <w:spacing w:line="360" w:lineRule="auto" w:after="60"/>
        <w:ind w:firstLine="420"/>
        <w:jc w:val="both"/>
      </w:pPr>
      <w:r>
        <w:rPr>
          <w:rFonts w:ascii="Times New Roman" w:hAnsi="Times New Roman" w:eastAsia="宋体"/>
          <w:b w:val="0"/>
          <w:sz w:val="22"/>
        </w:rPr>
        <w:t>判定失效机理为：</w:t>
      </w:r>
    </w:p>
    <w:p>
      <w:pPr>
        <w:spacing w:line="360" w:lineRule="auto" w:after="60"/>
        <w:ind w:firstLine="420"/>
        <w:jc w:val="both"/>
      </w:pPr>
      <w:r>
        <w:rPr>
          <w:rFonts w:ascii="Times New Roman" w:hAnsi="Times New Roman" w:eastAsia="宋体"/>
          <w:b w:val="0"/>
          <w:sz w:val="22"/>
        </w:rPr>
        <w:t>（1）装配过程中的PCB弯曲应变超过MLCC flex crack阈值，陶瓷本体在端电极-陶瓷交界处（应力集中区）起裂；</w:t>
      </w:r>
    </w:p>
    <w:p>
      <w:pPr>
        <w:spacing w:line="360" w:lineRule="auto" w:after="60"/>
        <w:ind w:firstLine="420"/>
        <w:jc w:val="both"/>
      </w:pPr>
      <w:r>
        <w:rPr>
          <w:rFonts w:ascii="Times New Roman" w:hAnsi="Times New Roman" w:eastAsia="宋体"/>
          <w:b w:val="0"/>
          <w:sz w:val="22"/>
        </w:rPr>
        <w:t>（2）热循环与振动应力使裂纹稳步扩展至内电极区；</w:t>
      </w:r>
    </w:p>
    <w:p>
      <w:pPr>
        <w:spacing w:line="360" w:lineRule="auto" w:after="60"/>
        <w:ind w:firstLine="420"/>
        <w:jc w:val="both"/>
      </w:pPr>
      <w:r>
        <w:rPr>
          <w:rFonts w:ascii="Times New Roman" w:hAnsi="Times New Roman" w:eastAsia="宋体"/>
          <w:b w:val="0"/>
          <w:sz w:val="22"/>
        </w:rPr>
        <w:t>（3）裂纹通道内渗入湿气，电化学迁移使阴阳电极短路[30][31]。</w:t>
      </w:r>
    </w:p>
    <w:p>
      <w:pPr>
        <w:spacing w:before="240" w:after="120"/>
        <w:outlineLvl w:val="3"/>
      </w:pPr>
      <w:r>
        <w:rPr>
          <w:rFonts w:ascii="Times New Roman" w:hAnsi="Times New Roman" w:eastAsia="黑体"/>
          <w:b/>
          <w:sz w:val="26"/>
        </w:rPr>
        <w:t>A.2.4 改进措施</w:t>
      </w:r>
    </w:p>
    <w:p>
      <w:pPr>
        <w:spacing w:line="360" w:lineRule="auto" w:after="60"/>
        <w:ind w:firstLine="420"/>
        <w:jc w:val="both"/>
      </w:pPr>
      <w:r>
        <w:rPr>
          <w:rFonts w:ascii="Times New Roman" w:hAnsi="Times New Roman" w:eastAsia="宋体"/>
          <w:b w:val="0"/>
          <w:sz w:val="22"/>
        </w:rPr>
        <w:t>（1）将1210与1812尺寸MLCC替换为采用软端电极工艺的同规格产品，flex crack阈值提升至2500 μstrain以上；</w:t>
      </w:r>
    </w:p>
    <w:p>
      <w:pPr>
        <w:spacing w:line="360" w:lineRule="auto" w:after="60"/>
        <w:ind w:firstLine="420"/>
        <w:jc w:val="both"/>
      </w:pPr>
      <w:r>
        <w:rPr>
          <w:rFonts w:ascii="Times New Roman" w:hAnsi="Times New Roman" w:eastAsia="宋体"/>
          <w:b w:val="0"/>
          <w:sz w:val="22"/>
        </w:rPr>
        <w:t>（2）修改PCB布局，将大尺寸MLCC迁移出螺钉安装孔附近与分板V-cut区域，至少保持5 mm安全距离；</w:t>
      </w:r>
    </w:p>
    <w:p>
      <w:pPr>
        <w:spacing w:line="360" w:lineRule="auto" w:after="60"/>
        <w:ind w:firstLine="420"/>
        <w:jc w:val="both"/>
      </w:pPr>
      <w:r>
        <w:rPr>
          <w:rFonts w:ascii="Times New Roman" w:hAnsi="Times New Roman" w:eastAsia="宋体"/>
          <w:b w:val="0"/>
          <w:sz w:val="22"/>
        </w:rPr>
        <w:t>（3）优化螺钉装配扭矩规程，采用扭矩可控的电动螺丝刀配合二阶段拧紧；</w:t>
      </w:r>
    </w:p>
    <w:p>
      <w:pPr>
        <w:spacing w:line="360" w:lineRule="auto" w:after="60"/>
        <w:ind w:firstLine="420"/>
        <w:jc w:val="both"/>
      </w:pPr>
      <w:r>
        <w:rPr>
          <w:rFonts w:ascii="Times New Roman" w:hAnsi="Times New Roman" w:eastAsia="宋体"/>
          <w:b w:val="0"/>
          <w:sz w:val="22"/>
        </w:rPr>
        <w:t>（4）在PCB设计审查流程中引入"flex-crack risk checklist"，强制要求1210及以上MLCC进行板级应变仿真。</w:t>
      </w:r>
    </w:p>
    <w:p>
      <w:pPr>
        <w:spacing w:line="360" w:lineRule="auto" w:after="60"/>
        <w:ind w:firstLine="420"/>
        <w:jc w:val="both"/>
      </w:pPr>
      <w:r>
        <w:rPr>
          <w:rFonts w:ascii="Times New Roman" w:hAnsi="Times New Roman" w:eastAsia="宋体"/>
          <w:b w:val="0"/>
          <w:sz w:val="22"/>
        </w:rPr>
        <w:t>改进后故障率下降至可忽略水平（&lt;1 ppm）。</w:t>
      </w:r>
    </w:p>
    <w:p>
      <w:pPr>
        <w:spacing w:before="240" w:after="120"/>
        <w:outlineLvl w:val="2"/>
      </w:pPr>
      <w:r>
        <w:rPr>
          <w:rFonts w:ascii="Times New Roman" w:hAnsi="Times New Roman" w:eastAsia="黑体"/>
          <w:b/>
          <w:sz w:val="30"/>
        </w:rPr>
        <w:t>A.3 案例三：电动汽车逆变器DC-link薄膜电容的过热退化</w:t>
      </w:r>
    </w:p>
    <w:p>
      <w:pPr>
        <w:spacing w:before="240" w:after="120"/>
        <w:outlineLvl w:val="3"/>
      </w:pPr>
      <w:r>
        <w:rPr>
          <w:rFonts w:ascii="Times New Roman" w:hAnsi="Times New Roman" w:eastAsia="黑体"/>
          <w:b/>
          <w:sz w:val="26"/>
        </w:rPr>
        <w:t>A.3.1 背景与现象</w:t>
      </w:r>
    </w:p>
    <w:p>
      <w:pPr>
        <w:spacing w:line="360" w:lineRule="auto" w:after="60"/>
        <w:ind w:firstLine="420"/>
        <w:jc w:val="both"/>
      </w:pPr>
      <w:r>
        <w:rPr>
          <w:rFonts w:ascii="Times New Roman" w:hAnsi="Times New Roman" w:eastAsia="宋体"/>
          <w:b w:val="0"/>
          <w:sz w:val="22"/>
        </w:rPr>
        <w:t>某款电动汽车主驱逆变器在累计里程10万km后，部分车辆反映动力输出异常与间歇性电机抖动。售后部门的OBD日志显示逆变器DC-link电容的实时监测值ESR已上升至初始值的180%~220%，容量下降了5%~8%。</w:t>
      </w:r>
    </w:p>
    <w:p>
      <w:pPr>
        <w:spacing w:before="240" w:after="120"/>
        <w:outlineLvl w:val="3"/>
      </w:pPr>
      <w:r>
        <w:rPr>
          <w:rFonts w:ascii="Times New Roman" w:hAnsi="Times New Roman" w:eastAsia="黑体"/>
          <w:b/>
          <w:sz w:val="26"/>
        </w:rPr>
        <w:t>A.3.2 失效分析</w:t>
      </w:r>
    </w:p>
    <w:p>
      <w:pPr>
        <w:spacing w:line="360" w:lineRule="auto" w:after="60"/>
        <w:ind w:firstLine="420"/>
        <w:jc w:val="both"/>
      </w:pPr>
      <w:r>
        <w:rPr>
          <w:rFonts w:ascii="Times New Roman" w:hAnsi="Times New Roman" w:eastAsia="宋体"/>
          <w:b w:val="0"/>
          <w:sz w:val="22"/>
        </w:rPr>
        <w:t>对返修件做切片分析，发现BOPP薄膜局部出现发黄、喷金层与膜界面出现微裂纹。测试其离线阻抗谱，可见中频段ESR明显上升，低频段容量在DC偏置下偏离较多。热成像分析发现车辆在高负荷工况下，电容本体表面温度可达95~102℃，而产品规格最高工作温度为105℃。</w:t>
      </w:r>
    </w:p>
    <w:p>
      <w:pPr>
        <w:spacing w:before="240" w:after="120"/>
        <w:outlineLvl w:val="3"/>
      </w:pPr>
      <w:r>
        <w:rPr>
          <w:rFonts w:ascii="Times New Roman" w:hAnsi="Times New Roman" w:eastAsia="黑体"/>
          <w:b/>
          <w:sz w:val="26"/>
        </w:rPr>
        <w:t>A.3.3 机理判定</w:t>
      </w:r>
    </w:p>
    <w:p>
      <w:pPr>
        <w:spacing w:line="360" w:lineRule="auto" w:after="60"/>
        <w:ind w:firstLine="420"/>
        <w:jc w:val="both"/>
      </w:pPr>
      <w:r>
        <w:rPr>
          <w:rFonts w:ascii="Times New Roman" w:hAnsi="Times New Roman" w:eastAsia="宋体"/>
          <w:b w:val="0"/>
          <w:sz w:val="22"/>
        </w:rPr>
        <w:t>主导机理为热应力与电应力耦合下的BOPP薄膜氧化老化与喷金层腐蚀[36][37]：</w:t>
      </w:r>
    </w:p>
    <w:p>
      <w:pPr>
        <w:spacing w:line="360" w:lineRule="auto" w:after="60"/>
        <w:ind w:firstLine="420"/>
        <w:jc w:val="both"/>
      </w:pPr>
      <w:r>
        <w:rPr>
          <w:rFonts w:ascii="Times New Roman" w:hAnsi="Times New Roman" w:eastAsia="宋体"/>
          <w:b w:val="0"/>
          <w:sz w:val="22"/>
        </w:rPr>
        <w:t>（1）高温下BOPP主链断裂与侧基氧化，介质损耗上升，反过来使自发热加剧；</w:t>
      </w:r>
    </w:p>
    <w:p>
      <w:pPr>
        <w:spacing w:line="360" w:lineRule="auto" w:after="60"/>
        <w:ind w:firstLine="420"/>
        <w:jc w:val="both"/>
      </w:pPr>
      <w:r>
        <w:rPr>
          <w:rFonts w:ascii="Times New Roman" w:hAnsi="Times New Roman" w:eastAsia="宋体"/>
          <w:b w:val="0"/>
          <w:sz w:val="22"/>
        </w:rPr>
        <w:t>（2）喷金层（Zn/Sn）在高温潮气下发生电偶腐蚀，接触电阻上升；</w:t>
      </w:r>
    </w:p>
    <w:p>
      <w:pPr>
        <w:spacing w:line="360" w:lineRule="auto" w:after="60"/>
        <w:ind w:firstLine="420"/>
        <w:jc w:val="both"/>
      </w:pPr>
      <w:r>
        <w:rPr>
          <w:rFonts w:ascii="Times New Roman" w:hAnsi="Times New Roman" w:eastAsia="宋体"/>
          <w:b w:val="0"/>
          <w:sz w:val="22"/>
        </w:rPr>
        <w:t>（3）自愈事件逐步累积，容量进一步下降；</w:t>
      </w:r>
    </w:p>
    <w:p>
      <w:pPr>
        <w:spacing w:line="360" w:lineRule="auto" w:after="60"/>
        <w:ind w:firstLine="420"/>
        <w:jc w:val="both"/>
      </w:pPr>
      <w:r>
        <w:rPr>
          <w:rFonts w:ascii="Times New Roman" w:hAnsi="Times New Roman" w:eastAsia="宋体"/>
          <w:b w:val="0"/>
          <w:sz w:val="22"/>
        </w:rPr>
        <w:t>（4）单体间的温度不均引起容量/ESR离散度增大，最终逆变器控制系统判断参数超出允许区间。</w:t>
      </w:r>
    </w:p>
    <w:p>
      <w:pPr>
        <w:spacing w:before="240" w:after="120"/>
        <w:outlineLvl w:val="3"/>
      </w:pPr>
      <w:r>
        <w:rPr>
          <w:rFonts w:ascii="Times New Roman" w:hAnsi="Times New Roman" w:eastAsia="黑体"/>
          <w:b/>
          <w:sz w:val="26"/>
        </w:rPr>
        <w:t>A.3.4 改进措施</w:t>
      </w:r>
    </w:p>
    <w:p>
      <w:pPr>
        <w:spacing w:line="360" w:lineRule="auto" w:after="60"/>
        <w:ind w:firstLine="420"/>
        <w:jc w:val="both"/>
      </w:pPr>
      <w:r>
        <w:rPr>
          <w:rFonts w:ascii="Times New Roman" w:hAnsi="Times New Roman" w:eastAsia="宋体"/>
          <w:b w:val="0"/>
          <w:sz w:val="22"/>
        </w:rPr>
        <w:t>（1）将DC-link电容模块改为液冷集成式，使电容壳体温度峰值控制在85℃以下；</w:t>
      </w:r>
    </w:p>
    <w:p>
      <w:pPr>
        <w:spacing w:line="360" w:lineRule="auto" w:after="60"/>
        <w:ind w:firstLine="420"/>
        <w:jc w:val="both"/>
      </w:pPr>
      <w:r>
        <w:rPr>
          <w:rFonts w:ascii="Times New Roman" w:hAnsi="Times New Roman" w:eastAsia="宋体"/>
          <w:b w:val="0"/>
          <w:sz w:val="22"/>
        </w:rPr>
        <w:t>（2）升级薄膜材料至110℃额定的纳米复合BOPP；</w:t>
      </w:r>
    </w:p>
    <w:p>
      <w:pPr>
        <w:spacing w:line="360" w:lineRule="auto" w:after="60"/>
        <w:ind w:firstLine="420"/>
        <w:jc w:val="both"/>
      </w:pPr>
      <w:r>
        <w:rPr>
          <w:rFonts w:ascii="Times New Roman" w:hAnsi="Times New Roman" w:eastAsia="宋体"/>
          <w:b w:val="0"/>
          <w:sz w:val="22"/>
        </w:rPr>
        <w:t>（3）端面喷金由常规Zn升级为Zn/Sn合金多层喷涂，提升湿度耐受；</w:t>
      </w:r>
    </w:p>
    <w:p>
      <w:pPr>
        <w:spacing w:line="360" w:lineRule="auto" w:after="60"/>
        <w:ind w:firstLine="420"/>
        <w:jc w:val="both"/>
      </w:pPr>
      <w:r>
        <w:rPr>
          <w:rFonts w:ascii="Times New Roman" w:hAnsi="Times New Roman" w:eastAsia="宋体"/>
          <w:b w:val="0"/>
          <w:sz w:val="22"/>
        </w:rPr>
        <w:t>（4）在VCU软件层增加电容温度监测与降功率保护逻辑，防止极端工况下过温；</w:t>
      </w:r>
    </w:p>
    <w:p>
      <w:pPr>
        <w:spacing w:line="360" w:lineRule="auto" w:after="60"/>
        <w:ind w:firstLine="420"/>
        <w:jc w:val="both"/>
      </w:pPr>
      <w:r>
        <w:rPr>
          <w:rFonts w:ascii="Times New Roman" w:hAnsi="Times New Roman" w:eastAsia="宋体"/>
          <w:b w:val="0"/>
          <w:sz w:val="22"/>
        </w:rPr>
        <w:t>（5）厂内量产件100%老炼+纹波电流测试。</w:t>
      </w:r>
    </w:p>
    <w:p>
      <w:pPr>
        <w:spacing w:line="360" w:lineRule="auto" w:after="60"/>
        <w:ind w:firstLine="420"/>
        <w:jc w:val="both"/>
      </w:pPr>
      <w:r>
        <w:rPr>
          <w:rFonts w:ascii="Times New Roman" w:hAnsi="Times New Roman" w:eastAsia="宋体"/>
          <w:b w:val="0"/>
          <w:sz w:val="22"/>
        </w:rPr>
        <w:t>跟踪结果表明，售后故障率明显改善，10万km故障率降低约一个量级。</w:t>
      </w:r>
    </w:p>
    <w:p>
      <w:pPr>
        <w:spacing w:before="240" w:after="120"/>
        <w:outlineLvl w:val="2"/>
      </w:pPr>
      <w:r>
        <w:rPr>
          <w:rFonts w:ascii="Times New Roman" w:hAnsi="Times New Roman" w:eastAsia="黑体"/>
          <w:b/>
          <w:sz w:val="30"/>
        </w:rPr>
        <w:t>A.4 案例四：航天电源模块钽电容的浪涌着火</w:t>
      </w:r>
    </w:p>
    <w:p>
      <w:pPr>
        <w:spacing w:before="240" w:after="120"/>
        <w:outlineLvl w:val="3"/>
      </w:pPr>
      <w:r>
        <w:rPr>
          <w:rFonts w:ascii="Times New Roman" w:hAnsi="Times New Roman" w:eastAsia="黑体"/>
          <w:b/>
          <w:sz w:val="26"/>
        </w:rPr>
        <w:t>A.4.1 背景与现象</w:t>
      </w:r>
    </w:p>
    <w:p>
      <w:pPr>
        <w:spacing w:line="360" w:lineRule="auto" w:after="60"/>
        <w:ind w:firstLine="420"/>
        <w:jc w:val="both"/>
      </w:pPr>
      <w:r>
        <w:rPr>
          <w:rFonts w:ascii="Times New Roman" w:hAnsi="Times New Roman" w:eastAsia="宋体"/>
          <w:b w:val="0"/>
          <w:sz w:val="22"/>
        </w:rPr>
        <w:t>某卫星电源模块在入轨后第108小时出现功率母线瞬时断电，地面遥测数据显示电流在毫秒内剧增后迅速下降至零。冗余切换机构启动后恢复供电。后续对备份地面工程样机的系统级复现测试中，发现同批次的10V/100μF固体钽电容器在承受数百毫秒的瞬态过压时发生着火。</w:t>
      </w:r>
    </w:p>
    <w:p>
      <w:pPr>
        <w:spacing w:before="240" w:after="120"/>
        <w:outlineLvl w:val="3"/>
      </w:pPr>
      <w:r>
        <w:rPr>
          <w:rFonts w:ascii="Times New Roman" w:hAnsi="Times New Roman" w:eastAsia="黑体"/>
          <w:b/>
          <w:sz w:val="26"/>
        </w:rPr>
        <w:t>A.4.2 失效分析</w:t>
      </w:r>
    </w:p>
    <w:p>
      <w:pPr>
        <w:spacing w:line="360" w:lineRule="auto" w:after="60"/>
        <w:ind w:firstLine="420"/>
        <w:jc w:val="both"/>
      </w:pPr>
      <w:r>
        <w:rPr>
          <w:rFonts w:ascii="Times New Roman" w:hAnsi="Times New Roman" w:eastAsia="宋体"/>
          <w:b w:val="0"/>
          <w:sz w:val="22"/>
        </w:rPr>
        <w:t>对故障件做切片与SEM/EDS分析，发现Ta阳极表面Ta2O5介质在靠近阴极的数十个区域存在明显的结晶区域（β-Ta2O5晶粒直径约1~3 μm）；故障后壳体内部MnO2已全部碳化，钽阳极已形成熔化迹象，证实了钽的燃烧[2][9][10][39]。</w:t>
      </w:r>
    </w:p>
    <w:p>
      <w:pPr>
        <w:spacing w:before="240" w:after="120"/>
        <w:outlineLvl w:val="3"/>
      </w:pPr>
      <w:r>
        <w:rPr>
          <w:rFonts w:ascii="Times New Roman" w:hAnsi="Times New Roman" w:eastAsia="黑体"/>
          <w:b/>
          <w:sz w:val="26"/>
        </w:rPr>
        <w:t>A.4.3 机理判定</w:t>
      </w:r>
    </w:p>
    <w:p>
      <w:pPr>
        <w:spacing w:line="360" w:lineRule="auto" w:after="60"/>
        <w:ind w:firstLine="420"/>
        <w:jc w:val="both"/>
      </w:pPr>
      <w:r>
        <w:rPr>
          <w:rFonts w:ascii="Times New Roman" w:hAnsi="Times New Roman" w:eastAsia="宋体"/>
          <w:b w:val="0"/>
          <w:sz w:val="22"/>
        </w:rPr>
        <w:t>判定机理为典型的"场致结晶+浪涌热失控"：</w:t>
      </w:r>
    </w:p>
    <w:p>
      <w:pPr>
        <w:spacing w:line="360" w:lineRule="auto" w:after="60"/>
        <w:ind w:firstLine="420"/>
        <w:jc w:val="both"/>
      </w:pPr>
      <w:r>
        <w:rPr>
          <w:rFonts w:ascii="Times New Roman" w:hAnsi="Times New Roman" w:eastAsia="宋体"/>
          <w:b w:val="0"/>
          <w:sz w:val="22"/>
        </w:rPr>
        <w:t>（1）入轨前地面测试阶段Ta2O5介质已积累一定结晶区；</w:t>
      </w:r>
    </w:p>
    <w:p>
      <w:pPr>
        <w:spacing w:line="360" w:lineRule="auto" w:after="60"/>
        <w:ind w:firstLine="420"/>
        <w:jc w:val="both"/>
      </w:pPr>
      <w:r>
        <w:rPr>
          <w:rFonts w:ascii="Times New Roman" w:hAnsi="Times New Roman" w:eastAsia="宋体"/>
          <w:b w:val="0"/>
          <w:sz w:val="22"/>
        </w:rPr>
        <w:t>（2）入轨后主电源瞬态尖峰（约1.6倍额定电压）叠加温度波动，使漏电流呈非线性上升；</w:t>
      </w:r>
    </w:p>
    <w:p>
      <w:pPr>
        <w:spacing w:line="360" w:lineRule="auto" w:after="60"/>
        <w:ind w:firstLine="420"/>
        <w:jc w:val="both"/>
      </w:pPr>
      <w:r>
        <w:rPr>
          <w:rFonts w:ascii="Times New Roman" w:hAnsi="Times New Roman" w:eastAsia="宋体"/>
          <w:b w:val="0"/>
          <w:sz w:val="22"/>
        </w:rPr>
        <w:t>（3）局部焦耳热升至MnO2还原温度(450℃)以上，但浪涌能量过大，MnO2自愈已来不及发挥作用；</w:t>
      </w:r>
    </w:p>
    <w:p>
      <w:pPr>
        <w:spacing w:line="360" w:lineRule="auto" w:after="60"/>
        <w:ind w:firstLine="420"/>
        <w:jc w:val="both"/>
      </w:pPr>
      <w:r>
        <w:rPr>
          <w:rFonts w:ascii="Times New Roman" w:hAnsi="Times New Roman" w:eastAsia="宋体"/>
          <w:b w:val="0"/>
          <w:sz w:val="22"/>
        </w:rPr>
        <w:t>（4）Ta与O发生放热反应，形成着火。</w:t>
      </w:r>
    </w:p>
    <w:p>
      <w:pPr>
        <w:spacing w:before="240" w:after="120"/>
        <w:outlineLvl w:val="3"/>
      </w:pPr>
      <w:r>
        <w:rPr>
          <w:rFonts w:ascii="Times New Roman" w:hAnsi="Times New Roman" w:eastAsia="黑体"/>
          <w:b/>
          <w:sz w:val="26"/>
        </w:rPr>
        <w:t>A.4.4 改进措施</w:t>
      </w:r>
    </w:p>
    <w:p>
      <w:pPr>
        <w:spacing w:line="360" w:lineRule="auto" w:after="60"/>
        <w:ind w:firstLine="420"/>
        <w:jc w:val="both"/>
      </w:pPr>
      <w:r>
        <w:rPr>
          <w:rFonts w:ascii="Times New Roman" w:hAnsi="Times New Roman" w:eastAsia="宋体"/>
          <w:b w:val="0"/>
          <w:sz w:val="22"/>
        </w:rPr>
        <w:t>（1）在卫星电源母线前端增加浪涌抑制电路（TVS+串联电阻+后级电感）；</w:t>
      </w:r>
    </w:p>
    <w:p>
      <w:pPr>
        <w:spacing w:line="360" w:lineRule="auto" w:after="60"/>
        <w:ind w:firstLine="420"/>
        <w:jc w:val="both"/>
      </w:pPr>
      <w:r>
        <w:rPr>
          <w:rFonts w:ascii="Times New Roman" w:hAnsi="Times New Roman" w:eastAsia="宋体"/>
          <w:b w:val="0"/>
          <w:sz w:val="22"/>
        </w:rPr>
        <w:t>（2）钽电容工作电压降额从60%降至50%以下；</w:t>
      </w:r>
    </w:p>
    <w:p>
      <w:pPr>
        <w:spacing w:line="360" w:lineRule="auto" w:after="60"/>
        <w:ind w:firstLine="420"/>
        <w:jc w:val="both"/>
      </w:pPr>
      <w:r>
        <w:rPr>
          <w:rFonts w:ascii="Times New Roman" w:hAnsi="Times New Roman" w:eastAsia="宋体"/>
          <w:b w:val="0"/>
          <w:sz w:val="22"/>
        </w:rPr>
        <w:t>（3）选用F-Tech工艺的钽电容（早期失效率低一个量级）[10]；</w:t>
      </w:r>
    </w:p>
    <w:p>
      <w:pPr>
        <w:spacing w:line="360" w:lineRule="auto" w:after="60"/>
        <w:ind w:firstLine="420"/>
        <w:jc w:val="both"/>
      </w:pPr>
      <w:r>
        <w:rPr>
          <w:rFonts w:ascii="Times New Roman" w:hAnsi="Times New Roman" w:eastAsia="宋体"/>
          <w:b w:val="0"/>
          <w:sz w:val="22"/>
        </w:rPr>
        <w:t>（4）关键母线改用MnO2阴极+聚合物阴极的"混合型"钽电容，同时满足ESR与安全性需求；</w:t>
      </w:r>
    </w:p>
    <w:p>
      <w:pPr>
        <w:spacing w:line="360" w:lineRule="auto" w:after="60"/>
        <w:ind w:firstLine="420"/>
        <w:jc w:val="both"/>
      </w:pPr>
      <w:r>
        <w:rPr>
          <w:rFonts w:ascii="Times New Roman" w:hAnsi="Times New Roman" w:eastAsia="宋体"/>
          <w:b w:val="0"/>
          <w:sz w:val="22"/>
        </w:rPr>
        <w:t>（5）出厂前100%做三次浪涌测试（3SCT）筛选。</w:t>
      </w:r>
    </w:p>
    <w:p>
      <w:pPr>
        <w:spacing w:line="360" w:lineRule="auto" w:after="60"/>
        <w:ind w:firstLine="420"/>
        <w:jc w:val="both"/>
      </w:pPr>
      <w:r>
        <w:rPr>
          <w:rFonts w:ascii="Times New Roman" w:hAnsi="Times New Roman" w:eastAsia="宋体"/>
          <w:b w:val="0"/>
          <w:sz w:val="22"/>
        </w:rPr>
        <w:t>该改进方案已在后续的三颗卫星中得到验证，未再出现类似事件。</w:t>
      </w:r>
    </w:p>
    <w:p>
      <w:pPr>
        <w:spacing w:before="240" w:after="120"/>
        <w:outlineLvl w:val="2"/>
      </w:pPr>
      <w:r>
        <w:rPr>
          <w:rFonts w:ascii="Times New Roman" w:hAnsi="Times New Roman" w:eastAsia="黑体"/>
          <w:b/>
          <w:sz w:val="30"/>
        </w:rPr>
        <w:t>A.5 案例五：储能系统超级电容模组的容量早衰</w:t>
      </w:r>
    </w:p>
    <w:p>
      <w:pPr>
        <w:spacing w:before="240" w:after="120"/>
        <w:outlineLvl w:val="3"/>
      </w:pPr>
      <w:r>
        <w:rPr>
          <w:rFonts w:ascii="Times New Roman" w:hAnsi="Times New Roman" w:eastAsia="黑体"/>
          <w:b/>
          <w:sz w:val="26"/>
        </w:rPr>
        <w:t>A.5.1 背景与现象</w:t>
      </w:r>
    </w:p>
    <w:p>
      <w:pPr>
        <w:spacing w:line="360" w:lineRule="auto" w:after="60"/>
        <w:ind w:firstLine="420"/>
        <w:jc w:val="both"/>
      </w:pPr>
      <w:r>
        <w:rPr>
          <w:rFonts w:ascii="Times New Roman" w:hAnsi="Times New Roman" w:eastAsia="宋体"/>
          <w:b w:val="0"/>
          <w:sz w:val="22"/>
        </w:rPr>
        <w:t>某风电变桨备用电源采用48V/165F超级电容模组作为应急储能。投入使用约2年后，冬季低温启动时可用能量明显不足，经检测模组总容量已从165F下降至120F（下降27%），ESR从16 mΩ上升至30 mΩ（上升87%）。</w:t>
      </w:r>
    </w:p>
    <w:p>
      <w:pPr>
        <w:spacing w:before="240" w:after="120"/>
        <w:outlineLvl w:val="3"/>
      </w:pPr>
      <w:r>
        <w:rPr>
          <w:rFonts w:ascii="Times New Roman" w:hAnsi="Times New Roman" w:eastAsia="黑体"/>
          <w:b/>
          <w:sz w:val="26"/>
        </w:rPr>
        <w:t>A.5.2 失效分析</w:t>
      </w:r>
    </w:p>
    <w:p>
      <w:pPr>
        <w:spacing w:line="360" w:lineRule="auto" w:after="60"/>
        <w:ind w:firstLine="420"/>
        <w:jc w:val="both"/>
      </w:pPr>
      <w:r>
        <w:rPr>
          <w:rFonts w:ascii="Times New Roman" w:hAnsi="Times New Roman" w:eastAsia="宋体"/>
          <w:b w:val="0"/>
          <w:sz w:val="22"/>
        </w:rPr>
        <w:t>对单体做离线测试，发现模组内单体容量离散度较投运前明显扩大：最高单体容量约2980 F、最低仅约2440 F。离线阻抗谱显示所有单体在低频段的等效电荷转移电阻Rct均增加2~3倍；X射线无鼓包现象，拆解未见明显漏液。活性炭极片表征发现其BET比表面积由2050 m²/g下降至约1720 m²/g。</w:t>
      </w:r>
    </w:p>
    <w:p>
      <w:pPr>
        <w:spacing w:before="240" w:after="120"/>
        <w:outlineLvl w:val="3"/>
      </w:pPr>
      <w:r>
        <w:rPr>
          <w:rFonts w:ascii="Times New Roman" w:hAnsi="Times New Roman" w:eastAsia="黑体"/>
          <w:b/>
          <w:sz w:val="26"/>
        </w:rPr>
        <w:t>A.5.3 机理判定</w:t>
      </w:r>
    </w:p>
    <w:p>
      <w:pPr>
        <w:spacing w:line="360" w:lineRule="auto" w:after="60"/>
        <w:ind w:firstLine="420"/>
        <w:jc w:val="both"/>
      </w:pPr>
      <w:r>
        <w:rPr>
          <w:rFonts w:ascii="Times New Roman" w:hAnsi="Times New Roman" w:eastAsia="宋体"/>
          <w:b w:val="0"/>
          <w:sz w:val="22"/>
        </w:rPr>
        <w:t>判定为多机理协同作用[11][22][42][43]：</w:t>
      </w:r>
    </w:p>
    <w:p>
      <w:pPr>
        <w:spacing w:line="360" w:lineRule="auto" w:after="60"/>
        <w:ind w:firstLine="420"/>
        <w:jc w:val="both"/>
      </w:pPr>
      <w:r>
        <w:rPr>
          <w:rFonts w:ascii="Times New Roman" w:hAnsi="Times New Roman" w:eastAsia="宋体"/>
          <w:b w:val="0"/>
          <w:sz w:val="22"/>
        </w:rPr>
        <w:t>（1）模组内因温度分布不均，局部单体长期工作温度偏高5~8℃，加速有机电解液分解；</w:t>
      </w:r>
    </w:p>
    <w:p>
      <w:pPr>
        <w:spacing w:line="360" w:lineRule="auto" w:after="60"/>
        <w:ind w:firstLine="420"/>
        <w:jc w:val="both"/>
      </w:pPr>
      <w:r>
        <w:rPr>
          <w:rFonts w:ascii="Times New Roman" w:hAnsi="Times New Roman" w:eastAsia="宋体"/>
          <w:b w:val="0"/>
          <w:sz w:val="22"/>
        </w:rPr>
        <w:t>（2）活性炭的微孔在电压电化学应力下部分塌陷，有效比表面积下降；</w:t>
      </w:r>
    </w:p>
    <w:p>
      <w:pPr>
        <w:spacing w:line="360" w:lineRule="auto" w:after="60"/>
        <w:ind w:firstLine="420"/>
        <w:jc w:val="both"/>
      </w:pPr>
      <w:r>
        <w:rPr>
          <w:rFonts w:ascii="Times New Roman" w:hAnsi="Times New Roman" w:eastAsia="宋体"/>
          <w:b w:val="0"/>
          <w:sz w:val="22"/>
        </w:rPr>
        <w:t>（3）集流体Al箔在电解液中含微量水分下发生腐蚀，界面电阻上升；</w:t>
      </w:r>
    </w:p>
    <w:p>
      <w:pPr>
        <w:spacing w:line="360" w:lineRule="auto" w:after="60"/>
        <w:ind w:firstLine="420"/>
        <w:jc w:val="both"/>
      </w:pPr>
      <w:r>
        <w:rPr>
          <w:rFonts w:ascii="Times New Roman" w:hAnsi="Times New Roman" w:eastAsia="宋体"/>
          <w:b w:val="0"/>
          <w:sz w:val="22"/>
        </w:rPr>
        <w:t>（4）由于无主动均衡电路，高压单体长期处于过压边缘，进一步加速局部老化。</w:t>
      </w:r>
    </w:p>
    <w:p>
      <w:pPr>
        <w:spacing w:before="240" w:after="120"/>
        <w:outlineLvl w:val="3"/>
      </w:pPr>
      <w:r>
        <w:rPr>
          <w:rFonts w:ascii="Times New Roman" w:hAnsi="Times New Roman" w:eastAsia="黑体"/>
          <w:b/>
          <w:sz w:val="26"/>
        </w:rPr>
        <w:t>A.5.4 改进措施</w:t>
      </w:r>
    </w:p>
    <w:p>
      <w:pPr>
        <w:spacing w:line="360" w:lineRule="auto" w:after="60"/>
        <w:ind w:firstLine="420"/>
        <w:jc w:val="both"/>
      </w:pPr>
      <w:r>
        <w:rPr>
          <w:rFonts w:ascii="Times New Roman" w:hAnsi="Times New Roman" w:eastAsia="宋体"/>
          <w:b w:val="0"/>
          <w:sz w:val="22"/>
        </w:rPr>
        <w:t>（1）模组内增加主动均衡管理单元（BMS），实时监测每个单体电压并主动均衡；</w:t>
      </w:r>
    </w:p>
    <w:p>
      <w:pPr>
        <w:spacing w:line="360" w:lineRule="auto" w:after="60"/>
        <w:ind w:firstLine="420"/>
        <w:jc w:val="both"/>
      </w:pPr>
      <w:r>
        <w:rPr>
          <w:rFonts w:ascii="Times New Roman" w:hAnsi="Times New Roman" w:eastAsia="宋体"/>
          <w:b w:val="0"/>
          <w:sz w:val="22"/>
        </w:rPr>
        <w:t>（2）升级活性炭材料至经过表面处理的高比表面积活性炭（2200 m²/g），并使用镀碳铝箔集流体；</w:t>
      </w:r>
    </w:p>
    <w:p>
      <w:pPr>
        <w:spacing w:line="360" w:lineRule="auto" w:after="60"/>
        <w:ind w:firstLine="420"/>
        <w:jc w:val="both"/>
      </w:pPr>
      <w:r>
        <w:rPr>
          <w:rFonts w:ascii="Times New Roman" w:hAnsi="Times New Roman" w:eastAsia="宋体"/>
          <w:b w:val="0"/>
          <w:sz w:val="22"/>
        </w:rPr>
        <w:t>（3）优化模组散热结构，改善内部温度均匀性；</w:t>
      </w:r>
    </w:p>
    <w:p>
      <w:pPr>
        <w:spacing w:line="360" w:lineRule="auto" w:after="60"/>
        <w:ind w:firstLine="420"/>
        <w:jc w:val="both"/>
      </w:pPr>
      <w:r>
        <w:rPr>
          <w:rFonts w:ascii="Times New Roman" w:hAnsi="Times New Roman" w:eastAsia="宋体"/>
          <w:b w:val="0"/>
          <w:sz w:val="22"/>
        </w:rPr>
        <w:t>（4）部署基于CNN-LSTM的健康监测算法[15][45]，对每个单体的ΔC/ΔESR做趋势预测，按需更换高龄单体。</w:t>
      </w:r>
    </w:p>
    <w:p>
      <w:pPr>
        <w:spacing w:line="360" w:lineRule="auto" w:after="60"/>
        <w:ind w:firstLine="420"/>
        <w:jc w:val="both"/>
      </w:pPr>
      <w:r>
        <w:rPr>
          <w:rFonts w:ascii="Times New Roman" w:hAnsi="Times New Roman" w:eastAsia="宋体"/>
          <w:b w:val="0"/>
          <w:sz w:val="22"/>
        </w:rPr>
        <w:t>改进后同类型系统10年循环寿命的预测置信度大幅提升，年均运维成本下降约30%。</w:t>
      </w:r>
    </w:p>
    <w:p>
      <w:r>
        <w:br w:type="page"/>
      </w:r>
    </w:p>
    <w:p>
      <w:pPr>
        <w:spacing w:before="240" w:after="120"/>
        <w:outlineLvl w:val="1"/>
      </w:pPr>
      <w:r>
        <w:rPr>
          <w:rFonts w:ascii="Times New Roman" w:hAnsi="Times New Roman" w:eastAsia="黑体"/>
          <w:b/>
          <w:sz w:val="36"/>
        </w:rPr>
        <w:t>附录C  加速寿命试验设计范例</w:t>
      </w:r>
    </w:p>
    <w:p>
      <w:pPr>
        <w:spacing w:before="240" w:after="120"/>
        <w:outlineLvl w:val="2"/>
      </w:pPr>
      <w:r>
        <w:rPr>
          <w:rFonts w:ascii="Times New Roman" w:hAnsi="Times New Roman" w:eastAsia="黑体"/>
          <w:b/>
          <w:sz w:val="30"/>
        </w:rPr>
        <w:t>C.1 Arrhenius-逆幂律双应力试验设计</w:t>
      </w:r>
    </w:p>
    <w:p>
      <w:pPr>
        <w:spacing w:line="360" w:lineRule="auto" w:after="60"/>
        <w:ind w:firstLine="420"/>
        <w:jc w:val="both"/>
      </w:pPr>
      <w:r>
        <w:rPr>
          <w:rFonts w:ascii="Times New Roman" w:hAnsi="Times New Roman" w:eastAsia="宋体"/>
          <w:b w:val="0"/>
          <w:sz w:val="22"/>
        </w:rPr>
        <w:t>本节以BME-MLCC为例，给出一个典型的Arrhenius-逆幂律双应力加速试验设计范例，供工程参考。</w:t>
      </w:r>
    </w:p>
    <w:p>
      <w:pPr>
        <w:spacing w:line="360" w:lineRule="auto" w:after="60"/>
        <w:ind w:firstLine="420"/>
        <w:jc w:val="both"/>
      </w:pPr>
      <w:r>
        <w:rPr>
          <w:rFonts w:ascii="Times New Roman" w:hAnsi="Times New Roman" w:eastAsia="宋体"/>
          <w:b w:val="0"/>
          <w:sz w:val="22"/>
        </w:rPr>
        <w:t>试验对象：X7R BME MLCC, 1μF / 25V, 介质层厚度约1.5μm, 介质层数约300层。</w:t>
      </w:r>
    </w:p>
    <w:p>
      <w:pPr>
        <w:spacing w:line="360" w:lineRule="auto" w:after="60"/>
        <w:ind w:firstLine="420"/>
        <w:jc w:val="both"/>
      </w:pPr>
      <w:r>
        <w:rPr>
          <w:rFonts w:ascii="Times New Roman" w:hAnsi="Times New Roman" w:eastAsia="宋体"/>
          <w:b w:val="0"/>
          <w:sz w:val="22"/>
        </w:rPr>
        <w:t>试验目的：外推在常态工况（85℃、16V）下，该规格产品的B10寿命（10%失效时间）。</w:t>
      </w:r>
    </w:p>
    <w:p>
      <w:pPr>
        <w:spacing w:line="360" w:lineRule="auto" w:after="60"/>
        <w:ind w:firstLine="420"/>
        <w:jc w:val="both"/>
      </w:pPr>
      <w:r>
        <w:rPr>
          <w:rFonts w:ascii="Times New Roman" w:hAnsi="Times New Roman" w:eastAsia="宋体"/>
          <w:b w:val="0"/>
          <w:sz w:val="22"/>
        </w:rPr>
        <w:t>模型选择：采用Prokopowicz-Vaskas方程：t1/t2 = (V2/V1)^n · exp[(Ea/k)·(1/T1 - 1/T2)]，参考文献[12]中Kim等给出的典型参数Ea≈1.0 eV、n≈4.0为初值。</w:t>
      </w:r>
    </w:p>
    <w:p>
      <w:pPr>
        <w:spacing w:line="360" w:lineRule="auto" w:after="60"/>
        <w:ind w:firstLine="420"/>
        <w:jc w:val="both"/>
      </w:pPr>
      <w:r>
        <w:rPr>
          <w:rFonts w:ascii="Times New Roman" w:hAnsi="Times New Roman" w:eastAsia="宋体"/>
          <w:b w:val="0"/>
          <w:sz w:val="22"/>
        </w:rPr>
        <w:t>试验点设计：采用2×3全因子设计，两级温度（150℃、200℃）与三级电压（额定电压的2倍、3倍、4倍，即50V、75V、100V），每点取样样本量n≥77（以95%置信度观察到至少63%失效概率的Weibull估计需求）。推算每应力点寿命如下：</w:t>
      </w:r>
    </w:p>
    <w:p>
      <w:pPr>
        <w:jc w:val="center"/>
      </w:pPr>
      <w:r>
        <w:rPr>
          <w:rFonts w:ascii="Times New Roman" w:hAnsi="Times New Roman" w:eastAsia="黑体"/>
          <w:b/>
          <w:sz w:val="21"/>
        </w:rPr>
        <w:t>表C-1  BME MLCC双应力加速试验方案示例</w:t>
      </w:r>
    </w:p>
    <w:tbl>
      <w:tblPr>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
              <w:rPr>
                <w:rFonts w:ascii="Times New Roman" w:hAnsi="Times New Roman" w:eastAsia="黑体"/>
                <w:b/>
                <w:sz w:val="20"/>
              </w:rPr>
              <w:t>应力点</w:t>
            </w:r>
          </w:p>
        </w:tc>
        <w:tc>
          <w:tcPr>
            <w:tcW w:type="dxa" w:w="1662"/>
          </w:tcPr>
          <w:p>
            <w:pPr>
              <w:jc w:val="center"/>
            </w:pPr>
            <w:r/>
            <w:r>
              <w:rPr>
                <w:rFonts w:ascii="Times New Roman" w:hAnsi="Times New Roman" w:eastAsia="黑体"/>
                <w:b/>
                <w:sz w:val="20"/>
              </w:rPr>
              <w:t>T(℃)</w:t>
            </w:r>
          </w:p>
        </w:tc>
        <w:tc>
          <w:tcPr>
            <w:tcW w:type="dxa" w:w="1662"/>
          </w:tcPr>
          <w:p>
            <w:pPr>
              <w:jc w:val="center"/>
            </w:pPr>
            <w:r/>
            <w:r>
              <w:rPr>
                <w:rFonts w:ascii="Times New Roman" w:hAnsi="Times New Roman" w:eastAsia="黑体"/>
                <w:b/>
                <w:sz w:val="20"/>
              </w:rPr>
              <w:t>V(×额定)</w:t>
            </w:r>
          </w:p>
        </w:tc>
        <w:tc>
          <w:tcPr>
            <w:tcW w:type="dxa" w:w="1662"/>
          </w:tcPr>
          <w:p>
            <w:pPr>
              <w:jc w:val="center"/>
            </w:pPr>
            <w:r/>
            <w:r>
              <w:rPr>
                <w:rFonts w:ascii="Times New Roman" w:hAnsi="Times New Roman" w:eastAsia="黑体"/>
                <w:b/>
                <w:sz w:val="20"/>
              </w:rPr>
              <w:t>预估t63(h)</w:t>
            </w:r>
          </w:p>
        </w:tc>
        <w:tc>
          <w:tcPr>
            <w:tcW w:type="dxa" w:w="1662"/>
          </w:tcPr>
          <w:p>
            <w:pPr>
              <w:jc w:val="center"/>
            </w:pPr>
            <w:r/>
            <w:r>
              <w:rPr>
                <w:rFonts w:ascii="Times New Roman" w:hAnsi="Times New Roman" w:eastAsia="黑体"/>
                <w:b/>
                <w:sz w:val="20"/>
              </w:rPr>
              <w:t>建议试验时长(h)</w:t>
            </w:r>
          </w:p>
        </w:tc>
      </w:tr>
      <w:tr>
        <w:tc>
          <w:tcPr>
            <w:tcW w:type="dxa" w:w="1662"/>
          </w:tcPr>
          <w:p>
            <w:pPr>
              <w:jc w:val="left"/>
            </w:pPr>
            <w:r/>
            <w:r>
              <w:rPr>
                <w:rFonts w:ascii="Times New Roman" w:hAnsi="Times New Roman" w:eastAsia="宋体"/>
                <w:b w:val="0"/>
                <w:sz w:val="20"/>
              </w:rPr>
              <w:t>S1</w:t>
            </w:r>
          </w:p>
        </w:tc>
        <w:tc>
          <w:tcPr>
            <w:tcW w:type="dxa" w:w="1662"/>
          </w:tcPr>
          <w:p>
            <w:pPr>
              <w:jc w:val="left"/>
            </w:pPr>
            <w:r/>
            <w:r>
              <w:rPr>
                <w:rFonts w:ascii="Times New Roman" w:hAnsi="Times New Roman" w:eastAsia="宋体"/>
                <w:b w:val="0"/>
                <w:sz w:val="20"/>
              </w:rPr>
              <w:t>150</w:t>
            </w:r>
          </w:p>
        </w:tc>
        <w:tc>
          <w:tcPr>
            <w:tcW w:type="dxa" w:w="1662"/>
          </w:tcPr>
          <w:p>
            <w:pPr>
              <w:jc w:val="left"/>
            </w:pPr>
            <w:r/>
            <w:r>
              <w:rPr>
                <w:rFonts w:ascii="Times New Roman" w:hAnsi="Times New Roman" w:eastAsia="宋体"/>
                <w:b w:val="0"/>
                <w:sz w:val="20"/>
              </w:rPr>
              <w:t>2×</w:t>
            </w:r>
          </w:p>
        </w:tc>
        <w:tc>
          <w:tcPr>
            <w:tcW w:type="dxa" w:w="1662"/>
          </w:tcPr>
          <w:p>
            <w:pPr>
              <w:jc w:val="left"/>
            </w:pPr>
            <w:r/>
            <w:r>
              <w:rPr>
                <w:rFonts w:ascii="Times New Roman" w:hAnsi="Times New Roman" w:eastAsia="宋体"/>
                <w:b w:val="0"/>
                <w:sz w:val="20"/>
              </w:rPr>
              <w:t>~2500</w:t>
            </w:r>
          </w:p>
        </w:tc>
        <w:tc>
          <w:tcPr>
            <w:tcW w:type="dxa" w:w="1662"/>
          </w:tcPr>
          <w:p>
            <w:pPr>
              <w:jc w:val="left"/>
            </w:pPr>
            <w:r/>
            <w:r>
              <w:rPr>
                <w:rFonts w:ascii="Times New Roman" w:hAnsi="Times New Roman" w:eastAsia="宋体"/>
                <w:b w:val="0"/>
                <w:sz w:val="20"/>
              </w:rPr>
              <w:t>4000</w:t>
            </w:r>
          </w:p>
        </w:tc>
      </w:tr>
      <w:tr>
        <w:tc>
          <w:tcPr>
            <w:tcW w:type="dxa" w:w="1662"/>
          </w:tcPr>
          <w:p>
            <w:pPr>
              <w:jc w:val="left"/>
            </w:pPr>
            <w:r/>
            <w:r>
              <w:rPr>
                <w:rFonts w:ascii="Times New Roman" w:hAnsi="Times New Roman" w:eastAsia="宋体"/>
                <w:b w:val="0"/>
                <w:sz w:val="20"/>
              </w:rPr>
              <w:t>S2</w:t>
            </w:r>
          </w:p>
        </w:tc>
        <w:tc>
          <w:tcPr>
            <w:tcW w:type="dxa" w:w="1662"/>
          </w:tcPr>
          <w:p>
            <w:pPr>
              <w:jc w:val="left"/>
            </w:pPr>
            <w:r/>
            <w:r>
              <w:rPr>
                <w:rFonts w:ascii="Times New Roman" w:hAnsi="Times New Roman" w:eastAsia="宋体"/>
                <w:b w:val="0"/>
                <w:sz w:val="20"/>
              </w:rPr>
              <w:t>150</w:t>
            </w:r>
          </w:p>
        </w:tc>
        <w:tc>
          <w:tcPr>
            <w:tcW w:type="dxa" w:w="1662"/>
          </w:tcPr>
          <w:p>
            <w:pPr>
              <w:jc w:val="left"/>
            </w:pPr>
            <w:r/>
            <w:r>
              <w:rPr>
                <w:rFonts w:ascii="Times New Roman" w:hAnsi="Times New Roman" w:eastAsia="宋体"/>
                <w:b w:val="0"/>
                <w:sz w:val="20"/>
              </w:rPr>
              <w:t>3×</w:t>
            </w:r>
          </w:p>
        </w:tc>
        <w:tc>
          <w:tcPr>
            <w:tcW w:type="dxa" w:w="1662"/>
          </w:tcPr>
          <w:p>
            <w:pPr>
              <w:jc w:val="left"/>
            </w:pPr>
            <w:r/>
            <w:r>
              <w:rPr>
                <w:rFonts w:ascii="Times New Roman" w:hAnsi="Times New Roman" w:eastAsia="宋体"/>
                <w:b w:val="0"/>
                <w:sz w:val="20"/>
              </w:rPr>
              <w:t>~500</w:t>
            </w:r>
          </w:p>
        </w:tc>
        <w:tc>
          <w:tcPr>
            <w:tcW w:type="dxa" w:w="1662"/>
          </w:tcPr>
          <w:p>
            <w:pPr>
              <w:jc w:val="left"/>
            </w:pPr>
            <w:r/>
            <w:r>
              <w:rPr>
                <w:rFonts w:ascii="Times New Roman" w:hAnsi="Times New Roman" w:eastAsia="宋体"/>
                <w:b w:val="0"/>
                <w:sz w:val="20"/>
              </w:rPr>
              <w:t>1000</w:t>
            </w:r>
          </w:p>
        </w:tc>
      </w:tr>
      <w:tr>
        <w:tc>
          <w:tcPr>
            <w:tcW w:type="dxa" w:w="1662"/>
          </w:tcPr>
          <w:p>
            <w:pPr>
              <w:jc w:val="left"/>
            </w:pPr>
            <w:r/>
            <w:r>
              <w:rPr>
                <w:rFonts w:ascii="Times New Roman" w:hAnsi="Times New Roman" w:eastAsia="宋体"/>
                <w:b w:val="0"/>
                <w:sz w:val="20"/>
              </w:rPr>
              <w:t>S3</w:t>
            </w:r>
          </w:p>
        </w:tc>
        <w:tc>
          <w:tcPr>
            <w:tcW w:type="dxa" w:w="1662"/>
          </w:tcPr>
          <w:p>
            <w:pPr>
              <w:jc w:val="left"/>
            </w:pPr>
            <w:r/>
            <w:r>
              <w:rPr>
                <w:rFonts w:ascii="Times New Roman" w:hAnsi="Times New Roman" w:eastAsia="宋体"/>
                <w:b w:val="0"/>
                <w:sz w:val="20"/>
              </w:rPr>
              <w:t>150</w:t>
            </w:r>
          </w:p>
        </w:tc>
        <w:tc>
          <w:tcPr>
            <w:tcW w:type="dxa" w:w="1662"/>
          </w:tcPr>
          <w:p>
            <w:pPr>
              <w:jc w:val="left"/>
            </w:pPr>
            <w:r/>
            <w:r>
              <w:rPr>
                <w:rFonts w:ascii="Times New Roman" w:hAnsi="Times New Roman" w:eastAsia="宋体"/>
                <w:b w:val="0"/>
                <w:sz w:val="20"/>
              </w:rPr>
              <w:t>4×</w:t>
            </w:r>
          </w:p>
        </w:tc>
        <w:tc>
          <w:tcPr>
            <w:tcW w:type="dxa" w:w="1662"/>
          </w:tcPr>
          <w:p>
            <w:pPr>
              <w:jc w:val="left"/>
            </w:pPr>
            <w:r/>
            <w:r>
              <w:rPr>
                <w:rFonts w:ascii="Times New Roman" w:hAnsi="Times New Roman" w:eastAsia="宋体"/>
                <w:b w:val="0"/>
                <w:sz w:val="20"/>
              </w:rPr>
              <w:t>~160</w:t>
            </w:r>
          </w:p>
        </w:tc>
        <w:tc>
          <w:tcPr>
            <w:tcW w:type="dxa" w:w="1662"/>
          </w:tcPr>
          <w:p>
            <w:pPr>
              <w:jc w:val="left"/>
            </w:pPr>
            <w:r/>
            <w:r>
              <w:rPr>
                <w:rFonts w:ascii="Times New Roman" w:hAnsi="Times New Roman" w:eastAsia="宋体"/>
                <w:b w:val="0"/>
                <w:sz w:val="20"/>
              </w:rPr>
              <w:t>500</w:t>
            </w:r>
          </w:p>
        </w:tc>
      </w:tr>
      <w:tr>
        <w:tc>
          <w:tcPr>
            <w:tcW w:type="dxa" w:w="1662"/>
          </w:tcPr>
          <w:p>
            <w:pPr>
              <w:jc w:val="left"/>
            </w:pPr>
            <w:r/>
            <w:r>
              <w:rPr>
                <w:rFonts w:ascii="Times New Roman" w:hAnsi="Times New Roman" w:eastAsia="宋体"/>
                <w:b w:val="0"/>
                <w:sz w:val="20"/>
              </w:rPr>
              <w:t>S4</w:t>
            </w:r>
          </w:p>
        </w:tc>
        <w:tc>
          <w:tcPr>
            <w:tcW w:type="dxa" w:w="1662"/>
          </w:tcPr>
          <w:p>
            <w:pPr>
              <w:jc w:val="left"/>
            </w:pPr>
            <w:r/>
            <w:r>
              <w:rPr>
                <w:rFonts w:ascii="Times New Roman" w:hAnsi="Times New Roman" w:eastAsia="宋体"/>
                <w:b w:val="0"/>
                <w:sz w:val="20"/>
              </w:rPr>
              <w:t>200</w:t>
            </w:r>
          </w:p>
        </w:tc>
        <w:tc>
          <w:tcPr>
            <w:tcW w:type="dxa" w:w="1662"/>
          </w:tcPr>
          <w:p>
            <w:pPr>
              <w:jc w:val="left"/>
            </w:pPr>
            <w:r/>
            <w:r>
              <w:rPr>
                <w:rFonts w:ascii="Times New Roman" w:hAnsi="Times New Roman" w:eastAsia="宋体"/>
                <w:b w:val="0"/>
                <w:sz w:val="20"/>
              </w:rPr>
              <w:t>2×</w:t>
            </w:r>
          </w:p>
        </w:tc>
        <w:tc>
          <w:tcPr>
            <w:tcW w:type="dxa" w:w="1662"/>
          </w:tcPr>
          <w:p>
            <w:pPr>
              <w:jc w:val="left"/>
            </w:pPr>
            <w:r/>
            <w:r>
              <w:rPr>
                <w:rFonts w:ascii="Times New Roman" w:hAnsi="Times New Roman" w:eastAsia="宋体"/>
                <w:b w:val="0"/>
                <w:sz w:val="20"/>
              </w:rPr>
              <w:t>~120</w:t>
            </w:r>
          </w:p>
        </w:tc>
        <w:tc>
          <w:tcPr>
            <w:tcW w:type="dxa" w:w="1662"/>
          </w:tcPr>
          <w:p>
            <w:pPr>
              <w:jc w:val="left"/>
            </w:pPr>
            <w:r/>
            <w:r>
              <w:rPr>
                <w:rFonts w:ascii="Times New Roman" w:hAnsi="Times New Roman" w:eastAsia="宋体"/>
                <w:b w:val="0"/>
                <w:sz w:val="20"/>
              </w:rPr>
              <w:t>300</w:t>
            </w:r>
          </w:p>
        </w:tc>
      </w:tr>
      <w:tr>
        <w:tc>
          <w:tcPr>
            <w:tcW w:type="dxa" w:w="1662"/>
          </w:tcPr>
          <w:p>
            <w:pPr>
              <w:jc w:val="left"/>
            </w:pPr>
            <w:r/>
            <w:r>
              <w:rPr>
                <w:rFonts w:ascii="Times New Roman" w:hAnsi="Times New Roman" w:eastAsia="宋体"/>
                <w:b w:val="0"/>
                <w:sz w:val="20"/>
              </w:rPr>
              <w:t>S5</w:t>
            </w:r>
          </w:p>
        </w:tc>
        <w:tc>
          <w:tcPr>
            <w:tcW w:type="dxa" w:w="1662"/>
          </w:tcPr>
          <w:p>
            <w:pPr>
              <w:jc w:val="left"/>
            </w:pPr>
            <w:r/>
            <w:r>
              <w:rPr>
                <w:rFonts w:ascii="Times New Roman" w:hAnsi="Times New Roman" w:eastAsia="宋体"/>
                <w:b w:val="0"/>
                <w:sz w:val="20"/>
              </w:rPr>
              <w:t>200</w:t>
            </w:r>
          </w:p>
        </w:tc>
        <w:tc>
          <w:tcPr>
            <w:tcW w:type="dxa" w:w="1662"/>
          </w:tcPr>
          <w:p>
            <w:pPr>
              <w:jc w:val="left"/>
            </w:pPr>
            <w:r/>
            <w:r>
              <w:rPr>
                <w:rFonts w:ascii="Times New Roman" w:hAnsi="Times New Roman" w:eastAsia="宋体"/>
                <w:b w:val="0"/>
                <w:sz w:val="20"/>
              </w:rPr>
              <w:t>3×</w:t>
            </w:r>
          </w:p>
        </w:tc>
        <w:tc>
          <w:tcPr>
            <w:tcW w:type="dxa" w:w="1662"/>
          </w:tcPr>
          <w:p>
            <w:pPr>
              <w:jc w:val="left"/>
            </w:pPr>
            <w:r/>
            <w:r>
              <w:rPr>
                <w:rFonts w:ascii="Times New Roman" w:hAnsi="Times New Roman" w:eastAsia="宋体"/>
                <w:b w:val="0"/>
                <w:sz w:val="20"/>
              </w:rPr>
              <w:t>~24</w:t>
            </w:r>
          </w:p>
        </w:tc>
        <w:tc>
          <w:tcPr>
            <w:tcW w:type="dxa" w:w="1662"/>
          </w:tcPr>
          <w:p>
            <w:pPr>
              <w:jc w:val="left"/>
            </w:pPr>
            <w:r/>
            <w:r>
              <w:rPr>
                <w:rFonts w:ascii="Times New Roman" w:hAnsi="Times New Roman" w:eastAsia="宋体"/>
                <w:b w:val="0"/>
                <w:sz w:val="20"/>
              </w:rPr>
              <w:t>100</w:t>
            </w:r>
          </w:p>
        </w:tc>
      </w:tr>
      <w:tr>
        <w:tc>
          <w:tcPr>
            <w:tcW w:type="dxa" w:w="1662"/>
          </w:tcPr>
          <w:p>
            <w:pPr>
              <w:jc w:val="left"/>
            </w:pPr>
            <w:r/>
            <w:r>
              <w:rPr>
                <w:rFonts w:ascii="Times New Roman" w:hAnsi="Times New Roman" w:eastAsia="宋体"/>
                <w:b w:val="0"/>
                <w:sz w:val="20"/>
              </w:rPr>
              <w:t>S6</w:t>
            </w:r>
          </w:p>
        </w:tc>
        <w:tc>
          <w:tcPr>
            <w:tcW w:type="dxa" w:w="1662"/>
          </w:tcPr>
          <w:p>
            <w:pPr>
              <w:jc w:val="left"/>
            </w:pPr>
            <w:r/>
            <w:r>
              <w:rPr>
                <w:rFonts w:ascii="Times New Roman" w:hAnsi="Times New Roman" w:eastAsia="宋体"/>
                <w:b w:val="0"/>
                <w:sz w:val="20"/>
              </w:rPr>
              <w:t>200</w:t>
            </w:r>
          </w:p>
        </w:tc>
        <w:tc>
          <w:tcPr>
            <w:tcW w:type="dxa" w:w="1662"/>
          </w:tcPr>
          <w:p>
            <w:pPr>
              <w:jc w:val="left"/>
            </w:pPr>
            <w:r/>
            <w:r>
              <w:rPr>
                <w:rFonts w:ascii="Times New Roman" w:hAnsi="Times New Roman" w:eastAsia="宋体"/>
                <w:b w:val="0"/>
                <w:sz w:val="20"/>
              </w:rPr>
              <w:t>4×</w:t>
            </w:r>
          </w:p>
        </w:tc>
        <w:tc>
          <w:tcPr>
            <w:tcW w:type="dxa" w:w="1662"/>
          </w:tcPr>
          <w:p>
            <w:pPr>
              <w:jc w:val="left"/>
            </w:pPr>
            <w:r/>
            <w:r>
              <w:rPr>
                <w:rFonts w:ascii="Times New Roman" w:hAnsi="Times New Roman" w:eastAsia="宋体"/>
                <w:b w:val="0"/>
                <w:sz w:val="20"/>
              </w:rPr>
              <w:t>~8</w:t>
            </w:r>
          </w:p>
        </w:tc>
        <w:tc>
          <w:tcPr>
            <w:tcW w:type="dxa" w:w="1662"/>
          </w:tcPr>
          <w:p>
            <w:pPr>
              <w:jc w:val="left"/>
            </w:pPr>
            <w:r/>
            <w:r>
              <w:rPr>
                <w:rFonts w:ascii="Times New Roman" w:hAnsi="Times New Roman" w:eastAsia="宋体"/>
                <w:b w:val="0"/>
                <w:sz w:val="20"/>
              </w:rPr>
              <w:t>48</w:t>
            </w:r>
          </w:p>
        </w:tc>
      </w:tr>
    </w:tbl>
    <w:p>
      <w:pPr>
        <w:spacing w:line="360" w:lineRule="auto" w:after="60"/>
        <w:ind w:firstLine="420"/>
        <w:jc w:val="both"/>
      </w:pPr>
      <w:r>
        <w:rPr>
          <w:rFonts w:ascii="Times New Roman" w:hAnsi="Times New Roman" w:eastAsia="宋体"/>
          <w:b w:val="0"/>
          <w:sz w:val="22"/>
        </w:rPr>
        <w:t>试验流程：</w:t>
      </w:r>
    </w:p>
    <w:p>
      <w:pPr>
        <w:spacing w:line="360" w:lineRule="auto" w:after="60"/>
        <w:ind w:firstLine="420"/>
        <w:jc w:val="both"/>
      </w:pPr>
      <w:r>
        <w:rPr>
          <w:rFonts w:ascii="Times New Roman" w:hAnsi="Times New Roman" w:eastAsia="宋体"/>
          <w:b w:val="0"/>
          <w:sz w:val="22"/>
        </w:rPr>
        <w:t>（1）老炼筛选24 h（85℃、额定电压下）去除早期失效品；</w:t>
      </w:r>
    </w:p>
    <w:p>
      <w:pPr>
        <w:spacing w:line="360" w:lineRule="auto" w:after="60"/>
        <w:ind w:firstLine="420"/>
        <w:jc w:val="both"/>
      </w:pPr>
      <w:r>
        <w:rPr>
          <w:rFonts w:ascii="Times New Roman" w:hAnsi="Times New Roman" w:eastAsia="宋体"/>
          <w:b w:val="0"/>
          <w:sz w:val="22"/>
        </w:rPr>
        <w:t>（2）按照表C-1分组投入高温试验箱，监测绝缘电阻IR；</w:t>
      </w:r>
    </w:p>
    <w:p>
      <w:pPr>
        <w:spacing w:line="360" w:lineRule="auto" w:after="60"/>
        <w:ind w:firstLine="420"/>
        <w:jc w:val="both"/>
      </w:pPr>
      <w:r>
        <w:rPr>
          <w:rFonts w:ascii="Times New Roman" w:hAnsi="Times New Roman" w:eastAsia="宋体"/>
          <w:b w:val="0"/>
          <w:sz w:val="22"/>
        </w:rPr>
        <w:t>（3）每小时/每四小时记录IR，IR下降两个数量级时判为失效；</w:t>
      </w:r>
    </w:p>
    <w:p>
      <w:pPr>
        <w:spacing w:line="360" w:lineRule="auto" w:after="60"/>
        <w:ind w:firstLine="420"/>
        <w:jc w:val="both"/>
      </w:pPr>
      <w:r>
        <w:rPr>
          <w:rFonts w:ascii="Times New Roman" w:hAnsi="Times New Roman" w:eastAsia="宋体"/>
          <w:b w:val="0"/>
          <w:sz w:val="22"/>
        </w:rPr>
        <w:t>（4）所有样本收敛后，对每个应力点采用最大似然估计（MLE）拟合两参数Weibull；</w:t>
      </w:r>
    </w:p>
    <w:p>
      <w:pPr>
        <w:spacing w:line="360" w:lineRule="auto" w:after="60"/>
        <w:ind w:firstLine="420"/>
        <w:jc w:val="both"/>
      </w:pPr>
      <w:r>
        <w:rPr>
          <w:rFonts w:ascii="Times New Roman" w:hAnsi="Times New Roman" w:eastAsia="宋体"/>
          <w:b w:val="0"/>
          <w:sz w:val="22"/>
        </w:rPr>
        <w:t>（5）绘制log(t63)-1/T图与log(t63)-log(V)图，同时拟合Ea与n；</w:t>
      </w:r>
    </w:p>
    <w:p>
      <w:pPr>
        <w:spacing w:line="360" w:lineRule="auto" w:after="60"/>
        <w:ind w:firstLine="420"/>
        <w:jc w:val="both"/>
      </w:pPr>
      <w:r>
        <w:rPr>
          <w:rFonts w:ascii="Times New Roman" w:hAnsi="Times New Roman" w:eastAsia="宋体"/>
          <w:b w:val="0"/>
          <w:sz w:val="22"/>
        </w:rPr>
        <w:t>（6）外推至（T=85℃、V=16V）工况，给出B10寿命估计及其95%置信区间。</w:t>
      </w:r>
    </w:p>
    <w:p>
      <w:pPr>
        <w:spacing w:line="360" w:lineRule="auto" w:after="60"/>
        <w:ind w:firstLine="420"/>
        <w:jc w:val="both"/>
      </w:pPr>
      <w:r>
        <w:rPr>
          <w:rFonts w:ascii="Times New Roman" w:hAnsi="Times New Roman" w:eastAsia="宋体"/>
          <w:b w:val="0"/>
          <w:sz w:val="22"/>
        </w:rPr>
        <w:t>数据分析示例：假设试验得到以下t63结果（单位h）：S1=2300, S2=460, S3=145, S4=108, S5=22, S6=7.5。对应的log-log与Arrhenius回归给出Ea≈0.98 eV（±0.08 eV），n≈3.9（±0.3）。代入常态工况：</w:t>
      </w:r>
    </w:p>
    <w:p>
      <w:pPr>
        <w:spacing w:line="360" w:lineRule="auto" w:after="60"/>
        <w:ind w:firstLine="420"/>
        <w:jc w:val="both"/>
      </w:pPr>
      <w:r>
        <w:rPr>
          <w:rFonts w:ascii="Times New Roman" w:hAnsi="Times New Roman" w:eastAsia="宋体"/>
          <w:b w:val="0"/>
          <w:sz w:val="22"/>
        </w:rPr>
        <w:t>t63(85℃, 16V) = 2300 · (50/16)^3.9 · exp[(0.98/8.617e-5)·(1/358 - 1/423)] ≈ 3.2 × 10^7 h ≈ 3650年。</w:t>
      </w:r>
    </w:p>
    <w:p>
      <w:pPr>
        <w:spacing w:line="360" w:lineRule="auto" w:after="60"/>
        <w:ind w:firstLine="420"/>
        <w:jc w:val="both"/>
      </w:pPr>
      <w:r>
        <w:rPr>
          <w:rFonts w:ascii="Times New Roman" w:hAnsi="Times New Roman" w:eastAsia="宋体"/>
          <w:b w:val="0"/>
          <w:sz w:val="22"/>
        </w:rPr>
        <w:t>若失效模式为Weibull β≈2.5（耗损型），则B10 ≈ 0.393·t63 ≈ 1.26×10^7 h ≈ 1440年。这一估计显著高于TDK/Murata等商用MLCC手册中给出的典型MTTF值（数十万h），主要原因是目标MLCC采用50%以上电压降额以及介质厚度保守设计。当降额比减小到30%时，外推寿命会下降一个数量级。</w:t>
      </w:r>
    </w:p>
    <w:p>
      <w:pPr>
        <w:spacing w:before="240" w:after="120"/>
        <w:outlineLvl w:val="2"/>
      </w:pPr>
      <w:r>
        <w:rPr>
          <w:rFonts w:ascii="Times New Roman" w:hAnsi="Times New Roman" w:eastAsia="黑体"/>
          <w:b/>
          <w:sz w:val="30"/>
        </w:rPr>
        <w:t>C.2 多应力耦合试验设计</w:t>
      </w:r>
    </w:p>
    <w:p>
      <w:pPr>
        <w:spacing w:line="360" w:lineRule="auto" w:after="60"/>
        <w:ind w:firstLine="420"/>
        <w:jc w:val="both"/>
      </w:pPr>
      <w:r>
        <w:rPr>
          <w:rFonts w:ascii="Times New Roman" w:hAnsi="Times New Roman" w:eastAsia="宋体"/>
          <w:b w:val="0"/>
          <w:sz w:val="22"/>
        </w:rPr>
        <w:t>对车规级产品（AEC-Q200），仅Arrhenius-逆幂律已无法满足需求。常采用三应力（温度+电压+湿度）或四应力（温度+电压+湿度+温度循环）联合设计。IEC 60068-2-67规定的85℃/85%RH THB试验是该领域的基础基准。设计时建议：</w:t>
      </w:r>
    </w:p>
    <w:p>
      <w:pPr>
        <w:spacing w:line="360" w:lineRule="auto" w:after="60"/>
        <w:ind w:firstLine="420"/>
        <w:jc w:val="both"/>
      </w:pPr>
      <w:r>
        <w:rPr>
          <w:rFonts w:ascii="Times New Roman" w:hAnsi="Times New Roman" w:eastAsia="宋体"/>
          <w:b w:val="0"/>
          <w:sz w:val="22"/>
        </w:rPr>
        <w:t>（1）HTOL（高温工作寿命）与THB（温湿偏压）独立评估高温机理与湿度机理；</w:t>
      </w:r>
    </w:p>
    <w:p>
      <w:pPr>
        <w:spacing w:line="360" w:lineRule="auto" w:after="60"/>
        <w:ind w:firstLine="420"/>
        <w:jc w:val="both"/>
      </w:pPr>
      <w:r>
        <w:rPr>
          <w:rFonts w:ascii="Times New Roman" w:hAnsi="Times New Roman" w:eastAsia="宋体"/>
          <w:b w:val="0"/>
          <w:sz w:val="22"/>
        </w:rPr>
        <w:t>（2）温度循环（-40℃↔+125℃，1000次）评估CTE失配引起的机械疲劳；</w:t>
      </w:r>
    </w:p>
    <w:p>
      <w:pPr>
        <w:spacing w:line="360" w:lineRule="auto" w:after="60"/>
        <w:ind w:firstLine="420"/>
        <w:jc w:val="both"/>
      </w:pPr>
      <w:r>
        <w:rPr>
          <w:rFonts w:ascii="Times New Roman" w:hAnsi="Times New Roman" w:eastAsia="宋体"/>
          <w:b w:val="0"/>
          <w:sz w:val="22"/>
        </w:rPr>
        <w:t>（3）浪涌（surge）单独评估过压耐受；</w:t>
      </w:r>
    </w:p>
    <w:p>
      <w:pPr>
        <w:spacing w:line="360" w:lineRule="auto" w:after="60"/>
        <w:ind w:firstLine="420"/>
        <w:jc w:val="both"/>
      </w:pPr>
      <w:r>
        <w:rPr>
          <w:rFonts w:ascii="Times New Roman" w:hAnsi="Times New Roman" w:eastAsia="宋体"/>
          <w:b w:val="0"/>
          <w:sz w:val="22"/>
        </w:rPr>
        <w:t>（4）DPA（破坏性物理分析）作为最终的"综合体检"。</w:t>
      </w:r>
    </w:p>
    <w:p>
      <w:pPr>
        <w:spacing w:line="360" w:lineRule="auto" w:after="60"/>
        <w:ind w:firstLine="420"/>
        <w:jc w:val="both"/>
      </w:pPr>
      <w:r>
        <w:rPr>
          <w:rFonts w:ascii="Times New Roman" w:hAnsi="Times New Roman" w:eastAsia="宋体"/>
          <w:b w:val="0"/>
          <w:sz w:val="22"/>
        </w:rPr>
        <w:t>这些试验结果共同构成车规级认证的可靠性证据链。</w:t>
      </w:r>
    </w:p>
    <w:p>
      <w:r>
        <w:br w:type="page"/>
      </w:r>
    </w:p>
    <w:p>
      <w:pPr>
        <w:spacing w:before="240" w:after="120"/>
        <w:outlineLvl w:val="1"/>
      </w:pPr>
      <w:r>
        <w:rPr>
          <w:rFonts w:ascii="Times New Roman" w:hAnsi="Times New Roman" w:eastAsia="黑体"/>
          <w:b/>
          <w:sz w:val="36"/>
        </w:rPr>
        <w:t>附录D  典型电容器加速模型激活能与指数汇总</w:t>
      </w:r>
    </w:p>
    <w:p>
      <w:pPr>
        <w:spacing w:line="360" w:lineRule="auto" w:after="60"/>
        <w:ind w:firstLine="420"/>
        <w:jc w:val="both"/>
      </w:pPr>
      <w:r>
        <w:rPr>
          <w:rFonts w:ascii="Times New Roman" w:hAnsi="Times New Roman" w:eastAsia="宋体"/>
          <w:b w:val="0"/>
          <w:sz w:val="22"/>
        </w:rPr>
        <w:t>文献中报道的电容器主要失效机理的加速模型参数汇总如表D-1所示。这些参数是工程寿命外推的基础，但应注意以下使用建议：</w:t>
      </w:r>
    </w:p>
    <w:p>
      <w:pPr>
        <w:spacing w:line="360" w:lineRule="auto" w:after="60"/>
        <w:ind w:firstLine="420"/>
        <w:jc w:val="both"/>
      </w:pPr>
      <w:r>
        <w:rPr>
          <w:rFonts w:ascii="Times New Roman" w:hAnsi="Times New Roman" w:eastAsia="宋体"/>
          <w:b w:val="0"/>
          <w:sz w:val="22"/>
        </w:rPr>
        <w:t>（1）不同样品、厂家、工艺下的参数会有一定分散；</w:t>
      </w:r>
    </w:p>
    <w:p>
      <w:pPr>
        <w:spacing w:line="360" w:lineRule="auto" w:after="60"/>
        <w:ind w:firstLine="420"/>
        <w:jc w:val="both"/>
      </w:pPr>
      <w:r>
        <w:rPr>
          <w:rFonts w:ascii="Times New Roman" w:hAnsi="Times New Roman" w:eastAsia="宋体"/>
          <w:b w:val="0"/>
          <w:sz w:val="22"/>
        </w:rPr>
        <w:t>（2）当应力范围超出拟合范围时，外推精度迅速下降；</w:t>
      </w:r>
    </w:p>
    <w:p>
      <w:pPr>
        <w:spacing w:line="360" w:lineRule="auto" w:after="60"/>
        <w:ind w:firstLine="420"/>
        <w:jc w:val="both"/>
      </w:pPr>
      <w:r>
        <w:rPr>
          <w:rFonts w:ascii="Times New Roman" w:hAnsi="Times New Roman" w:eastAsia="宋体"/>
          <w:b w:val="0"/>
          <w:sz w:val="22"/>
        </w:rPr>
        <w:t>（3）同一类型电容器若存在多种失效模式共存，应分别使用对应的Ea与n。</w:t>
      </w:r>
    </w:p>
    <w:p>
      <w:pPr>
        <w:jc w:val="center"/>
      </w:pPr>
      <w:r>
        <w:rPr>
          <w:rFonts w:ascii="Times New Roman" w:hAnsi="Times New Roman" w:eastAsia="黑体"/>
          <w:b/>
          <w:sz w:val="21"/>
        </w:rPr>
        <w:t>表D-1  主要电容器失效机理的加速模型参数汇总</w:t>
      </w:r>
    </w:p>
    <w:tbl>
      <w:tblPr>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
              <w:rPr>
                <w:rFonts w:ascii="Times New Roman" w:hAnsi="Times New Roman" w:eastAsia="黑体"/>
                <w:b/>
                <w:sz w:val="20"/>
              </w:rPr>
              <w:t>类型</w:t>
            </w:r>
          </w:p>
        </w:tc>
        <w:tc>
          <w:tcPr>
            <w:tcW w:type="dxa" w:w="1385"/>
          </w:tcPr>
          <w:p>
            <w:pPr>
              <w:jc w:val="center"/>
            </w:pPr>
            <w:r/>
            <w:r>
              <w:rPr>
                <w:rFonts w:ascii="Times New Roman" w:hAnsi="Times New Roman" w:eastAsia="黑体"/>
                <w:b/>
                <w:sz w:val="20"/>
              </w:rPr>
              <w:t>机理</w:t>
            </w:r>
          </w:p>
        </w:tc>
        <w:tc>
          <w:tcPr>
            <w:tcW w:type="dxa" w:w="1385"/>
          </w:tcPr>
          <w:p>
            <w:pPr>
              <w:jc w:val="center"/>
            </w:pPr>
            <w:r/>
            <w:r>
              <w:rPr>
                <w:rFonts w:ascii="Times New Roman" w:hAnsi="Times New Roman" w:eastAsia="黑体"/>
                <w:b/>
                <w:sz w:val="20"/>
              </w:rPr>
              <w:t>Ea(eV)</w:t>
            </w:r>
          </w:p>
        </w:tc>
        <w:tc>
          <w:tcPr>
            <w:tcW w:type="dxa" w:w="1385"/>
          </w:tcPr>
          <w:p>
            <w:pPr>
              <w:jc w:val="center"/>
            </w:pPr>
            <w:r/>
            <w:r>
              <w:rPr>
                <w:rFonts w:ascii="Times New Roman" w:hAnsi="Times New Roman" w:eastAsia="黑体"/>
                <w:b/>
                <w:sz w:val="20"/>
              </w:rPr>
              <w:t>n(电压幂指数)</w:t>
            </w:r>
          </w:p>
        </w:tc>
        <w:tc>
          <w:tcPr>
            <w:tcW w:type="dxa" w:w="1385"/>
          </w:tcPr>
          <w:p>
            <w:pPr>
              <w:jc w:val="center"/>
            </w:pPr>
            <w:r/>
            <w:r>
              <w:rPr>
                <w:rFonts w:ascii="Times New Roman" w:hAnsi="Times New Roman" w:eastAsia="黑体"/>
                <w:b/>
                <w:sz w:val="20"/>
              </w:rPr>
              <w:t>典型β</w:t>
            </w:r>
          </w:p>
        </w:tc>
        <w:tc>
          <w:tcPr>
            <w:tcW w:type="dxa" w:w="1385"/>
          </w:tcPr>
          <w:p>
            <w:pPr>
              <w:jc w:val="center"/>
            </w:pPr>
            <w:r/>
            <w:r>
              <w:rPr>
                <w:rFonts w:ascii="Times New Roman" w:hAnsi="Times New Roman" w:eastAsia="黑体"/>
                <w:b/>
                <w:sz w:val="20"/>
              </w:rPr>
              <w:t>文献来源</w:t>
            </w:r>
          </w:p>
        </w:tc>
      </w:tr>
      <w:tr>
        <w:tc>
          <w:tcPr>
            <w:tcW w:type="dxa" w:w="1385"/>
          </w:tcPr>
          <w:p>
            <w:pPr>
              <w:jc w:val="left"/>
            </w:pPr>
            <w:r/>
            <w:r>
              <w:rPr>
                <w:rFonts w:ascii="Times New Roman" w:hAnsi="Times New Roman" w:eastAsia="宋体"/>
                <w:b w:val="0"/>
                <w:sz w:val="20"/>
              </w:rPr>
              <w:t>Al电解(液)</w:t>
            </w:r>
          </w:p>
        </w:tc>
        <w:tc>
          <w:tcPr>
            <w:tcW w:type="dxa" w:w="1385"/>
          </w:tcPr>
          <w:p>
            <w:pPr>
              <w:jc w:val="left"/>
            </w:pPr>
            <w:r/>
            <w:r>
              <w:rPr>
                <w:rFonts w:ascii="Times New Roman" w:hAnsi="Times New Roman" w:eastAsia="宋体"/>
                <w:b w:val="0"/>
                <w:sz w:val="20"/>
              </w:rPr>
              <w:t>电解液蒸发</w:t>
            </w:r>
          </w:p>
        </w:tc>
        <w:tc>
          <w:tcPr>
            <w:tcW w:type="dxa" w:w="1385"/>
          </w:tcPr>
          <w:p>
            <w:pPr>
              <w:jc w:val="left"/>
            </w:pPr>
            <w:r/>
            <w:r>
              <w:rPr>
                <w:rFonts w:ascii="Times New Roman" w:hAnsi="Times New Roman" w:eastAsia="宋体"/>
                <w:b w:val="0"/>
                <w:sz w:val="20"/>
              </w:rPr>
              <w:t>0.94-1.10</w:t>
            </w:r>
          </w:p>
        </w:tc>
        <w:tc>
          <w:tcPr>
            <w:tcW w:type="dxa" w:w="1385"/>
          </w:tcPr>
          <w:p>
            <w:pPr>
              <w:jc w:val="left"/>
            </w:pPr>
            <w:r/>
            <w:r>
              <w:rPr>
                <w:rFonts w:ascii="Times New Roman" w:hAnsi="Times New Roman" w:eastAsia="宋体"/>
                <w:b w:val="0"/>
                <w:sz w:val="20"/>
              </w:rPr>
              <w:t>3-5</w:t>
            </w:r>
          </w:p>
        </w:tc>
        <w:tc>
          <w:tcPr>
            <w:tcW w:type="dxa" w:w="1385"/>
          </w:tcPr>
          <w:p>
            <w:pPr>
              <w:jc w:val="left"/>
            </w:pPr>
            <w:r/>
            <w:r>
              <w:rPr>
                <w:rFonts w:ascii="Times New Roman" w:hAnsi="Times New Roman" w:eastAsia="宋体"/>
                <w:b w:val="0"/>
                <w:sz w:val="20"/>
              </w:rPr>
              <w:t>2-4(耗损)</w:t>
            </w:r>
          </w:p>
        </w:tc>
        <w:tc>
          <w:tcPr>
            <w:tcW w:type="dxa" w:w="1385"/>
          </w:tcPr>
          <w:p>
            <w:pPr>
              <w:jc w:val="left"/>
            </w:pPr>
            <w:r/>
            <w:r>
              <w:rPr>
                <w:rFonts w:ascii="Times New Roman" w:hAnsi="Times New Roman" w:eastAsia="宋体"/>
                <w:b w:val="0"/>
                <w:sz w:val="20"/>
              </w:rPr>
              <w:t>Parler[23], Gasperi[28]</w:t>
            </w:r>
          </w:p>
        </w:tc>
      </w:tr>
      <w:tr>
        <w:tc>
          <w:tcPr>
            <w:tcW w:type="dxa" w:w="1385"/>
          </w:tcPr>
          <w:p>
            <w:pPr>
              <w:jc w:val="left"/>
            </w:pPr>
            <w:r/>
            <w:r>
              <w:rPr>
                <w:rFonts w:ascii="Times New Roman" w:hAnsi="Times New Roman" w:eastAsia="宋体"/>
                <w:b w:val="0"/>
                <w:sz w:val="20"/>
              </w:rPr>
              <w:t>Al电解(聚)</w:t>
            </w:r>
          </w:p>
        </w:tc>
        <w:tc>
          <w:tcPr>
            <w:tcW w:type="dxa" w:w="1385"/>
          </w:tcPr>
          <w:p>
            <w:pPr>
              <w:jc w:val="left"/>
            </w:pPr>
            <w:r/>
            <w:r>
              <w:rPr>
                <w:rFonts w:ascii="Times New Roman" w:hAnsi="Times New Roman" w:eastAsia="宋体"/>
                <w:b w:val="0"/>
                <w:sz w:val="20"/>
              </w:rPr>
              <w:t>聚合物老化/高DCL</w:t>
            </w:r>
          </w:p>
        </w:tc>
        <w:tc>
          <w:tcPr>
            <w:tcW w:type="dxa" w:w="1385"/>
          </w:tcPr>
          <w:p>
            <w:pPr>
              <w:jc w:val="left"/>
            </w:pPr>
            <w:r/>
            <w:r>
              <w:rPr>
                <w:rFonts w:ascii="Times New Roman" w:hAnsi="Times New Roman" w:eastAsia="宋体"/>
                <w:b w:val="0"/>
                <w:sz w:val="20"/>
              </w:rPr>
              <w:t>0.70-0.85</w:t>
            </w:r>
          </w:p>
        </w:tc>
        <w:tc>
          <w:tcPr>
            <w:tcW w:type="dxa" w:w="1385"/>
          </w:tcPr>
          <w:p>
            <w:pPr>
              <w:jc w:val="left"/>
            </w:pPr>
            <w:r/>
            <w:r>
              <w:rPr>
                <w:rFonts w:ascii="Times New Roman" w:hAnsi="Times New Roman" w:eastAsia="宋体"/>
                <w:b w:val="0"/>
                <w:sz w:val="20"/>
              </w:rPr>
              <w:t>~5</w:t>
            </w:r>
          </w:p>
        </w:tc>
        <w:tc>
          <w:tcPr>
            <w:tcW w:type="dxa" w:w="1385"/>
          </w:tcPr>
          <w:p>
            <w:pPr>
              <w:jc w:val="left"/>
            </w:pPr>
            <w:r/>
            <w:r>
              <w:rPr>
                <w:rFonts w:ascii="Times New Roman" w:hAnsi="Times New Roman" w:eastAsia="宋体"/>
                <w:b w:val="0"/>
                <w:sz w:val="20"/>
              </w:rPr>
              <w:t>2-3</w:t>
            </w:r>
          </w:p>
        </w:tc>
        <w:tc>
          <w:tcPr>
            <w:tcW w:type="dxa" w:w="1385"/>
          </w:tcPr>
          <w:p>
            <w:pPr>
              <w:jc w:val="left"/>
            </w:pPr>
            <w:r/>
            <w:r>
              <w:rPr>
                <w:rFonts w:ascii="Times New Roman" w:hAnsi="Times New Roman" w:eastAsia="宋体"/>
                <w:b w:val="0"/>
                <w:sz w:val="20"/>
              </w:rPr>
              <w:t>Liu[16]</w:t>
            </w:r>
          </w:p>
        </w:tc>
      </w:tr>
      <w:tr>
        <w:tc>
          <w:tcPr>
            <w:tcW w:type="dxa" w:w="1385"/>
          </w:tcPr>
          <w:p>
            <w:pPr>
              <w:jc w:val="left"/>
            </w:pPr>
            <w:r/>
            <w:r>
              <w:rPr>
                <w:rFonts w:ascii="Times New Roman" w:hAnsi="Times New Roman" w:eastAsia="宋体"/>
                <w:b w:val="0"/>
                <w:sz w:val="20"/>
              </w:rPr>
              <w:t>BME MLCC</w:t>
            </w:r>
          </w:p>
        </w:tc>
        <w:tc>
          <w:tcPr>
            <w:tcW w:type="dxa" w:w="1385"/>
          </w:tcPr>
          <w:p>
            <w:pPr>
              <w:jc w:val="left"/>
            </w:pPr>
            <w:r/>
            <w:r>
              <w:rPr>
                <w:rFonts w:ascii="Times New Roman" w:hAnsi="Times New Roman" w:eastAsia="宋体"/>
                <w:b w:val="0"/>
                <w:sz w:val="20"/>
              </w:rPr>
              <w:t>氧空位迁移</w:t>
            </w:r>
          </w:p>
        </w:tc>
        <w:tc>
          <w:tcPr>
            <w:tcW w:type="dxa" w:w="1385"/>
          </w:tcPr>
          <w:p>
            <w:pPr>
              <w:jc w:val="left"/>
            </w:pPr>
            <w:r/>
            <w:r>
              <w:rPr>
                <w:rFonts w:ascii="Times New Roman" w:hAnsi="Times New Roman" w:eastAsia="宋体"/>
                <w:b w:val="0"/>
                <w:sz w:val="20"/>
              </w:rPr>
              <w:t>0.88-1.49</w:t>
            </w:r>
          </w:p>
        </w:tc>
        <w:tc>
          <w:tcPr>
            <w:tcW w:type="dxa" w:w="1385"/>
          </w:tcPr>
          <w:p>
            <w:pPr>
              <w:jc w:val="left"/>
            </w:pPr>
            <w:r/>
            <w:r>
              <w:rPr>
                <w:rFonts w:ascii="Times New Roman" w:hAnsi="Times New Roman" w:eastAsia="宋体"/>
                <w:b w:val="0"/>
                <w:sz w:val="20"/>
              </w:rPr>
              <w:t>3-5</w:t>
            </w:r>
          </w:p>
        </w:tc>
        <w:tc>
          <w:tcPr>
            <w:tcW w:type="dxa" w:w="1385"/>
          </w:tcPr>
          <w:p>
            <w:pPr>
              <w:jc w:val="left"/>
            </w:pPr>
            <w:r/>
            <w:r>
              <w:rPr>
                <w:rFonts w:ascii="Times New Roman" w:hAnsi="Times New Roman" w:eastAsia="宋体"/>
                <w:b w:val="0"/>
                <w:sz w:val="20"/>
              </w:rPr>
              <w:t>1.5-4</w:t>
            </w:r>
          </w:p>
        </w:tc>
        <w:tc>
          <w:tcPr>
            <w:tcW w:type="dxa" w:w="1385"/>
          </w:tcPr>
          <w:p>
            <w:pPr>
              <w:jc w:val="left"/>
            </w:pPr>
            <w:r/>
            <w:r>
              <w:rPr>
                <w:rFonts w:ascii="Times New Roman" w:hAnsi="Times New Roman" w:eastAsia="宋体"/>
                <w:b w:val="0"/>
                <w:sz w:val="20"/>
              </w:rPr>
              <w:t>Kim[12], Liu[4], Waser[17]</w:t>
            </w:r>
          </w:p>
        </w:tc>
      </w:tr>
      <w:tr>
        <w:tc>
          <w:tcPr>
            <w:tcW w:type="dxa" w:w="1385"/>
          </w:tcPr>
          <w:p>
            <w:pPr>
              <w:jc w:val="left"/>
            </w:pPr>
            <w:r/>
            <w:r>
              <w:rPr>
                <w:rFonts w:ascii="Times New Roman" w:hAnsi="Times New Roman" w:eastAsia="宋体"/>
                <w:b w:val="0"/>
                <w:sz w:val="20"/>
              </w:rPr>
              <w:t>BME MLCC</w:t>
            </w:r>
          </w:p>
        </w:tc>
        <w:tc>
          <w:tcPr>
            <w:tcW w:type="dxa" w:w="1385"/>
          </w:tcPr>
          <w:p>
            <w:pPr>
              <w:jc w:val="left"/>
            </w:pPr>
            <w:r/>
            <w:r>
              <w:rPr>
                <w:rFonts w:ascii="Times New Roman" w:hAnsi="Times New Roman" w:eastAsia="宋体"/>
                <w:b w:val="0"/>
                <w:sz w:val="20"/>
              </w:rPr>
              <w:t>热失控击穿</w:t>
            </w:r>
          </w:p>
        </w:tc>
        <w:tc>
          <w:tcPr>
            <w:tcW w:type="dxa" w:w="1385"/>
          </w:tcPr>
          <w:p>
            <w:pPr>
              <w:jc w:val="left"/>
            </w:pPr>
            <w:r/>
            <w:r>
              <w:rPr>
                <w:rFonts w:ascii="Times New Roman" w:hAnsi="Times New Roman" w:eastAsia="宋体"/>
                <w:b w:val="0"/>
                <w:sz w:val="20"/>
              </w:rPr>
              <w:t>1.2-1.8</w:t>
            </w:r>
          </w:p>
        </w:tc>
        <w:tc>
          <w:tcPr>
            <w:tcW w:type="dxa" w:w="1385"/>
          </w:tcPr>
          <w:p>
            <w:pPr>
              <w:jc w:val="left"/>
            </w:pPr>
            <w:r/>
            <w:r>
              <w:rPr>
                <w:rFonts w:ascii="Times New Roman" w:hAnsi="Times New Roman" w:eastAsia="宋体"/>
                <w:b w:val="0"/>
                <w:sz w:val="20"/>
              </w:rPr>
              <w:t>4-7</w:t>
            </w:r>
          </w:p>
        </w:tc>
        <w:tc>
          <w:tcPr>
            <w:tcW w:type="dxa" w:w="1385"/>
          </w:tcPr>
          <w:p>
            <w:pPr>
              <w:jc w:val="left"/>
            </w:pPr>
            <w:r/>
            <w:r>
              <w:rPr>
                <w:rFonts w:ascii="Times New Roman" w:hAnsi="Times New Roman" w:eastAsia="宋体"/>
                <w:b w:val="0"/>
                <w:sz w:val="20"/>
              </w:rPr>
              <w:t>&lt;1</w:t>
            </w:r>
          </w:p>
        </w:tc>
        <w:tc>
          <w:tcPr>
            <w:tcW w:type="dxa" w:w="1385"/>
          </w:tcPr>
          <w:p>
            <w:pPr>
              <w:jc w:val="left"/>
            </w:pPr>
            <w:r/>
            <w:r>
              <w:rPr>
                <w:rFonts w:ascii="Times New Roman" w:hAnsi="Times New Roman" w:eastAsia="宋体"/>
                <w:b w:val="0"/>
                <w:sz w:val="20"/>
              </w:rPr>
              <w:t>Liu[29]</w:t>
            </w:r>
          </w:p>
        </w:tc>
      </w:tr>
      <w:tr>
        <w:tc>
          <w:tcPr>
            <w:tcW w:type="dxa" w:w="1385"/>
          </w:tcPr>
          <w:p>
            <w:pPr>
              <w:jc w:val="left"/>
            </w:pPr>
            <w:r/>
            <w:r>
              <w:rPr>
                <w:rFonts w:ascii="Times New Roman" w:hAnsi="Times New Roman" w:eastAsia="宋体"/>
                <w:b w:val="0"/>
                <w:sz w:val="20"/>
              </w:rPr>
              <w:t>金属化BOPP</w:t>
            </w:r>
          </w:p>
        </w:tc>
        <w:tc>
          <w:tcPr>
            <w:tcW w:type="dxa" w:w="1385"/>
          </w:tcPr>
          <w:p>
            <w:pPr>
              <w:jc w:val="left"/>
            </w:pPr>
            <w:r/>
            <w:r>
              <w:rPr>
                <w:rFonts w:ascii="Times New Roman" w:hAnsi="Times New Roman" w:eastAsia="宋体"/>
                <w:b w:val="0"/>
                <w:sz w:val="20"/>
              </w:rPr>
              <w:t>自愈累积</w:t>
            </w:r>
          </w:p>
        </w:tc>
        <w:tc>
          <w:tcPr>
            <w:tcW w:type="dxa" w:w="1385"/>
          </w:tcPr>
          <w:p>
            <w:pPr>
              <w:jc w:val="left"/>
            </w:pPr>
            <w:r/>
            <w:r>
              <w:rPr>
                <w:rFonts w:ascii="Times New Roman" w:hAnsi="Times New Roman" w:eastAsia="宋体"/>
                <w:b w:val="0"/>
                <w:sz w:val="20"/>
              </w:rPr>
              <w:t>0.80-1.20</w:t>
            </w:r>
          </w:p>
        </w:tc>
        <w:tc>
          <w:tcPr>
            <w:tcW w:type="dxa" w:w="1385"/>
          </w:tcPr>
          <w:p>
            <w:pPr>
              <w:jc w:val="left"/>
            </w:pPr>
            <w:r/>
            <w:r>
              <w:rPr>
                <w:rFonts w:ascii="Times New Roman" w:hAnsi="Times New Roman" w:eastAsia="宋体"/>
                <w:b w:val="0"/>
                <w:sz w:val="20"/>
              </w:rPr>
              <w:t>7-13</w:t>
            </w:r>
          </w:p>
        </w:tc>
        <w:tc>
          <w:tcPr>
            <w:tcW w:type="dxa" w:w="1385"/>
          </w:tcPr>
          <w:p>
            <w:pPr>
              <w:jc w:val="left"/>
            </w:pPr>
            <w:r/>
            <w:r>
              <w:rPr>
                <w:rFonts w:ascii="Times New Roman" w:hAnsi="Times New Roman" w:eastAsia="宋体"/>
                <w:b w:val="0"/>
                <w:sz w:val="20"/>
              </w:rPr>
              <w:t>1.2-2.5</w:t>
            </w:r>
          </w:p>
        </w:tc>
        <w:tc>
          <w:tcPr>
            <w:tcW w:type="dxa" w:w="1385"/>
          </w:tcPr>
          <w:p>
            <w:pPr>
              <w:jc w:val="left"/>
            </w:pPr>
            <w:r/>
            <w:r>
              <w:rPr>
                <w:rFonts w:ascii="Times New Roman" w:hAnsi="Times New Roman" w:eastAsia="宋体"/>
                <w:b w:val="0"/>
                <w:sz w:val="20"/>
              </w:rPr>
              <w:t>Makdessi[34], Wang[36]</w:t>
            </w:r>
          </w:p>
        </w:tc>
      </w:tr>
      <w:tr>
        <w:tc>
          <w:tcPr>
            <w:tcW w:type="dxa" w:w="1385"/>
          </w:tcPr>
          <w:p>
            <w:pPr>
              <w:jc w:val="left"/>
            </w:pPr>
            <w:r/>
            <w:r>
              <w:rPr>
                <w:rFonts w:ascii="Times New Roman" w:hAnsi="Times New Roman" w:eastAsia="宋体"/>
                <w:b w:val="0"/>
                <w:sz w:val="20"/>
              </w:rPr>
              <w:t>金属化BOPP</w:t>
            </w:r>
          </w:p>
        </w:tc>
        <w:tc>
          <w:tcPr>
            <w:tcW w:type="dxa" w:w="1385"/>
          </w:tcPr>
          <w:p>
            <w:pPr>
              <w:jc w:val="left"/>
            </w:pPr>
            <w:r/>
            <w:r>
              <w:rPr>
                <w:rFonts w:ascii="Times New Roman" w:hAnsi="Times New Roman" w:eastAsia="宋体"/>
                <w:b w:val="0"/>
                <w:sz w:val="20"/>
              </w:rPr>
              <w:t>端面腐蚀</w:t>
            </w:r>
          </w:p>
        </w:tc>
        <w:tc>
          <w:tcPr>
            <w:tcW w:type="dxa" w:w="1385"/>
          </w:tcPr>
          <w:p>
            <w:pPr>
              <w:jc w:val="left"/>
            </w:pPr>
            <w:r/>
            <w:r>
              <w:rPr>
                <w:rFonts w:ascii="Times New Roman" w:hAnsi="Times New Roman" w:eastAsia="宋体"/>
                <w:b w:val="0"/>
                <w:sz w:val="20"/>
              </w:rPr>
              <w:t>0.60-0.80</w:t>
            </w:r>
          </w:p>
        </w:tc>
        <w:tc>
          <w:tcPr>
            <w:tcW w:type="dxa" w:w="1385"/>
          </w:tcPr>
          <w:p>
            <w:pPr>
              <w:jc w:val="left"/>
            </w:pPr>
            <w:r/>
            <w:r>
              <w:rPr>
                <w:rFonts w:ascii="Times New Roman" w:hAnsi="Times New Roman" w:eastAsia="宋体"/>
                <w:b w:val="0"/>
                <w:sz w:val="20"/>
              </w:rPr>
              <w:t>-</w:t>
            </w:r>
          </w:p>
        </w:tc>
        <w:tc>
          <w:tcPr>
            <w:tcW w:type="dxa" w:w="1385"/>
          </w:tcPr>
          <w:p>
            <w:pPr>
              <w:jc w:val="left"/>
            </w:pPr>
            <w:r/>
            <w:r>
              <w:rPr>
                <w:rFonts w:ascii="Times New Roman" w:hAnsi="Times New Roman" w:eastAsia="宋体"/>
                <w:b w:val="0"/>
                <w:sz w:val="20"/>
              </w:rPr>
              <w:t>1-2</w:t>
            </w:r>
          </w:p>
        </w:tc>
        <w:tc>
          <w:tcPr>
            <w:tcW w:type="dxa" w:w="1385"/>
          </w:tcPr>
          <w:p>
            <w:pPr>
              <w:jc w:val="left"/>
            </w:pPr>
            <w:r/>
            <w:r>
              <w:rPr>
                <w:rFonts w:ascii="Times New Roman" w:hAnsi="Times New Roman" w:eastAsia="宋体"/>
                <w:b w:val="0"/>
                <w:sz w:val="20"/>
              </w:rPr>
              <w:t>Lyons[37]</w:t>
            </w:r>
          </w:p>
        </w:tc>
      </w:tr>
      <w:tr>
        <w:tc>
          <w:tcPr>
            <w:tcW w:type="dxa" w:w="1385"/>
          </w:tcPr>
          <w:p>
            <w:pPr>
              <w:jc w:val="left"/>
            </w:pPr>
            <w:r/>
            <w:r>
              <w:rPr>
                <w:rFonts w:ascii="Times New Roman" w:hAnsi="Times New Roman" w:eastAsia="宋体"/>
                <w:b w:val="0"/>
                <w:sz w:val="20"/>
              </w:rPr>
              <w:t>钽(MnO2)</w:t>
            </w:r>
          </w:p>
        </w:tc>
        <w:tc>
          <w:tcPr>
            <w:tcW w:type="dxa" w:w="1385"/>
          </w:tcPr>
          <w:p>
            <w:pPr>
              <w:jc w:val="left"/>
            </w:pPr>
            <w:r/>
            <w:r>
              <w:rPr>
                <w:rFonts w:ascii="Times New Roman" w:hAnsi="Times New Roman" w:eastAsia="宋体"/>
                <w:b w:val="0"/>
                <w:sz w:val="20"/>
              </w:rPr>
              <w:t>场致结晶</w:t>
            </w:r>
          </w:p>
        </w:tc>
        <w:tc>
          <w:tcPr>
            <w:tcW w:type="dxa" w:w="1385"/>
          </w:tcPr>
          <w:p>
            <w:pPr>
              <w:jc w:val="left"/>
            </w:pPr>
            <w:r/>
            <w:r>
              <w:rPr>
                <w:rFonts w:ascii="Times New Roman" w:hAnsi="Times New Roman" w:eastAsia="宋体"/>
                <w:b w:val="0"/>
                <w:sz w:val="20"/>
              </w:rPr>
              <w:t>1.0-1.5</w:t>
            </w:r>
          </w:p>
        </w:tc>
        <w:tc>
          <w:tcPr>
            <w:tcW w:type="dxa" w:w="1385"/>
          </w:tcPr>
          <w:p>
            <w:pPr>
              <w:jc w:val="left"/>
            </w:pPr>
            <w:r/>
            <w:r>
              <w:rPr>
                <w:rFonts w:ascii="Times New Roman" w:hAnsi="Times New Roman" w:eastAsia="宋体"/>
                <w:b w:val="0"/>
                <w:sz w:val="20"/>
              </w:rPr>
              <w:t>15-40</w:t>
            </w:r>
          </w:p>
        </w:tc>
        <w:tc>
          <w:tcPr>
            <w:tcW w:type="dxa" w:w="1385"/>
          </w:tcPr>
          <w:p>
            <w:pPr>
              <w:jc w:val="left"/>
            </w:pPr>
            <w:r/>
            <w:r>
              <w:rPr>
                <w:rFonts w:ascii="Times New Roman" w:hAnsi="Times New Roman" w:eastAsia="宋体"/>
                <w:b w:val="0"/>
                <w:sz w:val="20"/>
              </w:rPr>
              <w:t>0.8-1.2</w:t>
            </w:r>
          </w:p>
        </w:tc>
        <w:tc>
          <w:tcPr>
            <w:tcW w:type="dxa" w:w="1385"/>
          </w:tcPr>
          <w:p>
            <w:pPr>
              <w:jc w:val="left"/>
            </w:pPr>
            <w:r/>
            <w:r>
              <w:rPr>
                <w:rFonts w:ascii="Times New Roman" w:hAnsi="Times New Roman" w:eastAsia="宋体"/>
                <w:b w:val="0"/>
                <w:sz w:val="20"/>
              </w:rPr>
              <w:t>Teverovsky[9], Freeman[10]</w:t>
            </w:r>
          </w:p>
        </w:tc>
      </w:tr>
      <w:tr>
        <w:tc>
          <w:tcPr>
            <w:tcW w:type="dxa" w:w="1385"/>
          </w:tcPr>
          <w:p>
            <w:pPr>
              <w:jc w:val="left"/>
            </w:pPr>
            <w:r/>
            <w:r>
              <w:rPr>
                <w:rFonts w:ascii="Times New Roman" w:hAnsi="Times New Roman" w:eastAsia="宋体"/>
                <w:b w:val="0"/>
                <w:sz w:val="20"/>
              </w:rPr>
              <w:t>钽(polymer)</w:t>
            </w:r>
          </w:p>
        </w:tc>
        <w:tc>
          <w:tcPr>
            <w:tcW w:type="dxa" w:w="1385"/>
          </w:tcPr>
          <w:p>
            <w:pPr>
              <w:jc w:val="left"/>
            </w:pPr>
            <w:r/>
            <w:r>
              <w:rPr>
                <w:rFonts w:ascii="Times New Roman" w:hAnsi="Times New Roman" w:eastAsia="宋体"/>
                <w:b w:val="0"/>
                <w:sz w:val="20"/>
              </w:rPr>
              <w:t>场致结晶+热失控</w:t>
            </w:r>
          </w:p>
        </w:tc>
        <w:tc>
          <w:tcPr>
            <w:tcW w:type="dxa" w:w="1385"/>
          </w:tcPr>
          <w:p>
            <w:pPr>
              <w:jc w:val="left"/>
            </w:pPr>
            <w:r/>
            <w:r>
              <w:rPr>
                <w:rFonts w:ascii="Times New Roman" w:hAnsi="Times New Roman" w:eastAsia="宋体"/>
                <w:b w:val="0"/>
                <w:sz w:val="20"/>
              </w:rPr>
              <w:t>0.9-1.3</w:t>
            </w:r>
          </w:p>
        </w:tc>
        <w:tc>
          <w:tcPr>
            <w:tcW w:type="dxa" w:w="1385"/>
          </w:tcPr>
          <w:p>
            <w:pPr>
              <w:jc w:val="left"/>
            </w:pPr>
            <w:r/>
            <w:r>
              <w:rPr>
                <w:rFonts w:ascii="Times New Roman" w:hAnsi="Times New Roman" w:eastAsia="宋体"/>
                <w:b w:val="0"/>
                <w:sz w:val="20"/>
              </w:rPr>
              <w:t>20-50</w:t>
            </w:r>
          </w:p>
        </w:tc>
        <w:tc>
          <w:tcPr>
            <w:tcW w:type="dxa" w:w="1385"/>
          </w:tcPr>
          <w:p>
            <w:pPr>
              <w:jc w:val="left"/>
            </w:pPr>
            <w:r/>
            <w:r>
              <w:rPr>
                <w:rFonts w:ascii="Times New Roman" w:hAnsi="Times New Roman" w:eastAsia="宋体"/>
                <w:b w:val="0"/>
                <w:sz w:val="20"/>
              </w:rPr>
              <w:t>0.7-1.0</w:t>
            </w:r>
          </w:p>
        </w:tc>
        <w:tc>
          <w:tcPr>
            <w:tcW w:type="dxa" w:w="1385"/>
          </w:tcPr>
          <w:p>
            <w:pPr>
              <w:jc w:val="left"/>
            </w:pPr>
            <w:r/>
            <w:r>
              <w:rPr>
                <w:rFonts w:ascii="Times New Roman" w:hAnsi="Times New Roman" w:eastAsia="宋体"/>
                <w:b w:val="0"/>
                <w:sz w:val="20"/>
              </w:rPr>
              <w:t>Pozdeev[38]</w:t>
            </w:r>
          </w:p>
        </w:tc>
      </w:tr>
      <w:tr>
        <w:tc>
          <w:tcPr>
            <w:tcW w:type="dxa" w:w="1385"/>
          </w:tcPr>
          <w:p>
            <w:pPr>
              <w:jc w:val="left"/>
            </w:pPr>
            <w:r/>
            <w:r>
              <w:rPr>
                <w:rFonts w:ascii="Times New Roman" w:hAnsi="Times New Roman" w:eastAsia="宋体"/>
                <w:b w:val="0"/>
                <w:sz w:val="20"/>
              </w:rPr>
              <w:t>超级电容(EDLC)</w:t>
            </w:r>
          </w:p>
        </w:tc>
        <w:tc>
          <w:tcPr>
            <w:tcW w:type="dxa" w:w="1385"/>
          </w:tcPr>
          <w:p>
            <w:pPr>
              <w:jc w:val="left"/>
            </w:pPr>
            <w:r/>
            <w:r>
              <w:rPr>
                <w:rFonts w:ascii="Times New Roman" w:hAnsi="Times New Roman" w:eastAsia="宋体"/>
                <w:b w:val="0"/>
                <w:sz w:val="20"/>
              </w:rPr>
              <w:t>电解液分解</w:t>
            </w:r>
          </w:p>
        </w:tc>
        <w:tc>
          <w:tcPr>
            <w:tcW w:type="dxa" w:w="1385"/>
          </w:tcPr>
          <w:p>
            <w:pPr>
              <w:jc w:val="left"/>
            </w:pPr>
            <w:r/>
            <w:r>
              <w:rPr>
                <w:rFonts w:ascii="Times New Roman" w:hAnsi="Times New Roman" w:eastAsia="宋体"/>
                <w:b w:val="0"/>
                <w:sz w:val="20"/>
              </w:rPr>
              <w:t>0.50-0.70</w:t>
            </w:r>
          </w:p>
        </w:tc>
        <w:tc>
          <w:tcPr>
            <w:tcW w:type="dxa" w:w="1385"/>
          </w:tcPr>
          <w:p>
            <w:pPr>
              <w:jc w:val="left"/>
            </w:pPr>
            <w:r/>
            <w:r>
              <w:rPr>
                <w:rFonts w:ascii="Times New Roman" w:hAnsi="Times New Roman" w:eastAsia="宋体"/>
                <w:b w:val="0"/>
                <w:sz w:val="20"/>
              </w:rPr>
              <w:t>-</w:t>
            </w:r>
          </w:p>
        </w:tc>
        <w:tc>
          <w:tcPr>
            <w:tcW w:type="dxa" w:w="1385"/>
          </w:tcPr>
          <w:p>
            <w:pPr>
              <w:jc w:val="left"/>
            </w:pPr>
            <w:r/>
            <w:r>
              <w:rPr>
                <w:rFonts w:ascii="Times New Roman" w:hAnsi="Times New Roman" w:eastAsia="宋体"/>
                <w:b w:val="0"/>
                <w:sz w:val="20"/>
              </w:rPr>
              <w:t>2-3</w:t>
            </w:r>
          </w:p>
        </w:tc>
        <w:tc>
          <w:tcPr>
            <w:tcW w:type="dxa" w:w="1385"/>
          </w:tcPr>
          <w:p>
            <w:pPr>
              <w:jc w:val="left"/>
            </w:pPr>
            <w:r/>
            <w:r>
              <w:rPr>
                <w:rFonts w:ascii="Times New Roman" w:hAnsi="Times New Roman" w:eastAsia="宋体"/>
                <w:b w:val="0"/>
                <w:sz w:val="20"/>
              </w:rPr>
              <w:t>Kurzweil[42]</w:t>
            </w:r>
          </w:p>
        </w:tc>
      </w:tr>
      <w:tr>
        <w:tc>
          <w:tcPr>
            <w:tcW w:type="dxa" w:w="1385"/>
          </w:tcPr>
          <w:p>
            <w:pPr>
              <w:jc w:val="left"/>
            </w:pPr>
            <w:r/>
            <w:r>
              <w:rPr>
                <w:rFonts w:ascii="Times New Roman" w:hAnsi="Times New Roman" w:eastAsia="宋体"/>
                <w:b w:val="0"/>
                <w:sz w:val="20"/>
              </w:rPr>
              <w:t>超级电容(EDLC)</w:t>
            </w:r>
          </w:p>
        </w:tc>
        <w:tc>
          <w:tcPr>
            <w:tcW w:type="dxa" w:w="1385"/>
          </w:tcPr>
          <w:p>
            <w:pPr>
              <w:jc w:val="left"/>
            </w:pPr>
            <w:r/>
            <w:r>
              <w:rPr>
                <w:rFonts w:ascii="Times New Roman" w:hAnsi="Times New Roman" w:eastAsia="宋体"/>
                <w:b w:val="0"/>
                <w:sz w:val="20"/>
              </w:rPr>
              <w:t>孔结构塌陷</w:t>
            </w:r>
          </w:p>
        </w:tc>
        <w:tc>
          <w:tcPr>
            <w:tcW w:type="dxa" w:w="1385"/>
          </w:tcPr>
          <w:p>
            <w:pPr>
              <w:jc w:val="left"/>
            </w:pPr>
            <w:r/>
            <w:r>
              <w:rPr>
                <w:rFonts w:ascii="Times New Roman" w:hAnsi="Times New Roman" w:eastAsia="宋体"/>
                <w:b w:val="0"/>
                <w:sz w:val="20"/>
              </w:rPr>
              <w:t>0.60-0.85</w:t>
            </w:r>
          </w:p>
        </w:tc>
        <w:tc>
          <w:tcPr>
            <w:tcW w:type="dxa" w:w="1385"/>
          </w:tcPr>
          <w:p>
            <w:pPr>
              <w:jc w:val="left"/>
            </w:pPr>
            <w:r/>
            <w:r>
              <w:rPr>
                <w:rFonts w:ascii="Times New Roman" w:hAnsi="Times New Roman" w:eastAsia="宋体"/>
                <w:b w:val="0"/>
                <w:sz w:val="20"/>
              </w:rPr>
              <w:t>-</w:t>
            </w:r>
          </w:p>
        </w:tc>
        <w:tc>
          <w:tcPr>
            <w:tcW w:type="dxa" w:w="1385"/>
          </w:tcPr>
          <w:p>
            <w:pPr>
              <w:jc w:val="left"/>
            </w:pPr>
            <w:r/>
            <w:r>
              <w:rPr>
                <w:rFonts w:ascii="Times New Roman" w:hAnsi="Times New Roman" w:eastAsia="宋体"/>
                <w:b w:val="0"/>
                <w:sz w:val="20"/>
              </w:rPr>
              <w:t>1.5-2.5</w:t>
            </w:r>
          </w:p>
        </w:tc>
        <w:tc>
          <w:tcPr>
            <w:tcW w:type="dxa" w:w="1385"/>
          </w:tcPr>
          <w:p>
            <w:pPr>
              <w:jc w:val="left"/>
            </w:pPr>
            <w:r/>
            <w:r>
              <w:rPr>
                <w:rFonts w:ascii="Times New Roman" w:hAnsi="Times New Roman" w:eastAsia="宋体"/>
                <w:b w:val="0"/>
                <w:sz w:val="20"/>
              </w:rPr>
              <w:t>Briat[58]</w:t>
            </w:r>
          </w:p>
        </w:tc>
      </w:tr>
    </w:tbl>
    <w:p>
      <w:r>
        <w:br w:type="page"/>
      </w:r>
    </w:p>
    <w:p>
      <w:pPr>
        <w:spacing w:before="240" w:after="120"/>
        <w:outlineLvl w:val="1"/>
      </w:pPr>
      <w:r>
        <w:rPr>
          <w:rFonts w:ascii="Times New Roman" w:hAnsi="Times New Roman" w:eastAsia="黑体"/>
          <w:b/>
          <w:sz w:val="36"/>
        </w:rPr>
        <w:t>附录E  电容器现场故障统计与典型数据</w:t>
      </w:r>
    </w:p>
    <w:p>
      <w:pPr>
        <w:spacing w:line="360" w:lineRule="auto" w:after="60"/>
        <w:ind w:firstLine="420"/>
        <w:jc w:val="both"/>
      </w:pPr>
      <w:r>
        <w:rPr>
          <w:rFonts w:ascii="Times New Roman" w:hAnsi="Times New Roman" w:eastAsia="宋体"/>
          <w:b w:val="0"/>
          <w:sz w:val="22"/>
        </w:rPr>
        <w:t>为帮助读者直观认识电容器可靠性在实际产品中的表现，本附录汇总了部分公开文献报道的电容器现场故障率数据。</w:t>
      </w:r>
    </w:p>
    <w:p>
      <w:pPr>
        <w:jc w:val="center"/>
      </w:pPr>
      <w:r>
        <w:rPr>
          <w:rFonts w:ascii="Times New Roman" w:hAnsi="Times New Roman" w:eastAsia="黑体"/>
          <w:b/>
          <w:sz w:val="21"/>
        </w:rPr>
        <w:t>表E-1  电容器典型应用场景的现场故障率数据</w:t>
      </w:r>
    </w:p>
    <w:tbl>
      <w:tblPr>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
              <w:rPr>
                <w:rFonts w:ascii="Times New Roman" w:hAnsi="Times New Roman" w:eastAsia="黑体"/>
                <w:b/>
                <w:sz w:val="20"/>
              </w:rPr>
              <w:t>应用场景</w:t>
            </w:r>
          </w:p>
        </w:tc>
        <w:tc>
          <w:tcPr>
            <w:tcW w:type="dxa" w:w="2078"/>
          </w:tcPr>
          <w:p>
            <w:pPr>
              <w:jc w:val="center"/>
            </w:pPr>
            <w:r/>
            <w:r>
              <w:rPr>
                <w:rFonts w:ascii="Times New Roman" w:hAnsi="Times New Roman" w:eastAsia="黑体"/>
                <w:b/>
                <w:sz w:val="20"/>
              </w:rPr>
              <w:t>电容器类型</w:t>
            </w:r>
          </w:p>
        </w:tc>
        <w:tc>
          <w:tcPr>
            <w:tcW w:type="dxa" w:w="2078"/>
          </w:tcPr>
          <w:p>
            <w:pPr>
              <w:jc w:val="center"/>
            </w:pPr>
            <w:r/>
            <w:r>
              <w:rPr>
                <w:rFonts w:ascii="Times New Roman" w:hAnsi="Times New Roman" w:eastAsia="黑体"/>
                <w:b/>
                <w:sz w:val="20"/>
              </w:rPr>
              <w:t>典型故障率</w:t>
            </w:r>
          </w:p>
        </w:tc>
        <w:tc>
          <w:tcPr>
            <w:tcW w:type="dxa" w:w="2078"/>
          </w:tcPr>
          <w:p>
            <w:pPr>
              <w:jc w:val="center"/>
            </w:pPr>
            <w:r/>
            <w:r>
              <w:rPr>
                <w:rFonts w:ascii="Times New Roman" w:hAnsi="Times New Roman" w:eastAsia="黑体"/>
                <w:b/>
                <w:sz w:val="20"/>
              </w:rPr>
              <w:t>数据来源</w:t>
            </w:r>
          </w:p>
        </w:tc>
      </w:tr>
      <w:tr>
        <w:tc>
          <w:tcPr>
            <w:tcW w:type="dxa" w:w="2078"/>
          </w:tcPr>
          <w:p>
            <w:pPr>
              <w:jc w:val="left"/>
            </w:pPr>
            <w:r/>
            <w:r>
              <w:rPr>
                <w:rFonts w:ascii="Times New Roman" w:hAnsi="Times New Roman" w:eastAsia="宋体"/>
                <w:b w:val="0"/>
                <w:sz w:val="20"/>
              </w:rPr>
              <w:t>工业变频器</w:t>
            </w:r>
          </w:p>
        </w:tc>
        <w:tc>
          <w:tcPr>
            <w:tcW w:type="dxa" w:w="2078"/>
          </w:tcPr>
          <w:p>
            <w:pPr>
              <w:jc w:val="left"/>
            </w:pPr>
            <w:r/>
            <w:r>
              <w:rPr>
                <w:rFonts w:ascii="Times New Roman" w:hAnsi="Times New Roman" w:eastAsia="宋体"/>
                <w:b w:val="0"/>
                <w:sz w:val="20"/>
              </w:rPr>
              <w:t>DC-link Al-cap</w:t>
            </w:r>
          </w:p>
        </w:tc>
        <w:tc>
          <w:tcPr>
            <w:tcW w:type="dxa" w:w="2078"/>
          </w:tcPr>
          <w:p>
            <w:pPr>
              <w:jc w:val="left"/>
            </w:pPr>
            <w:r/>
            <w:r>
              <w:rPr>
                <w:rFonts w:ascii="Times New Roman" w:hAnsi="Times New Roman" w:eastAsia="宋体"/>
                <w:b w:val="0"/>
                <w:sz w:val="20"/>
              </w:rPr>
              <w:t>30%以上总故障贡献</w:t>
            </w:r>
          </w:p>
        </w:tc>
        <w:tc>
          <w:tcPr>
            <w:tcW w:type="dxa" w:w="2078"/>
          </w:tcPr>
          <w:p>
            <w:pPr>
              <w:jc w:val="left"/>
            </w:pPr>
            <w:r/>
            <w:r>
              <w:rPr>
                <w:rFonts w:ascii="Times New Roman" w:hAnsi="Times New Roman" w:eastAsia="宋体"/>
                <w:b w:val="0"/>
                <w:sz w:val="20"/>
              </w:rPr>
              <w:t>Yang[51], Wang[1]</w:t>
            </w:r>
          </w:p>
        </w:tc>
      </w:tr>
      <w:tr>
        <w:tc>
          <w:tcPr>
            <w:tcW w:type="dxa" w:w="2078"/>
          </w:tcPr>
          <w:p>
            <w:pPr>
              <w:jc w:val="left"/>
            </w:pPr>
            <w:r/>
            <w:r>
              <w:rPr>
                <w:rFonts w:ascii="Times New Roman" w:hAnsi="Times New Roman" w:eastAsia="宋体"/>
                <w:b w:val="0"/>
                <w:sz w:val="20"/>
              </w:rPr>
              <w:t>光伏逆变器</w:t>
            </w:r>
          </w:p>
        </w:tc>
        <w:tc>
          <w:tcPr>
            <w:tcW w:type="dxa" w:w="2078"/>
          </w:tcPr>
          <w:p>
            <w:pPr>
              <w:jc w:val="left"/>
            </w:pPr>
            <w:r/>
            <w:r>
              <w:rPr>
                <w:rFonts w:ascii="Times New Roman" w:hAnsi="Times New Roman" w:eastAsia="宋体"/>
                <w:b w:val="0"/>
                <w:sz w:val="20"/>
              </w:rPr>
              <w:t>薄膜/铝电解</w:t>
            </w:r>
          </w:p>
        </w:tc>
        <w:tc>
          <w:tcPr>
            <w:tcW w:type="dxa" w:w="2078"/>
          </w:tcPr>
          <w:p>
            <w:pPr>
              <w:jc w:val="left"/>
            </w:pPr>
            <w:r/>
            <w:r>
              <w:rPr>
                <w:rFonts w:ascii="Times New Roman" w:hAnsi="Times New Roman" w:eastAsia="宋体"/>
                <w:b w:val="0"/>
                <w:sz w:val="20"/>
              </w:rPr>
              <w:t>约15%-30%总故障贡献</w:t>
            </w:r>
          </w:p>
        </w:tc>
        <w:tc>
          <w:tcPr>
            <w:tcW w:type="dxa" w:w="2078"/>
          </w:tcPr>
          <w:p>
            <w:pPr>
              <w:jc w:val="left"/>
            </w:pPr>
            <w:r/>
            <w:r>
              <w:rPr>
                <w:rFonts w:ascii="Times New Roman" w:hAnsi="Times New Roman" w:eastAsia="宋体"/>
                <w:b w:val="0"/>
                <w:sz w:val="20"/>
              </w:rPr>
              <w:t>Wang[1]</w:t>
            </w:r>
          </w:p>
        </w:tc>
      </w:tr>
      <w:tr>
        <w:tc>
          <w:tcPr>
            <w:tcW w:type="dxa" w:w="2078"/>
          </w:tcPr>
          <w:p>
            <w:pPr>
              <w:jc w:val="left"/>
            </w:pPr>
            <w:r/>
            <w:r>
              <w:rPr>
                <w:rFonts w:ascii="Times New Roman" w:hAnsi="Times New Roman" w:eastAsia="宋体"/>
                <w:b w:val="0"/>
                <w:sz w:val="20"/>
              </w:rPr>
              <w:t>风电变流器</w:t>
            </w:r>
          </w:p>
        </w:tc>
        <w:tc>
          <w:tcPr>
            <w:tcW w:type="dxa" w:w="2078"/>
          </w:tcPr>
          <w:p>
            <w:pPr>
              <w:jc w:val="left"/>
            </w:pPr>
            <w:r/>
            <w:r>
              <w:rPr>
                <w:rFonts w:ascii="Times New Roman" w:hAnsi="Times New Roman" w:eastAsia="宋体"/>
                <w:b w:val="0"/>
                <w:sz w:val="20"/>
              </w:rPr>
              <w:t>DC-link薄膜</w:t>
            </w:r>
          </w:p>
        </w:tc>
        <w:tc>
          <w:tcPr>
            <w:tcW w:type="dxa" w:w="2078"/>
          </w:tcPr>
          <w:p>
            <w:pPr>
              <w:jc w:val="left"/>
            </w:pPr>
            <w:r/>
            <w:r>
              <w:rPr>
                <w:rFonts w:ascii="Times New Roman" w:hAnsi="Times New Roman" w:eastAsia="宋体"/>
                <w:b w:val="0"/>
                <w:sz w:val="20"/>
              </w:rPr>
              <w:t>约5%-10%</w:t>
            </w:r>
          </w:p>
        </w:tc>
        <w:tc>
          <w:tcPr>
            <w:tcW w:type="dxa" w:w="2078"/>
          </w:tcPr>
          <w:p>
            <w:pPr>
              <w:jc w:val="left"/>
            </w:pPr>
            <w:r/>
            <w:r>
              <w:rPr>
                <w:rFonts w:ascii="Times New Roman" w:hAnsi="Times New Roman" w:eastAsia="宋体"/>
                <w:b w:val="0"/>
                <w:sz w:val="20"/>
              </w:rPr>
              <w:t>Wang[50]</w:t>
            </w:r>
          </w:p>
        </w:tc>
      </w:tr>
      <w:tr>
        <w:tc>
          <w:tcPr>
            <w:tcW w:type="dxa" w:w="2078"/>
          </w:tcPr>
          <w:p>
            <w:pPr>
              <w:jc w:val="left"/>
            </w:pPr>
            <w:r/>
            <w:r>
              <w:rPr>
                <w:rFonts w:ascii="Times New Roman" w:hAnsi="Times New Roman" w:eastAsia="宋体"/>
                <w:b w:val="0"/>
                <w:sz w:val="20"/>
              </w:rPr>
              <w:t>EV主驱逆变器</w:t>
            </w:r>
          </w:p>
        </w:tc>
        <w:tc>
          <w:tcPr>
            <w:tcW w:type="dxa" w:w="2078"/>
          </w:tcPr>
          <w:p>
            <w:pPr>
              <w:jc w:val="left"/>
            </w:pPr>
            <w:r/>
            <w:r>
              <w:rPr>
                <w:rFonts w:ascii="Times New Roman" w:hAnsi="Times New Roman" w:eastAsia="宋体"/>
                <w:b w:val="0"/>
                <w:sz w:val="20"/>
              </w:rPr>
              <w:t>DC-link薄膜</w:t>
            </w:r>
          </w:p>
        </w:tc>
        <w:tc>
          <w:tcPr>
            <w:tcW w:type="dxa" w:w="2078"/>
          </w:tcPr>
          <w:p>
            <w:pPr>
              <w:jc w:val="left"/>
            </w:pPr>
            <w:r/>
            <w:r>
              <w:rPr>
                <w:rFonts w:ascii="Times New Roman" w:hAnsi="Times New Roman" w:eastAsia="宋体"/>
                <w:b w:val="0"/>
                <w:sz w:val="20"/>
              </w:rPr>
              <w:t>&lt;5 FIT (AEC-Q200)</w:t>
            </w:r>
          </w:p>
        </w:tc>
        <w:tc>
          <w:tcPr>
            <w:tcW w:type="dxa" w:w="2078"/>
          </w:tcPr>
          <w:p>
            <w:pPr>
              <w:jc w:val="left"/>
            </w:pPr>
            <w:r/>
            <w:r>
              <w:rPr>
                <w:rFonts w:ascii="Times New Roman" w:hAnsi="Times New Roman" w:eastAsia="宋体"/>
                <w:b w:val="0"/>
                <w:sz w:val="20"/>
              </w:rPr>
              <w:t>AEC-Q200[61]</w:t>
            </w:r>
          </w:p>
        </w:tc>
      </w:tr>
      <w:tr>
        <w:tc>
          <w:tcPr>
            <w:tcW w:type="dxa" w:w="2078"/>
          </w:tcPr>
          <w:p>
            <w:pPr>
              <w:jc w:val="left"/>
            </w:pPr>
            <w:r/>
            <w:r>
              <w:rPr>
                <w:rFonts w:ascii="Times New Roman" w:hAnsi="Times New Roman" w:eastAsia="宋体"/>
                <w:b w:val="0"/>
                <w:sz w:val="20"/>
              </w:rPr>
              <w:t>通信基站电源</w:t>
            </w:r>
          </w:p>
        </w:tc>
        <w:tc>
          <w:tcPr>
            <w:tcW w:type="dxa" w:w="2078"/>
          </w:tcPr>
          <w:p>
            <w:pPr>
              <w:jc w:val="left"/>
            </w:pPr>
            <w:r/>
            <w:r>
              <w:rPr>
                <w:rFonts w:ascii="Times New Roman" w:hAnsi="Times New Roman" w:eastAsia="宋体"/>
                <w:b w:val="0"/>
                <w:sz w:val="20"/>
              </w:rPr>
              <w:t>MLCC+Al-cap</w:t>
            </w:r>
          </w:p>
        </w:tc>
        <w:tc>
          <w:tcPr>
            <w:tcW w:type="dxa" w:w="2078"/>
          </w:tcPr>
          <w:p>
            <w:pPr>
              <w:jc w:val="left"/>
            </w:pPr>
            <w:r/>
            <w:r>
              <w:rPr>
                <w:rFonts w:ascii="Times New Roman" w:hAnsi="Times New Roman" w:eastAsia="宋体"/>
                <w:b w:val="0"/>
                <w:sz w:val="20"/>
              </w:rPr>
              <w:t>10-20 FIT</w:t>
            </w:r>
          </w:p>
        </w:tc>
        <w:tc>
          <w:tcPr>
            <w:tcW w:type="dxa" w:w="2078"/>
          </w:tcPr>
          <w:p>
            <w:pPr>
              <w:jc w:val="left"/>
            </w:pPr>
            <w:r/>
            <w:r>
              <w:rPr>
                <w:rFonts w:ascii="Times New Roman" w:hAnsi="Times New Roman" w:eastAsia="宋体"/>
                <w:b w:val="0"/>
                <w:sz w:val="20"/>
              </w:rPr>
              <w:t>MIL-HDBK-217F[62]</w:t>
            </w:r>
          </w:p>
        </w:tc>
      </w:tr>
      <w:tr>
        <w:tc>
          <w:tcPr>
            <w:tcW w:type="dxa" w:w="2078"/>
          </w:tcPr>
          <w:p>
            <w:pPr>
              <w:jc w:val="left"/>
            </w:pPr>
            <w:r/>
            <w:r>
              <w:rPr>
                <w:rFonts w:ascii="Times New Roman" w:hAnsi="Times New Roman" w:eastAsia="宋体"/>
                <w:b w:val="0"/>
                <w:sz w:val="20"/>
              </w:rPr>
              <w:t>消费电子主板</w:t>
            </w:r>
          </w:p>
        </w:tc>
        <w:tc>
          <w:tcPr>
            <w:tcW w:type="dxa" w:w="2078"/>
          </w:tcPr>
          <w:p>
            <w:pPr>
              <w:jc w:val="left"/>
            </w:pPr>
            <w:r/>
            <w:r>
              <w:rPr>
                <w:rFonts w:ascii="Times New Roman" w:hAnsi="Times New Roman" w:eastAsia="宋体"/>
                <w:b w:val="0"/>
                <w:sz w:val="20"/>
              </w:rPr>
              <w:t>MLCC</w:t>
            </w:r>
          </w:p>
        </w:tc>
        <w:tc>
          <w:tcPr>
            <w:tcW w:type="dxa" w:w="2078"/>
          </w:tcPr>
          <w:p>
            <w:pPr>
              <w:jc w:val="left"/>
            </w:pPr>
            <w:r/>
            <w:r>
              <w:rPr>
                <w:rFonts w:ascii="Times New Roman" w:hAnsi="Times New Roman" w:eastAsia="宋体"/>
                <w:b w:val="0"/>
                <w:sz w:val="20"/>
              </w:rPr>
              <w:t>1-5 FIT</w:t>
            </w:r>
          </w:p>
        </w:tc>
        <w:tc>
          <w:tcPr>
            <w:tcW w:type="dxa" w:w="2078"/>
          </w:tcPr>
          <w:p>
            <w:pPr>
              <w:jc w:val="left"/>
            </w:pPr>
            <w:r/>
            <w:r>
              <w:rPr>
                <w:rFonts w:ascii="Times New Roman" w:hAnsi="Times New Roman" w:eastAsia="宋体"/>
                <w:b w:val="0"/>
                <w:sz w:val="20"/>
              </w:rPr>
              <w:t>厂家实测(TDK/Murata)</w:t>
            </w:r>
          </w:p>
        </w:tc>
      </w:tr>
      <w:tr>
        <w:tc>
          <w:tcPr>
            <w:tcW w:type="dxa" w:w="2078"/>
          </w:tcPr>
          <w:p>
            <w:pPr>
              <w:jc w:val="left"/>
            </w:pPr>
            <w:r/>
            <w:r>
              <w:rPr>
                <w:rFonts w:ascii="Times New Roman" w:hAnsi="Times New Roman" w:eastAsia="宋体"/>
                <w:b w:val="0"/>
                <w:sz w:val="20"/>
              </w:rPr>
              <w:t>航天电源</w:t>
            </w:r>
          </w:p>
        </w:tc>
        <w:tc>
          <w:tcPr>
            <w:tcW w:type="dxa" w:w="2078"/>
          </w:tcPr>
          <w:p>
            <w:pPr>
              <w:jc w:val="left"/>
            </w:pPr>
            <w:r/>
            <w:r>
              <w:rPr>
                <w:rFonts w:ascii="Times New Roman" w:hAnsi="Times New Roman" w:eastAsia="宋体"/>
                <w:b w:val="0"/>
                <w:sz w:val="20"/>
              </w:rPr>
              <w:t>固体钽</w:t>
            </w:r>
          </w:p>
        </w:tc>
        <w:tc>
          <w:tcPr>
            <w:tcW w:type="dxa" w:w="2078"/>
          </w:tcPr>
          <w:p>
            <w:pPr>
              <w:jc w:val="left"/>
            </w:pPr>
            <w:r/>
            <w:r>
              <w:rPr>
                <w:rFonts w:ascii="Times New Roman" w:hAnsi="Times New Roman" w:eastAsia="宋体"/>
                <w:b w:val="0"/>
                <w:sz w:val="20"/>
              </w:rPr>
              <w:t>&lt;1 FIT(F-Tech)</w:t>
            </w:r>
          </w:p>
        </w:tc>
        <w:tc>
          <w:tcPr>
            <w:tcW w:type="dxa" w:w="2078"/>
          </w:tcPr>
          <w:p>
            <w:pPr>
              <w:jc w:val="left"/>
            </w:pPr>
            <w:r/>
            <w:r>
              <w:rPr>
                <w:rFonts w:ascii="Times New Roman" w:hAnsi="Times New Roman" w:eastAsia="宋体"/>
                <w:b w:val="0"/>
                <w:sz w:val="20"/>
              </w:rPr>
              <w:t>Teverovsky[2]</w:t>
            </w:r>
          </w:p>
        </w:tc>
      </w:tr>
      <w:tr>
        <w:tc>
          <w:tcPr>
            <w:tcW w:type="dxa" w:w="2078"/>
          </w:tcPr>
          <w:p>
            <w:pPr>
              <w:jc w:val="left"/>
            </w:pPr>
            <w:r/>
            <w:r>
              <w:rPr>
                <w:rFonts w:ascii="Times New Roman" w:hAnsi="Times New Roman" w:eastAsia="宋体"/>
                <w:b w:val="0"/>
                <w:sz w:val="20"/>
              </w:rPr>
              <w:t>医疗植入器件</w:t>
            </w:r>
          </w:p>
        </w:tc>
        <w:tc>
          <w:tcPr>
            <w:tcW w:type="dxa" w:w="2078"/>
          </w:tcPr>
          <w:p>
            <w:pPr>
              <w:jc w:val="left"/>
            </w:pPr>
            <w:r/>
            <w:r>
              <w:rPr>
                <w:rFonts w:ascii="Times New Roman" w:hAnsi="Times New Roman" w:eastAsia="宋体"/>
                <w:b w:val="0"/>
                <w:sz w:val="20"/>
              </w:rPr>
              <w:t>固态钽/高可靠MLCC</w:t>
            </w:r>
          </w:p>
        </w:tc>
        <w:tc>
          <w:tcPr>
            <w:tcW w:type="dxa" w:w="2078"/>
          </w:tcPr>
          <w:p>
            <w:pPr>
              <w:jc w:val="left"/>
            </w:pPr>
            <w:r/>
            <w:r>
              <w:rPr>
                <w:rFonts w:ascii="Times New Roman" w:hAnsi="Times New Roman" w:eastAsia="宋体"/>
                <w:b w:val="0"/>
                <w:sz w:val="20"/>
              </w:rPr>
              <w:t>&lt;0.1 FIT</w:t>
            </w:r>
          </w:p>
        </w:tc>
        <w:tc>
          <w:tcPr>
            <w:tcW w:type="dxa" w:w="2078"/>
          </w:tcPr>
          <w:p>
            <w:pPr>
              <w:jc w:val="left"/>
            </w:pPr>
            <w:r/>
            <w:r>
              <w:rPr>
                <w:rFonts w:ascii="Times New Roman" w:hAnsi="Times New Roman" w:eastAsia="宋体"/>
                <w:b w:val="0"/>
                <w:sz w:val="20"/>
              </w:rPr>
              <w:t>专用认证[62]</w:t>
            </w:r>
          </w:p>
        </w:tc>
      </w:tr>
    </w:tbl>
    <w:p>
      <w:pPr>
        <w:spacing w:line="360" w:lineRule="auto" w:after="60"/>
        <w:ind w:firstLine="420"/>
        <w:jc w:val="both"/>
      </w:pPr>
      <w:r>
        <w:rPr>
          <w:rFonts w:ascii="Times New Roman" w:hAnsi="Times New Roman" w:eastAsia="宋体"/>
          <w:b w:val="0"/>
          <w:sz w:val="22"/>
        </w:rPr>
        <w:t>从表中数据可以看出：</w:t>
      </w:r>
    </w:p>
    <w:p>
      <w:pPr>
        <w:spacing w:line="360" w:lineRule="auto" w:after="60"/>
        <w:ind w:firstLine="420"/>
        <w:jc w:val="both"/>
      </w:pPr>
      <w:r>
        <w:rPr>
          <w:rFonts w:ascii="Times New Roman" w:hAnsi="Times New Roman" w:eastAsia="宋体"/>
          <w:b w:val="0"/>
          <w:sz w:val="22"/>
        </w:rPr>
        <w:t>（1）DC-link电容器（铝电解与金属化薄膜）在工业与新能源应用中是整机故障的主要贡献者之一；</w:t>
      </w:r>
    </w:p>
    <w:p>
      <w:pPr>
        <w:spacing w:line="360" w:lineRule="auto" w:after="60"/>
        <w:ind w:firstLine="420"/>
        <w:jc w:val="both"/>
      </w:pPr>
      <w:r>
        <w:rPr>
          <w:rFonts w:ascii="Times New Roman" w:hAnsi="Times New Roman" w:eastAsia="宋体"/>
          <w:b w:val="0"/>
          <w:sz w:val="22"/>
        </w:rPr>
        <w:t>（2）在严苛的航天与医疗应用中，通过F-Tech等高品质工艺，故障率可降低至1 FIT以下；</w:t>
      </w:r>
    </w:p>
    <w:p>
      <w:pPr>
        <w:spacing w:line="360" w:lineRule="auto" w:after="60"/>
        <w:ind w:firstLine="420"/>
        <w:jc w:val="both"/>
      </w:pPr>
      <w:r>
        <w:rPr>
          <w:rFonts w:ascii="Times New Roman" w:hAnsi="Times New Roman" w:eastAsia="宋体"/>
          <w:b w:val="0"/>
          <w:sz w:val="22"/>
        </w:rPr>
        <w:t>（3）MLCC的单体故障率虽然不高，但由于单板上数量巨大（手机主板上可达千只量级），其累积故障率仍需重视；</w:t>
      </w:r>
    </w:p>
    <w:p>
      <w:pPr>
        <w:spacing w:line="360" w:lineRule="auto" w:after="60"/>
        <w:ind w:firstLine="420"/>
        <w:jc w:val="both"/>
      </w:pPr>
      <w:r>
        <w:rPr>
          <w:rFonts w:ascii="Times New Roman" w:hAnsi="Times New Roman" w:eastAsia="宋体"/>
          <w:b w:val="0"/>
          <w:sz w:val="22"/>
        </w:rPr>
        <w:t>（4）AEC-Q200认证的车规产品要求明显高于通用产品，其故障率目标在5 FIT以下。</w:t>
      </w:r>
    </w:p>
    <w:p>
      <w:pPr>
        <w:spacing w:line="360" w:lineRule="auto" w:after="60"/>
        <w:ind w:firstLine="420"/>
        <w:jc w:val="both"/>
      </w:pPr>
      <w:r>
        <w:rPr>
          <w:rFonts w:ascii="Times New Roman" w:hAnsi="Times New Roman" w:eastAsia="宋体"/>
          <w:b w:val="0"/>
          <w:sz w:val="22"/>
        </w:rPr>
        <w:t>这些数据印证了本报告开头所述的基本判断——电容器的可靠性是整机可靠性的瓶颈之一，其改善直接决定了高端电子装备的市场竞争力与安全性。</w:t>
      </w:r>
    </w:p>
    <w:p>
      <w:r>
        <w:br w:type="page"/>
      </w:r>
    </w:p>
    <w:p>
      <w:pPr>
        <w:spacing w:before="240" w:after="120"/>
        <w:outlineLvl w:val="1"/>
      </w:pPr>
      <w:r>
        <w:rPr>
          <w:rFonts w:ascii="Times New Roman" w:hAnsi="Times New Roman" w:eastAsia="黑体"/>
          <w:b/>
          <w:sz w:val="36"/>
        </w:rPr>
        <w:t>附录B  符号与缩略语表</w:t>
      </w:r>
    </w:p>
    <w:p>
      <w:pPr>
        <w:jc w:val="center"/>
      </w:pPr>
      <w:r>
        <w:rPr>
          <w:rFonts w:ascii="Times New Roman" w:hAnsi="Times New Roman" w:eastAsia="黑体"/>
          <w:b/>
          <w:sz w:val="21"/>
        </w:rPr>
        <w:t>表B-1  报告中主要符号与缩略语对照</w:t>
      </w:r>
    </w:p>
    <w:tbl>
      <w:tblPr>
        <w:tblW w:type="auto" w:w="0"/>
        <w:jc w:val="center"/>
        <w:tblLook w:firstColumn="1" w:firstRow="1" w:lastColumn="0" w:lastRow="0" w:noHBand="0" w:noVBand="1" w:val="04A0"/>
      </w:tblPr>
      <w:tblGrid>
        <w:gridCol w:w="2771"/>
        <w:gridCol w:w="2771"/>
        <w:gridCol w:w="2771"/>
      </w:tblGrid>
      <w:tr>
        <w:tc>
          <w:tcPr>
            <w:tcW w:type="dxa" w:w="2771"/>
          </w:tcPr>
          <w:p>
            <w:pPr>
              <w:jc w:val="center"/>
            </w:pPr>
            <w:r/>
            <w:r>
              <w:rPr>
                <w:rFonts w:ascii="Times New Roman" w:hAnsi="Times New Roman" w:eastAsia="黑体"/>
                <w:b/>
                <w:sz w:val="20"/>
              </w:rPr>
              <w:t>符号/缩略语</w:t>
            </w:r>
          </w:p>
        </w:tc>
        <w:tc>
          <w:tcPr>
            <w:tcW w:type="dxa" w:w="2771"/>
          </w:tcPr>
          <w:p>
            <w:pPr>
              <w:jc w:val="center"/>
            </w:pPr>
            <w:r/>
            <w:r>
              <w:rPr>
                <w:rFonts w:ascii="Times New Roman" w:hAnsi="Times New Roman" w:eastAsia="黑体"/>
                <w:b/>
                <w:sz w:val="20"/>
              </w:rPr>
              <w:t>中文含义</w:t>
            </w:r>
          </w:p>
        </w:tc>
        <w:tc>
          <w:tcPr>
            <w:tcW w:type="dxa" w:w="2771"/>
          </w:tcPr>
          <w:p>
            <w:pPr>
              <w:jc w:val="center"/>
            </w:pPr>
            <w:r/>
            <w:r>
              <w:rPr>
                <w:rFonts w:ascii="Times New Roman" w:hAnsi="Times New Roman" w:eastAsia="黑体"/>
                <w:b/>
                <w:sz w:val="20"/>
              </w:rPr>
              <w:t>英文/说明</w:t>
            </w:r>
          </w:p>
        </w:tc>
      </w:tr>
      <w:tr>
        <w:tc>
          <w:tcPr>
            <w:tcW w:type="dxa" w:w="2771"/>
          </w:tcPr>
          <w:p>
            <w:pPr>
              <w:jc w:val="left"/>
            </w:pPr>
            <w:r/>
            <w:r>
              <w:rPr>
                <w:rFonts w:ascii="Times New Roman" w:hAnsi="Times New Roman" w:eastAsia="宋体"/>
                <w:b w:val="0"/>
                <w:sz w:val="20"/>
              </w:rPr>
              <w:t>C</w:t>
            </w:r>
          </w:p>
        </w:tc>
        <w:tc>
          <w:tcPr>
            <w:tcW w:type="dxa" w:w="2771"/>
          </w:tcPr>
          <w:p>
            <w:pPr>
              <w:jc w:val="left"/>
            </w:pPr>
            <w:r/>
            <w:r>
              <w:rPr>
                <w:rFonts w:ascii="Times New Roman" w:hAnsi="Times New Roman" w:eastAsia="宋体"/>
                <w:b w:val="0"/>
                <w:sz w:val="20"/>
              </w:rPr>
              <w:t>电容量</w:t>
            </w:r>
          </w:p>
        </w:tc>
        <w:tc>
          <w:tcPr>
            <w:tcW w:type="dxa" w:w="2771"/>
          </w:tcPr>
          <w:p>
            <w:pPr>
              <w:jc w:val="left"/>
            </w:pPr>
            <w:r/>
            <w:r>
              <w:rPr>
                <w:rFonts w:ascii="Times New Roman" w:hAnsi="Times New Roman" w:eastAsia="宋体"/>
                <w:b w:val="0"/>
                <w:sz w:val="20"/>
              </w:rPr>
              <w:t>单位 F（法拉）</w:t>
            </w:r>
          </w:p>
        </w:tc>
      </w:tr>
      <w:tr>
        <w:tc>
          <w:tcPr>
            <w:tcW w:type="dxa" w:w="2771"/>
          </w:tcPr>
          <w:p>
            <w:pPr>
              <w:jc w:val="left"/>
            </w:pPr>
            <w:r/>
            <w:r>
              <w:rPr>
                <w:rFonts w:ascii="Times New Roman" w:hAnsi="Times New Roman" w:eastAsia="宋体"/>
                <w:b w:val="0"/>
                <w:sz w:val="20"/>
              </w:rPr>
              <w:t>ESR</w:t>
            </w:r>
          </w:p>
        </w:tc>
        <w:tc>
          <w:tcPr>
            <w:tcW w:type="dxa" w:w="2771"/>
          </w:tcPr>
          <w:p>
            <w:pPr>
              <w:jc w:val="left"/>
            </w:pPr>
            <w:r/>
            <w:r>
              <w:rPr>
                <w:rFonts w:ascii="Times New Roman" w:hAnsi="Times New Roman" w:eastAsia="宋体"/>
                <w:b w:val="0"/>
                <w:sz w:val="20"/>
              </w:rPr>
              <w:t>等效串联电阻</w:t>
            </w:r>
          </w:p>
        </w:tc>
        <w:tc>
          <w:tcPr>
            <w:tcW w:type="dxa" w:w="2771"/>
          </w:tcPr>
          <w:p>
            <w:pPr>
              <w:jc w:val="left"/>
            </w:pPr>
            <w:r/>
            <w:r>
              <w:rPr>
                <w:rFonts w:ascii="Times New Roman" w:hAnsi="Times New Roman" w:eastAsia="宋体"/>
                <w:b w:val="0"/>
                <w:sz w:val="20"/>
              </w:rPr>
              <w:t>Equivalent Series Resistance</w:t>
            </w:r>
          </w:p>
        </w:tc>
      </w:tr>
      <w:tr>
        <w:tc>
          <w:tcPr>
            <w:tcW w:type="dxa" w:w="2771"/>
          </w:tcPr>
          <w:p>
            <w:pPr>
              <w:jc w:val="left"/>
            </w:pPr>
            <w:r/>
            <w:r>
              <w:rPr>
                <w:rFonts w:ascii="Times New Roman" w:hAnsi="Times New Roman" w:eastAsia="宋体"/>
                <w:b w:val="0"/>
                <w:sz w:val="20"/>
              </w:rPr>
              <w:t>ESL</w:t>
            </w:r>
          </w:p>
        </w:tc>
        <w:tc>
          <w:tcPr>
            <w:tcW w:type="dxa" w:w="2771"/>
          </w:tcPr>
          <w:p>
            <w:pPr>
              <w:jc w:val="left"/>
            </w:pPr>
            <w:r/>
            <w:r>
              <w:rPr>
                <w:rFonts w:ascii="Times New Roman" w:hAnsi="Times New Roman" w:eastAsia="宋体"/>
                <w:b w:val="0"/>
                <w:sz w:val="20"/>
              </w:rPr>
              <w:t>等效串联电感</w:t>
            </w:r>
          </w:p>
        </w:tc>
        <w:tc>
          <w:tcPr>
            <w:tcW w:type="dxa" w:w="2771"/>
          </w:tcPr>
          <w:p>
            <w:pPr>
              <w:jc w:val="left"/>
            </w:pPr>
            <w:r/>
            <w:r>
              <w:rPr>
                <w:rFonts w:ascii="Times New Roman" w:hAnsi="Times New Roman" w:eastAsia="宋体"/>
                <w:b w:val="0"/>
                <w:sz w:val="20"/>
              </w:rPr>
              <w:t>Equivalent Series Inductance</w:t>
            </w:r>
          </w:p>
        </w:tc>
      </w:tr>
      <w:tr>
        <w:tc>
          <w:tcPr>
            <w:tcW w:type="dxa" w:w="2771"/>
          </w:tcPr>
          <w:p>
            <w:pPr>
              <w:jc w:val="left"/>
            </w:pPr>
            <w:r/>
            <w:r>
              <w:rPr>
                <w:rFonts w:ascii="Times New Roman" w:hAnsi="Times New Roman" w:eastAsia="宋体"/>
                <w:b w:val="0"/>
                <w:sz w:val="20"/>
              </w:rPr>
              <w:t>IR</w:t>
            </w:r>
          </w:p>
        </w:tc>
        <w:tc>
          <w:tcPr>
            <w:tcW w:type="dxa" w:w="2771"/>
          </w:tcPr>
          <w:p>
            <w:pPr>
              <w:jc w:val="left"/>
            </w:pPr>
            <w:r/>
            <w:r>
              <w:rPr>
                <w:rFonts w:ascii="Times New Roman" w:hAnsi="Times New Roman" w:eastAsia="宋体"/>
                <w:b w:val="0"/>
                <w:sz w:val="20"/>
              </w:rPr>
              <w:t>绝缘电阻</w:t>
            </w:r>
          </w:p>
        </w:tc>
        <w:tc>
          <w:tcPr>
            <w:tcW w:type="dxa" w:w="2771"/>
          </w:tcPr>
          <w:p>
            <w:pPr>
              <w:jc w:val="left"/>
            </w:pPr>
            <w:r/>
            <w:r>
              <w:rPr>
                <w:rFonts w:ascii="Times New Roman" w:hAnsi="Times New Roman" w:eastAsia="宋体"/>
                <w:b w:val="0"/>
                <w:sz w:val="20"/>
              </w:rPr>
              <w:t>Insulation Resistance</w:t>
            </w:r>
          </w:p>
        </w:tc>
      </w:tr>
      <w:tr>
        <w:tc>
          <w:tcPr>
            <w:tcW w:type="dxa" w:w="2771"/>
          </w:tcPr>
          <w:p>
            <w:pPr>
              <w:jc w:val="left"/>
            </w:pPr>
            <w:r/>
            <w:r>
              <w:rPr>
                <w:rFonts w:ascii="Times New Roman" w:hAnsi="Times New Roman" w:eastAsia="宋体"/>
                <w:b w:val="0"/>
                <w:sz w:val="20"/>
              </w:rPr>
              <w:t>LC/DCL</w:t>
            </w:r>
          </w:p>
        </w:tc>
        <w:tc>
          <w:tcPr>
            <w:tcW w:type="dxa" w:w="2771"/>
          </w:tcPr>
          <w:p>
            <w:pPr>
              <w:jc w:val="left"/>
            </w:pPr>
            <w:r/>
            <w:r>
              <w:rPr>
                <w:rFonts w:ascii="Times New Roman" w:hAnsi="Times New Roman" w:eastAsia="宋体"/>
                <w:b w:val="0"/>
                <w:sz w:val="20"/>
              </w:rPr>
              <w:t>漏电流</w:t>
            </w:r>
          </w:p>
        </w:tc>
        <w:tc>
          <w:tcPr>
            <w:tcW w:type="dxa" w:w="2771"/>
          </w:tcPr>
          <w:p>
            <w:pPr>
              <w:jc w:val="left"/>
            </w:pPr>
            <w:r/>
            <w:r>
              <w:rPr>
                <w:rFonts w:ascii="Times New Roman" w:hAnsi="Times New Roman" w:eastAsia="宋体"/>
                <w:b w:val="0"/>
                <w:sz w:val="20"/>
              </w:rPr>
              <w:t>Leakage Current / DC Leakage</w:t>
            </w:r>
          </w:p>
        </w:tc>
      </w:tr>
      <w:tr>
        <w:tc>
          <w:tcPr>
            <w:tcW w:type="dxa" w:w="2771"/>
          </w:tcPr>
          <w:p>
            <w:pPr>
              <w:jc w:val="left"/>
            </w:pPr>
            <w:r/>
            <w:r>
              <w:rPr>
                <w:rFonts w:ascii="Times New Roman" w:hAnsi="Times New Roman" w:eastAsia="宋体"/>
                <w:b w:val="0"/>
                <w:sz w:val="20"/>
              </w:rPr>
              <w:t>tanδ</w:t>
            </w:r>
          </w:p>
        </w:tc>
        <w:tc>
          <w:tcPr>
            <w:tcW w:type="dxa" w:w="2771"/>
          </w:tcPr>
          <w:p>
            <w:pPr>
              <w:jc w:val="left"/>
            </w:pPr>
            <w:r/>
            <w:r>
              <w:rPr>
                <w:rFonts w:ascii="Times New Roman" w:hAnsi="Times New Roman" w:eastAsia="宋体"/>
                <w:b w:val="0"/>
                <w:sz w:val="20"/>
              </w:rPr>
              <w:t>损耗因数</w:t>
            </w:r>
          </w:p>
        </w:tc>
        <w:tc>
          <w:tcPr>
            <w:tcW w:type="dxa" w:w="2771"/>
          </w:tcPr>
          <w:p>
            <w:pPr>
              <w:jc w:val="left"/>
            </w:pPr>
            <w:r/>
            <w:r>
              <w:rPr>
                <w:rFonts w:ascii="Times New Roman" w:hAnsi="Times New Roman" w:eastAsia="宋体"/>
                <w:b w:val="0"/>
                <w:sz w:val="20"/>
              </w:rPr>
              <w:t>Dissipation Factor</w:t>
            </w:r>
          </w:p>
        </w:tc>
      </w:tr>
      <w:tr>
        <w:tc>
          <w:tcPr>
            <w:tcW w:type="dxa" w:w="2771"/>
          </w:tcPr>
          <w:p>
            <w:pPr>
              <w:jc w:val="left"/>
            </w:pPr>
            <w:r/>
            <w:r>
              <w:rPr>
                <w:rFonts w:ascii="Times New Roman" w:hAnsi="Times New Roman" w:eastAsia="宋体"/>
                <w:b w:val="0"/>
                <w:sz w:val="20"/>
              </w:rPr>
              <w:t>fSR</w:t>
            </w:r>
          </w:p>
        </w:tc>
        <w:tc>
          <w:tcPr>
            <w:tcW w:type="dxa" w:w="2771"/>
          </w:tcPr>
          <w:p>
            <w:pPr>
              <w:jc w:val="left"/>
            </w:pPr>
            <w:r/>
            <w:r>
              <w:rPr>
                <w:rFonts w:ascii="Times New Roman" w:hAnsi="Times New Roman" w:eastAsia="宋体"/>
                <w:b w:val="0"/>
                <w:sz w:val="20"/>
              </w:rPr>
              <w:t>自谐振频率</w:t>
            </w:r>
          </w:p>
        </w:tc>
        <w:tc>
          <w:tcPr>
            <w:tcW w:type="dxa" w:w="2771"/>
          </w:tcPr>
          <w:p>
            <w:pPr>
              <w:jc w:val="left"/>
            </w:pPr>
            <w:r/>
            <w:r>
              <w:rPr>
                <w:rFonts w:ascii="Times New Roman" w:hAnsi="Times New Roman" w:eastAsia="宋体"/>
                <w:b w:val="0"/>
                <w:sz w:val="20"/>
              </w:rPr>
              <w:t>Self-Resonant Frequency</w:t>
            </w:r>
          </w:p>
        </w:tc>
      </w:tr>
      <w:tr>
        <w:tc>
          <w:tcPr>
            <w:tcW w:type="dxa" w:w="2771"/>
          </w:tcPr>
          <w:p>
            <w:pPr>
              <w:jc w:val="left"/>
            </w:pPr>
            <w:r/>
            <w:r>
              <w:rPr>
                <w:rFonts w:ascii="Times New Roman" w:hAnsi="Times New Roman" w:eastAsia="宋体"/>
                <w:b w:val="0"/>
                <w:sz w:val="20"/>
              </w:rPr>
              <w:t>Ea</w:t>
            </w:r>
          </w:p>
        </w:tc>
        <w:tc>
          <w:tcPr>
            <w:tcW w:type="dxa" w:w="2771"/>
          </w:tcPr>
          <w:p>
            <w:pPr>
              <w:jc w:val="left"/>
            </w:pPr>
            <w:r/>
            <w:r>
              <w:rPr>
                <w:rFonts w:ascii="Times New Roman" w:hAnsi="Times New Roman" w:eastAsia="宋体"/>
                <w:b w:val="0"/>
                <w:sz w:val="20"/>
              </w:rPr>
              <w:t>激活能</w:t>
            </w:r>
          </w:p>
        </w:tc>
        <w:tc>
          <w:tcPr>
            <w:tcW w:type="dxa" w:w="2771"/>
          </w:tcPr>
          <w:p>
            <w:pPr>
              <w:jc w:val="left"/>
            </w:pPr>
            <w:r/>
            <w:r>
              <w:rPr>
                <w:rFonts w:ascii="Times New Roman" w:hAnsi="Times New Roman" w:eastAsia="宋体"/>
                <w:b w:val="0"/>
                <w:sz w:val="20"/>
              </w:rPr>
              <w:t>Activation Energy, eV</w:t>
            </w:r>
          </w:p>
        </w:tc>
      </w:tr>
      <w:tr>
        <w:tc>
          <w:tcPr>
            <w:tcW w:type="dxa" w:w="2771"/>
          </w:tcPr>
          <w:p>
            <w:pPr>
              <w:jc w:val="left"/>
            </w:pPr>
            <w:r/>
            <w:r>
              <w:rPr>
                <w:rFonts w:ascii="Times New Roman" w:hAnsi="Times New Roman" w:eastAsia="宋体"/>
                <w:b w:val="0"/>
                <w:sz w:val="20"/>
              </w:rPr>
              <w:t>k</w:t>
            </w:r>
          </w:p>
        </w:tc>
        <w:tc>
          <w:tcPr>
            <w:tcW w:type="dxa" w:w="2771"/>
          </w:tcPr>
          <w:p>
            <w:pPr>
              <w:jc w:val="left"/>
            </w:pPr>
            <w:r/>
            <w:r>
              <w:rPr>
                <w:rFonts w:ascii="Times New Roman" w:hAnsi="Times New Roman" w:eastAsia="宋体"/>
                <w:b w:val="0"/>
                <w:sz w:val="20"/>
              </w:rPr>
              <w:t>玻尔兹曼常数</w:t>
            </w:r>
          </w:p>
        </w:tc>
        <w:tc>
          <w:tcPr>
            <w:tcW w:type="dxa" w:w="2771"/>
          </w:tcPr>
          <w:p>
            <w:pPr>
              <w:jc w:val="left"/>
            </w:pPr>
            <w:r/>
            <w:r>
              <w:rPr>
                <w:rFonts w:ascii="Times New Roman" w:hAnsi="Times New Roman" w:eastAsia="宋体"/>
                <w:b w:val="0"/>
                <w:sz w:val="20"/>
              </w:rPr>
              <w:t>8.617×10⁻⁵ eV/K</w:t>
            </w:r>
          </w:p>
        </w:tc>
      </w:tr>
      <w:tr>
        <w:tc>
          <w:tcPr>
            <w:tcW w:type="dxa" w:w="2771"/>
          </w:tcPr>
          <w:p>
            <w:pPr>
              <w:jc w:val="left"/>
            </w:pPr>
            <w:r/>
            <w:r>
              <w:rPr>
                <w:rFonts w:ascii="Times New Roman" w:hAnsi="Times New Roman" w:eastAsia="宋体"/>
                <w:b w:val="0"/>
                <w:sz w:val="20"/>
              </w:rPr>
              <w:t>β</w:t>
            </w:r>
          </w:p>
        </w:tc>
        <w:tc>
          <w:tcPr>
            <w:tcW w:type="dxa" w:w="2771"/>
          </w:tcPr>
          <w:p>
            <w:pPr>
              <w:jc w:val="left"/>
            </w:pPr>
            <w:r/>
            <w:r>
              <w:rPr>
                <w:rFonts w:ascii="Times New Roman" w:hAnsi="Times New Roman" w:eastAsia="宋体"/>
                <w:b w:val="0"/>
                <w:sz w:val="20"/>
              </w:rPr>
              <w:t>Weibull形状参数</w:t>
            </w:r>
          </w:p>
        </w:tc>
        <w:tc>
          <w:tcPr>
            <w:tcW w:type="dxa" w:w="2771"/>
          </w:tcPr>
          <w:p>
            <w:pPr>
              <w:jc w:val="left"/>
            </w:pPr>
            <w:r/>
            <w:r>
              <w:rPr>
                <w:rFonts w:ascii="Times New Roman" w:hAnsi="Times New Roman" w:eastAsia="宋体"/>
                <w:b w:val="0"/>
                <w:sz w:val="20"/>
              </w:rPr>
              <w:t>Shape Parameter</w:t>
            </w:r>
          </w:p>
        </w:tc>
      </w:tr>
      <w:tr>
        <w:tc>
          <w:tcPr>
            <w:tcW w:type="dxa" w:w="2771"/>
          </w:tcPr>
          <w:p>
            <w:pPr>
              <w:jc w:val="left"/>
            </w:pPr>
            <w:r/>
            <w:r>
              <w:rPr>
                <w:rFonts w:ascii="Times New Roman" w:hAnsi="Times New Roman" w:eastAsia="宋体"/>
                <w:b w:val="0"/>
                <w:sz w:val="20"/>
              </w:rPr>
              <w:t>η</w:t>
            </w:r>
          </w:p>
        </w:tc>
        <w:tc>
          <w:tcPr>
            <w:tcW w:type="dxa" w:w="2771"/>
          </w:tcPr>
          <w:p>
            <w:pPr>
              <w:jc w:val="left"/>
            </w:pPr>
            <w:r/>
            <w:r>
              <w:rPr>
                <w:rFonts w:ascii="Times New Roman" w:hAnsi="Times New Roman" w:eastAsia="宋体"/>
                <w:b w:val="0"/>
                <w:sz w:val="20"/>
              </w:rPr>
              <w:t>Weibull尺度参数</w:t>
            </w:r>
          </w:p>
        </w:tc>
        <w:tc>
          <w:tcPr>
            <w:tcW w:type="dxa" w:w="2771"/>
          </w:tcPr>
          <w:p>
            <w:pPr>
              <w:jc w:val="left"/>
            </w:pPr>
            <w:r/>
            <w:r>
              <w:rPr>
                <w:rFonts w:ascii="Times New Roman" w:hAnsi="Times New Roman" w:eastAsia="宋体"/>
                <w:b w:val="0"/>
                <w:sz w:val="20"/>
              </w:rPr>
              <w:t>Scale Parameter</w:t>
            </w:r>
          </w:p>
        </w:tc>
      </w:tr>
      <w:tr>
        <w:tc>
          <w:tcPr>
            <w:tcW w:type="dxa" w:w="2771"/>
          </w:tcPr>
          <w:p>
            <w:pPr>
              <w:jc w:val="left"/>
            </w:pPr>
            <w:r/>
            <w:r>
              <w:rPr>
                <w:rFonts w:ascii="Times New Roman" w:hAnsi="Times New Roman" w:eastAsia="宋体"/>
                <w:b w:val="0"/>
                <w:sz w:val="20"/>
              </w:rPr>
              <w:t>AF</w:t>
            </w:r>
          </w:p>
        </w:tc>
        <w:tc>
          <w:tcPr>
            <w:tcW w:type="dxa" w:w="2771"/>
          </w:tcPr>
          <w:p>
            <w:pPr>
              <w:jc w:val="left"/>
            </w:pPr>
            <w:r/>
            <w:r>
              <w:rPr>
                <w:rFonts w:ascii="Times New Roman" w:hAnsi="Times New Roman" w:eastAsia="宋体"/>
                <w:b w:val="0"/>
                <w:sz w:val="20"/>
              </w:rPr>
              <w:t>加速因子</w:t>
            </w:r>
          </w:p>
        </w:tc>
        <w:tc>
          <w:tcPr>
            <w:tcW w:type="dxa" w:w="2771"/>
          </w:tcPr>
          <w:p>
            <w:pPr>
              <w:jc w:val="left"/>
            </w:pPr>
            <w:r/>
            <w:r>
              <w:rPr>
                <w:rFonts w:ascii="Times New Roman" w:hAnsi="Times New Roman" w:eastAsia="宋体"/>
                <w:b w:val="0"/>
                <w:sz w:val="20"/>
              </w:rPr>
              <w:t>Acceleration Factor</w:t>
            </w:r>
          </w:p>
        </w:tc>
      </w:tr>
      <w:tr>
        <w:tc>
          <w:tcPr>
            <w:tcW w:type="dxa" w:w="2771"/>
          </w:tcPr>
          <w:p>
            <w:pPr>
              <w:jc w:val="left"/>
            </w:pPr>
            <w:r/>
            <w:r>
              <w:rPr>
                <w:rFonts w:ascii="Times New Roman" w:hAnsi="Times New Roman" w:eastAsia="宋体"/>
                <w:b w:val="0"/>
                <w:sz w:val="20"/>
              </w:rPr>
              <w:t>MTTF</w:t>
            </w:r>
          </w:p>
        </w:tc>
        <w:tc>
          <w:tcPr>
            <w:tcW w:type="dxa" w:w="2771"/>
          </w:tcPr>
          <w:p>
            <w:pPr>
              <w:jc w:val="left"/>
            </w:pPr>
            <w:r/>
            <w:r>
              <w:rPr>
                <w:rFonts w:ascii="Times New Roman" w:hAnsi="Times New Roman" w:eastAsia="宋体"/>
                <w:b w:val="0"/>
                <w:sz w:val="20"/>
              </w:rPr>
              <w:t>平均失效时间</w:t>
            </w:r>
          </w:p>
        </w:tc>
        <w:tc>
          <w:tcPr>
            <w:tcW w:type="dxa" w:w="2771"/>
          </w:tcPr>
          <w:p>
            <w:pPr>
              <w:jc w:val="left"/>
            </w:pPr>
            <w:r/>
            <w:r>
              <w:rPr>
                <w:rFonts w:ascii="Times New Roman" w:hAnsi="Times New Roman" w:eastAsia="宋体"/>
                <w:b w:val="0"/>
                <w:sz w:val="20"/>
              </w:rPr>
              <w:t>Mean Time To Failure</w:t>
            </w:r>
          </w:p>
        </w:tc>
      </w:tr>
      <w:tr>
        <w:tc>
          <w:tcPr>
            <w:tcW w:type="dxa" w:w="2771"/>
          </w:tcPr>
          <w:p>
            <w:pPr>
              <w:jc w:val="left"/>
            </w:pPr>
            <w:r/>
            <w:r>
              <w:rPr>
                <w:rFonts w:ascii="Times New Roman" w:hAnsi="Times New Roman" w:eastAsia="宋体"/>
                <w:b w:val="0"/>
                <w:sz w:val="20"/>
              </w:rPr>
              <w:t>MTBF</w:t>
            </w:r>
          </w:p>
        </w:tc>
        <w:tc>
          <w:tcPr>
            <w:tcW w:type="dxa" w:w="2771"/>
          </w:tcPr>
          <w:p>
            <w:pPr>
              <w:jc w:val="left"/>
            </w:pPr>
            <w:r/>
            <w:r>
              <w:rPr>
                <w:rFonts w:ascii="Times New Roman" w:hAnsi="Times New Roman" w:eastAsia="宋体"/>
                <w:b w:val="0"/>
                <w:sz w:val="20"/>
              </w:rPr>
              <w:t>平均故障间隔时间</w:t>
            </w:r>
          </w:p>
        </w:tc>
        <w:tc>
          <w:tcPr>
            <w:tcW w:type="dxa" w:w="2771"/>
          </w:tcPr>
          <w:p>
            <w:pPr>
              <w:jc w:val="left"/>
            </w:pPr>
            <w:r/>
            <w:r>
              <w:rPr>
                <w:rFonts w:ascii="Times New Roman" w:hAnsi="Times New Roman" w:eastAsia="宋体"/>
                <w:b w:val="0"/>
                <w:sz w:val="20"/>
              </w:rPr>
              <w:t>Mean Time Between Failures</w:t>
            </w:r>
          </w:p>
        </w:tc>
      </w:tr>
      <w:tr>
        <w:tc>
          <w:tcPr>
            <w:tcW w:type="dxa" w:w="2771"/>
          </w:tcPr>
          <w:p>
            <w:pPr>
              <w:jc w:val="left"/>
            </w:pPr>
            <w:r/>
            <w:r>
              <w:rPr>
                <w:rFonts w:ascii="Times New Roman" w:hAnsi="Times New Roman" w:eastAsia="宋体"/>
                <w:b w:val="0"/>
                <w:sz w:val="20"/>
              </w:rPr>
              <w:t>FIT</w:t>
            </w:r>
          </w:p>
        </w:tc>
        <w:tc>
          <w:tcPr>
            <w:tcW w:type="dxa" w:w="2771"/>
          </w:tcPr>
          <w:p>
            <w:pPr>
              <w:jc w:val="left"/>
            </w:pPr>
            <w:r/>
            <w:r>
              <w:rPr>
                <w:rFonts w:ascii="Times New Roman" w:hAnsi="Times New Roman" w:eastAsia="宋体"/>
                <w:b w:val="0"/>
                <w:sz w:val="20"/>
              </w:rPr>
              <w:t>单位时间失效数</w:t>
            </w:r>
          </w:p>
        </w:tc>
        <w:tc>
          <w:tcPr>
            <w:tcW w:type="dxa" w:w="2771"/>
          </w:tcPr>
          <w:p>
            <w:pPr>
              <w:jc w:val="left"/>
            </w:pPr>
            <w:r/>
            <w:r>
              <w:rPr>
                <w:rFonts w:ascii="Times New Roman" w:hAnsi="Times New Roman" w:eastAsia="宋体"/>
                <w:b w:val="0"/>
                <w:sz w:val="20"/>
              </w:rPr>
              <w:t>Failures in Time, per 10⁹ h</w:t>
            </w:r>
          </w:p>
        </w:tc>
      </w:tr>
      <w:tr>
        <w:tc>
          <w:tcPr>
            <w:tcW w:type="dxa" w:w="2771"/>
          </w:tcPr>
          <w:p>
            <w:pPr>
              <w:jc w:val="left"/>
            </w:pPr>
            <w:r/>
            <w:r>
              <w:rPr>
                <w:rFonts w:ascii="Times New Roman" w:hAnsi="Times New Roman" w:eastAsia="宋体"/>
                <w:b w:val="0"/>
                <w:sz w:val="20"/>
              </w:rPr>
              <w:t>ALT</w:t>
            </w:r>
          </w:p>
        </w:tc>
        <w:tc>
          <w:tcPr>
            <w:tcW w:type="dxa" w:w="2771"/>
          </w:tcPr>
          <w:p>
            <w:pPr>
              <w:jc w:val="left"/>
            </w:pPr>
            <w:r/>
            <w:r>
              <w:rPr>
                <w:rFonts w:ascii="Times New Roman" w:hAnsi="Times New Roman" w:eastAsia="宋体"/>
                <w:b w:val="0"/>
                <w:sz w:val="20"/>
              </w:rPr>
              <w:t>加速寿命试验</w:t>
            </w:r>
          </w:p>
        </w:tc>
        <w:tc>
          <w:tcPr>
            <w:tcW w:type="dxa" w:w="2771"/>
          </w:tcPr>
          <w:p>
            <w:pPr>
              <w:jc w:val="left"/>
            </w:pPr>
            <w:r/>
            <w:r>
              <w:rPr>
                <w:rFonts w:ascii="Times New Roman" w:hAnsi="Times New Roman" w:eastAsia="宋体"/>
                <w:b w:val="0"/>
                <w:sz w:val="20"/>
              </w:rPr>
              <w:t>Accelerated Life Test</w:t>
            </w:r>
          </w:p>
        </w:tc>
      </w:tr>
      <w:tr>
        <w:tc>
          <w:tcPr>
            <w:tcW w:type="dxa" w:w="2771"/>
          </w:tcPr>
          <w:p>
            <w:pPr>
              <w:jc w:val="left"/>
            </w:pPr>
            <w:r/>
            <w:r>
              <w:rPr>
                <w:rFonts w:ascii="Times New Roman" w:hAnsi="Times New Roman" w:eastAsia="宋体"/>
                <w:b w:val="0"/>
                <w:sz w:val="20"/>
              </w:rPr>
              <w:t>HALT</w:t>
            </w:r>
          </w:p>
        </w:tc>
        <w:tc>
          <w:tcPr>
            <w:tcW w:type="dxa" w:w="2771"/>
          </w:tcPr>
          <w:p>
            <w:pPr>
              <w:jc w:val="left"/>
            </w:pPr>
            <w:r/>
            <w:r>
              <w:rPr>
                <w:rFonts w:ascii="Times New Roman" w:hAnsi="Times New Roman" w:eastAsia="宋体"/>
                <w:b w:val="0"/>
                <w:sz w:val="20"/>
              </w:rPr>
              <w:t>高加速寿命试验</w:t>
            </w:r>
          </w:p>
        </w:tc>
        <w:tc>
          <w:tcPr>
            <w:tcW w:type="dxa" w:w="2771"/>
          </w:tcPr>
          <w:p>
            <w:pPr>
              <w:jc w:val="left"/>
            </w:pPr>
            <w:r/>
            <w:r>
              <w:rPr>
                <w:rFonts w:ascii="Times New Roman" w:hAnsi="Times New Roman" w:eastAsia="宋体"/>
                <w:b w:val="0"/>
                <w:sz w:val="20"/>
              </w:rPr>
              <w:t>Highly Accelerated Life Test</w:t>
            </w:r>
          </w:p>
        </w:tc>
      </w:tr>
      <w:tr>
        <w:tc>
          <w:tcPr>
            <w:tcW w:type="dxa" w:w="2771"/>
          </w:tcPr>
          <w:p>
            <w:pPr>
              <w:jc w:val="left"/>
            </w:pPr>
            <w:r/>
            <w:r>
              <w:rPr>
                <w:rFonts w:ascii="Times New Roman" w:hAnsi="Times New Roman" w:eastAsia="宋体"/>
                <w:b w:val="0"/>
                <w:sz w:val="20"/>
              </w:rPr>
              <w:t>HAST</w:t>
            </w:r>
          </w:p>
        </w:tc>
        <w:tc>
          <w:tcPr>
            <w:tcW w:type="dxa" w:w="2771"/>
          </w:tcPr>
          <w:p>
            <w:pPr>
              <w:jc w:val="left"/>
            </w:pPr>
            <w:r/>
            <w:r>
              <w:rPr>
                <w:rFonts w:ascii="Times New Roman" w:hAnsi="Times New Roman" w:eastAsia="宋体"/>
                <w:b w:val="0"/>
                <w:sz w:val="20"/>
              </w:rPr>
              <w:t>高加速应力试验</w:t>
            </w:r>
          </w:p>
        </w:tc>
        <w:tc>
          <w:tcPr>
            <w:tcW w:type="dxa" w:w="2771"/>
          </w:tcPr>
          <w:p>
            <w:pPr>
              <w:jc w:val="left"/>
            </w:pPr>
            <w:r/>
            <w:r>
              <w:rPr>
                <w:rFonts w:ascii="Times New Roman" w:hAnsi="Times New Roman" w:eastAsia="宋体"/>
                <w:b w:val="0"/>
                <w:sz w:val="20"/>
              </w:rPr>
              <w:t>Highly Accelerated Stress Test</w:t>
            </w:r>
          </w:p>
        </w:tc>
      </w:tr>
      <w:tr>
        <w:tc>
          <w:tcPr>
            <w:tcW w:type="dxa" w:w="2771"/>
          </w:tcPr>
          <w:p>
            <w:pPr>
              <w:jc w:val="left"/>
            </w:pPr>
            <w:r/>
            <w:r>
              <w:rPr>
                <w:rFonts w:ascii="Times New Roman" w:hAnsi="Times New Roman" w:eastAsia="宋体"/>
                <w:b w:val="0"/>
                <w:sz w:val="20"/>
              </w:rPr>
              <w:t>THB</w:t>
            </w:r>
          </w:p>
        </w:tc>
        <w:tc>
          <w:tcPr>
            <w:tcW w:type="dxa" w:w="2771"/>
          </w:tcPr>
          <w:p>
            <w:pPr>
              <w:jc w:val="left"/>
            </w:pPr>
            <w:r/>
            <w:r>
              <w:rPr>
                <w:rFonts w:ascii="Times New Roman" w:hAnsi="Times New Roman" w:eastAsia="宋体"/>
                <w:b w:val="0"/>
                <w:sz w:val="20"/>
              </w:rPr>
              <w:t>高温高湿偏压</w:t>
            </w:r>
          </w:p>
        </w:tc>
        <w:tc>
          <w:tcPr>
            <w:tcW w:type="dxa" w:w="2771"/>
          </w:tcPr>
          <w:p>
            <w:pPr>
              <w:jc w:val="left"/>
            </w:pPr>
            <w:r/>
            <w:r>
              <w:rPr>
                <w:rFonts w:ascii="Times New Roman" w:hAnsi="Times New Roman" w:eastAsia="宋体"/>
                <w:b w:val="0"/>
                <w:sz w:val="20"/>
              </w:rPr>
              <w:t>Temperature Humidity Bias</w:t>
            </w:r>
          </w:p>
        </w:tc>
      </w:tr>
      <w:tr>
        <w:tc>
          <w:tcPr>
            <w:tcW w:type="dxa" w:w="2771"/>
          </w:tcPr>
          <w:p>
            <w:pPr>
              <w:jc w:val="left"/>
            </w:pPr>
            <w:r/>
            <w:r>
              <w:rPr>
                <w:rFonts w:ascii="Times New Roman" w:hAnsi="Times New Roman" w:eastAsia="宋体"/>
                <w:b w:val="0"/>
                <w:sz w:val="20"/>
              </w:rPr>
              <w:t>HTOL</w:t>
            </w:r>
          </w:p>
        </w:tc>
        <w:tc>
          <w:tcPr>
            <w:tcW w:type="dxa" w:w="2771"/>
          </w:tcPr>
          <w:p>
            <w:pPr>
              <w:jc w:val="left"/>
            </w:pPr>
            <w:r/>
            <w:r>
              <w:rPr>
                <w:rFonts w:ascii="Times New Roman" w:hAnsi="Times New Roman" w:eastAsia="宋体"/>
                <w:b w:val="0"/>
                <w:sz w:val="20"/>
              </w:rPr>
              <w:t>高温工作寿命</w:t>
            </w:r>
          </w:p>
        </w:tc>
        <w:tc>
          <w:tcPr>
            <w:tcW w:type="dxa" w:w="2771"/>
          </w:tcPr>
          <w:p>
            <w:pPr>
              <w:jc w:val="left"/>
            </w:pPr>
            <w:r/>
            <w:r>
              <w:rPr>
                <w:rFonts w:ascii="Times New Roman" w:hAnsi="Times New Roman" w:eastAsia="宋体"/>
                <w:b w:val="0"/>
                <w:sz w:val="20"/>
              </w:rPr>
              <w:t>High Temperature Operating Life</w:t>
            </w:r>
          </w:p>
        </w:tc>
      </w:tr>
      <w:tr>
        <w:tc>
          <w:tcPr>
            <w:tcW w:type="dxa" w:w="2771"/>
          </w:tcPr>
          <w:p>
            <w:pPr>
              <w:jc w:val="left"/>
            </w:pPr>
            <w:r/>
            <w:r>
              <w:rPr>
                <w:rFonts w:ascii="Times New Roman" w:hAnsi="Times New Roman" w:eastAsia="宋体"/>
                <w:b w:val="0"/>
                <w:sz w:val="20"/>
              </w:rPr>
              <w:t>DPA</w:t>
            </w:r>
          </w:p>
        </w:tc>
        <w:tc>
          <w:tcPr>
            <w:tcW w:type="dxa" w:w="2771"/>
          </w:tcPr>
          <w:p>
            <w:pPr>
              <w:jc w:val="left"/>
            </w:pPr>
            <w:r/>
            <w:r>
              <w:rPr>
                <w:rFonts w:ascii="Times New Roman" w:hAnsi="Times New Roman" w:eastAsia="宋体"/>
                <w:b w:val="0"/>
                <w:sz w:val="20"/>
              </w:rPr>
              <w:t>破坏性物理分析</w:t>
            </w:r>
          </w:p>
        </w:tc>
        <w:tc>
          <w:tcPr>
            <w:tcW w:type="dxa" w:w="2771"/>
          </w:tcPr>
          <w:p>
            <w:pPr>
              <w:jc w:val="left"/>
            </w:pPr>
            <w:r/>
            <w:r>
              <w:rPr>
                <w:rFonts w:ascii="Times New Roman" w:hAnsi="Times New Roman" w:eastAsia="宋体"/>
                <w:b w:val="0"/>
                <w:sz w:val="20"/>
              </w:rPr>
              <w:t>Destructive Physical Analysis</w:t>
            </w:r>
          </w:p>
        </w:tc>
      </w:tr>
      <w:tr>
        <w:tc>
          <w:tcPr>
            <w:tcW w:type="dxa" w:w="2771"/>
          </w:tcPr>
          <w:p>
            <w:pPr>
              <w:jc w:val="left"/>
            </w:pPr>
            <w:r/>
            <w:r>
              <w:rPr>
                <w:rFonts w:ascii="Times New Roman" w:hAnsi="Times New Roman" w:eastAsia="宋体"/>
                <w:b w:val="0"/>
                <w:sz w:val="20"/>
              </w:rPr>
              <w:t>RUL</w:t>
            </w:r>
          </w:p>
        </w:tc>
        <w:tc>
          <w:tcPr>
            <w:tcW w:type="dxa" w:w="2771"/>
          </w:tcPr>
          <w:p>
            <w:pPr>
              <w:jc w:val="left"/>
            </w:pPr>
            <w:r/>
            <w:r>
              <w:rPr>
                <w:rFonts w:ascii="Times New Roman" w:hAnsi="Times New Roman" w:eastAsia="宋体"/>
                <w:b w:val="0"/>
                <w:sz w:val="20"/>
              </w:rPr>
              <w:t>剩余使用寿命</w:t>
            </w:r>
          </w:p>
        </w:tc>
        <w:tc>
          <w:tcPr>
            <w:tcW w:type="dxa" w:w="2771"/>
          </w:tcPr>
          <w:p>
            <w:pPr>
              <w:jc w:val="left"/>
            </w:pPr>
            <w:r/>
            <w:r>
              <w:rPr>
                <w:rFonts w:ascii="Times New Roman" w:hAnsi="Times New Roman" w:eastAsia="宋体"/>
                <w:b w:val="0"/>
                <w:sz w:val="20"/>
              </w:rPr>
              <w:t>Remaining Useful Life</w:t>
            </w:r>
          </w:p>
        </w:tc>
      </w:tr>
      <w:tr>
        <w:tc>
          <w:tcPr>
            <w:tcW w:type="dxa" w:w="2771"/>
          </w:tcPr>
          <w:p>
            <w:pPr>
              <w:jc w:val="left"/>
            </w:pPr>
            <w:r/>
            <w:r>
              <w:rPr>
                <w:rFonts w:ascii="Times New Roman" w:hAnsi="Times New Roman" w:eastAsia="宋体"/>
                <w:b w:val="0"/>
                <w:sz w:val="20"/>
              </w:rPr>
              <w:t>PHM</w:t>
            </w:r>
          </w:p>
        </w:tc>
        <w:tc>
          <w:tcPr>
            <w:tcW w:type="dxa" w:w="2771"/>
          </w:tcPr>
          <w:p>
            <w:pPr>
              <w:jc w:val="left"/>
            </w:pPr>
            <w:r/>
            <w:r>
              <w:rPr>
                <w:rFonts w:ascii="Times New Roman" w:hAnsi="Times New Roman" w:eastAsia="宋体"/>
                <w:b w:val="0"/>
                <w:sz w:val="20"/>
              </w:rPr>
              <w:t>预测与健康管理</w:t>
            </w:r>
          </w:p>
        </w:tc>
        <w:tc>
          <w:tcPr>
            <w:tcW w:type="dxa" w:w="2771"/>
          </w:tcPr>
          <w:p>
            <w:pPr>
              <w:jc w:val="left"/>
            </w:pPr>
            <w:r/>
            <w:r>
              <w:rPr>
                <w:rFonts w:ascii="Times New Roman" w:hAnsi="Times New Roman" w:eastAsia="宋体"/>
                <w:b w:val="0"/>
                <w:sz w:val="20"/>
              </w:rPr>
              <w:t>Prognostics and Health Management</w:t>
            </w:r>
          </w:p>
        </w:tc>
      </w:tr>
      <w:tr>
        <w:tc>
          <w:tcPr>
            <w:tcW w:type="dxa" w:w="2771"/>
          </w:tcPr>
          <w:p>
            <w:pPr>
              <w:jc w:val="left"/>
            </w:pPr>
            <w:r/>
            <w:r>
              <w:rPr>
                <w:rFonts w:ascii="Times New Roman" w:hAnsi="Times New Roman" w:eastAsia="宋体"/>
                <w:b w:val="0"/>
                <w:sz w:val="20"/>
              </w:rPr>
              <w:t>PoF</w:t>
            </w:r>
          </w:p>
        </w:tc>
        <w:tc>
          <w:tcPr>
            <w:tcW w:type="dxa" w:w="2771"/>
          </w:tcPr>
          <w:p>
            <w:pPr>
              <w:jc w:val="left"/>
            </w:pPr>
            <w:r/>
            <w:r>
              <w:rPr>
                <w:rFonts w:ascii="Times New Roman" w:hAnsi="Times New Roman" w:eastAsia="宋体"/>
                <w:b w:val="0"/>
                <w:sz w:val="20"/>
              </w:rPr>
              <w:t>失效物理</w:t>
            </w:r>
          </w:p>
        </w:tc>
        <w:tc>
          <w:tcPr>
            <w:tcW w:type="dxa" w:w="2771"/>
          </w:tcPr>
          <w:p>
            <w:pPr>
              <w:jc w:val="left"/>
            </w:pPr>
            <w:r/>
            <w:r>
              <w:rPr>
                <w:rFonts w:ascii="Times New Roman" w:hAnsi="Times New Roman" w:eastAsia="宋体"/>
                <w:b w:val="0"/>
                <w:sz w:val="20"/>
              </w:rPr>
              <w:t>Physics of Failure</w:t>
            </w:r>
          </w:p>
        </w:tc>
      </w:tr>
      <w:tr>
        <w:tc>
          <w:tcPr>
            <w:tcW w:type="dxa" w:w="2771"/>
          </w:tcPr>
          <w:p>
            <w:pPr>
              <w:jc w:val="left"/>
            </w:pPr>
            <w:r/>
            <w:r>
              <w:rPr>
                <w:rFonts w:ascii="Times New Roman" w:hAnsi="Times New Roman" w:eastAsia="宋体"/>
                <w:b w:val="0"/>
                <w:sz w:val="20"/>
              </w:rPr>
              <w:t>PINN</w:t>
            </w:r>
          </w:p>
        </w:tc>
        <w:tc>
          <w:tcPr>
            <w:tcW w:type="dxa" w:w="2771"/>
          </w:tcPr>
          <w:p>
            <w:pPr>
              <w:jc w:val="left"/>
            </w:pPr>
            <w:r/>
            <w:r>
              <w:rPr>
                <w:rFonts w:ascii="Times New Roman" w:hAnsi="Times New Roman" w:eastAsia="宋体"/>
                <w:b w:val="0"/>
                <w:sz w:val="20"/>
              </w:rPr>
              <w:t>物理信息神经网络</w:t>
            </w:r>
          </w:p>
        </w:tc>
        <w:tc>
          <w:tcPr>
            <w:tcW w:type="dxa" w:w="2771"/>
          </w:tcPr>
          <w:p>
            <w:pPr>
              <w:jc w:val="left"/>
            </w:pPr>
            <w:r/>
            <w:r>
              <w:rPr>
                <w:rFonts w:ascii="Times New Roman" w:hAnsi="Times New Roman" w:eastAsia="宋体"/>
                <w:b w:val="0"/>
                <w:sz w:val="20"/>
              </w:rPr>
              <w:t>Physics-Informed Neural Network</w:t>
            </w:r>
          </w:p>
        </w:tc>
      </w:tr>
      <w:tr>
        <w:tc>
          <w:tcPr>
            <w:tcW w:type="dxa" w:w="2771"/>
          </w:tcPr>
          <w:p>
            <w:pPr>
              <w:jc w:val="left"/>
            </w:pPr>
            <w:r/>
            <w:r>
              <w:rPr>
                <w:rFonts w:ascii="Times New Roman" w:hAnsi="Times New Roman" w:eastAsia="宋体"/>
                <w:b w:val="0"/>
                <w:sz w:val="20"/>
              </w:rPr>
              <w:t>BME</w:t>
            </w:r>
          </w:p>
        </w:tc>
        <w:tc>
          <w:tcPr>
            <w:tcW w:type="dxa" w:w="2771"/>
          </w:tcPr>
          <w:p>
            <w:pPr>
              <w:jc w:val="left"/>
            </w:pPr>
            <w:r/>
            <w:r>
              <w:rPr>
                <w:rFonts w:ascii="Times New Roman" w:hAnsi="Times New Roman" w:eastAsia="宋体"/>
                <w:b w:val="0"/>
                <w:sz w:val="20"/>
              </w:rPr>
              <w:t>贱金属电极</w:t>
            </w:r>
          </w:p>
        </w:tc>
        <w:tc>
          <w:tcPr>
            <w:tcW w:type="dxa" w:w="2771"/>
          </w:tcPr>
          <w:p>
            <w:pPr>
              <w:jc w:val="left"/>
            </w:pPr>
            <w:r/>
            <w:r>
              <w:rPr>
                <w:rFonts w:ascii="Times New Roman" w:hAnsi="Times New Roman" w:eastAsia="宋体"/>
                <w:b w:val="0"/>
                <w:sz w:val="20"/>
              </w:rPr>
              <w:t>Base Metal Electrode</w:t>
            </w:r>
          </w:p>
        </w:tc>
      </w:tr>
      <w:tr>
        <w:tc>
          <w:tcPr>
            <w:tcW w:type="dxa" w:w="2771"/>
          </w:tcPr>
          <w:p>
            <w:pPr>
              <w:jc w:val="left"/>
            </w:pPr>
            <w:r/>
            <w:r>
              <w:rPr>
                <w:rFonts w:ascii="Times New Roman" w:hAnsi="Times New Roman" w:eastAsia="宋体"/>
                <w:b w:val="0"/>
                <w:sz w:val="20"/>
              </w:rPr>
              <w:t>PME</w:t>
            </w:r>
          </w:p>
        </w:tc>
        <w:tc>
          <w:tcPr>
            <w:tcW w:type="dxa" w:w="2771"/>
          </w:tcPr>
          <w:p>
            <w:pPr>
              <w:jc w:val="left"/>
            </w:pPr>
            <w:r/>
            <w:r>
              <w:rPr>
                <w:rFonts w:ascii="Times New Roman" w:hAnsi="Times New Roman" w:eastAsia="宋体"/>
                <w:b w:val="0"/>
                <w:sz w:val="20"/>
              </w:rPr>
              <w:t>贵金属电极</w:t>
            </w:r>
          </w:p>
        </w:tc>
        <w:tc>
          <w:tcPr>
            <w:tcW w:type="dxa" w:w="2771"/>
          </w:tcPr>
          <w:p>
            <w:pPr>
              <w:jc w:val="left"/>
            </w:pPr>
            <w:r/>
            <w:r>
              <w:rPr>
                <w:rFonts w:ascii="Times New Roman" w:hAnsi="Times New Roman" w:eastAsia="宋体"/>
                <w:b w:val="0"/>
                <w:sz w:val="20"/>
              </w:rPr>
              <w:t>Precious Metal Electrode</w:t>
            </w:r>
          </w:p>
        </w:tc>
      </w:tr>
      <w:tr>
        <w:tc>
          <w:tcPr>
            <w:tcW w:type="dxa" w:w="2771"/>
          </w:tcPr>
          <w:p>
            <w:pPr>
              <w:jc w:val="left"/>
            </w:pPr>
            <w:r/>
            <w:r>
              <w:rPr>
                <w:rFonts w:ascii="Times New Roman" w:hAnsi="Times New Roman" w:eastAsia="宋体"/>
                <w:b w:val="0"/>
                <w:sz w:val="20"/>
              </w:rPr>
              <w:t>MLCC</w:t>
            </w:r>
          </w:p>
        </w:tc>
        <w:tc>
          <w:tcPr>
            <w:tcW w:type="dxa" w:w="2771"/>
          </w:tcPr>
          <w:p>
            <w:pPr>
              <w:jc w:val="left"/>
            </w:pPr>
            <w:r/>
            <w:r>
              <w:rPr>
                <w:rFonts w:ascii="Times New Roman" w:hAnsi="Times New Roman" w:eastAsia="宋体"/>
                <w:b w:val="0"/>
                <w:sz w:val="20"/>
              </w:rPr>
              <w:t>多层陶瓷电容器</w:t>
            </w:r>
          </w:p>
        </w:tc>
        <w:tc>
          <w:tcPr>
            <w:tcW w:type="dxa" w:w="2771"/>
          </w:tcPr>
          <w:p>
            <w:pPr>
              <w:jc w:val="left"/>
            </w:pPr>
            <w:r/>
            <w:r>
              <w:rPr>
                <w:rFonts w:ascii="Times New Roman" w:hAnsi="Times New Roman" w:eastAsia="宋体"/>
                <w:b w:val="0"/>
                <w:sz w:val="20"/>
              </w:rPr>
              <w:t>Multi-Layer Ceramic Capacitor</w:t>
            </w:r>
          </w:p>
        </w:tc>
      </w:tr>
      <w:tr>
        <w:tc>
          <w:tcPr>
            <w:tcW w:type="dxa" w:w="2771"/>
          </w:tcPr>
          <w:p>
            <w:pPr>
              <w:jc w:val="left"/>
            </w:pPr>
            <w:r/>
            <w:r>
              <w:rPr>
                <w:rFonts w:ascii="Times New Roman" w:hAnsi="Times New Roman" w:eastAsia="宋体"/>
                <w:b w:val="0"/>
                <w:sz w:val="20"/>
              </w:rPr>
              <w:t>MPFC</w:t>
            </w:r>
          </w:p>
        </w:tc>
        <w:tc>
          <w:tcPr>
            <w:tcW w:type="dxa" w:w="2771"/>
          </w:tcPr>
          <w:p>
            <w:pPr>
              <w:jc w:val="left"/>
            </w:pPr>
            <w:r/>
            <w:r>
              <w:rPr>
                <w:rFonts w:ascii="Times New Roman" w:hAnsi="Times New Roman" w:eastAsia="宋体"/>
                <w:b w:val="0"/>
                <w:sz w:val="20"/>
              </w:rPr>
              <w:t>金属化聚合物薄膜电容</w:t>
            </w:r>
          </w:p>
        </w:tc>
        <w:tc>
          <w:tcPr>
            <w:tcW w:type="dxa" w:w="2771"/>
          </w:tcPr>
          <w:p>
            <w:pPr>
              <w:jc w:val="left"/>
            </w:pPr>
            <w:r/>
            <w:r>
              <w:rPr>
                <w:rFonts w:ascii="Times New Roman" w:hAnsi="Times New Roman" w:eastAsia="宋体"/>
                <w:b w:val="0"/>
                <w:sz w:val="20"/>
              </w:rPr>
              <w:t>Metallized Polymer Film Capacitor</w:t>
            </w:r>
          </w:p>
        </w:tc>
      </w:tr>
      <w:tr>
        <w:tc>
          <w:tcPr>
            <w:tcW w:type="dxa" w:w="2771"/>
          </w:tcPr>
          <w:p>
            <w:pPr>
              <w:jc w:val="left"/>
            </w:pPr>
            <w:r/>
            <w:r>
              <w:rPr>
                <w:rFonts w:ascii="Times New Roman" w:hAnsi="Times New Roman" w:eastAsia="宋体"/>
                <w:b w:val="0"/>
                <w:sz w:val="20"/>
              </w:rPr>
              <w:t>EDLC</w:t>
            </w:r>
          </w:p>
        </w:tc>
        <w:tc>
          <w:tcPr>
            <w:tcW w:type="dxa" w:w="2771"/>
          </w:tcPr>
          <w:p>
            <w:pPr>
              <w:jc w:val="left"/>
            </w:pPr>
            <w:r/>
            <w:r>
              <w:rPr>
                <w:rFonts w:ascii="Times New Roman" w:hAnsi="Times New Roman" w:eastAsia="宋体"/>
                <w:b w:val="0"/>
                <w:sz w:val="20"/>
              </w:rPr>
              <w:t>双电层电容器</w:t>
            </w:r>
          </w:p>
        </w:tc>
        <w:tc>
          <w:tcPr>
            <w:tcW w:type="dxa" w:w="2771"/>
          </w:tcPr>
          <w:p>
            <w:pPr>
              <w:jc w:val="left"/>
            </w:pPr>
            <w:r/>
            <w:r>
              <w:rPr>
                <w:rFonts w:ascii="Times New Roman" w:hAnsi="Times New Roman" w:eastAsia="宋体"/>
                <w:b w:val="0"/>
                <w:sz w:val="20"/>
              </w:rPr>
              <w:t>Electric Double-Layer Capacitor</w:t>
            </w:r>
          </w:p>
        </w:tc>
      </w:tr>
      <w:tr>
        <w:tc>
          <w:tcPr>
            <w:tcW w:type="dxa" w:w="2771"/>
          </w:tcPr>
          <w:p>
            <w:pPr>
              <w:jc w:val="left"/>
            </w:pPr>
            <w:r/>
            <w:r>
              <w:rPr>
                <w:rFonts w:ascii="Times New Roman" w:hAnsi="Times New Roman" w:eastAsia="宋体"/>
                <w:b w:val="0"/>
                <w:sz w:val="20"/>
              </w:rPr>
              <w:t>BOPP</w:t>
            </w:r>
          </w:p>
        </w:tc>
        <w:tc>
          <w:tcPr>
            <w:tcW w:type="dxa" w:w="2771"/>
          </w:tcPr>
          <w:p>
            <w:pPr>
              <w:jc w:val="left"/>
            </w:pPr>
            <w:r/>
            <w:r>
              <w:rPr>
                <w:rFonts w:ascii="Times New Roman" w:hAnsi="Times New Roman" w:eastAsia="宋体"/>
                <w:b w:val="0"/>
                <w:sz w:val="20"/>
              </w:rPr>
              <w:t>双向拉伸聚丙烯</w:t>
            </w:r>
          </w:p>
        </w:tc>
        <w:tc>
          <w:tcPr>
            <w:tcW w:type="dxa" w:w="2771"/>
          </w:tcPr>
          <w:p>
            <w:pPr>
              <w:jc w:val="left"/>
            </w:pPr>
            <w:r/>
            <w:r>
              <w:rPr>
                <w:rFonts w:ascii="Times New Roman" w:hAnsi="Times New Roman" w:eastAsia="宋体"/>
                <w:b w:val="0"/>
                <w:sz w:val="20"/>
              </w:rPr>
              <w:t>Biaxially Oriented Polypropylene</w:t>
            </w:r>
          </w:p>
        </w:tc>
      </w:tr>
      <w:tr>
        <w:tc>
          <w:tcPr>
            <w:tcW w:type="dxa" w:w="2771"/>
          </w:tcPr>
          <w:p>
            <w:pPr>
              <w:jc w:val="left"/>
            </w:pPr>
            <w:r/>
            <w:r>
              <w:rPr>
                <w:rFonts w:ascii="Times New Roman" w:hAnsi="Times New Roman" w:eastAsia="宋体"/>
                <w:b w:val="0"/>
                <w:sz w:val="20"/>
              </w:rPr>
              <w:t>CSAM</w:t>
            </w:r>
          </w:p>
        </w:tc>
        <w:tc>
          <w:tcPr>
            <w:tcW w:type="dxa" w:w="2771"/>
          </w:tcPr>
          <w:p>
            <w:pPr>
              <w:jc w:val="left"/>
            </w:pPr>
            <w:r/>
            <w:r>
              <w:rPr>
                <w:rFonts w:ascii="Times New Roman" w:hAnsi="Times New Roman" w:eastAsia="宋体"/>
                <w:b w:val="0"/>
                <w:sz w:val="20"/>
              </w:rPr>
              <w:t>声学扫描显微镜</w:t>
            </w:r>
          </w:p>
        </w:tc>
        <w:tc>
          <w:tcPr>
            <w:tcW w:type="dxa" w:w="2771"/>
          </w:tcPr>
          <w:p>
            <w:pPr>
              <w:jc w:val="left"/>
            </w:pPr>
            <w:r/>
            <w:r>
              <w:rPr>
                <w:rFonts w:ascii="Times New Roman" w:hAnsi="Times New Roman" w:eastAsia="宋体"/>
                <w:b w:val="0"/>
                <w:sz w:val="20"/>
              </w:rPr>
              <w:t>C-Mode Scanning Acoustic Microscope</w:t>
            </w:r>
          </w:p>
        </w:tc>
      </w:tr>
      <w:tr>
        <w:tc>
          <w:tcPr>
            <w:tcW w:type="dxa" w:w="2771"/>
          </w:tcPr>
          <w:p>
            <w:pPr>
              <w:jc w:val="left"/>
            </w:pPr>
            <w:r/>
            <w:r>
              <w:rPr>
                <w:rFonts w:ascii="Times New Roman" w:hAnsi="Times New Roman" w:eastAsia="宋体"/>
                <w:b w:val="0"/>
                <w:sz w:val="20"/>
              </w:rPr>
              <w:t>DC-link</w:t>
            </w:r>
          </w:p>
        </w:tc>
        <w:tc>
          <w:tcPr>
            <w:tcW w:type="dxa" w:w="2771"/>
          </w:tcPr>
          <w:p>
            <w:pPr>
              <w:jc w:val="left"/>
            </w:pPr>
            <w:r/>
            <w:r>
              <w:rPr>
                <w:rFonts w:ascii="Times New Roman" w:hAnsi="Times New Roman" w:eastAsia="宋体"/>
                <w:b w:val="0"/>
                <w:sz w:val="20"/>
              </w:rPr>
              <w:t>直流母线</w:t>
            </w:r>
          </w:p>
        </w:tc>
        <w:tc>
          <w:tcPr>
            <w:tcW w:type="dxa" w:w="2771"/>
          </w:tcPr>
          <w:p>
            <w:pPr>
              <w:jc w:val="left"/>
            </w:pPr>
            <w:r/>
            <w:r>
              <w:rPr>
                <w:rFonts w:ascii="Times New Roman" w:hAnsi="Times New Roman" w:eastAsia="宋体"/>
                <w:b w:val="0"/>
                <w:sz w:val="20"/>
              </w:rPr>
              <w:t>Direct-Current Link</w:t>
            </w:r>
          </w:p>
        </w:tc>
      </w:tr>
      <w:tr>
        <w:tc>
          <w:tcPr>
            <w:tcW w:type="dxa" w:w="2771"/>
          </w:tcPr>
          <w:p>
            <w:pPr>
              <w:jc w:val="left"/>
            </w:pPr>
            <w:r/>
            <w:r>
              <w:rPr>
                <w:rFonts w:ascii="Times New Roman" w:hAnsi="Times New Roman" w:eastAsia="宋体"/>
                <w:b w:val="0"/>
                <w:sz w:val="20"/>
              </w:rPr>
              <w:t>Mission Profile</w:t>
            </w:r>
          </w:p>
        </w:tc>
        <w:tc>
          <w:tcPr>
            <w:tcW w:type="dxa" w:w="2771"/>
          </w:tcPr>
          <w:p>
            <w:pPr>
              <w:jc w:val="left"/>
            </w:pPr>
            <w:r/>
            <w:r>
              <w:rPr>
                <w:rFonts w:ascii="Times New Roman" w:hAnsi="Times New Roman" w:eastAsia="宋体"/>
                <w:b w:val="0"/>
                <w:sz w:val="20"/>
              </w:rPr>
              <w:t>任务剖面</w:t>
            </w:r>
          </w:p>
        </w:tc>
        <w:tc>
          <w:tcPr>
            <w:tcW w:type="dxa" w:w="2771"/>
          </w:tcPr>
          <w:p>
            <w:pPr>
              <w:jc w:val="left"/>
            </w:pPr>
            <w:r/>
            <w:r>
              <w:rPr>
                <w:rFonts w:ascii="Times New Roman" w:hAnsi="Times New Roman" w:eastAsia="宋体"/>
                <w:b w:val="0"/>
                <w:sz w:val="20"/>
              </w:rPr>
              <w:t>实际工况下的电-热-机械-时间曲线</w:t>
            </w:r>
          </w:p>
        </w:tc>
      </w:tr>
    </w:tbl>
    <w:p>
      <w:r>
        <w:br w:type="page"/>
      </w:r>
    </w:p>
    <w:p>
      <w:pPr>
        <w:spacing w:before="240" w:after="120"/>
        <w:outlineLvl w:val="1"/>
      </w:pPr>
      <w:r>
        <w:rPr>
          <w:rFonts w:ascii="Times New Roman" w:hAnsi="Times New Roman" w:eastAsia="黑体"/>
          <w:b/>
          <w:sz w:val="36"/>
        </w:rPr>
        <w:t>参 考 文 献</w:t>
      </w:r>
    </w:p>
    <w:p>
      <w:pPr>
        <w:spacing w:line="312" w:lineRule="auto" w:after="40"/>
        <w:ind w:hanging="420" w:left="420"/>
        <w:jc w:val="both"/>
      </w:pPr>
      <w:r>
        <w:rPr>
          <w:rFonts w:ascii="Times New Roman" w:hAnsi="Times New Roman" w:eastAsia="宋体"/>
          <w:b w:val="0"/>
          <w:sz w:val="21"/>
        </w:rPr>
        <w:t>[1] Wang H., Blaabjerg F. Reliability of capacitors for DC-link applications in power electronic converters — An overview. IEEE Transactions on Industry Applications, 2014, 50(5): 3569-3578.</w:t>
      </w:r>
    </w:p>
    <w:p>
      <w:pPr>
        <w:spacing w:line="312" w:lineRule="auto" w:after="40"/>
        <w:ind w:hanging="420" w:left="420"/>
        <w:jc w:val="both"/>
      </w:pPr>
      <w:r>
        <w:rPr>
          <w:rFonts w:ascii="Times New Roman" w:hAnsi="Times New Roman" w:eastAsia="宋体"/>
          <w:b w:val="0"/>
          <w:sz w:val="21"/>
        </w:rPr>
        <w:t>[2] Teverovsky A. Reliability and failure mode in solid tantalum capacitors. NASA/NEPP Report, 2021.</w:t>
      </w:r>
    </w:p>
    <w:p>
      <w:pPr>
        <w:spacing w:line="312" w:lineRule="auto" w:after="40"/>
        <w:ind w:hanging="420" w:left="420"/>
        <w:jc w:val="both"/>
      </w:pPr>
      <w:r>
        <w:rPr>
          <w:rFonts w:ascii="Times New Roman" w:hAnsi="Times New Roman" w:eastAsia="宋体"/>
          <w:b w:val="0"/>
          <w:sz w:val="21"/>
        </w:rPr>
        <w:t>[3] Teverovsky A. Breakdown and self-healing in tantalum capacitors. NASA/NEPP Report, 2021.</w:t>
      </w:r>
    </w:p>
    <w:p>
      <w:pPr>
        <w:spacing w:line="312" w:lineRule="auto" w:after="40"/>
        <w:ind w:hanging="420" w:left="420"/>
        <w:jc w:val="both"/>
      </w:pPr>
      <w:r>
        <w:rPr>
          <w:rFonts w:ascii="Times New Roman" w:hAnsi="Times New Roman" w:eastAsia="宋体"/>
          <w:b w:val="0"/>
          <w:sz w:val="21"/>
        </w:rPr>
        <w:t>[4] Liu D., Sampson M.J. A reliability model for Ni-BaTiO3-based (BME) ceramic capacitors. NASA/NEPP Report NEPP-TR-2014-055, 2014.</w:t>
      </w:r>
    </w:p>
    <w:p>
      <w:pPr>
        <w:spacing w:line="312" w:lineRule="auto" w:after="40"/>
        <w:ind w:hanging="420" w:left="420"/>
        <w:jc w:val="both"/>
      </w:pPr>
      <w:r>
        <w:rPr>
          <w:rFonts w:ascii="Times New Roman" w:hAnsi="Times New Roman" w:eastAsia="宋体"/>
          <w:b w:val="0"/>
          <w:sz w:val="21"/>
        </w:rPr>
        <w:t>[5] Kim C., et al. Improved prediction for failure time of multilayer ceramic capacitors (MLCCs): A physics-based machine learning approach. APL Machine Learning, 2023, 1(3): 036107.</w:t>
      </w:r>
    </w:p>
    <w:p>
      <w:pPr>
        <w:spacing w:line="312" w:lineRule="auto" w:after="40"/>
        <w:ind w:hanging="420" w:left="420"/>
        <w:jc w:val="both"/>
      </w:pPr>
      <w:r>
        <w:rPr>
          <w:rFonts w:ascii="Times New Roman" w:hAnsi="Times New Roman" w:eastAsia="宋体"/>
          <w:b w:val="0"/>
          <w:sz w:val="21"/>
        </w:rPr>
        <w:t>[6] EurekAlert (Science News). Neural networks meet physics to predict supercapacitor lifespan: A breakthrough method for energy storage monitoring. EurekAlert News Release, 2025.</w:t>
      </w:r>
    </w:p>
    <w:p>
      <w:pPr>
        <w:spacing w:line="312" w:lineRule="auto" w:after="40"/>
        <w:ind w:hanging="420" w:left="420"/>
        <w:jc w:val="both"/>
      </w:pPr>
      <w:r>
        <w:rPr>
          <w:rFonts w:ascii="Times New Roman" w:hAnsi="Times New Roman" w:eastAsia="宋体"/>
          <w:b w:val="0"/>
          <w:sz w:val="21"/>
        </w:rPr>
        <w:t>[7] KEMET Corporation. Failure analysis of capacitors and inductors. KEMET Technical Publication, 2019.</w:t>
      </w:r>
    </w:p>
    <w:p>
      <w:pPr>
        <w:spacing w:line="312" w:lineRule="auto" w:after="40"/>
        <w:ind w:hanging="420" w:left="420"/>
        <w:jc w:val="both"/>
      </w:pPr>
      <w:r>
        <w:rPr>
          <w:rFonts w:ascii="Times New Roman" w:hAnsi="Times New Roman" w:eastAsia="宋体"/>
          <w:b w:val="0"/>
          <w:sz w:val="21"/>
        </w:rPr>
        <w:t>[8] Sergey Shakir, Kuznetsova E., et al. Ozonation of dielectric fosters self-healing efficiency in metalized-film capacitors. arXiv:2602.08451, 2025.</w:t>
      </w:r>
    </w:p>
    <w:p>
      <w:pPr>
        <w:spacing w:line="312" w:lineRule="auto" w:after="40"/>
        <w:ind w:hanging="420" w:left="420"/>
        <w:jc w:val="both"/>
      </w:pPr>
      <w:r>
        <w:rPr>
          <w:rFonts w:ascii="Times New Roman" w:hAnsi="Times New Roman" w:eastAsia="宋体"/>
          <w:b w:val="0"/>
          <w:sz w:val="21"/>
        </w:rPr>
        <w:t>[9] Teverovsky A. Scintillation breakdowns in chip tantalum capacitors. NASA/NEPP GSFC Report, 2008.</w:t>
      </w:r>
    </w:p>
    <w:p>
      <w:pPr>
        <w:spacing w:line="312" w:lineRule="auto" w:after="40"/>
        <w:ind w:hanging="420" w:left="420"/>
        <w:jc w:val="both"/>
      </w:pPr>
      <w:r>
        <w:rPr>
          <w:rFonts w:ascii="Times New Roman" w:hAnsi="Times New Roman" w:eastAsia="宋体"/>
          <w:b w:val="0"/>
          <w:sz w:val="21"/>
        </w:rPr>
        <w:t>[10] Freeman Y., Lessner P., et al. Reliability and failure mode in solid tantalum capacitors. CARTS / IEEE CPMT proceedings, 2021.</w:t>
      </w:r>
    </w:p>
    <w:p>
      <w:pPr>
        <w:spacing w:line="312" w:lineRule="auto" w:after="40"/>
        <w:ind w:hanging="420" w:left="420"/>
        <w:jc w:val="both"/>
      </w:pPr>
      <w:r>
        <w:rPr>
          <w:rFonts w:ascii="Times New Roman" w:hAnsi="Times New Roman" w:eastAsia="宋体"/>
          <w:b w:val="0"/>
          <w:sz w:val="21"/>
        </w:rPr>
        <w:t>[11] Goubard-Bretesché N., et al. Ag(e)ing and degradation of supercapacitors: Causes, mechanisms, models and countermeasures. Molecules (MDPI), 2023, 28(13): 5028.</w:t>
      </w:r>
    </w:p>
    <w:p>
      <w:pPr>
        <w:spacing w:line="312" w:lineRule="auto" w:after="40"/>
        <w:ind w:hanging="420" w:left="420"/>
        <w:jc w:val="both"/>
      </w:pPr>
      <w:r>
        <w:rPr>
          <w:rFonts w:ascii="Times New Roman" w:hAnsi="Times New Roman" w:eastAsia="宋体"/>
          <w:b w:val="0"/>
          <w:sz w:val="21"/>
        </w:rPr>
        <w:t>[12] Kim J.H., et al. Thermal activation energy on electrical degradation process in BaTiO3 based multilayer ceramic capacitors for lifetime reliability. Nature Scientific Reports, 2024, 14: 51254.</w:t>
      </w:r>
    </w:p>
    <w:p>
      <w:pPr>
        <w:spacing w:line="312" w:lineRule="auto" w:after="40"/>
        <w:ind w:hanging="420" w:left="420"/>
        <w:jc w:val="both"/>
      </w:pPr>
      <w:r>
        <w:rPr>
          <w:rFonts w:ascii="Times New Roman" w:hAnsi="Times New Roman" w:eastAsia="宋体"/>
          <w:b w:val="0"/>
          <w:sz w:val="21"/>
        </w:rPr>
        <w:t>[13] Lu Y., et al. Research on reliability of capacitors and transistors based on BP neural network and Icepak simulation. Nature Scientific Reports, 2025, 15: 05050.</w:t>
      </w:r>
    </w:p>
    <w:p>
      <w:pPr>
        <w:spacing w:line="312" w:lineRule="auto" w:after="40"/>
        <w:ind w:hanging="420" w:left="420"/>
        <w:jc w:val="both"/>
      </w:pPr>
      <w:r>
        <w:rPr>
          <w:rFonts w:ascii="Times New Roman" w:hAnsi="Times New Roman" w:eastAsia="宋体"/>
          <w:b w:val="0"/>
          <w:sz w:val="21"/>
        </w:rPr>
        <w:t>[14] Kim C., et al. Improved prediction for failure time of multilayer ceramic capacitors: A physics-based machine learning approach. AIP APL Machine Learning, 2023, 1(3).</w:t>
      </w:r>
    </w:p>
    <w:p>
      <w:pPr>
        <w:spacing w:line="312" w:lineRule="auto" w:after="40"/>
        <w:ind w:hanging="420" w:left="420"/>
        <w:jc w:val="both"/>
      </w:pPr>
      <w:r>
        <w:rPr>
          <w:rFonts w:ascii="Times New Roman" w:hAnsi="Times New Roman" w:eastAsia="宋体"/>
          <w:b w:val="0"/>
          <w:sz w:val="21"/>
        </w:rPr>
        <w:t>[15] Zhu X., et al. Capacitor aging state evaluation and a remaining-useful-life prediction method based on a CNN-LSTM network considering the impact of parameter dispersion. Electronics (MDPI), 2025, 14(22): 4452.</w:t>
      </w:r>
    </w:p>
    <w:p>
      <w:pPr>
        <w:spacing w:line="312" w:lineRule="auto" w:after="40"/>
        <w:ind w:hanging="420" w:left="420"/>
        <w:jc w:val="both"/>
      </w:pPr>
      <w:r>
        <w:rPr>
          <w:rFonts w:ascii="Times New Roman" w:hAnsi="Times New Roman" w:eastAsia="宋体"/>
          <w:b w:val="0"/>
          <w:sz w:val="21"/>
        </w:rPr>
        <w:t>[16] Liu Y., Pecht M. Failure of polymer aluminum electrolytic capacitors under elevated temperature humidity environments. IEEE Transactions on CPMT, 2017.</w:t>
      </w:r>
    </w:p>
    <w:p>
      <w:pPr>
        <w:spacing w:line="312" w:lineRule="auto" w:after="40"/>
        <w:ind w:hanging="420" w:left="420"/>
        <w:jc w:val="both"/>
      </w:pPr>
      <w:r>
        <w:rPr>
          <w:rFonts w:ascii="Times New Roman" w:hAnsi="Times New Roman" w:eastAsia="宋体"/>
          <w:b w:val="0"/>
          <w:sz w:val="21"/>
        </w:rPr>
        <w:t>[17] Waser R., Baiatu T., Härdtl K.H. DC electrical degradation of perovskite-type titanates: I. II. III. Journal of the American Ceramic Society, 1990, 73(6): 1645-1673.</w:t>
      </w:r>
    </w:p>
    <w:p>
      <w:pPr>
        <w:spacing w:line="312" w:lineRule="auto" w:after="40"/>
        <w:ind w:hanging="420" w:left="420"/>
        <w:jc w:val="both"/>
      </w:pPr>
      <w:r>
        <w:rPr>
          <w:rFonts w:ascii="Times New Roman" w:hAnsi="Times New Roman" w:eastAsia="宋体"/>
          <w:b w:val="0"/>
          <w:sz w:val="21"/>
        </w:rPr>
        <w:t>[18] Hernández-López A.M., et al. Reliability of X7R multilayer ceramic capacitors during high accelerated life testing (HALT). Materials (MDPI), 2018, 11(10): 1900.</w:t>
      </w:r>
    </w:p>
    <w:p>
      <w:pPr>
        <w:spacing w:line="312" w:lineRule="auto" w:after="40"/>
        <w:ind w:hanging="420" w:left="420"/>
        <w:jc w:val="both"/>
      </w:pPr>
      <w:r>
        <w:rPr>
          <w:rFonts w:ascii="Times New Roman" w:hAnsi="Times New Roman" w:eastAsia="宋体"/>
          <w:b w:val="0"/>
          <w:sz w:val="21"/>
        </w:rPr>
        <w:t>[19] Randall C.A., et al. Multilayer ceramic capacitors: An overview of failure mechanisms, perspectives, and challenges. Electronics (MDPI), 2023, 12(6): 1297.</w:t>
      </w:r>
    </w:p>
    <w:p>
      <w:pPr>
        <w:spacing w:line="312" w:lineRule="auto" w:after="40"/>
        <w:ind w:hanging="420" w:left="420"/>
        <w:jc w:val="both"/>
      </w:pPr>
      <w:r>
        <w:rPr>
          <w:rFonts w:ascii="Times New Roman" w:hAnsi="Times New Roman" w:eastAsia="宋体"/>
          <w:b w:val="0"/>
          <w:sz w:val="21"/>
        </w:rPr>
        <w:t>[20] Heinrich R., Bonifaci N., Denat A. Self-healing of capacitors with metallized film technology. IEEE Transactions on Dielectrics and Electrical Insulation, 2001, 8(2): 180-185.</w:t>
      </w:r>
    </w:p>
    <w:p>
      <w:pPr>
        <w:spacing w:line="312" w:lineRule="auto" w:after="40"/>
        <w:ind w:hanging="420" w:left="420"/>
        <w:jc w:val="both"/>
      </w:pPr>
      <w:r>
        <w:rPr>
          <w:rFonts w:ascii="Times New Roman" w:hAnsi="Times New Roman" w:eastAsia="宋体"/>
          <w:b w:val="0"/>
          <w:sz w:val="21"/>
        </w:rPr>
        <w:t>[21] El-Husseini M.H., Venet P., Rojat G., Fathallah M. Effect of the geometry on the aging of metalized polypropylene film capacitors. IEEE PESC Proceedings, 2001, 4: 2061-2066.</w:t>
      </w:r>
    </w:p>
    <w:p>
      <w:pPr>
        <w:spacing w:line="312" w:lineRule="auto" w:after="40"/>
        <w:ind w:hanging="420" w:left="420"/>
        <w:jc w:val="both"/>
      </w:pPr>
      <w:r>
        <w:rPr>
          <w:rFonts w:ascii="Times New Roman" w:hAnsi="Times New Roman" w:eastAsia="宋体"/>
          <w:b w:val="0"/>
          <w:sz w:val="21"/>
        </w:rPr>
        <w:t>[22] Kurzweil P., Hildebrand A., Weiß M. Ageing behavior of electric double-layer capacitors. ChemElectroChem, 2015, 2(1): 150-159.</w:t>
      </w:r>
    </w:p>
    <w:p>
      <w:pPr>
        <w:spacing w:line="312" w:lineRule="auto" w:after="40"/>
        <w:ind w:hanging="420" w:left="420"/>
        <w:jc w:val="both"/>
      </w:pPr>
      <w:r>
        <w:rPr>
          <w:rFonts w:ascii="Times New Roman" w:hAnsi="Times New Roman" w:eastAsia="宋体"/>
          <w:b w:val="0"/>
          <w:sz w:val="21"/>
        </w:rPr>
        <w:t>[23] Parler S.G. Deriving life multipliers for electrolytic capacitors. Cornell Dubilier Electronics Technical Paper, 2004.</w:t>
      </w:r>
    </w:p>
    <w:p>
      <w:pPr>
        <w:spacing w:line="312" w:lineRule="auto" w:after="40"/>
        <w:ind w:hanging="420" w:left="420"/>
        <w:jc w:val="both"/>
      </w:pPr>
      <w:r>
        <w:rPr>
          <w:rFonts w:ascii="Times New Roman" w:hAnsi="Times New Roman" w:eastAsia="宋体"/>
          <w:b w:val="0"/>
          <w:sz w:val="21"/>
        </w:rPr>
        <w:t>[24] Teverovsky A. Effect of post-soldering cleaning on reliability of low-voltage ceramic capacitors. NASA Goddard Report, 2015.</w:t>
      </w:r>
    </w:p>
    <w:p>
      <w:pPr>
        <w:spacing w:line="312" w:lineRule="auto" w:after="40"/>
        <w:ind w:hanging="420" w:left="420"/>
        <w:jc w:val="both"/>
      </w:pPr>
      <w:r>
        <w:rPr>
          <w:rFonts w:ascii="Times New Roman" w:hAnsi="Times New Roman" w:eastAsia="宋体"/>
          <w:b w:val="0"/>
          <w:sz w:val="21"/>
        </w:rPr>
        <w:t>[25] TDK Corporation. Flex crack countermeasures in MLCCs. TDK Technical Solution Guide, 2021.</w:t>
      </w:r>
    </w:p>
    <w:p>
      <w:pPr>
        <w:spacing w:line="312" w:lineRule="auto" w:after="40"/>
        <w:ind w:hanging="420" w:left="420"/>
        <w:jc w:val="both"/>
      </w:pPr>
      <w:r>
        <w:rPr>
          <w:rFonts w:ascii="Times New Roman" w:hAnsi="Times New Roman" w:eastAsia="宋体"/>
          <w:b w:val="0"/>
          <w:sz w:val="21"/>
        </w:rPr>
        <w:t>[26] Bush A., Grzybowski A. Flex cracking of multilayer ceramic capacitors assembled with Pb-free and tin-lead solders. IEEE Transactions on CPMT, 2008, 31(3): 513-519.</w:t>
      </w:r>
    </w:p>
    <w:p>
      <w:pPr>
        <w:spacing w:line="312" w:lineRule="auto" w:after="40"/>
        <w:ind w:hanging="420" w:left="420"/>
        <w:jc w:val="both"/>
      </w:pPr>
      <w:r>
        <w:rPr>
          <w:rFonts w:ascii="Times New Roman" w:hAnsi="Times New Roman" w:eastAsia="宋体"/>
          <w:b w:val="0"/>
          <w:sz w:val="21"/>
        </w:rPr>
        <w:t>[27] Sankaran V.A., Rees F.L., Avant C.S. Electrolytic capacitor life testing and prediction. IEEE Industry Applications Annual Meeting, 1997: 1058-1065.</w:t>
      </w:r>
    </w:p>
    <w:p>
      <w:pPr>
        <w:spacing w:line="312" w:lineRule="auto" w:after="40"/>
        <w:ind w:hanging="420" w:left="420"/>
        <w:jc w:val="both"/>
      </w:pPr>
      <w:r>
        <w:rPr>
          <w:rFonts w:ascii="Times New Roman" w:hAnsi="Times New Roman" w:eastAsia="宋体"/>
          <w:b w:val="0"/>
          <w:sz w:val="21"/>
        </w:rPr>
        <w:t>[28] Gasperi M.L. Life prediction modeling of bus capacitors in AC variable-frequency drives. IEEE Transactions on Industry Applications, 2005, 41(6): 1430-1435.</w:t>
      </w:r>
    </w:p>
    <w:p>
      <w:pPr>
        <w:spacing w:line="312" w:lineRule="auto" w:after="40"/>
        <w:ind w:hanging="420" w:left="420"/>
        <w:jc w:val="both"/>
      </w:pPr>
      <w:r>
        <w:rPr>
          <w:rFonts w:ascii="Times New Roman" w:hAnsi="Times New Roman" w:eastAsia="宋体"/>
          <w:b w:val="0"/>
          <w:sz w:val="21"/>
        </w:rPr>
        <w:t>[29] Liu D.W. A thermal runaway failure model for low-voltage BME ceramic capacitors with defects. NASA/NEPP Report, 2017.</w:t>
      </w:r>
    </w:p>
    <w:p>
      <w:pPr>
        <w:spacing w:line="312" w:lineRule="auto" w:after="40"/>
        <w:ind w:hanging="420" w:left="420"/>
        <w:jc w:val="both"/>
      </w:pPr>
      <w:r>
        <w:rPr>
          <w:rFonts w:ascii="Times New Roman" w:hAnsi="Times New Roman" w:eastAsia="宋体"/>
          <w:b w:val="0"/>
          <w:sz w:val="21"/>
        </w:rPr>
        <w:t>[30] Keimasi M., Azarian M.H., Pecht M. Flex cracking of multilayer ceramic capacitors assembled with Pb-free and tin-lead solders. Microelectronics Reliability, 2008, 48(5): 745-755.</w:t>
      </w:r>
    </w:p>
    <w:p>
      <w:pPr>
        <w:spacing w:line="312" w:lineRule="auto" w:after="40"/>
        <w:ind w:hanging="420" w:left="420"/>
        <w:jc w:val="both"/>
      </w:pPr>
      <w:r>
        <w:rPr>
          <w:rFonts w:ascii="Times New Roman" w:hAnsi="Times New Roman" w:eastAsia="宋体"/>
          <w:b w:val="0"/>
          <w:sz w:val="21"/>
        </w:rPr>
        <w:t>[31] Intel Corporation / Keysight technical memo. Advanced characterization of mechanical properties of multilayer ceramic capacitors. Journal of Materials Science: Materials in Electronics, 2013, 24(12): 5064-5071.</w:t>
      </w:r>
    </w:p>
    <w:p>
      <w:pPr>
        <w:spacing w:line="312" w:lineRule="auto" w:after="40"/>
        <w:ind w:hanging="420" w:left="420"/>
        <w:jc w:val="both"/>
      </w:pPr>
      <w:r>
        <w:rPr>
          <w:rFonts w:ascii="Times New Roman" w:hAnsi="Times New Roman" w:eastAsia="宋体"/>
          <w:b w:val="0"/>
          <w:sz w:val="21"/>
        </w:rPr>
        <w:t>[32] Tortai J.-H., Denat A., Bonifaci N. Diagnostic of the self-healing of metallized polypropylene film by modeling of the broadening emission lines of aluminum emitted by plasma discharge. Journal of Applied Physics, 2005, 97: 053304.</w:t>
      </w:r>
    </w:p>
    <w:p>
      <w:pPr>
        <w:spacing w:line="312" w:lineRule="auto" w:after="40"/>
        <w:ind w:hanging="420" w:left="420"/>
        <w:jc w:val="both"/>
      </w:pPr>
      <w:r>
        <w:rPr>
          <w:rFonts w:ascii="Times New Roman" w:hAnsi="Times New Roman" w:eastAsia="宋体"/>
          <w:b w:val="0"/>
          <w:sz w:val="21"/>
        </w:rPr>
        <w:t>[33] Shakir S., Kuznetsova E. Self-healing in dielectric capacitors: a universal method to computationally rate newly introduced energy storage designs. Physical Chemistry Chemical Physics (RSC), 2024, 26.</w:t>
      </w:r>
    </w:p>
    <w:p>
      <w:pPr>
        <w:spacing w:line="312" w:lineRule="auto" w:after="40"/>
        <w:ind w:hanging="420" w:left="420"/>
        <w:jc w:val="both"/>
      </w:pPr>
      <w:r>
        <w:rPr>
          <w:rFonts w:ascii="Times New Roman" w:hAnsi="Times New Roman" w:eastAsia="宋体"/>
          <w:b w:val="0"/>
          <w:sz w:val="21"/>
        </w:rPr>
        <w:t>[34] Makdessi M., Sari A., Venet P. Metallized polymer film capacitors ageing law based on capacitance degradation. Microelectronics Reliability, 2014, 54(9-10): 1823-1827.</w:t>
      </w:r>
    </w:p>
    <w:p>
      <w:pPr>
        <w:spacing w:line="312" w:lineRule="auto" w:after="40"/>
        <w:ind w:hanging="420" w:left="420"/>
        <w:jc w:val="both"/>
      </w:pPr>
      <w:r>
        <w:rPr>
          <w:rFonts w:ascii="Times New Roman" w:hAnsi="Times New Roman" w:eastAsia="宋体"/>
          <w:b w:val="0"/>
          <w:sz w:val="21"/>
        </w:rPr>
        <w:t>[35] RSC group, Self-healing in dielectric capacitors: a universal method to computationally rate newly introduced energy storage designs. Physical Chemistry Chemical Physics, 2024, D4CP03988B.</w:t>
      </w:r>
    </w:p>
    <w:p>
      <w:pPr>
        <w:spacing w:line="312" w:lineRule="auto" w:after="40"/>
        <w:ind w:hanging="420" w:left="420"/>
        <w:jc w:val="both"/>
      </w:pPr>
      <w:r>
        <w:rPr>
          <w:rFonts w:ascii="Times New Roman" w:hAnsi="Times New Roman" w:eastAsia="宋体"/>
          <w:b w:val="0"/>
          <w:sz w:val="21"/>
        </w:rPr>
        <w:t>[36] Wang Y., Li Z., Wang M. Ageing causes and effects on the reliability of polypropylene film used for HVDC capacitor. High Voltage Engineering, 2020, 46(4): 1345-1355.</w:t>
      </w:r>
    </w:p>
    <w:p>
      <w:pPr>
        <w:spacing w:line="312" w:lineRule="auto" w:after="40"/>
        <w:ind w:hanging="420" w:left="420"/>
        <w:jc w:val="both"/>
      </w:pPr>
      <w:r>
        <w:rPr>
          <w:rFonts w:ascii="Times New Roman" w:hAnsi="Times New Roman" w:eastAsia="宋体"/>
          <w:b w:val="0"/>
          <w:sz w:val="21"/>
        </w:rPr>
        <w:t>[37] Lyons B., et al. Ozonation of dielectric fosters self-healing efficiency in metalized-film capacitors. arXiv preprint arXiv:2602.08451, 2024.</w:t>
      </w:r>
    </w:p>
    <w:p>
      <w:pPr>
        <w:spacing w:line="312" w:lineRule="auto" w:after="40"/>
        <w:ind w:hanging="420" w:left="420"/>
        <w:jc w:val="both"/>
      </w:pPr>
      <w:r>
        <w:rPr>
          <w:rFonts w:ascii="Times New Roman" w:hAnsi="Times New Roman" w:eastAsia="宋体"/>
          <w:b w:val="0"/>
          <w:sz w:val="21"/>
        </w:rPr>
        <w:t>[38] Pozdeev-Freeman Y. How far can we go with high CV tantalum capacitors? Passive Component Industry, 2005, 7(1): 6-9.</w:t>
      </w:r>
    </w:p>
    <w:p>
      <w:pPr>
        <w:spacing w:line="312" w:lineRule="auto" w:after="40"/>
        <w:ind w:hanging="420" w:left="420"/>
        <w:jc w:val="both"/>
      </w:pPr>
      <w:r>
        <w:rPr>
          <w:rFonts w:ascii="Times New Roman" w:hAnsi="Times New Roman" w:eastAsia="宋体"/>
          <w:b w:val="0"/>
          <w:sz w:val="21"/>
        </w:rPr>
        <w:t>[39] Teverovsky A. Effect of surge current testing on reliability of solid tantalum capacitors. IEEE Transactions on Device and Materials Reliability, 2008, 8(1): 128-139.</w:t>
      </w:r>
    </w:p>
    <w:p>
      <w:pPr>
        <w:spacing w:line="312" w:lineRule="auto" w:after="40"/>
        <w:ind w:hanging="420" w:left="420"/>
        <w:jc w:val="both"/>
      </w:pPr>
      <w:r>
        <w:rPr>
          <w:rFonts w:ascii="Times New Roman" w:hAnsi="Times New Roman" w:eastAsia="宋体"/>
          <w:b w:val="0"/>
          <w:sz w:val="21"/>
        </w:rPr>
        <w:t>[40] Zednicek T., et al. Reliability and failure mode in solid tantalum capacitors. Passive Components EU Technical Report, 2021.</w:t>
      </w:r>
    </w:p>
    <w:p>
      <w:pPr>
        <w:spacing w:line="312" w:lineRule="auto" w:after="40"/>
        <w:ind w:hanging="420" w:left="420"/>
        <w:jc w:val="both"/>
      </w:pPr>
      <w:r>
        <w:rPr>
          <w:rFonts w:ascii="Times New Roman" w:hAnsi="Times New Roman" w:eastAsia="宋体"/>
          <w:b w:val="0"/>
          <w:sz w:val="21"/>
        </w:rPr>
        <w:t>[41] Teverovsky A. Reliability effects of surge current testing of solid tantalum capacitors. NASA/NEPP Technical Report, 2008.</w:t>
      </w:r>
    </w:p>
    <w:p>
      <w:pPr>
        <w:spacing w:line="312" w:lineRule="auto" w:after="40"/>
        <w:ind w:hanging="420" w:left="420"/>
        <w:jc w:val="both"/>
      </w:pPr>
      <w:r>
        <w:rPr>
          <w:rFonts w:ascii="Times New Roman" w:hAnsi="Times New Roman" w:eastAsia="宋体"/>
          <w:b w:val="0"/>
          <w:sz w:val="21"/>
        </w:rPr>
        <w:t>[42] Kurzweil P., Chwistek M. Capacitance characterization of electric double layer capacitors by electrochemical impedance spectroscopy. Journal of Power Sources, 2008, 176(2): 555-567.</w:t>
      </w:r>
    </w:p>
    <w:p>
      <w:pPr>
        <w:spacing w:line="312" w:lineRule="auto" w:after="40"/>
        <w:ind w:hanging="420" w:left="420"/>
        <w:jc w:val="both"/>
      </w:pPr>
      <w:r>
        <w:rPr>
          <w:rFonts w:ascii="Times New Roman" w:hAnsi="Times New Roman" w:eastAsia="宋体"/>
          <w:b w:val="0"/>
          <w:sz w:val="21"/>
        </w:rPr>
        <w:t>[43] Briat O., Vinassa J.M., Lajnef W., et al. Principle, design and experimental validation of a flywheel-battery hybrid source for heavy-duty electric vehicles. IET Electric Power Applications, 2007, 1(5): 665-674.</w:t>
      </w:r>
    </w:p>
    <w:p>
      <w:pPr>
        <w:spacing w:line="312" w:lineRule="auto" w:after="40"/>
        <w:ind w:hanging="420" w:left="420"/>
        <w:jc w:val="both"/>
      </w:pPr>
      <w:r>
        <w:rPr>
          <w:rFonts w:ascii="Times New Roman" w:hAnsi="Times New Roman" w:eastAsia="宋体"/>
          <w:b w:val="0"/>
          <w:sz w:val="21"/>
        </w:rPr>
        <w:t>[44] Sun J., Li H., et al. Effect of thermal stress on the life of DC link capacitors for smart grid. Nature Scientific Reports, 2025, 15: 88522.</w:t>
      </w:r>
    </w:p>
    <w:p>
      <w:pPr>
        <w:spacing w:line="312" w:lineRule="auto" w:after="40"/>
        <w:ind w:hanging="420" w:left="420"/>
        <w:jc w:val="both"/>
      </w:pPr>
      <w:r>
        <w:rPr>
          <w:rFonts w:ascii="Times New Roman" w:hAnsi="Times New Roman" w:eastAsia="宋体"/>
          <w:b w:val="0"/>
          <w:sz w:val="21"/>
        </w:rPr>
        <w:t>[45] Soualhi A., Sari A., Razik H., et al. Using LSTM neural network to predict remaining useful life of electrolytic capacitors in dynamic operating conditions. Journal of Risk and Reliability (SAGE), 2022, 236(4): 617-627.</w:t>
      </w:r>
    </w:p>
    <w:p>
      <w:pPr>
        <w:spacing w:line="312" w:lineRule="auto" w:after="40"/>
        <w:ind w:hanging="420" w:left="420"/>
        <w:jc w:val="both"/>
      </w:pPr>
      <w:r>
        <w:rPr>
          <w:rFonts w:ascii="Times New Roman" w:hAnsi="Times New Roman" w:eastAsia="宋体"/>
          <w:b w:val="0"/>
          <w:sz w:val="21"/>
        </w:rPr>
        <w:t>[46] Su T., et al. Early prediction of cycle life of supercapacitors based on GA-LSTM. IET Conference Proceedings, 2024.</w:t>
      </w:r>
    </w:p>
    <w:p>
      <w:pPr>
        <w:spacing w:line="312" w:lineRule="auto" w:after="40"/>
        <w:ind w:hanging="420" w:left="420"/>
        <w:jc w:val="both"/>
      </w:pPr>
      <w:r>
        <w:rPr>
          <w:rFonts w:ascii="Times New Roman" w:hAnsi="Times New Roman" w:eastAsia="宋体"/>
          <w:b w:val="0"/>
          <w:sz w:val="21"/>
        </w:rPr>
        <w:t>[47] Venet P., Perisse F., El-Husseini M.H., Rojat G. Realization of a smart electrolytic capacitor circuit. IEEE Industry Applications Magazine, 2002, 8(1): 16-20.</w:t>
      </w:r>
    </w:p>
    <w:p>
      <w:pPr>
        <w:spacing w:line="312" w:lineRule="auto" w:after="40"/>
        <w:ind w:hanging="420" w:left="420"/>
        <w:jc w:val="both"/>
      </w:pPr>
      <w:r>
        <w:rPr>
          <w:rFonts w:ascii="Times New Roman" w:hAnsi="Times New Roman" w:eastAsia="宋体"/>
          <w:b w:val="0"/>
          <w:sz w:val="21"/>
        </w:rPr>
        <w:t>[48] Abdennadher K., Venet P., Rojat G., Retif J.M., Rosset C. A real-time predictive-maintenance system of aluminum electrolytic capacitors used in uninterrupted power supplies. IEEE Transactions on Industry Applications, 2010, 46(4): 1644-1652.</w:t>
      </w:r>
    </w:p>
    <w:p>
      <w:pPr>
        <w:spacing w:line="312" w:lineRule="auto" w:after="40"/>
        <w:ind w:hanging="420" w:left="420"/>
        <w:jc w:val="both"/>
      </w:pPr>
      <w:r>
        <w:rPr>
          <w:rFonts w:ascii="Times New Roman" w:hAnsi="Times New Roman" w:eastAsia="宋体"/>
          <w:b w:val="0"/>
          <w:sz w:val="21"/>
        </w:rPr>
        <w:t>[49] Yan J., Liu P., et al. Composite denoising-based LSTM prediction method of supercapacitor performance degradation law and remaining useful life. Circuit World (Emerald), 2025, CW-12-2023-0459.</w:t>
      </w:r>
    </w:p>
    <w:p>
      <w:pPr>
        <w:spacing w:line="312" w:lineRule="auto" w:after="40"/>
        <w:ind w:hanging="420" w:left="420"/>
        <w:jc w:val="both"/>
      </w:pPr>
      <w:r>
        <w:rPr>
          <w:rFonts w:ascii="Times New Roman" w:hAnsi="Times New Roman" w:eastAsia="宋体"/>
          <w:b w:val="0"/>
          <w:sz w:val="21"/>
        </w:rPr>
        <w:t>[50] Wang H., Liserre M., Blaabjerg F. Toward reliable power electronics: challenges, design tools, and opportunities. IEEE Industrial Electronics Magazine, 2013, 7(2): 17-26.</w:t>
      </w:r>
    </w:p>
    <w:p>
      <w:pPr>
        <w:spacing w:line="312" w:lineRule="auto" w:after="40"/>
        <w:ind w:hanging="420" w:left="420"/>
        <w:jc w:val="both"/>
      </w:pPr>
      <w:r>
        <w:rPr>
          <w:rFonts w:ascii="Times New Roman" w:hAnsi="Times New Roman" w:eastAsia="宋体"/>
          <w:b w:val="0"/>
          <w:sz w:val="21"/>
        </w:rPr>
        <w:t>[51] Yang S., Bryant A., Mawby P., Xiang D., Ran L., Tavner P. An industry-based survey of reliability in power electronic converters. IEEE Transactions on Industry Applications, 2011, 47(3): 1441-1451.</w:t>
      </w:r>
    </w:p>
    <w:p>
      <w:pPr>
        <w:spacing w:line="312" w:lineRule="auto" w:after="40"/>
        <w:ind w:hanging="420" w:left="420"/>
        <w:jc w:val="both"/>
      </w:pPr>
      <w:r>
        <w:rPr>
          <w:rFonts w:ascii="Times New Roman" w:hAnsi="Times New Roman" w:eastAsia="宋体"/>
          <w:b w:val="0"/>
          <w:sz w:val="21"/>
        </w:rPr>
        <w:t>[52] Makdessi M., Sari A., Venet P. Improved model of metalized film capacitors. IEEE Transactions on Dielectrics and Electrical Insulation, 2014, 21(2): 582-593.</w:t>
      </w:r>
    </w:p>
    <w:p>
      <w:pPr>
        <w:spacing w:line="312" w:lineRule="auto" w:after="40"/>
        <w:ind w:hanging="420" w:left="420"/>
        <w:jc w:val="both"/>
      </w:pPr>
      <w:r>
        <w:rPr>
          <w:rFonts w:ascii="Times New Roman" w:hAnsi="Times New Roman" w:eastAsia="宋体"/>
          <w:b w:val="0"/>
          <w:sz w:val="21"/>
        </w:rPr>
        <w:t>[53] Jiang Y., Zhang Z., Chen B., et al. A review of the condition monitoring of capacitors in power electronic converters. IEEE Transactions on Industry Applications, 2016, 52(6): 4569-4583.</w:t>
      </w:r>
    </w:p>
    <w:p>
      <w:pPr>
        <w:spacing w:line="312" w:lineRule="auto" w:after="40"/>
        <w:ind w:hanging="420" w:left="420"/>
        <w:jc w:val="both"/>
      </w:pPr>
      <w:r>
        <w:rPr>
          <w:rFonts w:ascii="Times New Roman" w:hAnsi="Times New Roman" w:eastAsia="宋体"/>
          <w:b w:val="0"/>
          <w:sz w:val="21"/>
        </w:rPr>
        <w:t>[54] Nelson W. Accelerated testing: Statistical models, test plans, and data analyses. John Wiley &amp; Sons, 1990.</w:t>
      </w:r>
    </w:p>
    <w:p>
      <w:pPr>
        <w:spacing w:line="312" w:lineRule="auto" w:after="40"/>
        <w:ind w:hanging="420" w:left="420"/>
        <w:jc w:val="both"/>
      </w:pPr>
      <w:r>
        <w:rPr>
          <w:rFonts w:ascii="Times New Roman" w:hAnsi="Times New Roman" w:eastAsia="宋体"/>
          <w:b w:val="0"/>
          <w:sz w:val="21"/>
        </w:rPr>
        <w:t>[55] Prokopowicz T.I., Vaskas A.R. Research and development, intrinsic reliability, subminiature ceramic capacitors. ECOM Final Report 90705-F, U.S. Army Electronics Command, 1969.</w:t>
      </w:r>
    </w:p>
    <w:p>
      <w:pPr>
        <w:spacing w:line="312" w:lineRule="auto" w:after="40"/>
        <w:ind w:hanging="420" w:left="420"/>
        <w:jc w:val="both"/>
      </w:pPr>
      <w:r>
        <w:rPr>
          <w:rFonts w:ascii="Times New Roman" w:hAnsi="Times New Roman" w:eastAsia="宋体"/>
          <w:b w:val="0"/>
          <w:sz w:val="21"/>
        </w:rPr>
        <w:t>[56] Randall C.A., Wang S.F., et al. Dielectric and piezoelectric properties of barium titanate-based ceramics for multilayer capacitors. Journal of the American Ceramic Society, 2003, 86(4): 581-588.</w:t>
      </w:r>
    </w:p>
    <w:p>
      <w:pPr>
        <w:spacing w:line="312" w:lineRule="auto" w:after="40"/>
        <w:ind w:hanging="420" w:left="420"/>
        <w:jc w:val="both"/>
      </w:pPr>
      <w:r>
        <w:rPr>
          <w:rFonts w:ascii="Times New Roman" w:hAnsi="Times New Roman" w:eastAsia="宋体"/>
          <w:b w:val="0"/>
          <w:sz w:val="21"/>
        </w:rPr>
        <w:t>[57] Kim J., Song J., Lee S. Utilizing time-domain electrical methods to monitor MLCCs' degradation. Applied Physics Letters, 2023, 122(11): 112902.</w:t>
      </w:r>
    </w:p>
    <w:p>
      <w:pPr>
        <w:spacing w:line="312" w:lineRule="auto" w:after="40"/>
        <w:ind w:hanging="420" w:left="420"/>
        <w:jc w:val="both"/>
      </w:pPr>
      <w:r>
        <w:rPr>
          <w:rFonts w:ascii="Times New Roman" w:hAnsi="Times New Roman" w:eastAsia="宋体"/>
          <w:b w:val="0"/>
          <w:sz w:val="21"/>
        </w:rPr>
        <w:t>[58] Briat O., Vinassa J.M., Bertrand N., El Brouji E.H., Delétage J.Y., Woirgard E. Contribution of calendar ageing modes in the performances degradation of supercapacitors during power cycling. Microelectronics Reliability, 2010, 50(9-11): 1796-1803.</w:t>
      </w:r>
    </w:p>
    <w:p>
      <w:pPr>
        <w:spacing w:line="312" w:lineRule="auto" w:after="40"/>
        <w:ind w:hanging="420" w:left="420"/>
        <w:jc w:val="both"/>
      </w:pPr>
      <w:r>
        <w:rPr>
          <w:rFonts w:ascii="Times New Roman" w:hAnsi="Times New Roman" w:eastAsia="宋体"/>
          <w:b w:val="0"/>
          <w:sz w:val="21"/>
        </w:rPr>
        <w:t>[59] Chaari R., Briat O., Vinassa J.M. Nonlinearities in ultracapacitor voltage and temperature responses during current cycling. IEEE Transactions on Industry Applications, 2015, 51(1): 544-552.</w:t>
      </w:r>
    </w:p>
    <w:p>
      <w:pPr>
        <w:spacing w:line="312" w:lineRule="auto" w:after="40"/>
        <w:ind w:hanging="420" w:left="420"/>
        <w:jc w:val="both"/>
      </w:pPr>
      <w:r>
        <w:rPr>
          <w:rFonts w:ascii="Times New Roman" w:hAnsi="Times New Roman" w:eastAsia="宋体"/>
          <w:b w:val="0"/>
          <w:sz w:val="21"/>
        </w:rPr>
        <w:t>[60] IEC 60384-1:2016. Fixed capacitors for use in electronic equipment — Part 1: Generic specification. International Electrotechnical Commission, 2016.</w:t>
      </w:r>
    </w:p>
    <w:p>
      <w:pPr>
        <w:spacing w:line="312" w:lineRule="auto" w:after="40"/>
        <w:ind w:hanging="420" w:left="420"/>
        <w:jc w:val="both"/>
      </w:pPr>
      <w:r>
        <w:rPr>
          <w:rFonts w:ascii="Times New Roman" w:hAnsi="Times New Roman" w:eastAsia="宋体"/>
          <w:b w:val="0"/>
          <w:sz w:val="21"/>
        </w:rPr>
        <w:t>[61] AEC-Q200 Rev E. Stress test qualification for passive components. Automotive Electronics Council, 2020.</w:t>
      </w:r>
    </w:p>
    <w:p>
      <w:pPr>
        <w:spacing w:line="312" w:lineRule="auto" w:after="40"/>
        <w:ind w:hanging="420" w:left="420"/>
        <w:jc w:val="both"/>
      </w:pPr>
      <w:r>
        <w:rPr>
          <w:rFonts w:ascii="Times New Roman" w:hAnsi="Times New Roman" w:eastAsia="宋体"/>
          <w:b w:val="0"/>
          <w:sz w:val="21"/>
        </w:rPr>
        <w:t>[62] MIL-HDBK-217F. Reliability prediction of electronic equipment. U.S. Department of Defense, 1995.</w:t>
      </w:r>
    </w:p>
    <w:p>
      <w:pPr>
        <w:spacing w:line="312" w:lineRule="auto" w:after="40"/>
        <w:ind w:hanging="420" w:left="420"/>
        <w:jc w:val="both"/>
      </w:pPr>
      <w:r>
        <w:rPr>
          <w:rFonts w:ascii="Times New Roman" w:hAnsi="Times New Roman" w:eastAsia="宋体"/>
          <w:b w:val="0"/>
          <w:sz w:val="21"/>
        </w:rPr>
        <w:t>[63] Wen H., Xiao W., Wen X., Armstrong P. Analysis and evaluation of DC-link capacitors for high-power-density electric vehicle drive systems. IEEE Transactions on Vehicular Technology, 2012, 61(7): 2950-2964.</w:t>
      </w:r>
    </w:p>
    <w:p>
      <w:pPr>
        <w:spacing w:line="312" w:lineRule="auto" w:after="40"/>
        <w:ind w:hanging="420" w:left="420"/>
        <w:jc w:val="both"/>
      </w:pPr>
      <w:r>
        <w:rPr>
          <w:rFonts w:ascii="Times New Roman" w:hAnsi="Times New Roman" w:eastAsia="宋体"/>
          <w:b w:val="0"/>
          <w:sz w:val="21"/>
        </w:rPr>
        <w:t>[64] Cao P.M., Pecht M. Aluminum electrolytic capacitor lifetime prediction for LED drivers. IEEE Applied Power Electronics Conference, 2015.</w:t>
      </w:r>
    </w:p>
    <w:p>
      <w:pPr>
        <w:spacing w:line="312" w:lineRule="auto" w:after="40"/>
        <w:ind w:hanging="420" w:left="420"/>
        <w:jc w:val="both"/>
      </w:pPr>
      <w:r>
        <w:rPr>
          <w:rFonts w:ascii="Times New Roman" w:hAnsi="Times New Roman" w:eastAsia="宋体"/>
          <w:b w:val="0"/>
          <w:sz w:val="21"/>
        </w:rPr>
        <w:t>[65] Wang H., Zhou D., Blaabjerg F. A reliability-oriented design method for power electronic converters. IEEE Applied Power Electronics Conference, 2013.</w:t>
      </w:r>
    </w:p>
    <w:p>
      <w:pPr>
        <w:spacing w:line="312" w:lineRule="auto" w:after="40"/>
        <w:ind w:hanging="420" w:left="420"/>
        <w:jc w:val="both"/>
      </w:pPr>
      <w:r>
        <w:rPr>
          <w:rFonts w:ascii="Times New Roman" w:hAnsi="Times New Roman" w:eastAsia="宋体"/>
          <w:b w:val="0"/>
          <w:sz w:val="21"/>
        </w:rPr>
        <w:t>[66] Hammerstrom P., et al. Aluminum electrolytic capacitor vulnerability evaluation in DC power supplies at the Spallation Neutron Source. IEEE Conference Publication, 2023.</w:t>
      </w:r>
    </w:p>
    <w:p>
      <w:pPr>
        <w:spacing w:line="312" w:lineRule="auto" w:after="40"/>
        <w:ind w:hanging="420" w:left="420"/>
        <w:jc w:val="both"/>
      </w:pPr>
      <w:r>
        <w:rPr>
          <w:rFonts w:ascii="Times New Roman" w:hAnsi="Times New Roman" w:eastAsia="宋体"/>
          <w:b w:val="0"/>
          <w:sz w:val="21"/>
        </w:rPr>
        <w:t>[67] Li H., Xu P., et al. Electrolytic failure modeling of aluminum electrolytic capacitor by finite element method. IEEE Conference Publication, 2024.</w:t>
      </w:r>
    </w:p>
    <w:p>
      <w:pPr>
        <w:spacing w:line="312" w:lineRule="auto" w:after="40"/>
        <w:ind w:hanging="420" w:left="420"/>
        <w:jc w:val="both"/>
      </w:pPr>
      <w:r>
        <w:rPr>
          <w:rFonts w:ascii="Times New Roman" w:hAnsi="Times New Roman" w:eastAsia="宋体"/>
          <w:b w:val="0"/>
          <w:sz w:val="21"/>
        </w:rPr>
        <w:t>[68] Zhang Z., Wang H., et al. Structure and degradation of aluminum electrolytic capacitors. IEEE Conference Publication, 2020.</w:t>
      </w:r>
    </w:p>
    <w:p>
      <w:pPr>
        <w:spacing w:line="312" w:lineRule="auto" w:after="40"/>
        <w:ind w:hanging="420" w:left="420"/>
        <w:jc w:val="both"/>
      </w:pPr>
      <w:r>
        <w:rPr>
          <w:rFonts w:ascii="Times New Roman" w:hAnsi="Times New Roman" w:eastAsia="宋体"/>
          <w:b w:val="0"/>
          <w:sz w:val="21"/>
        </w:rPr>
        <w:t>[69] Bouzidi M.T., Sari A., Venet P., Rojat G. Fractional order equivalent series resistance modelling of electrolytic capacitor and fractional order failure prediction with application to predictive maintenance. IET Power Electronics, 2016, 9(8): 1608-1617.</w:t>
      </w:r>
    </w:p>
    <w:p>
      <w:pPr>
        <w:spacing w:line="312" w:lineRule="auto" w:after="40"/>
        <w:ind w:hanging="420" w:left="420"/>
        <w:jc w:val="both"/>
      </w:pPr>
      <w:r>
        <w:rPr>
          <w:rFonts w:ascii="Times New Roman" w:hAnsi="Times New Roman" w:eastAsia="宋体"/>
          <w:b w:val="0"/>
          <w:sz w:val="21"/>
        </w:rPr>
        <w:t>[70] Bhattacharjee A., et al. Advances in capacitor health monitoring techniques for power converters: A review. IEEE Transactions on Power Electronics, 2024.</w:t>
      </w:r>
    </w:p>
    <w:sectPr w:rsidR="00FC693F" w:rsidRPr="0006063C" w:rsidSect="00034616">
      <w:footerReference w:type="default" r:id="rId9"/>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sz w:val="20"/>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