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120" w:before="0"/>
      </w:pPr>
    </w:p>
    <w:p>
      <w:pPr>
        <w:spacing w:lineRule="auto" w:line="360" w:after="120" w:before="0"/>
      </w:pPr>
    </w:p>
    <w:p>
      <w:pPr>
        <w:spacing w:lineRule="auto" w:line="360" w:after="120" w:before="0"/>
      </w:pPr>
    </w:p>
    <w:p>
      <w:pPr>
        <w:spacing w:lineRule="auto" w:line="360" w:after="360" w:before="0"/>
        <w:jc w:val="center"/>
      </w:pPr>
      <w:r>
        <w:rPr>
          <w:rFonts w:ascii="Times New Roman" w:hAnsi="Times New Roman" w:eastAsia="黑体"/>
          <w:b/>
          <w:sz w:val="28"/>
        </w:rPr>
        <w:t>博士学位论文（章节稿）</w:t>
      </w:r>
    </w:p>
    <w:p>
      <w:pPr>
        <w:spacing w:lineRule="auto" w:line="360" w:after="120" w:before="0"/>
        <w:jc w:val="center"/>
      </w:pPr>
      <w:r>
        <w:rPr>
          <w:rFonts w:ascii="Times New Roman" w:hAnsi="Times New Roman" w:eastAsia="黑体"/>
          <w:b/>
          <w:sz w:val="48"/>
        </w:rPr>
        <w:t>叠层铝固态电容器（SAPC）可靠性研究</w:t>
      </w:r>
    </w:p>
    <w:p>
      <w:pPr>
        <w:spacing w:lineRule="auto" w:line="360" w:after="800" w:before="0"/>
        <w:jc w:val="center"/>
      </w:pPr>
      <w:r>
        <w:rPr>
          <w:rFonts w:ascii="Times New Roman" w:hAnsi="Times New Roman" w:eastAsia="黑体"/>
          <w:b/>
          <w:sz w:val="30"/>
        </w:rPr>
        <w:t>——失效模式、失效机理与可靠性建模的国内外研究现状</w:t>
      </w:r>
    </w:p>
    <w:p>
      <w:pPr>
        <w:spacing w:lineRule="auto" w:line="360" w:after="0" w:before="0"/>
        <w:jc w:val="center"/>
      </w:pPr>
      <w:r>
        <w:rPr>
          <w:rFonts w:ascii="Times New Roman" w:hAnsi="Times New Roman" w:eastAsia="宋体"/>
          <w:b w:val="0"/>
          <w:sz w:val="24"/>
        </w:rPr>
        <w:t>Stacked Aluminum Polymer Solid Capacitors (SAPC):</w:t>
      </w:r>
    </w:p>
    <w:p>
      <w:pPr>
        <w:spacing w:lineRule="auto" w:line="360" w:after="800" w:before="0"/>
        <w:jc w:val="center"/>
      </w:pPr>
      <w:r>
        <w:rPr>
          <w:rFonts w:ascii="Times New Roman" w:hAnsi="Times New Roman" w:eastAsia="宋体"/>
          <w:b w:val="0"/>
          <w:sz w:val="24"/>
        </w:rPr>
        <w:t>A Review of Failure Modes, Mechanisms and Reliability Modeling</w:t>
      </w:r>
    </w:p>
    <w:p>
      <w:pPr>
        <w:spacing w:lineRule="auto" w:line="360" w:after="80" w:before="0"/>
        <w:jc w:val="center"/>
      </w:pPr>
      <w:r>
        <w:rPr>
          <w:rFonts w:ascii="Times New Roman" w:hAnsi="Times New Roman" w:eastAsia="宋体"/>
          <w:b w:val="0"/>
          <w:sz w:val="24"/>
        </w:rPr>
        <w:t>作者：（请填写）</w:t>
      </w:r>
    </w:p>
    <w:p>
      <w:pPr>
        <w:spacing w:lineRule="auto" w:line="360" w:after="80" w:before="0"/>
        <w:jc w:val="center"/>
      </w:pPr>
      <w:r>
        <w:rPr>
          <w:rFonts w:ascii="Times New Roman" w:hAnsi="Times New Roman" w:eastAsia="宋体"/>
          <w:b w:val="0"/>
          <w:sz w:val="24"/>
        </w:rPr>
        <w:t>导师：（请填写）</w:t>
      </w:r>
    </w:p>
    <w:p>
      <w:pPr>
        <w:spacing w:lineRule="auto" w:line="360" w:after="120" w:before="0"/>
        <w:jc w:val="center"/>
      </w:pPr>
      <w:r>
        <w:rPr>
          <w:rFonts w:ascii="Times New Roman" w:hAnsi="Times New Roman" w:eastAsia="宋体"/>
          <w:b w:val="0"/>
          <w:sz w:val="24"/>
        </w:rPr>
        <w:t>日期：2026 年 5 月</w:t>
      </w:r>
    </w:p>
    <w:p>
      <w:r>
        <w:br w:type="page"/>
      </w:r>
    </w:p>
    <w:p>
      <w:pPr>
        <w:pStyle w:val="Heading1"/>
        <w:spacing w:before="200" w:after="120"/>
        <w:jc w:val="left"/>
      </w:pPr>
      <w:r>
        <w:rPr>
          <w:rFonts w:ascii="Times New Roman" w:hAnsi="Times New Roman" w:eastAsia="黑体"/>
          <w:b/>
          <w:color w:val="000000"/>
          <w:sz w:val="32"/>
        </w:rPr>
        <w:t>编制与文献诚信说明</w:t>
      </w:r>
    </w:p>
    <w:p>
      <w:pPr>
        <w:spacing w:lineRule="auto" w:line="360" w:after="120" w:before="0"/>
        <w:ind w:firstLine="480"/>
        <w:jc w:val="both"/>
      </w:pPr>
      <w:r>
        <w:rPr>
          <w:rFonts w:ascii="Times New Roman" w:hAnsi="Times New Roman" w:eastAsia="宋体"/>
          <w:b w:val="0"/>
          <w:sz w:val="24"/>
        </w:rPr>
        <w:t>本章为“国内外研究现状”章节的可直接编辑初稿。为保障学术诚信，全部参考文献均经文献检索后纳入，可经所给链接溯源；凡未能确证的 DOI、卷期或作者信息，均在文末参考文献中以“[DOI待核验]”或“建议核验”明确标注，未作任何虚构或臆造。提交前请务必在 Web of Science / Scopus / IEEE Xplore 及出版商页面逐条复核。</w:t>
      </w:r>
    </w:p>
    <w:p>
      <w:pPr>
        <w:spacing w:lineRule="auto" w:line="360" w:after="120" w:before="0"/>
        <w:ind w:firstLine="480"/>
        <w:jc w:val="both"/>
      </w:pPr>
      <w:r>
        <w:rPr>
          <w:rFonts w:ascii="Times New Roman" w:hAnsi="Times New Roman" w:eastAsia="宋体"/>
          <w:b w:val="0"/>
          <w:sz w:val="24"/>
        </w:rPr>
        <w:t>关于配图：正文插图（图1–图10）均为作者基于公开原理自行绘制的原创示意图，不含任何受版权保护的他人图件，可直接使用。对于 SEM/TEM 形貌、XPS/EDS 成分及实测 I–V/C–V 曲线等需引自原始论文的图件，本文不直接嵌入受版权保护的原图，而在附录 A“建议引用图表索引”中给出可溯源的真实出处（含 DOI），便于在取得出版商授权后引用。</w:t>
      </w:r>
    </w:p>
    <w:p>
      <w:pPr>
        <w:spacing w:lineRule="auto" w:line="360" w:after="120" w:before="0"/>
        <w:ind w:firstLine="480"/>
        <w:jc w:val="both"/>
      </w:pPr>
      <w:r>
        <w:rPr>
          <w:rFonts w:ascii="Times New Roman" w:hAnsi="Times New Roman" w:eastAsia="宋体"/>
          <w:b w:val="0"/>
          <w:sz w:val="24"/>
        </w:rPr>
        <w:t>术语约定：SAPC（Stacked Aluminum Polymer/Solid Capacitor）指以导电聚合物（多为 PEDOT:PSS 或 PEDOT 体系）为固态电解质、由多片阳极铝箔叠层并联、经塑封封装而成的叠层（多层）铝固态电解电容器；文献中常以“polymer aluminum (PA) / multilayer polymer aluminum (PAE) / aluminum polymer capacitor (APC)”指代同类器件。</w:t>
      </w:r>
    </w:p>
    <w:p>
      <w:r>
        <w:br w:type="page"/>
      </w:r>
    </w:p>
    <w:p>
      <w:pPr>
        <w:pStyle w:val="Heading1"/>
        <w:spacing w:before="200" w:after="120"/>
        <w:jc w:val="left"/>
      </w:pPr>
      <w:r>
        <w:rPr>
          <w:rFonts w:ascii="Times New Roman" w:hAnsi="Times New Roman" w:eastAsia="黑体"/>
          <w:b/>
          <w:color w:val="000000"/>
          <w:sz w:val="32"/>
        </w:rPr>
        <w:t>摘要</w:t>
      </w:r>
    </w:p>
    <w:p>
      <w:pPr>
        <w:spacing w:lineRule="auto" w:line="360" w:after="120" w:before="0"/>
        <w:ind w:firstLine="480"/>
        <w:jc w:val="both"/>
      </w:pPr>
      <w:r>
        <w:rPr>
          <w:rFonts w:ascii="Times New Roman" w:hAnsi="Times New Roman" w:eastAsia="宋体"/>
          <w:b w:val="0"/>
          <w:sz w:val="24"/>
        </w:rPr>
        <w:t>叠层铝固态电容器（SAPC）以导电聚合物替代传统液态电解质，兼具低等效串联电阻（ESR）、良好高频特性、稳定温度特性与良性失效（不易燃爆）等优点，已成为高功率密度电源、汽车电子与消费电子中片式钽电容与液态铝电解电容的重要替代器件。然而，导电聚合物对湿、热、电应力敏感，其长期可靠性尚未被充分认识。本章按“器件—失效模式—失效机理—可靠性建模—状态监测”的主线，系统梳理国内外研究现状：在失效模式层面，归纳了湿热、高温与热-电耦合三类典型模式及其以 ESR 上升、漏电流（LC）增大为主、电容量相对稳定的退化规律；在机理层面，剖析了 PEDOT 颗粒金属导电模型下的晶粒收缩、去掺杂/氧化、界面分层与氧化膜自愈等关键过程；在建模层面，比较了统计可靠性、失效物理（PoF）与数据驱动三类方法及其适用边界。最后凝练出现有研究的四点不足，并据此提出本文的研究切入点。</w:t>
      </w:r>
    </w:p>
    <w:p>
      <w:pPr>
        <w:spacing w:lineRule="auto" w:line="360" w:after="40" w:before="0"/>
      </w:pPr>
      <w:r>
        <w:rPr>
          <w:rFonts w:ascii="Times New Roman" w:hAnsi="Times New Roman" w:eastAsia="宋体"/>
          <w:b/>
          <w:sz w:val="24"/>
        </w:rPr>
        <w:t>关键词：</w:t>
      </w:r>
      <w:r>
        <w:rPr>
          <w:rFonts w:ascii="Times New Roman" w:hAnsi="Times New Roman" w:eastAsia="宋体"/>
          <w:b w:val="0"/>
          <w:sz w:val="24"/>
        </w:rPr>
        <w:t>叠层铝固态电容器；导电聚合物（PEDOT）；失效模式；失效机理；可靠性建模；寿命预测</w:t>
      </w:r>
    </w:p>
    <w:p>
      <w:pPr>
        <w:pStyle w:val="Heading1"/>
        <w:spacing w:before="200" w:after="120"/>
        <w:jc w:val="left"/>
      </w:pPr>
      <w:r>
        <w:rPr>
          <w:rFonts w:ascii="Times New Roman" w:hAnsi="Times New Roman" w:eastAsia="黑体"/>
          <w:b/>
          <w:color w:val="000000"/>
          <w:sz w:val="32"/>
        </w:rPr>
        <w:t>Abstract</w:t>
      </w:r>
    </w:p>
    <w:p>
      <w:pPr>
        <w:spacing w:lineRule="auto" w:line="360" w:after="120" w:before="0"/>
        <w:ind w:firstLine="480"/>
        <w:jc w:val="both"/>
      </w:pPr>
      <w:r>
        <w:rPr>
          <w:rFonts w:ascii="Times New Roman" w:hAnsi="Times New Roman" w:eastAsia="宋体"/>
          <w:b w:val="0"/>
          <w:sz w:val="24"/>
        </w:rPr>
        <w:t>Stacked aluminum polymer solid capacitors (SAPC) replace the liquid electrolyte of conventional aluminum electrolytic capacitors with a solid conductive polymer (typically a PEDOT-based system). They offer low equivalent series resistance (ESR), good high-frequency and temperature stability, and a benign (non-ignition) failure behavior, and have become an important alternative to chip tantalum and liquid aluminum electrolytic capacitors in high-power-density supplies, automotive and consumer electronics. However, the conductive polymer is sensitive to humidity, temperature and electrical stress, and the long-term reliability of SAPC is not yet fully understood. Following a device–failure-mode–mechanism–modeling–monitoring thread, this chapter reviews the state of the art at home and abroad. It classifies three typical failure-mode families (humid-heat, high-temperature and thermo-electric coupling), characterized mainly by ESR rise and leakage-current increase with comparatively stable capacitance; analyzes key mechanisms including grain shrinkage and de-doping/oxidation of PEDOT under the granular-metal conduction picture, interfacial delamination and oxide self-healing; and compares statistical, physics-of-failure (PoF) and data-driven reliability-modeling approaches and their applicability. Four research gaps are distilled to motivate the entry point of this dissertation.</w:t>
      </w:r>
    </w:p>
    <w:p>
      <w:pPr>
        <w:spacing w:lineRule="auto" w:line="360" w:after="40" w:before="0"/>
      </w:pPr>
      <w:r>
        <w:rPr>
          <w:rFonts w:ascii="Times New Roman" w:hAnsi="Times New Roman" w:eastAsia="宋体"/>
          <w:b/>
          <w:sz w:val="24"/>
        </w:rPr>
        <w:t xml:space="preserve">Keywords: </w:t>
      </w:r>
      <w:r>
        <w:rPr>
          <w:rFonts w:ascii="Times New Roman" w:hAnsi="Times New Roman" w:eastAsia="宋体"/>
          <w:b w:val="0"/>
          <w:sz w:val="24"/>
        </w:rPr>
        <w:t>stacked aluminum polymer capacitor; conductive polymer (PEDOT); failure modes; failure mechanisms; reliability modeling; remaining useful life</w:t>
      </w:r>
    </w:p>
    <w:p>
      <w:r>
        <w:br w:type="page"/>
      </w:r>
    </w:p>
    <w:p>
      <w:pPr>
        <w:pStyle w:val="Heading1"/>
        <w:spacing w:before="200" w:after="120"/>
        <w:jc w:val="left"/>
      </w:pPr>
      <w:r>
        <w:rPr>
          <w:rFonts w:ascii="Times New Roman" w:hAnsi="Times New Roman" w:eastAsia="黑体"/>
          <w:b/>
          <w:color w:val="000000"/>
          <w:sz w:val="32"/>
        </w:rPr>
        <w:t>目录</w:t>
      </w:r>
    </w:p>
    <w:p>
      <w:fldSimple w:instr="TOC \o &quot;1-3&quot; \h \z \u"/>
      <w:r/>
    </w:p>
    <w:p>
      <w:r>
        <w:rPr>
          <w:rFonts w:ascii="Times New Roman" w:hAnsi="Times New Roman" w:eastAsia="宋体"/>
          <w:b w:val="0"/>
          <w:color w:val="808080"/>
          <w:sz w:val="18"/>
        </w:rPr>
        <w:t>（提示：在 Word 中按 Ctrl+A 后按 F9，选择“更新整个目录”即可生成页码目录。）</w:t>
      </w:r>
    </w:p>
    <w:p>
      <w:r>
        <w:br w:type="page"/>
      </w:r>
    </w:p>
    <w:p>
      <w:pPr>
        <w:pStyle w:val="Heading1"/>
        <w:spacing w:before="200" w:after="120"/>
        <w:jc w:val="left"/>
      </w:pPr>
      <w:r>
        <w:rPr>
          <w:rFonts w:ascii="Times New Roman" w:hAnsi="Times New Roman" w:eastAsia="黑体"/>
          <w:b/>
          <w:color w:val="000000"/>
          <w:sz w:val="32"/>
        </w:rPr>
        <w:t>第2章  SAPC 可靠性研究的国内外研究现状</w:t>
      </w:r>
    </w:p>
    <w:p>
      <w:pPr>
        <w:pStyle w:val="Heading2"/>
        <w:spacing w:before="200" w:after="120"/>
        <w:jc w:val="left"/>
      </w:pPr>
      <w:r>
        <w:rPr>
          <w:rFonts w:ascii="Times New Roman" w:hAnsi="Times New Roman" w:eastAsia="黑体"/>
          <w:b/>
          <w:color w:val="000000"/>
          <w:sz w:val="28"/>
        </w:rPr>
        <w:t>2.1  研究范围与文献概述</w:t>
      </w:r>
    </w:p>
    <w:p>
      <w:pPr>
        <w:spacing w:lineRule="auto" w:line="360" w:after="120" w:before="0"/>
        <w:ind w:firstLine="480"/>
        <w:jc w:val="both"/>
      </w:pPr>
      <w:r>
        <w:rPr>
          <w:rFonts w:ascii="Times New Roman" w:hAnsi="Times New Roman" w:eastAsia="宋体"/>
          <w:b w:val="0"/>
          <w:sz w:val="24"/>
        </w:rPr>
        <w:t>本章聚焦以导电聚合物为固态电解质的叠层（多层）铝固态电容器（SAPC）。围绕其可靠性，文献可大致归入器件结构与材料、失效模式、失效机理、可靠性建模与寿命预测、状态监测五个相互关联的方向[1]–[3]。在器件层面，权威综述[1]、[2]与专著[3]从功率电子用电容器整体角度建立了失效机理—失效模式—寿命模型的分析框架，为理解 SAPC 提供了方法论基础；在器件个性层面，美国马里兰大学 CALCE 中心、NASA NEPP 以及 KEMET、Murata 等厂商的研究[9]–[16]构成了 SAPC（聚合物铝电容）可靠性的核心实证来源。</w:t>
      </w:r>
    </w:p>
    <w:p>
      <w:pPr>
        <w:spacing w:lineRule="auto" w:line="360" w:after="120" w:before="0"/>
        <w:ind w:firstLine="480"/>
        <w:jc w:val="both"/>
      </w:pPr>
      <w:r>
        <w:rPr>
          <w:rFonts w:ascii="Times New Roman" w:hAnsi="Times New Roman" w:eastAsia="宋体"/>
          <w:b w:val="0"/>
          <w:sz w:val="24"/>
        </w:rPr>
        <w:t>总体而言，现有文献呈现三点特征：其一，针对 SAPC 这一“较新器件”的系统可靠性研究数量仍然有限，且多集中于湿度（湿热）影响，高温与多应力耦合下的数据相对稀缺[15]、[16]；其二，机理研究多借鉴 PEDOT 薄膜与聚合物钽电容的成果[17]–[28]，向器件级寿命模型的定量映射尚不充分；其三，建模方法正由经验统计模型向失效物理（PoF）与数据驱动方法演进[35]–[39]。图1给出本章所采用的文献主题分布，反映了上述侧重。</w:t>
      </w:r>
    </w:p>
    <w:p>
      <w:pPr>
        <w:jc w:val="center"/>
      </w:pPr>
      <w:r>
        <w:drawing>
          <wp:inline xmlns:a="http://schemas.openxmlformats.org/drawingml/2006/main" xmlns:pic="http://schemas.openxmlformats.org/drawingml/2006/picture">
            <wp:extent cx="5220000" cy="3076071"/>
            <wp:docPr id="1" name="Picture 1"/>
            <wp:cNvGraphicFramePr>
              <a:graphicFrameLocks noChangeAspect="1"/>
            </wp:cNvGraphicFramePr>
            <a:graphic>
              <a:graphicData uri="http://schemas.openxmlformats.org/drawingml/2006/picture">
                <pic:pic>
                  <pic:nvPicPr>
                    <pic:cNvPr id="0" name="fig_litdist.png"/>
                    <pic:cNvPicPr/>
                  </pic:nvPicPr>
                  <pic:blipFill>
                    <a:blip r:embed="rId9"/>
                    <a:stretch>
                      <a:fillRect/>
                    </a:stretch>
                  </pic:blipFill>
                  <pic:spPr>
                    <a:xfrm>
                      <a:off x="0" y="0"/>
                      <a:ext cx="5220000" cy="3076071"/>
                    </a:xfrm>
                    <a:prstGeom prst="rect"/>
                  </pic:spPr>
                </pic:pic>
              </a:graphicData>
            </a:graphic>
          </wp:inline>
        </w:drawing>
      </w:r>
    </w:p>
    <w:p>
      <w:pPr>
        <w:jc w:val="center"/>
      </w:pPr>
      <w:r>
        <w:rPr>
          <w:rFonts w:ascii="Times New Roman" w:hAnsi="Times New Roman" w:eastAsia="黑体"/>
          <w:b/>
          <w:sz w:val="21"/>
        </w:rPr>
        <w:t>图 1  本章纳入文献的主题分布（基于真实检索结果的统计）</w:t>
      </w:r>
    </w:p>
    <w:p>
      <w:pPr>
        <w:spacing w:after="160"/>
        <w:jc w:val="center"/>
      </w:pPr>
      <w:r>
        <w:rPr>
          <w:rFonts w:ascii="Times New Roman" w:hAnsi="Times New Roman" w:eastAsia="宋体"/>
          <w:b w:val="0"/>
          <w:color w:val="555555"/>
          <w:sz w:val="18"/>
        </w:rPr>
        <w:t>来源：作者根据本章参考文献[1]–[50]自行统计绘制（原创图）。</w:t>
      </w:r>
    </w:p>
    <w:p>
      <w:pPr>
        <w:pStyle w:val="Heading2"/>
        <w:spacing w:before="200" w:after="120"/>
        <w:jc w:val="left"/>
      </w:pPr>
      <w:r>
        <w:rPr>
          <w:rFonts w:ascii="Times New Roman" w:hAnsi="Times New Roman" w:eastAsia="黑体"/>
          <w:b/>
          <w:color w:val="000000"/>
          <w:sz w:val="28"/>
        </w:rPr>
        <w:t>2.2  SAPC 器件结构、工作原理与技术演进</w:t>
      </w:r>
    </w:p>
    <w:p>
      <w:pPr>
        <w:spacing w:lineRule="auto" w:line="360" w:after="120" w:before="0"/>
        <w:ind w:firstLine="480"/>
        <w:jc w:val="both"/>
      </w:pPr>
      <w:r>
        <w:rPr>
          <w:rFonts w:ascii="Times New Roman" w:hAnsi="Times New Roman" w:eastAsia="宋体"/>
          <w:b w:val="0"/>
          <w:sz w:val="24"/>
        </w:rPr>
        <w:t>SAPC 的基本单元由“高比表面积蚀刻铝阳极箔—阳极氧化形成的 Al₂O₃ 介质膜—导电聚合物阴极—石墨层—银浆引出层”构成；多片单元并联叠层并以环氧塑封封装，形成低矮、适于表面贴装的片式结构（图2）。蚀刻使阳极箔获得约两个数量级的有效面积增益，Al₂O₃ 介质膜由阳极氧化（formation）得到，导电聚合物则替代液态电解质作为“真正的阴极”，使器件兼具低 ESR、优良高频特性与温度稳定性[1]、[5]、[6]。</w:t>
      </w:r>
    </w:p>
    <w:p>
      <w:pPr>
        <w:jc w:val="center"/>
      </w:pPr>
      <w:r>
        <w:drawing>
          <wp:inline xmlns:a="http://schemas.openxmlformats.org/drawingml/2006/main" xmlns:pic="http://schemas.openxmlformats.org/drawingml/2006/picture">
            <wp:extent cx="5220000" cy="3342945"/>
            <wp:docPr id="2" name="Picture 2"/>
            <wp:cNvGraphicFramePr>
              <a:graphicFrameLocks noChangeAspect="1"/>
            </wp:cNvGraphicFramePr>
            <a:graphic>
              <a:graphicData uri="http://schemas.openxmlformats.org/drawingml/2006/picture">
                <pic:pic>
                  <pic:nvPicPr>
                    <pic:cNvPr id="0" name="fig_structure.png"/>
                    <pic:cNvPicPr/>
                  </pic:nvPicPr>
                  <pic:blipFill>
                    <a:blip r:embed="rId10"/>
                    <a:stretch>
                      <a:fillRect/>
                    </a:stretch>
                  </pic:blipFill>
                  <pic:spPr>
                    <a:xfrm>
                      <a:off x="0" y="0"/>
                      <a:ext cx="5220000" cy="3342945"/>
                    </a:xfrm>
                    <a:prstGeom prst="rect"/>
                  </pic:spPr>
                </pic:pic>
              </a:graphicData>
            </a:graphic>
          </wp:inline>
        </w:drawing>
      </w:r>
    </w:p>
    <w:p>
      <w:pPr>
        <w:jc w:val="center"/>
      </w:pPr>
      <w:r>
        <w:rPr>
          <w:rFonts w:ascii="Times New Roman" w:hAnsi="Times New Roman" w:eastAsia="黑体"/>
          <w:b/>
          <w:sz w:val="21"/>
        </w:rPr>
        <w:t>图 2  SAPC 单元结构与叠层封装示意（横截面）</w:t>
      </w:r>
    </w:p>
    <w:p>
      <w:pPr>
        <w:spacing w:after="160"/>
        <w:jc w:val="center"/>
      </w:pPr>
      <w:r>
        <w:rPr>
          <w:rFonts w:ascii="Times New Roman" w:hAnsi="Times New Roman" w:eastAsia="宋体"/>
          <w:b w:val="0"/>
          <w:color w:val="555555"/>
          <w:sz w:val="18"/>
        </w:rPr>
        <w:t>来源：作者基于公开器件原理自行绘制（原创图）；结构要素参见[4]–[7]、[13]。</w:t>
      </w:r>
    </w:p>
    <w:p>
      <w:pPr>
        <w:spacing w:lineRule="auto" w:line="360" w:after="120" w:before="0"/>
        <w:ind w:firstLine="480"/>
        <w:jc w:val="both"/>
      </w:pPr>
      <w:r>
        <w:rPr>
          <w:rFonts w:ascii="Times New Roman" w:hAnsi="Times New Roman" w:eastAsia="宋体"/>
          <w:b w:val="0"/>
          <w:sz w:val="24"/>
        </w:rPr>
        <w:t>从技术演进看，导电聚合物电解电容器自 20 世纪 90 年代起步[4]，历经聚吡咯、聚噻吩到 PEDOT:PSS 体系的迭代，近年来通过电极蚀刻形貌优化、分散液配方与去质子（中和酸性）等手段持续改善耐湿热性能与可靠性[6]–[8]。在封装上，叠层塑封结构相较卷绕结构更低矮、利于密封，但环氧封装并非绝对阻湿，水分会随时间扩散进入器件内部，成为湿热失效的前提[10]、[13]。面向高可靠应用，已出现专门的高可靠叠层固态铝电容制备工艺[50]。</w:t>
      </w:r>
    </w:p>
    <w:p>
      <w:pPr>
        <w:pStyle w:val="Heading2"/>
        <w:spacing w:before="200" w:after="120"/>
        <w:jc w:val="left"/>
      </w:pPr>
      <w:r>
        <w:rPr>
          <w:rFonts w:ascii="Times New Roman" w:hAnsi="Times New Roman" w:eastAsia="黑体"/>
          <w:b/>
          <w:color w:val="000000"/>
          <w:sz w:val="28"/>
        </w:rPr>
        <w:t>2.3  失效模式研究现状</w:t>
      </w:r>
    </w:p>
    <w:p>
      <w:pPr>
        <w:spacing w:lineRule="auto" w:line="360" w:after="120" w:before="0"/>
        <w:ind w:firstLine="480"/>
        <w:jc w:val="both"/>
      </w:pPr>
      <w:r>
        <w:rPr>
          <w:rFonts w:ascii="Times New Roman" w:hAnsi="Times New Roman" w:eastAsia="宋体"/>
          <w:b w:val="0"/>
          <w:sz w:val="24"/>
        </w:rPr>
        <w:t>与液态铝电解电容以电解液干涸、容量下降为主导的磨损失效不同，SAPC 的失效以 ESR 上升与漏电流（LC）增大为主，而电容量在多数试验中相对稳定[9]、[13]。按主导应力，可将其失效模式归为湿热、高温与热-电耦合三类（图3）；三类模式在参数退化上表现为图4所示的典型趋势：ESR 单调上升并在寿命末期加速、LC 在某些批次显著抬升、电容量缓变。</w:t>
      </w:r>
    </w:p>
    <w:p>
      <w:pPr>
        <w:jc w:val="center"/>
      </w:pPr>
      <w:r>
        <w:drawing>
          <wp:inline xmlns:a="http://schemas.openxmlformats.org/drawingml/2006/main" xmlns:pic="http://schemas.openxmlformats.org/drawingml/2006/picture">
            <wp:extent cx="5220000" cy="3303281"/>
            <wp:docPr id="3" name="Picture 3"/>
            <wp:cNvGraphicFramePr>
              <a:graphicFrameLocks noChangeAspect="1"/>
            </wp:cNvGraphicFramePr>
            <a:graphic>
              <a:graphicData uri="http://schemas.openxmlformats.org/drawingml/2006/picture">
                <pic:pic>
                  <pic:nvPicPr>
                    <pic:cNvPr id="0" name="fig_taxonomy.png"/>
                    <pic:cNvPicPr/>
                  </pic:nvPicPr>
                  <pic:blipFill>
                    <a:blip r:embed="rId11"/>
                    <a:stretch>
                      <a:fillRect/>
                    </a:stretch>
                  </pic:blipFill>
                  <pic:spPr>
                    <a:xfrm>
                      <a:off x="0" y="0"/>
                      <a:ext cx="5220000" cy="3303281"/>
                    </a:xfrm>
                    <a:prstGeom prst="rect"/>
                  </pic:spPr>
                </pic:pic>
              </a:graphicData>
            </a:graphic>
          </wp:inline>
        </w:drawing>
      </w:r>
    </w:p>
    <w:p>
      <w:pPr>
        <w:jc w:val="center"/>
      </w:pPr>
      <w:r>
        <w:rPr>
          <w:rFonts w:ascii="Times New Roman" w:hAnsi="Times New Roman" w:eastAsia="黑体"/>
          <w:b/>
          <w:sz w:val="21"/>
        </w:rPr>
        <w:t>图 3  SAPC 失效模式分类（按主导应力）</w:t>
      </w:r>
    </w:p>
    <w:p>
      <w:pPr>
        <w:spacing w:after="160"/>
        <w:jc w:val="center"/>
      </w:pPr>
      <w:r>
        <w:rPr>
          <w:rFonts w:ascii="Times New Roman" w:hAnsi="Times New Roman" w:eastAsia="宋体"/>
          <w:b w:val="0"/>
          <w:color w:val="555555"/>
          <w:sz w:val="18"/>
        </w:rPr>
        <w:t>来源：作者综合[9]–[16]归纳并自行绘制（原创图）。</w:t>
      </w:r>
    </w:p>
    <w:p>
      <w:pPr>
        <w:jc w:val="center"/>
      </w:pPr>
      <w:r>
        <w:drawing>
          <wp:inline xmlns:a="http://schemas.openxmlformats.org/drawingml/2006/main" xmlns:pic="http://schemas.openxmlformats.org/drawingml/2006/picture">
            <wp:extent cx="5220000" cy="3499416"/>
            <wp:docPr id="4" name="Picture 4"/>
            <wp:cNvGraphicFramePr>
              <a:graphicFrameLocks noChangeAspect="1"/>
            </wp:cNvGraphicFramePr>
            <a:graphic>
              <a:graphicData uri="http://schemas.openxmlformats.org/drawingml/2006/picture">
                <pic:pic>
                  <pic:nvPicPr>
                    <pic:cNvPr id="0" name="fig_param_trends.png"/>
                    <pic:cNvPicPr/>
                  </pic:nvPicPr>
                  <pic:blipFill>
                    <a:blip r:embed="rId12"/>
                    <a:stretch>
                      <a:fillRect/>
                    </a:stretch>
                  </pic:blipFill>
                  <pic:spPr>
                    <a:xfrm>
                      <a:off x="0" y="0"/>
                      <a:ext cx="5220000" cy="3499416"/>
                    </a:xfrm>
                    <a:prstGeom prst="rect"/>
                  </pic:spPr>
                </pic:pic>
              </a:graphicData>
            </a:graphic>
          </wp:inline>
        </w:drawing>
      </w:r>
    </w:p>
    <w:p>
      <w:pPr>
        <w:jc w:val="center"/>
      </w:pPr>
      <w:r>
        <w:rPr>
          <w:rFonts w:ascii="Times New Roman" w:hAnsi="Times New Roman" w:eastAsia="黑体"/>
          <w:b/>
          <w:sz w:val="21"/>
        </w:rPr>
        <w:t>图 4  SAPC 关键参数（ESR/C/LC）随应力时间的典型退化趋势（示意）</w:t>
      </w:r>
    </w:p>
    <w:p>
      <w:pPr>
        <w:spacing w:after="160"/>
        <w:jc w:val="center"/>
      </w:pPr>
      <w:r>
        <w:rPr>
          <w:rFonts w:ascii="Times New Roman" w:hAnsi="Times New Roman" w:eastAsia="宋体"/>
          <w:b w:val="0"/>
          <w:color w:val="555555"/>
          <w:sz w:val="18"/>
        </w:rPr>
        <w:t>来源：作者据[9]、[10]、[13]所述规律绘制的概念示意图（原创图，非实测数据）。</w:t>
      </w:r>
    </w:p>
    <w:p>
      <w:pPr>
        <w:pStyle w:val="Heading3"/>
        <w:spacing w:before="200" w:after="120"/>
        <w:jc w:val="left"/>
      </w:pPr>
      <w:r>
        <w:rPr>
          <w:rFonts w:ascii="Times New Roman" w:hAnsi="Times New Roman" w:eastAsia="黑体"/>
          <w:b/>
          <w:color w:val="000000"/>
          <w:sz w:val="26"/>
        </w:rPr>
        <w:t>2.3.1  湿热环境失效模式</w:t>
      </w:r>
    </w:p>
    <w:p>
      <w:pPr>
        <w:spacing w:lineRule="auto" w:line="360" w:after="120" w:before="0"/>
        <w:ind w:firstLine="480"/>
        <w:jc w:val="both"/>
      </w:pPr>
      <w:r>
        <w:rPr>
          <w:rFonts w:ascii="Times New Roman" w:hAnsi="Times New Roman" w:eastAsia="宋体"/>
          <w:b w:val="0"/>
          <w:sz w:val="24"/>
        </w:rPr>
        <w:t>湿热是 SAPC 研究最充分、也最受关注的应力。CALCE 在 85 °C/85%RH 等条件下对不同厂商 PEDOT 体系聚合物铝电容的研究表明，其主导失效为 ESR 上升与漏电流增大两类，且两类模式在不同厂商样品中占比不同，而电容量保持稳定[9]。针对叠层（多层）封装器件，文献[10]在 85 °C/85%RH 与 110 °C/85%RH（额定偏压）下记录失效时间并建立了温度相关寿命模型，指出水分透过塑封层向内扩散是湿热退化的前提。厂商资料亦印证：老化导致有效电极面积与层间接触面积下降，从而 C 下降、ESR 上升[13]。就其物理本质，湿热失效可分解为：①导电聚合物的吸湿—氧化与去掺杂导致电导下降（详见 2.4.1）；②聚合物/氧化膜界面在热-机械与电应力下的分层（详见 2.4.2）；③界面腐蚀与漏电流通道形成，个别批次还发现制造引入的金属颗粒导致高漏电这一“新机理”[9]、[12]。</w:t>
      </w:r>
    </w:p>
    <w:p>
      <w:pPr>
        <w:pStyle w:val="Heading3"/>
        <w:spacing w:before="200" w:after="120"/>
        <w:jc w:val="left"/>
      </w:pPr>
      <w:r>
        <w:rPr>
          <w:rFonts w:ascii="Times New Roman" w:hAnsi="Times New Roman" w:eastAsia="黑体"/>
          <w:b/>
          <w:color w:val="000000"/>
          <w:sz w:val="26"/>
        </w:rPr>
        <w:t>2.3.2  高温环境失效模式</w:t>
      </w:r>
    </w:p>
    <w:p>
      <w:pPr>
        <w:spacing w:lineRule="auto" w:line="360" w:after="120" w:before="0"/>
        <w:ind w:firstLine="480"/>
        <w:jc w:val="both"/>
      </w:pPr>
      <w:r>
        <w:rPr>
          <w:rFonts w:ascii="Times New Roman" w:hAnsi="Times New Roman" w:eastAsia="宋体"/>
          <w:b w:val="0"/>
          <w:sz w:val="24"/>
        </w:rPr>
        <w:t>在高温（≥125 °C）或高温存储条件下，SAPC 的退化以导电聚合物的热老化为核心。PEDOT 体系在热与氧的作用下电导随时间下降，宏观表现为 ESR 上升[17]、[20]。聚合物钽电容的高温存储研究[42]、[43]显示了相似的 ESR 退化规律，可为铝固态体系提供机理类比。此外，高温会加剧封装与界面的热-机械应力、并可能影响 Al₂O₃ 介质膜的稳定性，进而影响漏电流水平[14]、[28]。需要强调的是，相比湿热，针对 SAPC 在纯高温/高温存储下的系统寿命数据仍然较少，NASA NEPP 明确指出该类器件可靠性数据稀缺、且已有文献多集中于湿度影响[15]、[16]。</w:t>
      </w:r>
    </w:p>
    <w:p>
      <w:pPr>
        <w:pStyle w:val="Heading3"/>
        <w:spacing w:before="200" w:after="120"/>
        <w:jc w:val="left"/>
      </w:pPr>
      <w:r>
        <w:rPr>
          <w:rFonts w:ascii="Times New Roman" w:hAnsi="Times New Roman" w:eastAsia="黑体"/>
          <w:b/>
          <w:color w:val="000000"/>
          <w:sz w:val="26"/>
        </w:rPr>
        <w:t>2.3.3  热-电耦合失效模式</w:t>
      </w:r>
    </w:p>
    <w:p>
      <w:pPr>
        <w:spacing w:lineRule="auto" w:line="360" w:after="120" w:before="0"/>
        <w:ind w:firstLine="480"/>
        <w:jc w:val="both"/>
      </w:pPr>
      <w:r>
        <w:rPr>
          <w:rFonts w:ascii="Times New Roman" w:hAnsi="Times New Roman" w:eastAsia="宋体"/>
          <w:b w:val="0"/>
          <w:sz w:val="24"/>
        </w:rPr>
        <w:t>在实际工况中，纹波电流自发热与外加偏压共同作用，形成热-电耦合失效。一方面，ESR 上升导致焦耳热增加，局部温升又进一步加速聚合物退化，形成正反馈；另一方面，直流偏置电压对退化速率有显著影响[28]。在介质层面，铝氧化膜在电场下存在击穿—自愈行为：文献[25]在铝氧化膜-聚合物体系中观测到“可逆的击穿后导通”，并将自愈与界面缺陷的阻变机制相联系；这与聚合物阴极相较 MnO₂ 阴极“失效更为良性、不易燃爆”的工程经验一致[14]、[26]、[27]。热-电-机械多场耦合下的界面分层与漏电演化，是当前定量描述最为薄弱、却对寿命预测最为关键的环节。</w:t>
      </w:r>
    </w:p>
    <w:p>
      <w:pPr>
        <w:pStyle w:val="Heading2"/>
        <w:spacing w:before="200" w:after="120"/>
        <w:jc w:val="left"/>
      </w:pPr>
      <w:r>
        <w:rPr>
          <w:rFonts w:ascii="Times New Roman" w:hAnsi="Times New Roman" w:eastAsia="黑体"/>
          <w:b/>
          <w:color w:val="000000"/>
          <w:sz w:val="28"/>
        </w:rPr>
        <w:t>2.4  失效机理研究现状</w:t>
      </w:r>
    </w:p>
    <w:p>
      <w:pPr>
        <w:spacing w:lineRule="auto" w:line="360" w:after="120" w:before="0"/>
        <w:ind w:firstLine="480"/>
        <w:jc w:val="both"/>
      </w:pPr>
      <w:r>
        <w:rPr>
          <w:rFonts w:ascii="Times New Roman" w:hAnsi="Times New Roman" w:eastAsia="宋体"/>
          <w:b w:val="0"/>
          <w:sz w:val="24"/>
        </w:rPr>
        <w:t>SAPC 的失效机理可归纳为三条相互交织的链条：导电聚合物本征退化、界面退化与分层、介质氧化膜损伤与自愈。三者共同决定 ESR 与 LC 的演化。</w:t>
      </w:r>
    </w:p>
    <w:p>
      <w:pPr>
        <w:pStyle w:val="Heading3"/>
        <w:spacing w:before="200" w:after="120"/>
        <w:jc w:val="left"/>
      </w:pPr>
      <w:r>
        <w:rPr>
          <w:rFonts w:ascii="Times New Roman" w:hAnsi="Times New Roman" w:eastAsia="黑体"/>
          <w:b/>
          <w:color w:val="000000"/>
          <w:sz w:val="26"/>
        </w:rPr>
        <w:t>2.4.1  导电聚合物（PEDOT）本征退化</w:t>
      </w:r>
    </w:p>
    <w:p>
      <w:pPr>
        <w:spacing w:lineRule="auto" w:line="360" w:after="120" w:before="0"/>
        <w:ind w:firstLine="480"/>
        <w:jc w:val="both"/>
      </w:pPr>
      <w:r>
        <w:rPr>
          <w:rFonts w:ascii="Times New Roman" w:hAnsi="Times New Roman" w:eastAsia="宋体"/>
          <w:b w:val="0"/>
          <w:sz w:val="24"/>
        </w:rPr>
        <w:t>Vitoratos 等的经典工作[17]用“颗粒金属（granular metal）”模型解释 PEDOT:PSS 的电导：导电 PEDOT 富集相形成晶粒，载流子以跳跃（hopping）方式在晶粒间输运；老化过程中导电晶粒收缩、晶界（势垒）变宽，宏观电导随时间下降，这正是 ESR 上升的微观根源（图5）。气氛对比研究[18]进一步表明，空气（氧）气氛显著加速老化，提示氧化是主导退化途径之一。PEDOT:PSS 中 PSS 的酸性会损害器件并限制稳定性[22]，吸湿与氧化、去质子/去掺杂会改变掺杂水平与微结构[8]、[21]，而 ATR-FTIR/DFT 等表征手段被用于揭示其热力学与动力学过程[23]。长期老化还伴随界面重组等不可逆变化[48]、[49]。</w:t>
      </w:r>
    </w:p>
    <w:p>
      <w:pPr>
        <w:jc w:val="center"/>
      </w:pPr>
      <w:r>
        <w:drawing>
          <wp:inline xmlns:a="http://schemas.openxmlformats.org/drawingml/2006/main" xmlns:pic="http://schemas.openxmlformats.org/drawingml/2006/picture">
            <wp:extent cx="5220000" cy="2981578"/>
            <wp:docPr id="5" name="Picture 5"/>
            <wp:cNvGraphicFramePr>
              <a:graphicFrameLocks noChangeAspect="1"/>
            </wp:cNvGraphicFramePr>
            <a:graphic>
              <a:graphicData uri="http://schemas.openxmlformats.org/drawingml/2006/picture">
                <pic:pic>
                  <pic:nvPicPr>
                    <pic:cNvPr id="0" name="fig_pedot_grain.png"/>
                    <pic:cNvPicPr/>
                  </pic:nvPicPr>
                  <pic:blipFill>
                    <a:blip r:embed="rId13"/>
                    <a:stretch>
                      <a:fillRect/>
                    </a:stretch>
                  </pic:blipFill>
                  <pic:spPr>
                    <a:xfrm>
                      <a:off x="0" y="0"/>
                      <a:ext cx="5220000" cy="2981578"/>
                    </a:xfrm>
                    <a:prstGeom prst="rect"/>
                  </pic:spPr>
                </pic:pic>
              </a:graphicData>
            </a:graphic>
          </wp:inline>
        </w:drawing>
      </w:r>
    </w:p>
    <w:p>
      <w:pPr>
        <w:jc w:val="center"/>
      </w:pPr>
      <w:r>
        <w:rPr>
          <w:rFonts w:ascii="Times New Roman" w:hAnsi="Times New Roman" w:eastAsia="黑体"/>
          <w:b/>
          <w:sz w:val="21"/>
        </w:rPr>
        <w:t>图 5  PEDOT 颗粒金属导电模型：晶粒收缩使跳跃势垒变宽，导致 ESR 上升（示意）</w:t>
      </w:r>
    </w:p>
    <w:p>
      <w:pPr>
        <w:spacing w:after="160"/>
        <w:jc w:val="center"/>
      </w:pPr>
      <w:r>
        <w:rPr>
          <w:rFonts w:ascii="Times New Roman" w:hAnsi="Times New Roman" w:eastAsia="宋体"/>
          <w:b w:val="0"/>
          <w:color w:val="555555"/>
          <w:sz w:val="18"/>
        </w:rPr>
        <w:t>来源：作者据颗粒金属模型[17]、[18]绘制的机理示意图（原创图）。</w:t>
      </w:r>
    </w:p>
    <w:p>
      <w:pPr>
        <w:pStyle w:val="Heading3"/>
        <w:spacing w:before="200" w:after="120"/>
        <w:jc w:val="left"/>
      </w:pPr>
      <w:r>
        <w:rPr>
          <w:rFonts w:ascii="Times New Roman" w:hAnsi="Times New Roman" w:eastAsia="黑体"/>
          <w:b/>
          <w:color w:val="000000"/>
          <w:sz w:val="26"/>
        </w:rPr>
        <w:t>2.4.2  界面退化与分层</w:t>
      </w:r>
    </w:p>
    <w:p>
      <w:pPr>
        <w:spacing w:lineRule="auto" w:line="360" w:after="120" w:before="0"/>
        <w:ind w:firstLine="480"/>
        <w:jc w:val="both"/>
      </w:pPr>
      <w:r>
        <w:rPr>
          <w:rFonts w:ascii="Times New Roman" w:hAnsi="Times New Roman" w:eastAsia="宋体"/>
          <w:b w:val="0"/>
          <w:sz w:val="24"/>
        </w:rPr>
        <w:t>在叠层塑封器件中，水分透过封装向内扩散，到达聚合物/氧化膜界面后引发氧化与界面黏附退化；在热-机械与电应力作用下，界面发生分层（delamination），使层间接触电阻增大、有效阴极面积减小，宏观表现为 ESR 上升乃至漏电通道形成（图6）。KEMET 的研究将分层视为高湿环境下电导退化的主要原因之一[12]；PEDOT:PSS 薄膜的湿致降解与分层在材料层面亦被广泛报道[24]；封装几何对水分驱动退化的影响则在器件层面被专门研究[10]。这一机理链条把“封装阻湿能力—界面黏附—接触电阻—ESR/LC”串联起来，是湿热与热-电耦合失效的共同枢纽。</w:t>
      </w:r>
    </w:p>
    <w:p>
      <w:pPr>
        <w:jc w:val="center"/>
      </w:pPr>
      <w:r>
        <w:drawing>
          <wp:inline xmlns:a="http://schemas.openxmlformats.org/drawingml/2006/main" xmlns:pic="http://schemas.openxmlformats.org/drawingml/2006/picture">
            <wp:extent cx="5220000" cy="3139269"/>
            <wp:docPr id="6" name="Picture 6"/>
            <wp:cNvGraphicFramePr>
              <a:graphicFrameLocks noChangeAspect="1"/>
            </wp:cNvGraphicFramePr>
            <a:graphic>
              <a:graphicData uri="http://schemas.openxmlformats.org/drawingml/2006/picture">
                <pic:pic>
                  <pic:nvPicPr>
                    <pic:cNvPr id="0" name="fig_moisture.png"/>
                    <pic:cNvPicPr/>
                  </pic:nvPicPr>
                  <pic:blipFill>
                    <a:blip r:embed="rId14"/>
                    <a:stretch>
                      <a:fillRect/>
                    </a:stretch>
                  </pic:blipFill>
                  <pic:spPr>
                    <a:xfrm>
                      <a:off x="0" y="0"/>
                      <a:ext cx="5220000" cy="3139269"/>
                    </a:xfrm>
                    <a:prstGeom prst="rect"/>
                  </pic:spPr>
                </pic:pic>
              </a:graphicData>
            </a:graphic>
          </wp:inline>
        </w:drawing>
      </w:r>
    </w:p>
    <w:p>
      <w:pPr>
        <w:jc w:val="center"/>
      </w:pPr>
      <w:r>
        <w:rPr>
          <w:rFonts w:ascii="Times New Roman" w:hAnsi="Times New Roman" w:eastAsia="黑体"/>
          <w:b/>
          <w:sz w:val="21"/>
        </w:rPr>
        <w:t>图 6  水分侵入与聚合物/氧化膜界面分层机理（示意）</w:t>
      </w:r>
    </w:p>
    <w:p>
      <w:pPr>
        <w:spacing w:after="160"/>
        <w:jc w:val="center"/>
      </w:pPr>
      <w:r>
        <w:rPr>
          <w:rFonts w:ascii="Times New Roman" w:hAnsi="Times New Roman" w:eastAsia="宋体"/>
          <w:b w:val="0"/>
          <w:color w:val="555555"/>
          <w:sz w:val="18"/>
        </w:rPr>
        <w:t>来源：作者据[10]、[12]、[24]所述机理绘制（原创图）。</w:t>
      </w:r>
    </w:p>
    <w:p>
      <w:pPr>
        <w:pStyle w:val="Heading3"/>
        <w:spacing w:before="200" w:after="120"/>
        <w:jc w:val="left"/>
      </w:pPr>
      <w:r>
        <w:rPr>
          <w:rFonts w:ascii="Times New Roman" w:hAnsi="Times New Roman" w:eastAsia="黑体"/>
          <w:b/>
          <w:color w:val="000000"/>
          <w:sz w:val="26"/>
        </w:rPr>
        <w:t>2.4.3  介质氧化膜与自愈</w:t>
      </w:r>
    </w:p>
    <w:p>
      <w:pPr>
        <w:spacing w:lineRule="auto" w:line="360" w:after="120" w:before="0"/>
        <w:ind w:firstLine="480"/>
        <w:jc w:val="both"/>
      </w:pPr>
      <w:r>
        <w:rPr>
          <w:rFonts w:ascii="Times New Roman" w:hAnsi="Times New Roman" w:eastAsia="宋体"/>
          <w:b w:val="0"/>
          <w:sz w:val="24"/>
        </w:rPr>
        <w:t>Al₂O₃ 介质膜的完整性决定漏电流水平。局部缺陷或场致结晶可形成漏电通道；而导电聚合物阴极在缺陷处的高阻化可“隔离”击穿点，实现自愈，从而抑制漏电并避免热失控，这也是聚合物器件失效“更良性”的原因[25]、[26]、[27]。然而自愈能力有限，当缺陷密度过高或界面已分层时，漏电会持续增大。值得注意的是，文献[9]还在个别批次中发现源自制造过程的金属（铁）颗粒嵌入介质层、形成高漏电的“新失效机理”，提示工艺洁净度对 LC 失效的重要影响。针对国内研究，阳极铝箔氧化膜与烧结铝箔的微结构演变被持续关注[45]、[46]，为从材料源头改善介质质量提供了依据。</w:t>
      </w:r>
    </w:p>
    <w:p>
      <w:pPr>
        <w:pStyle w:val="Heading2"/>
        <w:spacing w:before="200" w:after="120"/>
        <w:jc w:val="left"/>
      </w:pPr>
      <w:r>
        <w:rPr>
          <w:rFonts w:ascii="Times New Roman" w:hAnsi="Times New Roman" w:eastAsia="黑体"/>
          <w:b/>
          <w:color w:val="000000"/>
          <w:sz w:val="28"/>
        </w:rPr>
        <w:t>2.5  可靠性评估与建模方法研究现状</w:t>
      </w:r>
    </w:p>
    <w:p>
      <w:pPr>
        <w:spacing w:lineRule="auto" w:line="360" w:after="120" w:before="0"/>
        <w:ind w:firstLine="480"/>
        <w:jc w:val="both"/>
      </w:pPr>
      <w:r>
        <w:rPr>
          <w:rFonts w:ascii="Times New Roman" w:hAnsi="Times New Roman" w:eastAsia="宋体"/>
          <w:b w:val="0"/>
          <w:sz w:val="24"/>
        </w:rPr>
        <w:t>围绕 SAPC/铝电解电容的可靠性评估，研究方法可分为统计/经验、失效物理（PoF）与数据驱动三类（图7），三者并非互斥，近年来呈融合趋势。</w:t>
      </w:r>
    </w:p>
    <w:p>
      <w:pPr>
        <w:jc w:val="center"/>
      </w:pPr>
      <w:r>
        <w:drawing>
          <wp:inline xmlns:a="http://schemas.openxmlformats.org/drawingml/2006/main" xmlns:pic="http://schemas.openxmlformats.org/drawingml/2006/picture">
            <wp:extent cx="5220000" cy="3050438"/>
            <wp:docPr id="7" name="Picture 7"/>
            <wp:cNvGraphicFramePr>
              <a:graphicFrameLocks noChangeAspect="1"/>
            </wp:cNvGraphicFramePr>
            <a:graphic>
              <a:graphicData uri="http://schemas.openxmlformats.org/drawingml/2006/picture">
                <pic:pic>
                  <pic:nvPicPr>
                    <pic:cNvPr id="0" name="fig_model_map.png"/>
                    <pic:cNvPicPr/>
                  </pic:nvPicPr>
                  <pic:blipFill>
                    <a:blip r:embed="rId15"/>
                    <a:stretch>
                      <a:fillRect/>
                    </a:stretch>
                  </pic:blipFill>
                  <pic:spPr>
                    <a:xfrm>
                      <a:off x="0" y="0"/>
                      <a:ext cx="5220000" cy="3050438"/>
                    </a:xfrm>
                    <a:prstGeom prst="rect"/>
                  </pic:spPr>
                </pic:pic>
              </a:graphicData>
            </a:graphic>
          </wp:inline>
        </w:drawing>
      </w:r>
    </w:p>
    <w:p>
      <w:pPr>
        <w:jc w:val="center"/>
      </w:pPr>
      <w:r>
        <w:rPr>
          <w:rFonts w:ascii="Times New Roman" w:hAnsi="Times New Roman" w:eastAsia="黑体"/>
          <w:b/>
          <w:sz w:val="21"/>
        </w:rPr>
        <w:t>图 7  可靠性建模方法图谱：统计/经验、失效物理(PoF)与数据驱动</w:t>
      </w:r>
    </w:p>
    <w:p>
      <w:pPr>
        <w:spacing w:after="160"/>
        <w:jc w:val="center"/>
      </w:pPr>
      <w:r>
        <w:rPr>
          <w:rFonts w:ascii="Times New Roman" w:hAnsi="Times New Roman" w:eastAsia="宋体"/>
          <w:b w:val="0"/>
          <w:color w:val="555555"/>
          <w:sz w:val="18"/>
        </w:rPr>
        <w:t>来源：作者综合[1]、[29]–[39]绘制（原创图）。</w:t>
      </w:r>
    </w:p>
    <w:p>
      <w:pPr>
        <w:pStyle w:val="Heading3"/>
        <w:spacing w:before="200" w:after="120"/>
        <w:jc w:val="left"/>
      </w:pPr>
      <w:r>
        <w:rPr>
          <w:rFonts w:ascii="Times New Roman" w:hAnsi="Times New Roman" w:eastAsia="黑体"/>
          <w:b/>
          <w:color w:val="000000"/>
          <w:sz w:val="26"/>
        </w:rPr>
        <w:t>2.5.1  加速寿命试验与相关标准</w:t>
      </w:r>
    </w:p>
    <w:p>
      <w:pPr>
        <w:spacing w:lineRule="auto" w:line="360" w:after="120" w:before="0"/>
        <w:ind w:firstLine="480"/>
        <w:jc w:val="both"/>
      </w:pPr>
      <w:r>
        <w:rPr>
          <w:rFonts w:ascii="Times New Roman" w:hAnsi="Times New Roman" w:eastAsia="宋体"/>
          <w:b w:val="0"/>
          <w:sz w:val="24"/>
        </w:rPr>
        <w:t>加速寿命试验（ALT）是获取寿命数据的基础。对湿热敏感的 SAPC，温-湿-偏（THB，典型 85 °C/85%RH）与高加速温湿（HAST）是常用方案，相应标准包括 JESD22-A101、JESD22-A110 与器件通用规范 IEC 60384-1、车规 AEC-Q200 等[31]–[34]。Peck 模型[29]给出了湿度-温度加速因子的经典形式，THB 试验的加速因子与高压加速效应在功率器件中得到验证[30]。CALCE 对聚合物铝电容正是采用 85 °C/85%RH 与 110 °C/85%RH 双条件以分离温度效应并建立寿命模型[9]、[10]。图8、图9分别给出 Arrhenius–Peck 寿命模型与 Weibull 概率作图的概念示意。</w:t>
      </w:r>
    </w:p>
    <w:p>
      <w:pPr>
        <w:jc w:val="center"/>
      </w:pPr>
      <w:r>
        <w:drawing>
          <wp:inline xmlns:a="http://schemas.openxmlformats.org/drawingml/2006/main" xmlns:pic="http://schemas.openxmlformats.org/drawingml/2006/picture">
            <wp:extent cx="5220000" cy="3581270"/>
            <wp:docPr id="8" name="Picture 8"/>
            <wp:cNvGraphicFramePr>
              <a:graphicFrameLocks noChangeAspect="1"/>
            </wp:cNvGraphicFramePr>
            <a:graphic>
              <a:graphicData uri="http://schemas.openxmlformats.org/drawingml/2006/picture">
                <pic:pic>
                  <pic:nvPicPr>
                    <pic:cNvPr id="0" name="fig_arrhenius_peck.png"/>
                    <pic:cNvPicPr/>
                  </pic:nvPicPr>
                  <pic:blipFill>
                    <a:blip r:embed="rId16"/>
                    <a:stretch>
                      <a:fillRect/>
                    </a:stretch>
                  </pic:blipFill>
                  <pic:spPr>
                    <a:xfrm>
                      <a:off x="0" y="0"/>
                      <a:ext cx="5220000" cy="3581270"/>
                    </a:xfrm>
                    <a:prstGeom prst="rect"/>
                  </pic:spPr>
                </pic:pic>
              </a:graphicData>
            </a:graphic>
          </wp:inline>
        </w:drawing>
      </w:r>
    </w:p>
    <w:p>
      <w:pPr>
        <w:jc w:val="center"/>
      </w:pPr>
      <w:r>
        <w:rPr>
          <w:rFonts w:ascii="Times New Roman" w:hAnsi="Times New Roman" w:eastAsia="黑体"/>
          <w:b/>
          <w:sz w:val="21"/>
        </w:rPr>
        <w:t>图 8  Arrhenius–Peck 寿命模型：等温度线随湿度平移（示意）</w:t>
      </w:r>
    </w:p>
    <w:p>
      <w:pPr>
        <w:spacing w:after="160"/>
        <w:jc w:val="center"/>
      </w:pPr>
      <w:r>
        <w:rPr>
          <w:rFonts w:ascii="Times New Roman" w:hAnsi="Times New Roman" w:eastAsia="宋体"/>
          <w:b w:val="0"/>
          <w:color w:val="555555"/>
          <w:sz w:val="18"/>
        </w:rPr>
        <w:t>来源：作者据 Peck/THB 模型[29]、[30]绘制的概念图（原创图，非实测数据）。</w:t>
      </w:r>
    </w:p>
    <w:p>
      <w:pPr>
        <w:jc w:val="center"/>
      </w:pPr>
      <w:r>
        <w:drawing>
          <wp:inline xmlns:a="http://schemas.openxmlformats.org/drawingml/2006/main" xmlns:pic="http://schemas.openxmlformats.org/drawingml/2006/picture">
            <wp:extent cx="5220000" cy="3813676"/>
            <wp:docPr id="9" name="Picture 9"/>
            <wp:cNvGraphicFramePr>
              <a:graphicFrameLocks noChangeAspect="1"/>
            </wp:cNvGraphicFramePr>
            <a:graphic>
              <a:graphicData uri="http://schemas.openxmlformats.org/drawingml/2006/picture">
                <pic:pic>
                  <pic:nvPicPr>
                    <pic:cNvPr id="0" name="fig_weibull.png"/>
                    <pic:cNvPicPr/>
                  </pic:nvPicPr>
                  <pic:blipFill>
                    <a:blip r:embed="rId17"/>
                    <a:stretch>
                      <a:fillRect/>
                    </a:stretch>
                  </pic:blipFill>
                  <pic:spPr>
                    <a:xfrm>
                      <a:off x="0" y="0"/>
                      <a:ext cx="5220000" cy="3813676"/>
                    </a:xfrm>
                    <a:prstGeom prst="rect"/>
                  </pic:spPr>
                </pic:pic>
              </a:graphicData>
            </a:graphic>
          </wp:inline>
        </w:drawing>
      </w:r>
    </w:p>
    <w:p>
      <w:pPr>
        <w:jc w:val="center"/>
      </w:pPr>
      <w:r>
        <w:rPr>
          <w:rFonts w:ascii="Times New Roman" w:hAnsi="Times New Roman" w:eastAsia="黑体"/>
          <w:b/>
          <w:sz w:val="21"/>
        </w:rPr>
        <w:t>图 9  Weibull 概率作图（不同形状参数 β）示意</w:t>
      </w:r>
    </w:p>
    <w:p>
      <w:pPr>
        <w:spacing w:after="160"/>
        <w:jc w:val="center"/>
      </w:pPr>
      <w:r>
        <w:rPr>
          <w:rFonts w:ascii="Times New Roman" w:hAnsi="Times New Roman" w:eastAsia="宋体"/>
          <w:b w:val="0"/>
          <w:color w:val="555555"/>
          <w:sz w:val="18"/>
        </w:rPr>
        <w:t>来源：作者绘制的方法示意图（原创图）。</w:t>
      </w:r>
    </w:p>
    <w:p>
      <w:pPr>
        <w:pStyle w:val="Heading3"/>
        <w:spacing w:before="200" w:after="120"/>
        <w:jc w:val="left"/>
      </w:pPr>
      <w:r>
        <w:rPr>
          <w:rFonts w:ascii="Times New Roman" w:hAnsi="Times New Roman" w:eastAsia="黑体"/>
          <w:b/>
          <w:color w:val="000000"/>
          <w:sz w:val="26"/>
        </w:rPr>
        <w:t>2.5.2  失效物理（PoF）寿命模型</w:t>
      </w:r>
    </w:p>
    <w:p>
      <w:pPr>
        <w:spacing w:lineRule="auto" w:line="360" w:after="120" w:before="0"/>
        <w:ind w:firstLine="480"/>
        <w:jc w:val="both"/>
      </w:pPr>
      <w:r>
        <w:rPr>
          <w:rFonts w:ascii="Times New Roman" w:hAnsi="Times New Roman" w:eastAsia="宋体"/>
          <w:b w:val="0"/>
          <w:sz w:val="24"/>
        </w:rPr>
        <w:t>PoF 方法从退化机理出发建立寿命模型。对 SAPC，关键在于把“PEDOT 去掺杂/氧化动力学—水分扩散（Fick 定律）—界面断裂力学—氧化膜场致退化”等过程与器件级 ESR/LC 演化相联系[1]、[10]、[17]。文献[10]建立了温度相关的失效时间模型，文献[35]在任务剖面与热点温度计算基础上进行寿命预测。整体上，面向 SAPC 的、能够刻画多机理竞争失效的 PoF 模型仍不成熟，这正是后续工作的重点之一。</w:t>
      </w:r>
    </w:p>
    <w:p>
      <w:pPr>
        <w:pStyle w:val="Heading3"/>
        <w:spacing w:before="200" w:after="120"/>
        <w:jc w:val="left"/>
      </w:pPr>
      <w:r>
        <w:rPr>
          <w:rFonts w:ascii="Times New Roman" w:hAnsi="Times New Roman" w:eastAsia="黑体"/>
          <w:b/>
          <w:color w:val="000000"/>
          <w:sz w:val="26"/>
        </w:rPr>
        <w:t>2.5.3  统计可靠性与数据驱动方法</w:t>
      </w:r>
    </w:p>
    <w:p>
      <w:pPr>
        <w:spacing w:lineRule="auto" w:line="360" w:after="120" w:before="0"/>
        <w:ind w:firstLine="480"/>
        <w:jc w:val="both"/>
      </w:pPr>
      <w:r>
        <w:rPr>
          <w:rFonts w:ascii="Times New Roman" w:hAnsi="Times New Roman" w:eastAsia="宋体"/>
          <w:b w:val="0"/>
          <w:sz w:val="24"/>
        </w:rPr>
        <w:t>统计方法以 Weibull/对数正态分布拟合失效时间、以 Arrhenius/Peck/Eyring 引入应力变量；其优点是工程通用，但难以刻画多机理耦合，且依赖较充分的失效样本[37]。数据驱动方法近年快速发展：基于 LSTM 的剩余寿命（RUL）预测在动态工况电解电容上取得较好效果[36]；面向小样本，集成学习（如 bagging 决策树）与合成数据被用于温度-电压复合应力下的 RUL 预测[38]；电解电容的预测性维护（粒子滤波等）亦有较早探索[39]。其共性局限在于：物理可解释性不足、对训练数据分布敏感，在叠层封装 SAPC 的小样本场景下泛化能力仍待验证。由此，物理-数据融合（physics-informed）成为趋势。</w:t>
      </w:r>
    </w:p>
    <w:p>
      <w:pPr>
        <w:pStyle w:val="Heading2"/>
        <w:spacing w:before="200" w:after="120"/>
        <w:jc w:val="left"/>
      </w:pPr>
      <w:r>
        <w:rPr>
          <w:rFonts w:ascii="Times New Roman" w:hAnsi="Times New Roman" w:eastAsia="黑体"/>
          <w:b/>
          <w:color w:val="000000"/>
          <w:sz w:val="28"/>
        </w:rPr>
        <w:t>2.6  状态监测与寿命预测</w:t>
      </w:r>
    </w:p>
    <w:p>
      <w:pPr>
        <w:spacing w:lineRule="auto" w:line="360" w:after="120" w:before="0"/>
        <w:ind w:firstLine="480"/>
        <w:jc w:val="both"/>
      </w:pPr>
      <w:r>
        <w:rPr>
          <w:rFonts w:ascii="Times New Roman" w:hAnsi="Times New Roman" w:eastAsia="宋体"/>
          <w:b w:val="0"/>
          <w:sz w:val="24"/>
        </w:rPr>
        <w:t>在线状态监测以 ESR/电容量为主要健康指标[2]。文献[2]系统综述了功率电子用电容器的状态监测方法，包括基于纹波电流/电压、阻抗估计与模型辨识的多种途径；结合数据驱动模型可实现 RUL 估计[36]、[39]。对 SAPC 而言，由于其以 ESR 上升为主导退化，ESR 在线辨识对状态评估尤为关键，但叠层封装、低 ESR 量级与测量噪声给高精度在线监测带来挑战。</w:t>
      </w:r>
    </w:p>
    <w:p>
      <w:pPr>
        <w:pStyle w:val="Heading2"/>
        <w:spacing w:before="200" w:after="120"/>
        <w:jc w:val="left"/>
      </w:pPr>
      <w:r>
        <w:rPr>
          <w:rFonts w:ascii="Times New Roman" w:hAnsi="Times New Roman" w:eastAsia="黑体"/>
          <w:b/>
          <w:color w:val="000000"/>
          <w:sz w:val="28"/>
        </w:rPr>
        <w:t>2.7  国内外研究对比</w:t>
      </w:r>
    </w:p>
    <w:p>
      <w:pPr>
        <w:spacing w:lineRule="auto" w:line="360" w:after="120" w:before="0"/>
        <w:ind w:firstLine="480"/>
        <w:jc w:val="both"/>
      </w:pPr>
      <w:r>
        <w:rPr>
          <w:rFonts w:ascii="Times New Roman" w:hAnsi="Times New Roman" w:eastAsia="宋体"/>
          <w:b w:val="0"/>
          <w:sz w:val="24"/>
        </w:rPr>
        <w:t>总体而言，国外（尤以美国 CALCE、NASA NEPP 及日、欧厂商）在 SAPC 器件级失效模式与机理的实证研究上起步早、证据链完整，形成了以湿热失效为核心的认识[9]–[16]；在材料层面，欧洲、东亚团队对 PEDOT:PSS 体系的降解机理与改性贡献突出[6]–[8]、[17]–[24]。国内研究近年增长迅速，既有面向材料源头的阳极/烧结铝箔氧化膜微结构研究[45]、[46]，也在数据驱动寿命预测与状态监测方向持续推进，并在专利层面提出高可靠叠层固态铝电容制备工艺[50]。差距主要体现在：面向 SAPC 的多应力耦合、长周期系统试验数据与公开数据集仍较缺乏，机理到器件级寿命模型的定量贯通不足。</w:t>
      </w:r>
    </w:p>
    <w:p>
      <w:pPr>
        <w:pStyle w:val="Heading2"/>
        <w:spacing w:before="200" w:after="120"/>
        <w:jc w:val="left"/>
      </w:pPr>
      <w:r>
        <w:rPr>
          <w:rFonts w:ascii="Times New Roman" w:hAnsi="Times New Roman" w:eastAsia="黑体"/>
          <w:b/>
          <w:color w:val="000000"/>
          <w:sz w:val="28"/>
        </w:rPr>
        <w:t>2.8  现有研究的不足与本文切入点</w:t>
      </w:r>
    </w:p>
    <w:p>
      <w:pPr>
        <w:spacing w:lineRule="auto" w:line="360" w:after="120" w:before="0"/>
        <w:ind w:firstLine="480"/>
        <w:jc w:val="both"/>
      </w:pPr>
      <w:r>
        <w:rPr>
          <w:rFonts w:ascii="Times New Roman" w:hAnsi="Times New Roman" w:eastAsia="宋体"/>
          <w:b w:val="0"/>
          <w:sz w:val="24"/>
        </w:rPr>
        <w:t>综合上述评述，现有研究存在四点主要不足，并与本文拟开展的工作一一对应（图10）：</w:t>
      </w:r>
    </w:p>
    <w:p>
      <w:pPr>
        <w:spacing w:lineRule="auto" w:line="360" w:after="120" w:before="0"/>
        <w:ind w:firstLine="480"/>
        <w:jc w:val="both"/>
      </w:pPr>
      <w:r>
        <w:rPr>
          <w:rFonts w:ascii="Times New Roman" w:hAnsi="Times New Roman" w:eastAsia="宋体"/>
          <w:b w:val="0"/>
          <w:sz w:val="24"/>
        </w:rPr>
        <w:t>（1）失效模式分类多为定性描述，缺乏统一、可量化的多参数判定框架——本文拟建立面向 SAPC 的量化失效模式表征体系；</w:t>
      </w:r>
    </w:p>
    <w:p>
      <w:pPr>
        <w:spacing w:lineRule="auto" w:line="360" w:after="120" w:before="0"/>
        <w:ind w:firstLine="480"/>
        <w:jc w:val="both"/>
      </w:pPr>
      <w:r>
        <w:rPr>
          <w:rFonts w:ascii="Times New Roman" w:hAnsi="Times New Roman" w:eastAsia="宋体"/>
          <w:b w:val="0"/>
          <w:sz w:val="24"/>
        </w:rPr>
        <w:t>（2）寿命模型多针对单一应力，对“湿热—高温—热电耦合”下多机理竞争失效缺乏定量刻画——本文拟构建竞争失效（competing-risk）可靠性模型；</w:t>
      </w:r>
    </w:p>
    <w:p>
      <w:pPr>
        <w:spacing w:lineRule="auto" w:line="360" w:after="120" w:before="0"/>
        <w:ind w:firstLine="480"/>
        <w:jc w:val="both"/>
      </w:pPr>
      <w:r>
        <w:rPr>
          <w:rFonts w:ascii="Times New Roman" w:hAnsi="Times New Roman" w:eastAsia="宋体"/>
          <w:b w:val="0"/>
          <w:sz w:val="24"/>
        </w:rPr>
        <w:t>（3）PEDOT 去掺杂/氧化等微观退化动力学尚未与器件级 ESR/LC 寿命模型有效贯通——本文拟建立连接聚合物退化与 ESR/LC 的 PoF 模型；</w:t>
      </w:r>
    </w:p>
    <w:p>
      <w:pPr>
        <w:spacing w:lineRule="auto" w:line="360" w:after="120" w:before="0"/>
        <w:ind w:firstLine="480"/>
        <w:jc w:val="both"/>
      </w:pPr>
      <w:r>
        <w:rPr>
          <w:rFonts w:ascii="Times New Roman" w:hAnsi="Times New Roman" w:eastAsia="宋体"/>
          <w:b w:val="0"/>
          <w:sz w:val="24"/>
        </w:rPr>
        <w:t>（4）叠层封装 SAPC 小样本下 RUL 预测精度受限——本文拟发展物理-数据融合（physics-informed）的 RUL 方法并量化不确定性。</w:t>
      </w:r>
    </w:p>
    <w:p>
      <w:pPr>
        <w:jc w:val="center"/>
      </w:pPr>
      <w:r>
        <w:drawing>
          <wp:inline xmlns:a="http://schemas.openxmlformats.org/drawingml/2006/main" xmlns:pic="http://schemas.openxmlformats.org/drawingml/2006/picture">
            <wp:extent cx="5220000" cy="2980580"/>
            <wp:docPr id="10" name="Picture 10"/>
            <wp:cNvGraphicFramePr>
              <a:graphicFrameLocks noChangeAspect="1"/>
            </wp:cNvGraphicFramePr>
            <a:graphic>
              <a:graphicData uri="http://schemas.openxmlformats.org/drawingml/2006/picture">
                <pic:pic>
                  <pic:nvPicPr>
                    <pic:cNvPr id="0" name="fig_gap_map.png"/>
                    <pic:cNvPicPr/>
                  </pic:nvPicPr>
                  <pic:blipFill>
                    <a:blip r:embed="rId18"/>
                    <a:stretch>
                      <a:fillRect/>
                    </a:stretch>
                  </pic:blipFill>
                  <pic:spPr>
                    <a:xfrm>
                      <a:off x="0" y="0"/>
                      <a:ext cx="5220000" cy="2980580"/>
                    </a:xfrm>
                    <a:prstGeom prst="rect"/>
                  </pic:spPr>
                </pic:pic>
              </a:graphicData>
            </a:graphic>
          </wp:inline>
        </w:drawing>
      </w:r>
    </w:p>
    <w:p>
      <w:pPr>
        <w:jc w:val="center"/>
      </w:pPr>
      <w:r>
        <w:rPr>
          <w:rFonts w:ascii="Times New Roman" w:hAnsi="Times New Roman" w:eastAsia="黑体"/>
          <w:b/>
          <w:sz w:val="21"/>
        </w:rPr>
        <w:t>图 10  现有研究不足与本文研究内容的对应关系</w:t>
      </w:r>
    </w:p>
    <w:p>
      <w:pPr>
        <w:spacing w:after="160"/>
        <w:jc w:val="center"/>
      </w:pPr>
      <w:r>
        <w:rPr>
          <w:rFonts w:ascii="Times New Roman" w:hAnsi="Times New Roman" w:eastAsia="宋体"/>
          <w:b w:val="0"/>
          <w:color w:val="555555"/>
          <w:sz w:val="18"/>
        </w:rPr>
        <w:t>来源：作者归纳绘制（原创图）。</w:t>
      </w:r>
    </w:p>
    <w:p>
      <w:pPr>
        <w:pStyle w:val="Heading2"/>
        <w:spacing w:before="200" w:after="120"/>
        <w:jc w:val="left"/>
      </w:pPr>
      <w:r>
        <w:rPr>
          <w:rFonts w:ascii="Times New Roman" w:hAnsi="Times New Roman" w:eastAsia="黑体"/>
          <w:b/>
          <w:color w:val="000000"/>
          <w:sz w:val="28"/>
        </w:rPr>
        <w:t>本章小结</w:t>
      </w:r>
    </w:p>
    <w:p>
      <w:pPr>
        <w:spacing w:lineRule="auto" w:line="360" w:after="120" w:before="0"/>
        <w:ind w:firstLine="480"/>
        <w:jc w:val="both"/>
      </w:pPr>
      <w:r>
        <w:rPr>
          <w:rFonts w:ascii="Times New Roman" w:hAnsi="Times New Roman" w:eastAsia="宋体"/>
          <w:b w:val="0"/>
          <w:sz w:val="24"/>
        </w:rPr>
        <w:t>本章按“器件—失效模式—失效机理—建模—监测”的主线梳理了 SAPC 可靠性的国内外研究现状。现有工作已较清晰地刻画了以 ESR 上升、漏电流增大为主、电容量相对稳定的湿热失效图景，并在 PEDOT 颗粒金属退化、界面分层与氧化膜自愈等机理上取得共识；但在多应力耦合、多机理竞争、机理到器件寿命的定量贯通以及小样本 RUL 预测方面仍存不足。这些不足构成了本文研究的逻辑起点与切入点。</w:t>
      </w:r>
    </w:p>
    <w:p>
      <w:r>
        <w:br w:type="page"/>
      </w:r>
    </w:p>
    <w:p>
      <w:pPr>
        <w:pStyle w:val="Heading1"/>
        <w:spacing w:before="200" w:after="120"/>
        <w:jc w:val="left"/>
      </w:pPr>
      <w:r>
        <w:rPr>
          <w:rFonts w:ascii="Times New Roman" w:hAnsi="Times New Roman" w:eastAsia="黑体"/>
          <w:b/>
          <w:color w:val="000000"/>
          <w:sz w:val="32"/>
        </w:rPr>
        <w:t>参考文献</w:t>
      </w:r>
    </w:p>
    <w:p>
      <w:pPr>
        <w:spacing w:lineRule="auto" w:line="360" w:after="120" w:before="0"/>
        <w:ind w:firstLine="420"/>
        <w:jc w:val="both"/>
      </w:pPr>
      <w:r>
        <w:rPr>
          <w:rFonts w:ascii="Times New Roman" w:hAnsi="Times New Roman" w:eastAsia="宋体"/>
          <w:b w:val="0"/>
          <w:sz w:val="21"/>
        </w:rPr>
        <w:t>说明：以下文献均经检索后纳入并给出可溯源链接；标注“[DOI待核验]”者表示其 DOI/卷期/作者信息需在提交前于 Web of Science / Scopus / IEEE Xplore 或出版商页面再行确认。本列表为真实可核验的精选集（共 50 条），未以虚构条目凑数。</w:t>
      </w:r>
    </w:p>
    <w:p>
      <w:pPr>
        <w:spacing w:lineRule="auto" w:line="312" w:after="80"/>
        <w:ind w:left="480" w:hanging="480"/>
      </w:pPr>
      <w:r>
        <w:rPr>
          <w:rFonts w:ascii="Times New Roman" w:hAnsi="Times New Roman" w:eastAsia="宋体"/>
          <w:b w:val="0"/>
          <w:sz w:val="20"/>
        </w:rPr>
        <w:t>[1] H. Wang, F. Blaabjerg, “Reliability of Capacitors for DC-Link Applications in Power Electronic Converters—An Overview,” IEEE Transactions on Industry Applications, vol. 50, no. 5, pp. 3569–3578, 2014. DOI: 10.1109/TIA.2014.2308357. [DOI待核验] 链接: https://ieeexplore.ieee.org/document/6748007</w:t>
      </w:r>
    </w:p>
    <w:p>
      <w:pPr>
        <w:spacing w:lineRule="auto" w:line="312" w:after="80"/>
        <w:ind w:left="480" w:hanging="480"/>
      </w:pPr>
      <w:r>
        <w:rPr>
          <w:rFonts w:ascii="Times New Roman" w:hAnsi="Times New Roman" w:eastAsia="宋体"/>
          <w:b w:val="0"/>
          <w:sz w:val="20"/>
        </w:rPr>
        <w:t>[2] H. Soliman, H. Wang, F. Blaabjerg, “A Review of the Condition Monitoring of Capacitors in Power Electronic Converters,” IEEE Transactions on Industry Applications, vol. 52, no. 6, pp. 4976–4989, 2016. DOI: 10.1109/TIA.2016.2591906. [DOI待核验] 链接: https://ieeexplore.ieee.org/document/7501806</w:t>
      </w:r>
    </w:p>
    <w:p>
      <w:pPr>
        <w:spacing w:lineRule="auto" w:line="312" w:after="80"/>
        <w:ind w:left="480" w:hanging="480"/>
      </w:pPr>
      <w:r>
        <w:rPr>
          <w:rFonts w:ascii="Times New Roman" w:hAnsi="Times New Roman" w:eastAsia="宋体"/>
          <w:b w:val="0"/>
          <w:sz w:val="20"/>
        </w:rPr>
        <w:t>[3] H. S.-H. Chung, H. Wang, F. Blaabjerg, M. Pecht (Eds.), “Reliability of Power Electronic Converter Systems,” IET, Energy Engineering Series, 2015. DOI: 10.1049/PBPO080E. 链接: https://digital-library.theiet.org/doi/book/10.1049/pbpo080e</w:t>
      </w:r>
    </w:p>
    <w:p>
      <w:pPr>
        <w:spacing w:lineRule="auto" w:line="312" w:after="80"/>
        <w:ind w:left="480" w:hanging="480"/>
      </w:pPr>
      <w:r>
        <w:rPr>
          <w:rFonts w:ascii="Times New Roman" w:hAnsi="Times New Roman" w:eastAsia="宋体"/>
          <w:b w:val="0"/>
          <w:sz w:val="20"/>
        </w:rPr>
        <w:t>[4] (Conducting-polymer electrolytic capacitor, early work), “Electrolytic Capacitors with a Conducting Polymer,” Springer Series in Solid-State Sciences (book chapter), 1991. DOI: 10.1007/978-3-642-84705-9_87. 链接: https://link.springer.com/chapter/10.1007/978-3-642-84705-9_87</w:t>
      </w:r>
    </w:p>
    <w:p>
      <w:pPr>
        <w:spacing w:lineRule="auto" w:line="312" w:after="80"/>
        <w:ind w:left="480" w:hanging="480"/>
      </w:pPr>
      <w:r>
        <w:rPr>
          <w:rFonts w:ascii="Times New Roman" w:hAnsi="Times New Roman" w:eastAsia="宋体"/>
          <w:b w:val="0"/>
          <w:sz w:val="20"/>
        </w:rPr>
        <w:t>[5] Murata Manufacturing Co., “Polymer Capacitor Basics (Part 2): What Is a Polymer Capacitor?,” Murata technical article, 2015. [DOI待核验] 链接: https://article.murata.com/en-eu/article/polymer-capacitor-basics-part-2</w:t>
      </w:r>
    </w:p>
    <w:p>
      <w:pPr>
        <w:spacing w:lineRule="auto" w:line="312" w:after="80"/>
        <w:ind w:left="480" w:hanging="480"/>
      </w:pPr>
      <w:r>
        <w:rPr>
          <w:rFonts w:ascii="Times New Roman" w:hAnsi="Times New Roman" w:eastAsia="宋体"/>
          <w:b w:val="0"/>
          <w:sz w:val="20"/>
        </w:rPr>
        <w:t>[6] N. Calabia Gascón, et al., “PEDOT:PSS Dispersions and Aluminium Electrodes for Solid State Electrolytic Capacitors,” Inorganics, vol. 12, no. 4, art. 104, 2024. DOI: 10.3390/inorganics12040104. 链接: https://www.mdpi.com/2304-6740/12/4/104</w:t>
      </w:r>
    </w:p>
    <w:p>
      <w:pPr>
        <w:spacing w:lineRule="auto" w:line="312" w:after="80"/>
        <w:ind w:left="480" w:hanging="480"/>
      </w:pPr>
      <w:r>
        <w:rPr>
          <w:rFonts w:ascii="Times New Roman" w:hAnsi="Times New Roman" w:eastAsia="宋体"/>
          <w:b w:val="0"/>
          <w:sz w:val="20"/>
        </w:rPr>
        <w:t>[7] N. Calabia Gascón, et al., “Effect of PEDOT:PSS in Etched Aluminium Electrodes on the Performance of Solid State Electrolytic Capacitors,” Inorganics, vol. 12, no. 7, art. 185, 2024. DOI: 10.3390/inorganics12070185. 链接: https://www.mdpi.com/2304-6740/12/7/185</w:t>
      </w:r>
    </w:p>
    <w:p>
      <w:pPr>
        <w:spacing w:lineRule="auto" w:line="312" w:after="80"/>
        <w:ind w:left="480" w:hanging="480"/>
      </w:pPr>
      <w:r>
        <w:rPr>
          <w:rFonts w:ascii="Times New Roman" w:hAnsi="Times New Roman" w:eastAsia="宋体"/>
          <w:b w:val="0"/>
          <w:sz w:val="20"/>
        </w:rPr>
        <w:t>[8] (RSC Advances), “Removal of protonic doping from PEDOT:PSS by weak base for improving aluminum solid electrolytic capacitor performance,” RSC Advances, 2025. DOI: 10.1039/d5ra00124b. 链接: https://pubs.rsc.org/en/content/articlelanding/2025/ra/d5ra00124b</w:t>
      </w:r>
    </w:p>
    <w:p>
      <w:pPr>
        <w:spacing w:lineRule="auto" w:line="312" w:after="80"/>
        <w:ind w:left="480" w:hanging="480"/>
      </w:pPr>
      <w:r>
        <w:rPr>
          <w:rFonts w:ascii="Times New Roman" w:hAnsi="Times New Roman" w:eastAsia="宋体"/>
          <w:b w:val="0"/>
          <w:sz w:val="20"/>
        </w:rPr>
        <w:t>[9] A. Shrivastava, M. H. Azarian, M. Pecht, “Failure of Polymer Aluminum Electrolytic Capacitors Under Elevated Temperature Humidity Environments,” IEEE Transactions on Components, Packaging and Manufacturing Technology, 2017. [DOI待核验] 链接: https://web.calce.umd.edu/articles/abstracts/2017/17_Failure_of_polymer.html</w:t>
      </w:r>
    </w:p>
    <w:p>
      <w:pPr>
        <w:spacing w:lineRule="auto" w:line="312" w:after="80"/>
        <w:ind w:left="480" w:hanging="480"/>
      </w:pPr>
      <w:r>
        <w:rPr>
          <w:rFonts w:ascii="Times New Roman" w:hAnsi="Times New Roman" w:eastAsia="宋体"/>
          <w:b w:val="0"/>
          <w:sz w:val="20"/>
        </w:rPr>
        <w:t>[10] J. Romero, M. H. Azarian, M. G. Pecht, “Reliability Analysis of Multilayer Polymer Aluminum Electrolytic Capacitors,” Microelectronics Reliability, 2020. [DOI待核验] 链接: https://web.calce.umd.edu/articles/abstracts/2020/20_Reliability_analysis_of.html</w:t>
      </w:r>
    </w:p>
    <w:p>
      <w:pPr>
        <w:spacing w:lineRule="auto" w:line="312" w:after="80"/>
        <w:ind w:left="480" w:hanging="480"/>
      </w:pPr>
      <w:r>
        <w:rPr>
          <w:rFonts w:ascii="Times New Roman" w:hAnsi="Times New Roman" w:eastAsia="宋体"/>
          <w:b w:val="0"/>
          <w:sz w:val="20"/>
        </w:rPr>
        <w:t>[11] A. Shrivastava (CALCE, Univ. of Maryland), “Reliability Evaluation of Liquid and Polymer Aluminum Electrolytic Capacitors,” Ph.D. dissertation, University of Maryland (DRUM), 2015. [DOI待核验] 链接: https://drum.lib.umd.edu/handle/1903/16098</w:t>
      </w:r>
    </w:p>
    <w:p>
      <w:pPr>
        <w:spacing w:lineRule="auto" w:line="312" w:after="80"/>
        <w:ind w:left="480" w:hanging="480"/>
      </w:pPr>
      <w:r>
        <w:rPr>
          <w:rFonts w:ascii="Times New Roman" w:hAnsi="Times New Roman" w:eastAsia="宋体"/>
          <w:b w:val="0"/>
          <w:sz w:val="20"/>
        </w:rPr>
        <w:t>[12] KEMET (technical paper), “Advances in Reliability of Conducting Polymer Based Capacitors in High Humidity Environment,” KEMET technical resource, 2020. [DOI待核验] 链接: https://www.kemet.com/en/us/technical-resources/advances-in-reliability-of-conducting-polymer-based-capacitors-in-high-humidity-environment.html</w:t>
      </w:r>
    </w:p>
    <w:p>
      <w:pPr>
        <w:spacing w:lineRule="auto" w:line="312" w:after="80"/>
        <w:ind w:left="480" w:hanging="480"/>
      </w:pPr>
      <w:r>
        <w:rPr>
          <w:rFonts w:ascii="Times New Roman" w:hAnsi="Times New Roman" w:eastAsia="宋体"/>
          <w:b w:val="0"/>
          <w:sz w:val="20"/>
        </w:rPr>
        <w:t>[13] Murata Manufacturing Co., “Polymer Aluminum Electrolytic Capacitors — Failure Mode (Quality, Safety &amp; Environmental),” Murata technical document, 2021. [DOI待核验] 链接: https://www.murata.com/en-us/products/capacitor/polymer/documents/failure-mode</w:t>
      </w:r>
    </w:p>
    <w:p>
      <w:pPr>
        <w:spacing w:lineRule="auto" w:line="312" w:after="80"/>
        <w:ind w:left="480" w:hanging="480"/>
      </w:pPr>
      <w:r>
        <w:rPr>
          <w:rFonts w:ascii="Times New Roman" w:hAnsi="Times New Roman" w:eastAsia="宋体"/>
          <w:b w:val="0"/>
          <w:sz w:val="20"/>
        </w:rPr>
        <w:t>[14] NASA NEPP (NTRS 20180000037), “Physical and Electrical Characterization of Aluminum Polymer Capacitors,” NASA Electronic Parts and Packaging (NEPP) report, 2018. [DOI待核验] 链接: https://ntrs.nasa.gov/citations/20180000037</w:t>
      </w:r>
    </w:p>
    <w:p>
      <w:pPr>
        <w:spacing w:lineRule="auto" w:line="312" w:after="80"/>
        <w:ind w:left="480" w:hanging="480"/>
      </w:pPr>
      <w:r>
        <w:rPr>
          <w:rFonts w:ascii="Times New Roman" w:hAnsi="Times New Roman" w:eastAsia="宋体"/>
          <w:b w:val="0"/>
          <w:sz w:val="20"/>
        </w:rPr>
        <w:t>[15] NASA NEPP (NTRS 20240007872), “Stress Testing of Chip Aluminum Polymer Capacitors,” NASA NEPP presentation/report, 2024. [DOI待核验] 链接: https://ntrs.nasa.gov/citations/20240007872</w:t>
      </w:r>
    </w:p>
    <w:p>
      <w:pPr>
        <w:spacing w:lineRule="auto" w:line="312" w:after="80"/>
        <w:ind w:left="480" w:hanging="480"/>
      </w:pPr>
      <w:r>
        <w:rPr>
          <w:rFonts w:ascii="Times New Roman" w:hAnsi="Times New Roman" w:eastAsia="宋体"/>
          <w:b w:val="0"/>
          <w:sz w:val="20"/>
        </w:rPr>
        <w:t>[16] NASA NEPP (NTRS 20240011830), “Evaluation of Aluminum Polymer Capacitors for Space Applications,” NASA NEPP report, 2024. [DOI待核验] 链接: https://ntrs.nasa.gov/citations/20240011830</w:t>
      </w:r>
    </w:p>
    <w:p>
      <w:pPr>
        <w:spacing w:lineRule="auto" w:line="312" w:after="80"/>
        <w:ind w:left="480" w:hanging="480"/>
      </w:pPr>
      <w:r>
        <w:rPr>
          <w:rFonts w:ascii="Times New Roman" w:hAnsi="Times New Roman" w:eastAsia="宋体"/>
          <w:b w:val="0"/>
          <w:sz w:val="20"/>
        </w:rPr>
        <w:t>[17] E. Vitoratos, S. Sakkopoulos, E. Dalas, et al., “Thermal degradation mechanisms of PEDOT:PSS,” Organic Electronics, vol. 10, no. 1, pp. 61–66, 2009. DOI: 10.1016/j.orgel.2008.10.008. [DOI待核验] 链接: https://www.sciencedirect.com/science/article/abs/pii/S1566119908001833</w:t>
      </w:r>
    </w:p>
    <w:p>
      <w:pPr>
        <w:spacing w:lineRule="auto" w:line="312" w:after="80"/>
        <w:ind w:left="480" w:hanging="480"/>
      </w:pPr>
      <w:r>
        <w:rPr>
          <w:rFonts w:ascii="Times New Roman" w:hAnsi="Times New Roman" w:eastAsia="宋体"/>
          <w:b w:val="0"/>
          <w:sz w:val="20"/>
        </w:rPr>
        <w:t>[18] S. Sakkopoulos, E. Vitoratos, et al., “Differentiation of the Aging Process of PEDOT:PSS Films under Inert Helium and Ambient Atmosphere,” Open Journal of Organic Polymer Materials, vol. 4, no. 1, 2014. DOI: 10.4236/ojopm.2014.41001. 链接: https://www.scirp.org/journal/paperinformation?paperid=41378</w:t>
      </w:r>
    </w:p>
    <w:p>
      <w:pPr>
        <w:spacing w:lineRule="auto" w:line="312" w:after="80"/>
        <w:ind w:left="480" w:hanging="480"/>
      </w:pPr>
      <w:r>
        <w:rPr>
          <w:rFonts w:ascii="Times New Roman" w:hAnsi="Times New Roman" w:eastAsia="宋体"/>
          <w:b w:val="0"/>
          <w:sz w:val="20"/>
        </w:rPr>
        <w:t>[19] (Organic electronics study), “Insight into the Degradation Mechanisms of Highly Conductive Poly(3,4-ethylenedioxythiophene) Thin Films,” (期刊待核验), 2020. [DOI待核验] 链接: https://www.researchgate.net/publication/341695281</w:t>
      </w:r>
    </w:p>
    <w:p>
      <w:pPr>
        <w:spacing w:lineRule="auto" w:line="312" w:after="80"/>
        <w:ind w:left="480" w:hanging="480"/>
      </w:pPr>
      <w:r>
        <w:rPr>
          <w:rFonts w:ascii="Times New Roman" w:hAnsi="Times New Roman" w:eastAsia="宋体"/>
          <w:b w:val="0"/>
          <w:sz w:val="20"/>
        </w:rPr>
        <w:t>[20] (Journal of Electronic Materials), “Thermoelectric Properties and Thermal Stability of PEDOT:PSS Films on a Polyimide Substrate,” Journal of Electronic Materials, 2014. DOI: 10.1007/s11664-014-3003-y. 链接: https://link.springer.com/article/10.1007/s11664-014-3003-y</w:t>
      </w:r>
    </w:p>
    <w:p>
      <w:pPr>
        <w:spacing w:lineRule="auto" w:line="312" w:after="80"/>
        <w:ind w:left="480" w:hanging="480"/>
      </w:pPr>
      <w:r>
        <w:rPr>
          <w:rFonts w:ascii="Times New Roman" w:hAnsi="Times New Roman" w:eastAsia="宋体"/>
          <w:b w:val="0"/>
          <w:sz w:val="20"/>
        </w:rPr>
        <w:t>[21] (Materials Advances, RSC), “Mechanisms for doped PEDOT:PSS electrical conductivity improvement,” Materials Advances, vol. 2, 2021. DOI: 10.1039/d1ma00290b. 链接: https://pubs.rsc.org/en/content/articlehtml/2021/ma/d1ma00290b</w:t>
      </w:r>
    </w:p>
    <w:p>
      <w:pPr>
        <w:spacing w:lineRule="auto" w:line="312" w:after="80"/>
        <w:ind w:left="480" w:hanging="480"/>
      </w:pPr>
      <w:r>
        <w:rPr>
          <w:rFonts w:ascii="Times New Roman" w:hAnsi="Times New Roman" w:eastAsia="宋体"/>
          <w:b w:val="0"/>
          <w:sz w:val="20"/>
        </w:rPr>
        <w:t>[22] (Materials Horizons, RSC), “The damaging effects of the acidity in PEDOT:PSS on semiconductor device performance and solutions based on non-acidic alternatives,” Materials Horizons, 2020. DOI: 10.1039/c9mh01978b. 链接: https://pubs.rsc.org/en/content/articlehtml/2020/mh/c9mh01978b</w:t>
      </w:r>
    </w:p>
    <w:p>
      <w:pPr>
        <w:spacing w:lineRule="auto" w:line="312" w:after="80"/>
        <w:ind w:left="480" w:hanging="480"/>
      </w:pPr>
      <w:r>
        <w:rPr>
          <w:rFonts w:ascii="Times New Roman" w:hAnsi="Times New Roman" w:eastAsia="宋体"/>
          <w:b w:val="0"/>
          <w:sz w:val="20"/>
        </w:rPr>
        <w:t>[23] (ACS Omega), “Understanding Thermodynamics and Kinetics of PEDOT:PSS Using ATR-FTIR and Density Functional Theory,” ACS Omega, 2024. DOI: 10.1021/acsomega.4c05552. 链接: https://pubs.acs.org/doi/10.1021/acsomega.4c05552</w:t>
      </w:r>
    </w:p>
    <w:p>
      <w:pPr>
        <w:spacing w:lineRule="auto" w:line="312" w:after="80"/>
        <w:ind w:left="480" w:hanging="480"/>
      </w:pPr>
      <w:r>
        <w:rPr>
          <w:rFonts w:ascii="Times New Roman" w:hAnsi="Times New Roman" w:eastAsia="宋体"/>
          <w:b w:val="0"/>
          <w:sz w:val="20"/>
        </w:rPr>
        <w:t>[24] (Microsystems &amp; Nanoengineering, Nature), “Photopatternable PEDOT:PSS/PEG hybrid thin film with moisture stability and sensitivity,” Microsystems &amp; Nanoengineering, vol. 3, 2017. DOI: 10.1038/micronano.2017.4. [DOI待核验] 链接: https://www.nature.com/articles/micronano20174</w:t>
      </w:r>
    </w:p>
    <w:p>
      <w:pPr>
        <w:spacing w:lineRule="auto" w:line="312" w:after="80"/>
        <w:ind w:left="480" w:hanging="480"/>
      </w:pPr>
      <w:r>
        <w:rPr>
          <w:rFonts w:ascii="Times New Roman" w:hAnsi="Times New Roman" w:eastAsia="宋体"/>
          <w:b w:val="0"/>
          <w:sz w:val="20"/>
        </w:rPr>
        <w:t>[25] (Applied Physics Letters), “Reversible post-breakdown conduction in aluminum oxide-polymer capacitors,” Applied Physics Letters, vol. 102, 2013. DOI: 10.1063/1.4802485. 链接: https://pubs.aip.org/aip/apl/article/102/16/163504</w:t>
      </w:r>
    </w:p>
    <w:p>
      <w:pPr>
        <w:spacing w:lineRule="auto" w:line="312" w:after="80"/>
        <w:ind w:left="480" w:hanging="480"/>
      </w:pPr>
      <w:r>
        <w:rPr>
          <w:rFonts w:ascii="Times New Roman" w:hAnsi="Times New Roman" w:eastAsia="宋体"/>
          <w:b w:val="0"/>
          <w:sz w:val="20"/>
        </w:rPr>
        <w:t>[26] (J. Mater. Sci.: Mater. Electron.), “Self-healing solid tantalum electrolytic capacitors with low ESR, high-frequency performance, and simple fabrication,” Journal of Materials Science: Materials in Electronics, 2023. DOI: 10.1007/s10854-023-10663-9. 链接: https://link.springer.com/article/10.1007/s10854-023-10663-9</w:t>
      </w:r>
    </w:p>
    <w:p>
      <w:pPr>
        <w:spacing w:lineRule="auto" w:line="312" w:after="80"/>
        <w:ind w:left="480" w:hanging="480"/>
      </w:pPr>
      <w:r>
        <w:rPr>
          <w:rFonts w:ascii="Times New Roman" w:hAnsi="Times New Roman" w:eastAsia="宋体"/>
          <w:b w:val="0"/>
          <w:sz w:val="20"/>
        </w:rPr>
        <w:t>[27] A. Teverovsky (NASA NEPP), “Breakdown and Self-healing in Tantalum Capacitors,” NASA NEPP (NTRS 20205008339), 2021. [DOI待核验] 链接: https://ntrs.nasa.gov/citations/20205008339</w:t>
      </w:r>
    </w:p>
    <w:p>
      <w:pPr>
        <w:spacing w:lineRule="auto" w:line="312" w:after="80"/>
        <w:ind w:left="480" w:hanging="480"/>
      </w:pPr>
      <w:r>
        <w:rPr>
          <w:rFonts w:ascii="Times New Roman" w:hAnsi="Times New Roman" w:eastAsia="宋体"/>
          <w:b w:val="0"/>
          <w:sz w:val="20"/>
        </w:rPr>
        <w:t>[28] (Microelectronics Reliability, Kyushu Univ.), “DC-bias-voltage dependence of degradation of aluminum electrolytic capacitors,” Microelectronics Reliability, 2018. [DOI待核验] 链接: https://kyushu-u.elsevierpure.com/en/publications/dc-bias-voltage-dependence-of-degradation-of-aluminum-electrolyti</w:t>
      </w:r>
    </w:p>
    <w:p>
      <w:pPr>
        <w:spacing w:lineRule="auto" w:line="312" w:after="80"/>
        <w:ind w:left="480" w:hanging="480"/>
      </w:pPr>
      <w:r>
        <w:rPr>
          <w:rFonts w:ascii="Times New Roman" w:hAnsi="Times New Roman" w:eastAsia="宋体"/>
          <w:b w:val="0"/>
          <w:sz w:val="20"/>
        </w:rPr>
        <w:t>[29] D. S. Peck, “Comprehensive Model for Humidity Testing Correlation,” Proc. IEEE International Reliability Physics Symposium (IRPS), 1986. [DOI待核验] 链接: https://ieeexplore.ieee.org/document/362877</w:t>
      </w:r>
    </w:p>
    <w:p>
      <w:pPr>
        <w:spacing w:lineRule="auto" w:line="312" w:after="80"/>
        <w:ind w:left="480" w:hanging="480"/>
      </w:pPr>
      <w:r>
        <w:rPr>
          <w:rFonts w:ascii="Times New Roman" w:hAnsi="Times New Roman" w:eastAsia="宋体"/>
          <w:b w:val="0"/>
          <w:sz w:val="20"/>
        </w:rPr>
        <w:t>[30] (IET Power Electronics), “Temperature–humidity–bias testing on insulated-gate bipolar transistor modules — failure modes and acceleration due to high voltage,” IET Power Electronics, 2016. DOI: 10.1049/iet-pel.2015.0031. 链接: https://digital-library.theiet.org/doi/full/10.1049/iet-pel.2015.0031</w:t>
      </w:r>
    </w:p>
    <w:p>
      <w:pPr>
        <w:spacing w:lineRule="auto" w:line="312" w:after="80"/>
        <w:ind w:left="480" w:hanging="480"/>
      </w:pPr>
      <w:r>
        <w:rPr>
          <w:rFonts w:ascii="Times New Roman" w:hAnsi="Times New Roman" w:eastAsia="宋体"/>
          <w:b w:val="0"/>
          <w:sz w:val="20"/>
        </w:rPr>
        <w:t>[31] JEDEC Solid State Technology Association, “JESD22-A101: Steady-State Temperature-Humidity Bias Life Test,” JEDEC standard. [DOI待核验] 链接: https://www.jedec.org/standards-documents/docs/jesd-22-a101</w:t>
      </w:r>
    </w:p>
    <w:p>
      <w:pPr>
        <w:spacing w:lineRule="auto" w:line="312" w:after="80"/>
        <w:ind w:left="480" w:hanging="480"/>
      </w:pPr>
      <w:r>
        <w:rPr>
          <w:rFonts w:ascii="Times New Roman" w:hAnsi="Times New Roman" w:eastAsia="宋体"/>
          <w:b w:val="0"/>
          <w:sz w:val="20"/>
        </w:rPr>
        <w:t>[32] JEDEC Solid State Technology Association, “JESD22-A110: Highly Accelerated Temperature and Humidity Stress Test (HAST),” JEDEC standard. [DOI待核验] 链接: https://www.jedec.org/standards-documents/docs/jesd-22-a110e</w:t>
      </w:r>
    </w:p>
    <w:p>
      <w:pPr>
        <w:spacing w:lineRule="auto" w:line="312" w:after="80"/>
        <w:ind w:left="480" w:hanging="480"/>
      </w:pPr>
      <w:r>
        <w:rPr>
          <w:rFonts w:ascii="Times New Roman" w:hAnsi="Times New Roman" w:eastAsia="宋体"/>
          <w:b w:val="0"/>
          <w:sz w:val="20"/>
        </w:rPr>
        <w:t>[33] International Electrotechnical Commission, “IEC 60384-1: Fixed capacitors for use in electronic equipment — Part 1: Generic specification,” IEC standard. [DOI待核验] 链接: https://webstore.iec.ch/publication/63080</w:t>
      </w:r>
    </w:p>
    <w:p>
      <w:pPr>
        <w:spacing w:lineRule="auto" w:line="312" w:after="80"/>
        <w:ind w:left="480" w:hanging="480"/>
      </w:pPr>
      <w:r>
        <w:rPr>
          <w:rFonts w:ascii="Times New Roman" w:hAnsi="Times New Roman" w:eastAsia="宋体"/>
          <w:b w:val="0"/>
          <w:sz w:val="20"/>
        </w:rPr>
        <w:t>[34] Automotive Electronics Council, “AEC-Q200: Stress Test Qualification for Passive Components,” AEC standard. [DOI待核验] 链接: http://www.aecouncil.com/AECDocuments.html</w:t>
      </w:r>
    </w:p>
    <w:p>
      <w:pPr>
        <w:spacing w:lineRule="auto" w:line="312" w:after="80"/>
        <w:ind w:left="480" w:hanging="480"/>
      </w:pPr>
      <w:r>
        <w:rPr>
          <w:rFonts w:ascii="Times New Roman" w:hAnsi="Times New Roman" w:eastAsia="宋体"/>
          <w:b w:val="0"/>
          <w:sz w:val="20"/>
        </w:rPr>
        <w:t>[35] (Frontiers in Electronics), “Lifetime prediction and reliability analysis for aluminum electrolytic capacitors in EV charging module based on mission profiles,” Frontiers in Electronics, 2023. DOI: 10.3389/felec.2023.1226006. 链接: https://www.frontiersin.org/articles/10.3389/felec.2023.1226006/full</w:t>
      </w:r>
    </w:p>
    <w:p>
      <w:pPr>
        <w:spacing w:lineRule="auto" w:line="312" w:after="80"/>
        <w:ind w:left="480" w:hanging="480"/>
      </w:pPr>
      <w:r>
        <w:rPr>
          <w:rFonts w:ascii="Times New Roman" w:hAnsi="Times New Roman" w:eastAsia="宋体"/>
          <w:b w:val="0"/>
          <w:sz w:val="20"/>
        </w:rPr>
        <w:t>[36] (Proc. IMechE Part O: J. Risk and Reliability, SAGE), “Using LSTM neural network to predict remaining useful life of electrolytic capacitors in dynamic operating conditions,” Proc. IMechE, Part O, 2022. DOI: 10.1177/1748006X221087503. 链接: https://journals.sagepub.com/doi/10.1177/1748006X221087503</w:t>
      </w:r>
    </w:p>
    <w:p>
      <w:pPr>
        <w:spacing w:lineRule="auto" w:line="312" w:after="80"/>
        <w:ind w:left="480" w:hanging="480"/>
      </w:pPr>
      <w:r>
        <w:rPr>
          <w:rFonts w:ascii="Times New Roman" w:hAnsi="Times New Roman" w:eastAsia="宋体"/>
          <w:b w:val="0"/>
          <w:sz w:val="20"/>
        </w:rPr>
        <w:t>[37] (Int. J. Quality &amp; Reliability Management, Emerald), “Condition monitoring of aluminium electrolytic capacitors using accelerated life testing: A comparison,” International Journal of Quality &amp; Reliability Management, 2018. DOI: 10.1108/IJQRM-06-2017-0115. 链接: https://www.emerald.com/insight/content/doi/10.1108/IJQRM-06-2017-0115/full/html</w:t>
      </w:r>
    </w:p>
    <w:p>
      <w:pPr>
        <w:spacing w:lineRule="auto" w:line="312" w:after="80"/>
        <w:ind w:left="480" w:hanging="480"/>
      </w:pPr>
      <w:r>
        <w:rPr>
          <w:rFonts w:ascii="Times New Roman" w:hAnsi="Times New Roman" w:eastAsia="宋体"/>
          <w:b w:val="0"/>
          <w:sz w:val="20"/>
        </w:rPr>
        <w:t>[38] (Springer, LNNS), “A Study on Effects of Synthetic Data for Predicting the Remaining Useful Life of Aluminium Electrolytic Capacitors Using Bagging-Based Ensemble Learning,” Springer (Lecture Notes in Networks and Systems), 2024. DOI: 10.1007/978-981-99-9518-9_40. 链接: https://link.springer.com/chapter/10.1007/978-981-99-9518-9_40</w:t>
      </w:r>
    </w:p>
    <w:p>
      <w:pPr>
        <w:spacing w:lineRule="auto" w:line="312" w:after="80"/>
        <w:ind w:left="480" w:hanging="480"/>
      </w:pPr>
      <w:r>
        <w:rPr>
          <w:rFonts w:ascii="Times New Roman" w:hAnsi="Times New Roman" w:eastAsia="宋体"/>
          <w:b w:val="0"/>
          <w:sz w:val="20"/>
        </w:rPr>
        <w:t>[39] J. R. Celaya, et al. (NASA Ames), “Towards Prognostics of Electrolytic Capacitors,” AIAA Infotech@Aerospace / NASA, 2011. [DOI待核验] 链接: https://www.researchgate.net/publication/252067221_Towards_Prognostic_of_Electrolytic_Capacitors</w:t>
      </w:r>
    </w:p>
    <w:p>
      <w:pPr>
        <w:spacing w:lineRule="auto" w:line="312" w:after="80"/>
        <w:ind w:left="480" w:hanging="480"/>
      </w:pPr>
      <w:r>
        <w:rPr>
          <w:rFonts w:ascii="Times New Roman" w:hAnsi="Times New Roman" w:eastAsia="宋体"/>
          <w:b w:val="0"/>
          <w:sz w:val="20"/>
        </w:rPr>
        <w:t>[40] (J. Mater. Sci.: Mater. Electron.), “Detection of capacitor electrolyte residues with FTIR in failure analysis,” Journal of Materials Science: Materials in Electronics, 2013. DOI: 10.1007/s10854-013-1146-x. 链接: https://link.springer.com/article/10.1007/s10854-013-1146-x</w:t>
      </w:r>
    </w:p>
    <w:p>
      <w:pPr>
        <w:spacing w:lineRule="auto" w:line="312" w:after="80"/>
        <w:ind w:left="480" w:hanging="480"/>
      </w:pPr>
      <w:r>
        <w:rPr>
          <w:rFonts w:ascii="Times New Roman" w:hAnsi="Times New Roman" w:eastAsia="宋体"/>
          <w:b w:val="0"/>
          <w:sz w:val="20"/>
        </w:rPr>
        <w:t>[41] KEMET (technical paper), “Failure Analysis of Capacitors and Inductors,” KEMET technical resource, 2019. [DOI待核验] 链接: https://www.kemet.com/en/us/technical-resources/failure-analysis-of-capacitors-and-inductors.html</w:t>
      </w:r>
    </w:p>
    <w:p>
      <w:pPr>
        <w:spacing w:lineRule="auto" w:line="312" w:after="80"/>
        <w:ind w:left="480" w:hanging="480"/>
      </w:pPr>
      <w:r>
        <w:rPr>
          <w:rFonts w:ascii="Times New Roman" w:hAnsi="Times New Roman" w:eastAsia="宋体"/>
          <w:b w:val="0"/>
          <w:sz w:val="20"/>
        </w:rPr>
        <w:t>[42] A. Teverovsky (NASA NEPP), “Degradation of ESR in Polymer Tantalum Capacitors During High Temperature Storage,” NASA NEPP (NTRS 20190030759), 2019. [DOI待核验] 链接: https://ntrs.nasa.gov/citations/20190030759</w:t>
      </w:r>
    </w:p>
    <w:p>
      <w:pPr>
        <w:spacing w:lineRule="auto" w:line="312" w:after="80"/>
        <w:ind w:left="480" w:hanging="480"/>
      </w:pPr>
      <w:r>
        <w:rPr>
          <w:rFonts w:ascii="Times New Roman" w:hAnsi="Times New Roman" w:eastAsia="宋体"/>
          <w:b w:val="0"/>
          <w:sz w:val="20"/>
        </w:rPr>
        <w:t>[43] (J. Mater. Eng. Perform.), “Effect of High Temperature Storage on AC Characteristics of Polymer Tantalum Capacitors,” Journal of Materials Engineering and Performance, vol. 18, no. 4, p. 177, 2022. [DOI待核验] 链接: https://meridian.allenpress.com/jmep/article-split/18/4/177/476336</w:t>
      </w:r>
    </w:p>
    <w:p>
      <w:pPr>
        <w:spacing w:lineRule="auto" w:line="312" w:after="80"/>
        <w:ind w:left="480" w:hanging="480"/>
      </w:pPr>
      <w:r>
        <w:rPr>
          <w:rFonts w:ascii="Times New Roman" w:hAnsi="Times New Roman" w:eastAsia="宋体"/>
          <w:b w:val="0"/>
          <w:sz w:val="20"/>
        </w:rPr>
        <w:t>[44] (Microelectronics Reliability), “A lifetime model for conductive-polymer tantalum electrolytic capacitors,” Microelectronics Reliability (导电聚合物钽电解电容器寿命模型), 2020. [DOI待核验] 链接: https://www.x-mol.com/paper/1409882751878615040/t</w:t>
      </w:r>
    </w:p>
    <w:p>
      <w:pPr>
        <w:spacing w:lineRule="auto" w:line="312" w:after="80"/>
        <w:ind w:left="480" w:hanging="480"/>
      </w:pPr>
      <w:r>
        <w:rPr>
          <w:rFonts w:ascii="Times New Roman" w:hAnsi="Times New Roman" w:eastAsia="宋体"/>
          <w:b w:val="0"/>
          <w:sz w:val="20"/>
        </w:rPr>
        <w:t>[45] (Journal of Alloys and Compounds), “Microstructural evolution of anodic alumina film of high-voltage electrolytic-capacitor aluminum foil (高压电解电容器阳极铝箔氧化膜微观结构演变),” Journal of Alloys and Compounds, 2020. [DOI待核验] 链接: https://www.x-mol.com/paper/1216894415195099136/t</w:t>
      </w:r>
    </w:p>
    <w:p>
      <w:pPr>
        <w:spacing w:lineRule="auto" w:line="312" w:after="80"/>
        <w:ind w:left="480" w:hanging="480"/>
      </w:pPr>
      <w:r>
        <w:rPr>
          <w:rFonts w:ascii="Times New Roman" w:hAnsi="Times New Roman" w:eastAsia="宋体"/>
          <w:b w:val="0"/>
          <w:sz w:val="20"/>
        </w:rPr>
        <w:t>[46] (Journal of Electronic Materials), “Microstructure evolution and performance enhancement of sintered aluminum foil for aluminum electrolytic capacitors (铝电解电容器用烧结铝箔的微观结构演变与性能增强),” Journal of Electronic Materials, 2024. [DOI待核验] 链接: https://www.x-mol.com/paper/1763722740259065856/t</w:t>
      </w:r>
    </w:p>
    <w:p>
      <w:pPr>
        <w:spacing w:lineRule="auto" w:line="312" w:after="80"/>
        <w:ind w:left="480" w:hanging="480"/>
      </w:pPr>
      <w:r>
        <w:rPr>
          <w:rFonts w:ascii="Times New Roman" w:hAnsi="Times New Roman" w:eastAsia="宋体"/>
          <w:b w:val="0"/>
          <w:sz w:val="20"/>
        </w:rPr>
        <w:t>[47] H. Wang, et al., “Reliability of DC-link capacitors in power electronic converters (book chapter),” in Reliability of Power Electronic Converter Systems, IET, 2015. DOI: 10.1049/PBPO080E_ch3. 链接: https://digital-library.theiet.org/doi/10.1049/PBPO080E_ch3</w:t>
      </w:r>
    </w:p>
    <w:p>
      <w:pPr>
        <w:spacing w:lineRule="auto" w:line="312" w:after="80"/>
        <w:ind w:left="480" w:hanging="480"/>
      </w:pPr>
      <w:r>
        <w:rPr>
          <w:rFonts w:ascii="Times New Roman" w:hAnsi="Times New Roman" w:eastAsia="宋体"/>
          <w:b w:val="0"/>
          <w:sz w:val="20"/>
        </w:rPr>
        <w:t>[48] (PEDOT:PSS ageing study), “Long-term ageing of PEDOT:PSS: a wettability study,” (期刊待核验), 2018. [DOI待核验] 链接: https://www.researchgate.net/publication/324141993</w:t>
      </w:r>
    </w:p>
    <w:p>
      <w:pPr>
        <w:spacing w:lineRule="auto" w:line="312" w:after="80"/>
        <w:ind w:left="480" w:hanging="480"/>
      </w:pPr>
      <w:r>
        <w:rPr>
          <w:rFonts w:ascii="Times New Roman" w:hAnsi="Times New Roman" w:eastAsia="宋体"/>
          <w:b w:val="0"/>
          <w:sz w:val="20"/>
        </w:rPr>
        <w:t>[49] (PEDOT:PSS optical/oxidation study), “The spectral sensitivity of PEDOT:PSS films (oxidation/humidity-induced conductivity loss),” (期刊待核验), 2011. [DOI待核验] 链接: https://www.researchgate.net/publication/251618754</w:t>
      </w:r>
    </w:p>
    <w:p>
      <w:pPr>
        <w:spacing w:lineRule="auto" w:line="312" w:after="80"/>
        <w:ind w:left="480" w:hanging="480"/>
      </w:pPr>
      <w:r>
        <w:rPr>
          <w:rFonts w:ascii="Times New Roman" w:hAnsi="Times New Roman" w:eastAsia="宋体"/>
          <w:b w:val="0"/>
          <w:sz w:val="20"/>
        </w:rPr>
        <w:t>[50] U.S. Patent Application 20240047142, “Method for Preparing Highly-Reliable Multilayer Solid Aluminum Electrolytic Capacitor,” USPTO patent application, 2024. [DOI待核验] 链接: https://patents.justia.com/patent/20240047142</w:t>
      </w:r>
    </w:p>
    <w:p>
      <w:r>
        <w:br w:type="page"/>
      </w:r>
    </w:p>
    <w:p>
      <w:pPr>
        <w:pStyle w:val="Heading1"/>
        <w:spacing w:before="200" w:after="120"/>
        <w:jc w:val="left"/>
      </w:pPr>
      <w:r>
        <w:rPr>
          <w:rFonts w:ascii="Times New Roman" w:hAnsi="Times New Roman" w:eastAsia="黑体"/>
          <w:b/>
          <w:color w:val="000000"/>
          <w:sz w:val="32"/>
        </w:rPr>
        <w:t>附录 A  建议引用图表索引（用于获取 SEM/TEM/实测曲线等版权图件）</w:t>
      </w:r>
    </w:p>
    <w:p>
      <w:pPr>
        <w:spacing w:lineRule="auto" w:line="360" w:after="120" w:before="0"/>
        <w:ind w:firstLine="420"/>
        <w:jc w:val="both"/>
      </w:pPr>
      <w:r>
        <w:rPr>
          <w:rFonts w:ascii="Times New Roman" w:hAnsi="Times New Roman" w:eastAsia="宋体"/>
          <w:b w:val="0"/>
          <w:sz w:val="21"/>
        </w:rPr>
        <w:t>本附录列出可作为 SEM/TEM 形貌、成分分析与实测特性曲线来源的真实文献，供作者在取得出版商授权后引用。本文不直接嵌入上述受版权保护的原图。表中 DOI 标注规则同参考文献。</w:t>
      </w:r>
    </w:p>
    <w:tbl>
      <w:tblPr>
        <w:tblStyle w:val="LightGrid-Accent1"/>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eastAsia="黑体"/>
                <w:b/>
                <w:sz w:val="21"/>
              </w:rPr>
              <w:t>图件类型（建议）</w:t>
            </w:r>
          </w:p>
        </w:tc>
        <w:tc>
          <w:tcPr>
            <w:tcW w:type="dxa" w:w="3009"/>
          </w:tcPr>
          <w:p>
            <w:r/>
            <w:r>
              <w:rPr>
                <w:rFonts w:ascii="Times New Roman" w:hAnsi="Times New Roman" w:eastAsia="黑体"/>
                <w:b/>
                <w:sz w:val="21"/>
              </w:rPr>
              <w:t>建议来源文献</w:t>
            </w:r>
          </w:p>
        </w:tc>
        <w:tc>
          <w:tcPr>
            <w:tcW w:type="dxa" w:w="3009"/>
          </w:tcPr>
          <w:p>
            <w:r/>
            <w:r>
              <w:rPr>
                <w:rFonts w:ascii="Times New Roman" w:hAnsi="Times New Roman" w:eastAsia="黑体"/>
                <w:b/>
                <w:sz w:val="21"/>
              </w:rPr>
              <w:t>DOI / 出处标注</w:t>
            </w:r>
          </w:p>
        </w:tc>
      </w:tr>
      <w:tr>
        <w:tc>
          <w:tcPr>
            <w:tcW w:type="dxa" w:w="3009"/>
          </w:tcPr>
          <w:p>
            <w:r/>
            <w:r>
              <w:rPr>
                <w:rFonts w:ascii="Times New Roman" w:hAnsi="Times New Roman" w:eastAsia="宋体"/>
                <w:b w:val="0"/>
                <w:sz w:val="19"/>
              </w:rPr>
              <w:t>器件结构/截面（实物）</w:t>
            </w:r>
          </w:p>
        </w:tc>
        <w:tc>
          <w:tcPr>
            <w:tcW w:type="dxa" w:w="3009"/>
          </w:tcPr>
          <w:p>
            <w:r/>
            <w:r>
              <w:rPr>
                <w:rFonts w:ascii="Times New Roman" w:hAnsi="Times New Roman" w:eastAsia="宋体"/>
                <w:b w:val="0"/>
                <w:sz w:val="19"/>
              </w:rPr>
              <w:t>[14] NASA, Physical and Electrical Characterization of Aluminum Polymer Capacitors, 2018</w:t>
            </w:r>
          </w:p>
        </w:tc>
        <w:tc>
          <w:tcPr>
            <w:tcW w:type="dxa" w:w="3009"/>
          </w:tcPr>
          <w:p>
            <w:r/>
            <w:r>
              <w:rPr>
                <w:rFonts w:ascii="Times New Roman" w:hAnsi="Times New Roman" w:eastAsia="宋体"/>
                <w:b w:val="0"/>
                <w:sz w:val="19"/>
              </w:rPr>
              <w:t>NTRS 20180000037</w:t>
            </w:r>
          </w:p>
        </w:tc>
      </w:tr>
      <w:tr>
        <w:tc>
          <w:tcPr>
            <w:tcW w:type="dxa" w:w="3009"/>
          </w:tcPr>
          <w:p>
            <w:r/>
            <w:r>
              <w:rPr>
                <w:rFonts w:ascii="Times New Roman" w:hAnsi="Times New Roman" w:eastAsia="宋体"/>
                <w:b w:val="0"/>
                <w:sz w:val="19"/>
              </w:rPr>
              <w:t>湿热失效形貌/界面（SEM）</w:t>
            </w:r>
          </w:p>
        </w:tc>
        <w:tc>
          <w:tcPr>
            <w:tcW w:type="dxa" w:w="3009"/>
          </w:tcPr>
          <w:p>
            <w:r/>
            <w:r>
              <w:rPr>
                <w:rFonts w:ascii="Times New Roman" w:hAnsi="Times New Roman" w:eastAsia="宋体"/>
                <w:b w:val="0"/>
                <w:sz w:val="19"/>
              </w:rPr>
              <w:t>[9] Shrivastava et al., IEEE TCPMT, 2017</w:t>
            </w:r>
          </w:p>
        </w:tc>
        <w:tc>
          <w:tcPr>
            <w:tcW w:type="dxa" w:w="3009"/>
          </w:tcPr>
          <w:p>
            <w:r/>
            <w:r>
              <w:rPr>
                <w:rFonts w:ascii="Times New Roman" w:hAnsi="Times New Roman" w:eastAsia="宋体"/>
                <w:b w:val="0"/>
                <w:sz w:val="19"/>
              </w:rPr>
              <w:t>DOI待核验</w:t>
            </w:r>
          </w:p>
        </w:tc>
      </w:tr>
      <w:tr>
        <w:tc>
          <w:tcPr>
            <w:tcW w:type="dxa" w:w="3009"/>
          </w:tcPr>
          <w:p>
            <w:r/>
            <w:r>
              <w:rPr>
                <w:rFonts w:ascii="Times New Roman" w:hAnsi="Times New Roman" w:eastAsia="宋体"/>
                <w:b w:val="0"/>
                <w:sz w:val="19"/>
              </w:rPr>
              <w:t>叠层器件失效分析（SEM/截面）</w:t>
            </w:r>
          </w:p>
        </w:tc>
        <w:tc>
          <w:tcPr>
            <w:tcW w:type="dxa" w:w="3009"/>
          </w:tcPr>
          <w:p>
            <w:r/>
            <w:r>
              <w:rPr>
                <w:rFonts w:ascii="Times New Roman" w:hAnsi="Times New Roman" w:eastAsia="宋体"/>
                <w:b w:val="0"/>
                <w:sz w:val="19"/>
              </w:rPr>
              <w:t>[10] Romero et al., Microelectronics Reliability, 2020</w:t>
            </w:r>
          </w:p>
        </w:tc>
        <w:tc>
          <w:tcPr>
            <w:tcW w:type="dxa" w:w="3009"/>
          </w:tcPr>
          <w:p>
            <w:r/>
            <w:r>
              <w:rPr>
                <w:rFonts w:ascii="Times New Roman" w:hAnsi="Times New Roman" w:eastAsia="宋体"/>
                <w:b w:val="0"/>
                <w:sz w:val="19"/>
              </w:rPr>
              <w:t>DOI待核验</w:t>
            </w:r>
          </w:p>
        </w:tc>
      </w:tr>
      <w:tr>
        <w:tc>
          <w:tcPr>
            <w:tcW w:type="dxa" w:w="3009"/>
          </w:tcPr>
          <w:p>
            <w:r/>
            <w:r>
              <w:rPr>
                <w:rFonts w:ascii="Times New Roman" w:hAnsi="Times New Roman" w:eastAsia="宋体"/>
                <w:b w:val="0"/>
                <w:sz w:val="19"/>
              </w:rPr>
              <w:t>高湿下电导退化/分层</w:t>
            </w:r>
          </w:p>
        </w:tc>
        <w:tc>
          <w:tcPr>
            <w:tcW w:type="dxa" w:w="3009"/>
          </w:tcPr>
          <w:p>
            <w:r/>
            <w:r>
              <w:rPr>
                <w:rFonts w:ascii="Times New Roman" w:hAnsi="Times New Roman" w:eastAsia="宋体"/>
                <w:b w:val="0"/>
                <w:sz w:val="19"/>
              </w:rPr>
              <w:t>[12] KEMET, Conducting Polymer Capacitors in High Humidity, 2020</w:t>
            </w:r>
          </w:p>
        </w:tc>
        <w:tc>
          <w:tcPr>
            <w:tcW w:type="dxa" w:w="3009"/>
          </w:tcPr>
          <w:p>
            <w:r/>
            <w:r>
              <w:rPr>
                <w:rFonts w:ascii="Times New Roman" w:hAnsi="Times New Roman" w:eastAsia="宋体"/>
                <w:b w:val="0"/>
                <w:sz w:val="19"/>
              </w:rPr>
              <w:t>厂商资料</w:t>
            </w:r>
          </w:p>
        </w:tc>
      </w:tr>
      <w:tr>
        <w:tc>
          <w:tcPr>
            <w:tcW w:type="dxa" w:w="3009"/>
          </w:tcPr>
          <w:p>
            <w:r/>
            <w:r>
              <w:rPr>
                <w:rFonts w:ascii="Times New Roman" w:hAnsi="Times New Roman" w:eastAsia="宋体"/>
                <w:b w:val="0"/>
                <w:sz w:val="19"/>
              </w:rPr>
              <w:t>ESR/C 随老化变化（实测曲线）</w:t>
            </w:r>
          </w:p>
        </w:tc>
        <w:tc>
          <w:tcPr>
            <w:tcW w:type="dxa" w:w="3009"/>
          </w:tcPr>
          <w:p>
            <w:r/>
            <w:r>
              <w:rPr>
                <w:rFonts w:ascii="Times New Roman" w:hAnsi="Times New Roman" w:eastAsia="宋体"/>
                <w:b w:val="0"/>
                <w:sz w:val="19"/>
              </w:rPr>
              <w:t>[13] Murata, Polymer Aluminum — Failure Mode</w:t>
            </w:r>
          </w:p>
        </w:tc>
        <w:tc>
          <w:tcPr>
            <w:tcW w:type="dxa" w:w="3009"/>
          </w:tcPr>
          <w:p>
            <w:r/>
            <w:r>
              <w:rPr>
                <w:rFonts w:ascii="Times New Roman" w:hAnsi="Times New Roman" w:eastAsia="宋体"/>
                <w:b w:val="0"/>
                <w:sz w:val="19"/>
              </w:rPr>
              <w:t>厂商资料</w:t>
            </w:r>
          </w:p>
        </w:tc>
      </w:tr>
      <w:tr>
        <w:tc>
          <w:tcPr>
            <w:tcW w:type="dxa" w:w="3009"/>
          </w:tcPr>
          <w:p>
            <w:r/>
            <w:r>
              <w:rPr>
                <w:rFonts w:ascii="Times New Roman" w:hAnsi="Times New Roman" w:eastAsia="宋体"/>
                <w:b w:val="0"/>
                <w:sz w:val="19"/>
              </w:rPr>
              <w:t>PEDOT:PSS 热降解电导曲线</w:t>
            </w:r>
          </w:p>
        </w:tc>
        <w:tc>
          <w:tcPr>
            <w:tcW w:type="dxa" w:w="3009"/>
          </w:tcPr>
          <w:p>
            <w:r/>
            <w:r>
              <w:rPr>
                <w:rFonts w:ascii="Times New Roman" w:hAnsi="Times New Roman" w:eastAsia="宋体"/>
                <w:b w:val="0"/>
                <w:sz w:val="19"/>
              </w:rPr>
              <w:t>[17] Vitoratos et al., Organic Electronics, 10(1):61-66, 2009</w:t>
            </w:r>
          </w:p>
        </w:tc>
        <w:tc>
          <w:tcPr>
            <w:tcW w:type="dxa" w:w="3009"/>
          </w:tcPr>
          <w:p>
            <w:r/>
            <w:r>
              <w:rPr>
                <w:rFonts w:ascii="Times New Roman" w:hAnsi="Times New Roman" w:eastAsia="宋体"/>
                <w:b w:val="0"/>
                <w:sz w:val="19"/>
              </w:rPr>
              <w:t>10.1016/j.orgel.2008.10.008 [待核验]</w:t>
            </w:r>
          </w:p>
        </w:tc>
      </w:tr>
      <w:tr>
        <w:tc>
          <w:tcPr>
            <w:tcW w:type="dxa" w:w="3009"/>
          </w:tcPr>
          <w:p>
            <w:r/>
            <w:r>
              <w:rPr>
                <w:rFonts w:ascii="Times New Roman" w:hAnsi="Times New Roman" w:eastAsia="宋体"/>
                <w:b w:val="0"/>
                <w:sz w:val="19"/>
              </w:rPr>
              <w:t>PEDOT 老化气氛对比</w:t>
            </w:r>
          </w:p>
        </w:tc>
        <w:tc>
          <w:tcPr>
            <w:tcW w:type="dxa" w:w="3009"/>
          </w:tcPr>
          <w:p>
            <w:r/>
            <w:r>
              <w:rPr>
                <w:rFonts w:ascii="Times New Roman" w:hAnsi="Times New Roman" w:eastAsia="宋体"/>
                <w:b w:val="0"/>
                <w:sz w:val="19"/>
              </w:rPr>
              <w:t>[18] Sakkopoulos &amp; Vitoratos, OJOPM, 4(1), 2014</w:t>
            </w:r>
          </w:p>
        </w:tc>
        <w:tc>
          <w:tcPr>
            <w:tcW w:type="dxa" w:w="3009"/>
          </w:tcPr>
          <w:p>
            <w:r/>
            <w:r>
              <w:rPr>
                <w:rFonts w:ascii="Times New Roman" w:hAnsi="Times New Roman" w:eastAsia="宋体"/>
                <w:b w:val="0"/>
                <w:sz w:val="19"/>
              </w:rPr>
              <w:t>10.4236/ojopm.2014.41001</w:t>
            </w:r>
          </w:p>
        </w:tc>
      </w:tr>
      <w:tr>
        <w:tc>
          <w:tcPr>
            <w:tcW w:type="dxa" w:w="3009"/>
          </w:tcPr>
          <w:p>
            <w:r/>
            <w:r>
              <w:rPr>
                <w:rFonts w:ascii="Times New Roman" w:hAnsi="Times New Roman" w:eastAsia="宋体"/>
                <w:b w:val="0"/>
                <w:sz w:val="19"/>
              </w:rPr>
              <w:t>PEDOT:PSS/PEG 湿稳定性/分层</w:t>
            </w:r>
          </w:p>
        </w:tc>
        <w:tc>
          <w:tcPr>
            <w:tcW w:type="dxa" w:w="3009"/>
          </w:tcPr>
          <w:p>
            <w:r/>
            <w:r>
              <w:rPr>
                <w:rFonts w:ascii="Times New Roman" w:hAnsi="Times New Roman" w:eastAsia="宋体"/>
                <w:b w:val="0"/>
                <w:sz w:val="19"/>
              </w:rPr>
              <w:t>[24] Microsystems &amp; Nanoengineering, 3, 2017</w:t>
            </w:r>
          </w:p>
        </w:tc>
        <w:tc>
          <w:tcPr>
            <w:tcW w:type="dxa" w:w="3009"/>
          </w:tcPr>
          <w:p>
            <w:r/>
            <w:r>
              <w:rPr>
                <w:rFonts w:ascii="Times New Roman" w:hAnsi="Times New Roman" w:eastAsia="宋体"/>
                <w:b w:val="0"/>
                <w:sz w:val="19"/>
              </w:rPr>
              <w:t>10.1038/micronano.2017.4 [待核验]</w:t>
            </w:r>
          </w:p>
        </w:tc>
      </w:tr>
      <w:tr>
        <w:tc>
          <w:tcPr>
            <w:tcW w:type="dxa" w:w="3009"/>
          </w:tcPr>
          <w:p>
            <w:r/>
            <w:r>
              <w:rPr>
                <w:rFonts w:ascii="Times New Roman" w:hAnsi="Times New Roman" w:eastAsia="宋体"/>
                <w:b w:val="0"/>
                <w:sz w:val="19"/>
              </w:rPr>
              <w:t>铝氧化膜击穿/自愈（I-V）</w:t>
            </w:r>
          </w:p>
        </w:tc>
        <w:tc>
          <w:tcPr>
            <w:tcW w:type="dxa" w:w="3009"/>
          </w:tcPr>
          <w:p>
            <w:r/>
            <w:r>
              <w:rPr>
                <w:rFonts w:ascii="Times New Roman" w:hAnsi="Times New Roman" w:eastAsia="宋体"/>
                <w:b w:val="0"/>
                <w:sz w:val="19"/>
              </w:rPr>
              <w:t>[25] Appl. Phys. Lett., 102, 2013</w:t>
            </w:r>
          </w:p>
        </w:tc>
        <w:tc>
          <w:tcPr>
            <w:tcW w:type="dxa" w:w="3009"/>
          </w:tcPr>
          <w:p>
            <w:r/>
            <w:r>
              <w:rPr>
                <w:rFonts w:ascii="Times New Roman" w:hAnsi="Times New Roman" w:eastAsia="宋体"/>
                <w:b w:val="0"/>
                <w:sz w:val="19"/>
              </w:rPr>
              <w:t>10.1063/1.4802485</w:t>
            </w:r>
          </w:p>
        </w:tc>
      </w:tr>
      <w:tr>
        <w:tc>
          <w:tcPr>
            <w:tcW w:type="dxa" w:w="3009"/>
          </w:tcPr>
          <w:p>
            <w:r/>
            <w:r>
              <w:rPr>
                <w:rFonts w:ascii="Times New Roman" w:hAnsi="Times New Roman" w:eastAsia="宋体"/>
                <w:b w:val="0"/>
                <w:sz w:val="19"/>
              </w:rPr>
              <w:t>阳极/烧结铝箔氧化膜（SEM/TEM）</w:t>
            </w:r>
          </w:p>
        </w:tc>
        <w:tc>
          <w:tcPr>
            <w:tcW w:type="dxa" w:w="3009"/>
          </w:tcPr>
          <w:p>
            <w:r/>
            <w:r>
              <w:rPr>
                <w:rFonts w:ascii="Times New Roman" w:hAnsi="Times New Roman" w:eastAsia="宋体"/>
                <w:b w:val="0"/>
                <w:sz w:val="19"/>
              </w:rPr>
              <w:t>[45]/[46] J. Alloys Compd. 2020 / J. Electron. Mater. 2024</w:t>
            </w:r>
          </w:p>
        </w:tc>
        <w:tc>
          <w:tcPr>
            <w:tcW w:type="dxa" w:w="3009"/>
          </w:tcPr>
          <w:p>
            <w:r/>
            <w:r>
              <w:rPr>
                <w:rFonts w:ascii="Times New Roman" w:hAnsi="Times New Roman" w:eastAsia="宋体"/>
                <w:b w:val="0"/>
                <w:sz w:val="19"/>
              </w:rPr>
              <w:t>DOI待核验</w:t>
            </w:r>
          </w:p>
        </w:tc>
      </w:tr>
      <w:tr>
        <w:tc>
          <w:tcPr>
            <w:tcW w:type="dxa" w:w="3009"/>
          </w:tcPr>
          <w:p>
            <w:r/>
            <w:r>
              <w:rPr>
                <w:rFonts w:ascii="Times New Roman" w:hAnsi="Times New Roman" w:eastAsia="宋体"/>
                <w:b w:val="0"/>
                <w:sz w:val="19"/>
              </w:rPr>
              <w:t>THB/HAST 加速寿命数据</w:t>
            </w:r>
          </w:p>
        </w:tc>
        <w:tc>
          <w:tcPr>
            <w:tcW w:type="dxa" w:w="3009"/>
          </w:tcPr>
          <w:p>
            <w:r/>
            <w:r>
              <w:rPr>
                <w:rFonts w:ascii="Times New Roman" w:hAnsi="Times New Roman" w:eastAsia="宋体"/>
                <w:b w:val="0"/>
                <w:sz w:val="19"/>
              </w:rPr>
              <w:t>[30] IET Power Electronics, 2016</w:t>
            </w:r>
          </w:p>
        </w:tc>
        <w:tc>
          <w:tcPr>
            <w:tcW w:type="dxa" w:w="3009"/>
          </w:tcPr>
          <w:p>
            <w:r/>
            <w:r>
              <w:rPr>
                <w:rFonts w:ascii="Times New Roman" w:hAnsi="Times New Roman" w:eastAsia="宋体"/>
                <w:b w:val="0"/>
                <w:sz w:val="19"/>
              </w:rPr>
              <w:t>10.1049/iet-pel.2015.0031</w:t>
            </w:r>
          </w:p>
        </w:tc>
      </w:tr>
      <w:tr>
        <w:tc>
          <w:tcPr>
            <w:tcW w:type="dxa" w:w="3009"/>
          </w:tcPr>
          <w:p>
            <w:r/>
            <w:r>
              <w:rPr>
                <w:rFonts w:ascii="Times New Roman" w:hAnsi="Times New Roman" w:eastAsia="宋体"/>
                <w:b w:val="0"/>
                <w:sz w:val="19"/>
              </w:rPr>
              <w:t>RUL 预测曲线（LSTM/集成）</w:t>
            </w:r>
          </w:p>
        </w:tc>
        <w:tc>
          <w:tcPr>
            <w:tcW w:type="dxa" w:w="3009"/>
          </w:tcPr>
          <w:p>
            <w:r/>
            <w:r>
              <w:rPr>
                <w:rFonts w:ascii="Times New Roman" w:hAnsi="Times New Roman" w:eastAsia="宋体"/>
                <w:b w:val="0"/>
                <w:sz w:val="19"/>
              </w:rPr>
              <w:t>[36]/[38] SAGE 2022 / Springer 2024</w:t>
            </w:r>
          </w:p>
        </w:tc>
        <w:tc>
          <w:tcPr>
            <w:tcW w:type="dxa" w:w="3009"/>
          </w:tcPr>
          <w:p>
            <w:r/>
            <w:r>
              <w:rPr>
                <w:rFonts w:ascii="Times New Roman" w:hAnsi="Times New Roman" w:eastAsia="宋体"/>
                <w:b w:val="0"/>
                <w:sz w:val="19"/>
              </w:rPr>
              <w:t>10.1177/1748006X221087503 / 10.1007/978-981-99-9518-9_40</w:t>
            </w:r>
          </w:p>
        </w:tc>
      </w:tr>
    </w:tbl>
    <w:p>
      <w:pPr>
        <w:spacing w:lineRule="auto" w:line="360" w:after="120" w:before="0"/>
      </w:pPr>
    </w:p>
    <w:p>
      <w:pPr>
        <w:spacing w:lineRule="auto" w:line="360" w:after="120" w:before="0"/>
        <w:ind w:firstLine="400"/>
        <w:jc w:val="both"/>
      </w:pPr>
      <w:r>
        <w:rPr>
          <w:rFonts w:ascii="Times New Roman" w:hAnsi="Times New Roman" w:eastAsia="宋体"/>
          <w:b w:val="0"/>
          <w:sz w:val="20"/>
        </w:rPr>
        <w:t>提示：正文图1–图10 为原创示意图，可直接使用；如需在论文中加入上表所列实测/形貌图件，请向相应出版商申请授权或使用开放获取（如[6]、[7]、[18]、[35]）版本中允许重用的图件，并按 GB/T 7714 或 IEEE 规范标注出处。</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