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6666"/>
          <w:sz w:val="20"/>
        </w:rPr>
        <w:t>18.02.2026</w:t>
      </w:r>
    </w:p>
    <w:p/>
    <w:p>
      <w:r>
        <w:rPr>
          <w:sz w:val="22"/>
        </w:rPr>
        <w:t>Добрый день!</w:t>
      </w:r>
    </w:p>
    <w:p/>
    <w:p>
      <w:r>
        <w:rPr>
          <w:sz w:val="22"/>
        </w:rPr>
        <w:t>Благодарим за вопросы — отвечаем по порядку.</w:t>
      </w:r>
    </w:p>
    <w:p/>
    <w:p>
      <w:r>
        <w:rPr>
          <w:b/>
          <w:color w:val="003274"/>
          <w:sz w:val="24"/>
        </w:rPr>
        <w:t>1. Стоимость работ и образовательная часть ВШГР</w:t>
      </w:r>
    </w:p>
    <w:p>
      <w:r>
        <w:t>В направленной смете (КП v2.0, 3 800 000 руб.) стоимость разработки образовательной платформы ВШГР не заложена. В рамках этапов 0–2 реализуются информационные страницы ВШГР: описание системы, карточки всех 10 продуктов, формы заявок на обучение и скачивание КП.</w:t>
      </w:r>
    </w:p>
    <w:p>
      <w:r>
        <w:t>Полноценная образовательная платформа ВШГР (акселератор, модули обучения с контролем прохождения, грантовый контур и т.д.) — это отдельный блок работ, который оценивается и реализуется дополнительно. Подробнее — в ответе на вопрос 2.</w:t>
      </w:r>
    </w:p>
    <w:p/>
    <w:p>
      <w:r>
        <w:rPr>
          <w:b/>
          <w:color w:val="003274"/>
          <w:sz w:val="24"/>
        </w:rPr>
        <w:t>2. Сроки запуска к 1 апреля</w:t>
      </w:r>
    </w:p>
    <w:p>
      <w:r>
        <w:t>Мы готовы обеспечить запуск платформы к 1 апреля. Для этого мы перестраиваем процесс:</w:t>
      </w:r>
    </w:p>
    <w:p>
      <w:pPr>
        <w:pStyle w:val="ListBullet"/>
      </w:pPr>
      <w:r>
        <w:t>Этапы работы ведутся параллельно — дизайн и разработка идут одновременно, без последовательного ожидания;</w:t>
      </w:r>
    </w:p>
    <w:p>
      <w:pPr>
        <w:pStyle w:val="ListBullet"/>
      </w:pPr>
      <w:r>
        <w:t>Дизайн формируется в процессе разработки — мы предложим своё видение на основе брендбука Росатома и существующих прототипов, без выделения отдельного длительного этапа на UX/UI;</w:t>
      </w:r>
    </w:p>
    <w:p>
      <w:pPr>
        <w:pStyle w:val="ListBullet"/>
      </w:pPr>
      <w:r>
        <w:t>Приоритет — на запуск ключевого функционала к назначенной дате.</w:t>
      </w:r>
    </w:p>
    <w:p/>
    <w:p>
      <w:r>
        <w:t>К 1 апреля будут запущены:</w:t>
      </w:r>
    </w:p>
    <w:p>
      <w:pPr>
        <w:pStyle w:val="ListBullet"/>
      </w:pPr>
      <w:r>
        <w:t>Главная страница (визитка, миссия, карта атомных городов)</w:t>
      </w:r>
    </w:p>
    <w:p>
      <w:pPr>
        <w:pStyle w:val="ListBullet"/>
      </w:pPr>
      <w:r>
        <w:t>Каталог городов с детальными карточками</w:t>
      </w:r>
    </w:p>
    <w:p>
      <w:pPr>
        <w:pStyle w:val="ListBullet"/>
      </w:pPr>
      <w:r>
        <w:t>Каталог туров с фильтрами, карточками и формами заявок</w:t>
      </w:r>
    </w:p>
    <w:p>
      <w:pPr>
        <w:pStyle w:val="ListBullet"/>
      </w:pPr>
      <w:r>
        <w:t>Информационные страницы ВШГР (описание продуктов, формы)</w:t>
      </w:r>
    </w:p>
    <w:p>
      <w:pPr>
        <w:pStyle w:val="ListBullet"/>
      </w:pPr>
      <w:r>
        <w:t>Административная панель (управление контентом, обработка заявок, экспорт)</w:t>
      </w:r>
    </w:p>
    <w:p/>
    <w:p>
      <w:r>
        <w:rPr>
          <w:b/>
        </w:rPr>
        <w:t xml:space="preserve">По интеграции оплаты: </w:t>
      </w:r>
      <w:r>
        <w:t>данный функционал не входит в текущую смету и требует отдельной оценки после выбора платёжной системы (ЮKassa, Робокасса, Сбер) и согласования юридических вопросов. Готовы подготовить отдельную оценку по запросу.</w:t>
      </w:r>
    </w:p>
    <w:p/>
    <w:p>
      <w:r>
        <w:rPr>
          <w:b/>
        </w:rPr>
        <w:t xml:space="preserve">По образовательной платформе ВШГР: </w:t>
      </w:r>
      <w:r>
        <w:t>если есть потребность запустить функциональную часть ВШГР до мая, мы готовы предложить два варианта: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Вариант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Состав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Стоимость</w:t>
            </w:r>
          </w:p>
        </w:tc>
      </w:tr>
      <w:tr>
        <w:tc>
          <w:tcPr>
            <w:tcW w:type="dxa" w:w="2351"/>
          </w:tcPr>
          <w:p>
            <w:r>
              <w:t>MVP ВШГР</w:t>
            </w:r>
          </w:p>
        </w:tc>
        <w:tc>
          <w:tcPr>
            <w:tcW w:type="dxa" w:w="2351"/>
          </w:tcPr>
          <w:p>
            <w:r>
              <w:t>5–6 приоритетных продуктов (акселератор, обучение предпринимателей, муниципальные команды, профильные треки, городские команды, сообщество)</w:t>
            </w:r>
          </w:p>
        </w:tc>
        <w:tc>
          <w:tcPr>
            <w:tcW w:type="dxa" w:w="2351"/>
          </w:tcPr>
          <w:p>
            <w:r>
              <w:t>К 1 мая</w:t>
            </w:r>
          </w:p>
        </w:tc>
        <w:tc>
          <w:tcPr>
            <w:tcW w:type="dxa" w:w="2351"/>
          </w:tcPr>
          <w:p>
            <w:r>
              <w:t>1 500 000 – 1 800 000 руб.</w:t>
            </w:r>
          </w:p>
        </w:tc>
      </w:tr>
      <w:tr>
        <w:tc>
          <w:tcPr>
            <w:tcW w:type="dxa" w:w="2351"/>
          </w:tcPr>
          <w:p>
            <w:r>
              <w:t>Полный ВШГР</w:t>
            </w:r>
          </w:p>
        </w:tc>
        <w:tc>
          <w:tcPr>
            <w:tcW w:type="dxa" w:w="2351"/>
          </w:tcPr>
          <w:p>
            <w:r>
              <w:t>Все 10 продуктов с полным функционалом</w:t>
            </w:r>
          </w:p>
        </w:tc>
        <w:tc>
          <w:tcPr>
            <w:tcW w:type="dxa" w:w="2351"/>
          </w:tcPr>
          <w:p>
            <w:r>
              <w:t>К 1 мая</w:t>
            </w:r>
          </w:p>
        </w:tc>
        <w:tc>
          <w:tcPr>
            <w:tcW w:type="dxa" w:w="2351"/>
          </w:tcPr>
          <w:p>
            <w:r>
              <w:t>2 500 000 руб.</w:t>
            </w:r>
          </w:p>
        </w:tc>
      </w:tr>
    </w:tbl>
    <w:p/>
    <w:p>
      <w:r>
        <w:t>Рекомендуем вариант MVP: запуск ключевых продуктов к маю, доработка остальных в следующем месяце. Это позволяет сохранить качество и управляемость проекта.</w:t>
      </w:r>
    </w:p>
    <w:p/>
    <w:p>
      <w:r>
        <w:rPr>
          <w:b/>
          <w:color w:val="003274"/>
          <w:sz w:val="24"/>
        </w:rPr>
        <w:t>3. Инструкция по работе на сайте</w:t>
      </w:r>
    </w:p>
    <w:p>
      <w:r>
        <w:t>В текущую стоимость работ входят:</w:t>
      </w:r>
    </w:p>
    <w:p>
      <w:pPr>
        <w:pStyle w:val="ListBullet"/>
      </w:pPr>
      <w:r>
        <w:t>Инструкции для администраторов и контент-менеджеров</w:t>
      </w:r>
    </w:p>
    <w:p>
      <w:pPr>
        <w:pStyle w:val="ListBullet"/>
      </w:pPr>
      <w:r>
        <w:t>Документация по архитектуре и API</w:t>
      </w:r>
    </w:p>
    <w:p>
      <w:pPr>
        <w:pStyle w:val="ListBullet"/>
      </w:pPr>
      <w:r>
        <w:t>Инструкции по развёртыванию системы</w:t>
      </w:r>
    </w:p>
    <w:p>
      <w:pPr>
        <w:pStyle w:val="ListBullet"/>
      </w:pPr>
      <w:r>
        <w:t>Обучающая сессия для команды заказчика — до 8 часов</w:t>
      </w:r>
    </w:p>
    <w:p/>
    <w:p>
      <w:r>
        <w:t>Этого достаточно для полноценной работы с платформой. Если для отчётных документов потребуется расширенная пользовательская инструкция в формате отдельного документа (со скриншотами каждого экрана, пошаговыми сценариями для всех ролей) — это дополнительная работа по техническому писательству, ориентировочно 50 000 – 80 000 руб. Готовы включить в договор при необходимости.</w:t>
      </w:r>
    </w:p>
    <w:p/>
    <w:p>
      <w:r>
        <w:rPr>
          <w:b/>
          <w:color w:val="003274"/>
          <w:sz w:val="24"/>
        </w:rPr>
        <w:t>4. Безопасность и контур ГринАтом</w:t>
      </w:r>
    </w:p>
    <w:p>
      <w:r>
        <w:t>Понимаем важность вопроса. В разработку уже заложены:</w:t>
      </w:r>
    </w:p>
    <w:p>
      <w:pPr>
        <w:pStyle w:val="ListBullet"/>
      </w:pPr>
      <w:r>
        <w:t>Соответствие 152-ФЗ «О персональных данных»</w:t>
      </w:r>
    </w:p>
    <w:p>
      <w:pPr>
        <w:pStyle w:val="ListBullet"/>
      </w:pPr>
      <w:r>
        <w:t>Хранение и обработка данных исключительно на территории РФ</w:t>
      </w:r>
    </w:p>
    <w:p>
      <w:pPr>
        <w:pStyle w:val="ListBullet"/>
      </w:pPr>
      <w:r>
        <w:t>Защита от основных типов атак (OWASP Top 10: SQL-инъекции, XSS, CSRF)</w:t>
      </w:r>
    </w:p>
    <w:p>
      <w:pPr>
        <w:pStyle w:val="ListBullet"/>
      </w:pPr>
      <w:r>
        <w:t>Ролевая модель доступа (RBAC) — разграничение прав по ролям</w:t>
      </w:r>
    </w:p>
    <w:p>
      <w:pPr>
        <w:pStyle w:val="ListBullet"/>
      </w:pPr>
      <w:r>
        <w:t>Логирование действий администраторов</w:t>
      </w:r>
    </w:p>
    <w:p>
      <w:pPr>
        <w:pStyle w:val="ListBullet"/>
      </w:pPr>
      <w:r>
        <w:t>Контейнеризация сервисов (Docker) — изоляция компонентов системы</w:t>
      </w:r>
    </w:p>
    <w:p/>
    <w:p>
      <w:r>
        <w:t>По вопросу контура ГринАтом: если проект не входит в контур — нет необходимости использовать Битрикс. Мы предлагаем следующий подход:</w:t>
      </w:r>
    </w:p>
    <w:p/>
    <w:p>
      <w:r>
        <w:rPr>
          <w:b/>
        </w:rPr>
        <w:t xml:space="preserve">Внешний аудит безопасности (пентест) </w:t>
      </w:r>
      <w:r>
        <w:t>после завершения разработки — проводится сертифицированной компанией, результаты передаются заказчику. Ориентировочная стоимость: 150 000 – 300 000 руб. (не входит в текущую смету, может быть включена дополнительно).</w:t>
      </w:r>
    </w:p>
    <w:p/>
    <w:p>
      <w:r>
        <w:rPr>
          <w:b/>
        </w:rPr>
        <w:t xml:space="preserve">Техническая поддержка и мониторинг безопасности </w:t>
      </w:r>
      <w:r>
        <w:t>после запуска — обновление зависимостей, мониторинг уязвимостей, резервное копирование. Оформляется как отдельный договор: 30 000 – 50 000 руб./мес.</w:t>
      </w:r>
    </w:p>
    <w:p/>
    <w:p>
      <w:r>
        <w:t>Если в дальнейшем возникнет необходимость вхождения в контур ГринАтом, мы готовы обсудить варианты. Однако это потребует существенной переработки (миграция на Битрикс), поэтому рекомендуем автономный вариант с внешним аудитом — это быстрее, дешевле и не уступает по уровню защиты.</w:t>
      </w:r>
    </w:p>
    <w:p/>
    <w:p>
      <w:r>
        <w:t>У нас есть опыт работы с проектами, требующими повышенного уровня безопасности. Готовы детально обсудить конкретные требования и подобрать оптимальное решение.</w:t>
      </w:r>
    </w:p>
    <w:p/>
    <w:p/>
    <w:p>
      <w:r>
        <w:rPr>
          <w:b/>
          <w:color w:val="003274"/>
          <w:sz w:val="24"/>
        </w:rPr>
        <w:t>Сводка по бюджету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Позиция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Стоимость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3135"/>
          </w:tcPr>
          <w:p>
            <w:r>
              <w:t>Этапы 0–2: основная платформа</w:t>
            </w:r>
          </w:p>
        </w:tc>
        <w:tc>
          <w:tcPr>
            <w:tcW w:type="dxa" w:w="3135"/>
          </w:tcPr>
          <w:p>
            <w:r>
              <w:t>3 800 000 руб.</w:t>
            </w:r>
          </w:p>
        </w:tc>
        <w:tc>
          <w:tcPr>
            <w:tcW w:type="dxa" w:w="3135"/>
          </w:tcPr>
          <w:p>
            <w:r>
              <w:t>В смете</w:t>
            </w:r>
          </w:p>
        </w:tc>
      </w:tr>
      <w:tr>
        <w:tc>
          <w:tcPr>
            <w:tcW w:type="dxa" w:w="3135"/>
          </w:tcPr>
          <w:p>
            <w:r>
              <w:t>ВШГР MVP (5–6 продуктов, к маю)</w:t>
            </w:r>
          </w:p>
        </w:tc>
        <w:tc>
          <w:tcPr>
            <w:tcW w:type="dxa" w:w="3135"/>
          </w:tcPr>
          <w:p>
            <w:r>
              <w:t>1 500 000 – 1 800 000 руб.</w:t>
            </w:r>
          </w:p>
        </w:tc>
        <w:tc>
          <w:tcPr>
            <w:tcW w:type="dxa" w:w="3135"/>
          </w:tcPr>
          <w:p>
            <w:r>
              <w:t>Доп. опция</w:t>
            </w:r>
          </w:p>
        </w:tc>
      </w:tr>
      <w:tr>
        <w:tc>
          <w:tcPr>
            <w:tcW w:type="dxa" w:w="3135"/>
          </w:tcPr>
          <w:p>
            <w:r>
              <w:t>Расширенная инструкция</w:t>
            </w:r>
          </w:p>
        </w:tc>
        <w:tc>
          <w:tcPr>
            <w:tcW w:type="dxa" w:w="3135"/>
          </w:tcPr>
          <w:p>
            <w:r>
              <w:t>50 000 – 80 000 руб.</w:t>
            </w:r>
          </w:p>
        </w:tc>
        <w:tc>
          <w:tcPr>
            <w:tcW w:type="dxa" w:w="3135"/>
          </w:tcPr>
          <w:p>
            <w:r>
              <w:t>Доп. опция</w:t>
            </w:r>
          </w:p>
        </w:tc>
      </w:tr>
      <w:tr>
        <w:tc>
          <w:tcPr>
            <w:tcW w:type="dxa" w:w="3135"/>
          </w:tcPr>
          <w:p>
            <w:r>
              <w:t>Внешний аудит безопасности</w:t>
            </w:r>
          </w:p>
        </w:tc>
        <w:tc>
          <w:tcPr>
            <w:tcW w:type="dxa" w:w="3135"/>
          </w:tcPr>
          <w:p>
            <w:r>
              <w:t>150 000 – 300 000 руб.</w:t>
            </w:r>
          </w:p>
        </w:tc>
        <w:tc>
          <w:tcPr>
            <w:tcW w:type="dxa" w:w="3135"/>
          </w:tcPr>
          <w:p>
            <w:r>
              <w:t>Доп. опция</w:t>
            </w:r>
          </w:p>
        </w:tc>
      </w:tr>
      <w:tr>
        <w:tc>
          <w:tcPr>
            <w:tcW w:type="dxa" w:w="3135"/>
          </w:tcPr>
          <w:p>
            <w:r>
              <w:t>Техподдержка после запуска</w:t>
            </w:r>
          </w:p>
        </w:tc>
        <w:tc>
          <w:tcPr>
            <w:tcW w:type="dxa" w:w="3135"/>
          </w:tcPr>
          <w:p>
            <w:r>
              <w:t>30 000 – 50 000 руб./мес.</w:t>
            </w:r>
          </w:p>
        </w:tc>
        <w:tc>
          <w:tcPr>
            <w:tcW w:type="dxa" w:w="3135"/>
          </w:tcPr>
          <w:p>
            <w:r>
              <w:t>Доп. опция</w:t>
            </w:r>
          </w:p>
        </w:tc>
      </w:tr>
    </w:tbl>
    <w:p/>
    <w:p/>
    <w:p>
      <w:r>
        <w:t>Готовы обсудить детали в удобном формате — на звонке или в переписке.</w:t>
      </w:r>
    </w:p>
    <w:p>
      <w:r/>
    </w:p>
    <w:p>
      <w:r>
        <w:t>С уважением,</w:t>
      </w:r>
    </w:p>
    <w:p>
      <w:r>
        <w:rPr>
          <w:b/>
        </w:rPr>
        <w:t>Алексей Рахманов</w:t>
      </w:r>
    </w:p>
    <w:p>
      <w:r>
        <w:rPr>
          <w:color w:val="003274"/>
        </w:rPr>
        <w:t>Rakhmanov.studio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